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FDBB5" w14:textId="3841BEF4" w:rsidR="006852EC" w:rsidRPr="006852EC" w:rsidRDefault="006852EC" w:rsidP="006852EC">
      <w:pPr>
        <w:spacing w:after="120" w:line="240" w:lineRule="auto"/>
        <w:rPr>
          <w:rFonts w:ascii="Arial" w:eastAsia="Calibri" w:hAnsi="Arial" w:cs="Times New Roman"/>
          <w:color w:val="FFFFFF"/>
          <w:sz w:val="24"/>
          <w:szCs w:val="24"/>
        </w:rPr>
      </w:pPr>
      <w:bookmarkStart w:id="0" w:name="ChapterTitle"/>
      <w:r w:rsidRPr="006852EC">
        <w:rPr>
          <w:rFonts w:ascii="Arial" w:eastAsia="Calibri" w:hAnsi="Arial" w:cs="Arial"/>
          <w:noProof/>
          <w:color w:val="FFFFFF"/>
          <w:sz w:val="24"/>
          <w:szCs w:val="24"/>
        </w:rPr>
        <w:drawing>
          <wp:anchor distT="0" distB="0" distL="114300" distR="114300" simplePos="0" relativeHeight="251658240" behindDoc="1" locked="0" layoutInCell="1" allowOverlap="1" wp14:anchorId="6CF4F521" wp14:editId="4D47556E">
            <wp:simplePos x="0" y="0"/>
            <wp:positionH relativeFrom="page">
              <wp:posOffset>-20955</wp:posOffset>
            </wp:positionH>
            <wp:positionV relativeFrom="paragraph">
              <wp:posOffset>-926655</wp:posOffset>
            </wp:positionV>
            <wp:extent cx="7573387" cy="10709806"/>
            <wp:effectExtent l="0" t="0" r="889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73387" cy="10709806"/>
                    </a:xfrm>
                    <a:prstGeom prst="rect">
                      <a:avLst/>
                    </a:prstGeom>
                  </pic:spPr>
                </pic:pic>
              </a:graphicData>
            </a:graphic>
            <wp14:sizeRelH relativeFrom="margin">
              <wp14:pctWidth>0</wp14:pctWidth>
            </wp14:sizeRelH>
            <wp14:sizeRelV relativeFrom="margin">
              <wp14:pctHeight>0</wp14:pctHeight>
            </wp14:sizeRelV>
          </wp:anchor>
        </w:drawing>
      </w:r>
      <w:r w:rsidRPr="006852EC">
        <w:rPr>
          <w:rFonts w:ascii="Arial" w:eastAsia="Calibri" w:hAnsi="Arial" w:cs="Times New Roman"/>
          <w:noProof/>
          <w:color w:val="FFFFFF"/>
          <w:sz w:val="24"/>
          <w:szCs w:val="24"/>
        </w:rPr>
        <w:drawing>
          <wp:inline distT="0" distB="0" distL="0" distR="0" wp14:anchorId="492522DB" wp14:editId="0F38F619">
            <wp:extent cx="2484000" cy="601163"/>
            <wp:effectExtent l="0" t="0" r="0" b="8890"/>
            <wp:docPr id="2" name="Picture 2" descr="Australian Government |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Productivity Commission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4000" cy="601163"/>
                    </a:xfrm>
                    <a:prstGeom prst="rect">
                      <a:avLst/>
                    </a:prstGeom>
                  </pic:spPr>
                </pic:pic>
              </a:graphicData>
            </a:graphic>
          </wp:inline>
        </w:drawing>
      </w:r>
    </w:p>
    <w:p w14:paraId="0BFD199D" w14:textId="10BA61E1" w:rsidR="006852EC" w:rsidRPr="00CD201F" w:rsidRDefault="006852EC" w:rsidP="0018164F">
      <w:pPr>
        <w:pStyle w:val="Heading1"/>
        <w:spacing w:before="600" w:after="480" w:line="240" w:lineRule="auto"/>
        <w:ind w:left="0" w:firstLine="0"/>
        <w:rPr>
          <w:rFonts w:ascii="Arial" w:hAnsi="Arial" w:cs="Arial"/>
          <w:sz w:val="96"/>
          <w:szCs w:val="96"/>
        </w:rPr>
      </w:pPr>
      <w:r w:rsidRPr="00CD201F">
        <w:rPr>
          <w:rFonts w:ascii="Arial" w:hAnsi="Arial" w:cs="Arial"/>
          <w:sz w:val="96"/>
          <w:szCs w:val="96"/>
        </w:rPr>
        <w:t>Implementing innovation across the health system</w:t>
      </w:r>
    </w:p>
    <w:p w14:paraId="07CC433A" w14:textId="14EFD21C" w:rsidR="006852EC" w:rsidRPr="00425BC6" w:rsidRDefault="006128CC" w:rsidP="006852EC">
      <w:pPr>
        <w:spacing w:line="240" w:lineRule="auto"/>
        <w:rPr>
          <w:rFonts w:ascii="Arial" w:eastAsia="Calibri" w:hAnsi="Arial" w:cs="Arial"/>
          <w:sz w:val="36"/>
          <w:szCs w:val="36"/>
        </w:rPr>
      </w:pPr>
      <w:r>
        <w:rPr>
          <w:rFonts w:ascii="Arial" w:eastAsia="Times New Roman" w:hAnsi="Arial" w:cs="Arial"/>
          <w:color w:val="404040"/>
          <w:sz w:val="32"/>
          <w:szCs w:val="32"/>
        </w:rPr>
        <w:t>INFORMATION PAPER</w:t>
      </w:r>
    </w:p>
    <w:p w14:paraId="44F8486A" w14:textId="5E0800B3" w:rsidR="00425BC6" w:rsidRPr="00116F74" w:rsidRDefault="006852EC" w:rsidP="00425BC6">
      <w:pPr>
        <w:spacing w:line="240" w:lineRule="auto"/>
        <w:rPr>
          <w:rFonts w:ascii="Arial" w:eastAsia="Calibri" w:hAnsi="Arial" w:cs="Arial"/>
          <w:sz w:val="36"/>
          <w:szCs w:val="36"/>
        </w:rPr>
      </w:pPr>
      <w:r w:rsidRPr="006852EC">
        <w:rPr>
          <w:rFonts w:ascii="Arial" w:eastAsia="Times New Roman" w:hAnsi="Arial" w:cs="Arial"/>
          <w:color w:val="288BAE"/>
          <w:sz w:val="36"/>
          <w:szCs w:val="36"/>
        </w:rPr>
        <w:t>May 2021</w:t>
      </w:r>
      <w:bookmarkEnd w:id="0"/>
      <w:r w:rsidR="00425BC6">
        <w:rPr>
          <w:color w:val="78A22F" w:themeColor="accent1"/>
        </w:rPr>
        <w:br w:type="page"/>
      </w:r>
    </w:p>
    <w:p w14:paraId="02395CDD" w14:textId="77777777" w:rsidR="00425BC6" w:rsidRPr="006F54F1" w:rsidRDefault="00425BC6" w:rsidP="00425BC6">
      <w:pPr>
        <w:tabs>
          <w:tab w:val="right" w:pos="8789"/>
        </w:tabs>
        <w:spacing w:before="120" w:line="300" w:lineRule="exact"/>
        <w:ind w:left="510" w:right="851" w:hanging="510"/>
        <w:rPr>
          <w:rFonts w:ascii="Arial" w:eastAsia="Calibri" w:hAnsi="Arial"/>
          <w:b/>
          <w:szCs w:val="26"/>
        </w:rPr>
      </w:pPr>
      <w:r w:rsidRPr="006F54F1">
        <w:rPr>
          <w:rFonts w:ascii="Arial" w:eastAsia="Calibri" w:hAnsi="Arial"/>
          <w:b/>
          <w:szCs w:val="26"/>
        </w:rPr>
        <w:lastRenderedPageBreak/>
        <w:fldChar w:fldCharType="begin"/>
      </w:r>
      <w:r w:rsidRPr="006F54F1">
        <w:rPr>
          <w:rFonts w:ascii="Arial" w:eastAsia="Calibri" w:hAnsi="Arial"/>
          <w:b/>
          <w:szCs w:val="26"/>
        </w:rPr>
        <w:instrText>SYMBOL 227 \f "Symbol"</w:instrText>
      </w:r>
      <w:r w:rsidRPr="006F54F1">
        <w:rPr>
          <w:rFonts w:ascii="Arial" w:eastAsia="Calibri" w:hAnsi="Arial"/>
          <w:b/>
          <w:szCs w:val="26"/>
        </w:rPr>
        <w:fldChar w:fldCharType="end"/>
      </w:r>
      <w:r w:rsidRPr="006F54F1">
        <w:rPr>
          <w:rFonts w:ascii="Arial" w:eastAsia="Calibri" w:hAnsi="Arial"/>
          <w:b/>
          <w:szCs w:val="26"/>
        </w:rPr>
        <w:t xml:space="preserve"> Commonwealth of Australia 2021</w:t>
      </w:r>
    </w:p>
    <w:p w14:paraId="6DAC38BD" w14:textId="77777777" w:rsidR="00425BC6" w:rsidRPr="006F54F1" w:rsidRDefault="00425BC6" w:rsidP="00425BC6">
      <w:pPr>
        <w:spacing w:before="240" w:after="120" w:line="300" w:lineRule="atLeast"/>
        <w:jc w:val="both"/>
        <w:rPr>
          <w:rFonts w:ascii="Arial" w:eastAsia="Calibri" w:hAnsi="Arial"/>
          <w:szCs w:val="20"/>
        </w:rPr>
      </w:pPr>
      <w:bookmarkStart w:id="1" w:name="ISSN"/>
      <w:bookmarkEnd w:id="1"/>
      <w:r>
        <w:rPr>
          <w:noProof/>
        </w:rPr>
        <w:drawing>
          <wp:inline distT="0" distB="0" distL="0" distR="0" wp14:anchorId="10EB2EA4" wp14:editId="2968FA0F">
            <wp:extent cx="843280" cy="295043"/>
            <wp:effectExtent l="0" t="0" r="0" b="0"/>
            <wp:docPr id="6" name="Picture 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843280" cy="295043"/>
                    </a:xfrm>
                    <a:prstGeom prst="rect">
                      <a:avLst/>
                    </a:prstGeom>
                  </pic:spPr>
                </pic:pic>
              </a:graphicData>
            </a:graphic>
          </wp:inline>
        </w:drawing>
      </w:r>
    </w:p>
    <w:p w14:paraId="03099C2F" w14:textId="77777777" w:rsidR="00425BC6" w:rsidRPr="00174D5C" w:rsidRDefault="00425BC6" w:rsidP="00425BC6">
      <w:pPr>
        <w:spacing w:before="60" w:line="300" w:lineRule="atLeast"/>
        <w:jc w:val="both"/>
        <w:rPr>
          <w:rFonts w:ascii="Times New Roman" w:eastAsia="Calibri" w:hAnsi="Times New Roman" w:cs="Times New Roman"/>
          <w:spacing w:val="-4"/>
          <w:sz w:val="20"/>
          <w:szCs w:val="20"/>
        </w:rPr>
      </w:pPr>
      <w:r w:rsidRPr="00174D5C">
        <w:rPr>
          <w:rFonts w:ascii="Times New Roman" w:eastAsia="Calibri" w:hAnsi="Times New Roman" w:cs="Times New Roman"/>
          <w:spacing w:val="-4"/>
          <w:sz w:val="20"/>
          <w:szCs w:val="20"/>
        </w:rPr>
        <w:t xml:space="preserve">Except for the Commonwealth Coat of Arms and content supplied by third parties, this copyright work is licensed under a Creative Commons Attribution 3.0 Australia licence. To view a copy of this licence, visit </w:t>
      </w:r>
      <w:hyperlink r:id="rId15" w:history="1">
        <w:hyperlink r:id="rId16" w:history="1">
          <w:r w:rsidRPr="00174D5C">
            <w:rPr>
              <w:rFonts w:ascii="Times New Roman" w:eastAsia="Calibri" w:hAnsi="Times New Roman" w:cs="Times New Roman"/>
              <w:spacing w:val="-4"/>
              <w:sz w:val="20"/>
              <w:szCs w:val="20"/>
            </w:rPr>
            <w:t>http://creativecommons.org/licenses/by/3.0/au</w:t>
          </w:r>
        </w:hyperlink>
      </w:hyperlink>
      <w:r w:rsidRPr="00174D5C">
        <w:rPr>
          <w:rFonts w:ascii="Times New Roman" w:eastAsia="Calibri" w:hAnsi="Times New Roman" w:cs="Times New Roman"/>
          <w:spacing w:val="-4"/>
          <w:sz w:val="20"/>
          <w:szCs w:val="20"/>
        </w:rPr>
        <w:t>. In essence, you are free to copy, communicate and adapt the work, as long as you attribute the work to the Productivity Commission (but not in any way that suggests the Commission endorses you or your use) and abide by the other licence terms.</w:t>
      </w:r>
    </w:p>
    <w:p w14:paraId="22B9624F" w14:textId="77777777" w:rsidR="00425BC6" w:rsidRPr="006F54F1" w:rsidRDefault="00425BC6" w:rsidP="00425BC6">
      <w:pPr>
        <w:spacing w:before="240" w:line="300" w:lineRule="atLeast"/>
        <w:jc w:val="both"/>
        <w:rPr>
          <w:rFonts w:ascii="Arial" w:eastAsia="Calibri" w:hAnsi="Arial"/>
          <w:b/>
          <w:szCs w:val="25"/>
        </w:rPr>
      </w:pPr>
      <w:r w:rsidRPr="006F54F1">
        <w:rPr>
          <w:rFonts w:ascii="Arial" w:eastAsia="Calibri" w:hAnsi="Arial"/>
          <w:b/>
          <w:szCs w:val="25"/>
        </w:rPr>
        <w:t>Use of the Commonwealth Coat of Arms</w:t>
      </w:r>
    </w:p>
    <w:p w14:paraId="3CFD4320" w14:textId="77777777" w:rsidR="00425BC6" w:rsidRPr="00174D5C" w:rsidRDefault="00425BC6" w:rsidP="00425BC6">
      <w:pPr>
        <w:spacing w:before="60" w:line="300" w:lineRule="atLeast"/>
        <w:jc w:val="both"/>
        <w:rPr>
          <w:rFonts w:ascii="Times New Roman" w:eastAsia="Calibri" w:hAnsi="Times New Roman" w:cs="Times New Roman"/>
          <w:spacing w:val="-4"/>
          <w:sz w:val="20"/>
          <w:szCs w:val="20"/>
        </w:rPr>
      </w:pPr>
      <w:r w:rsidRPr="00174D5C">
        <w:rPr>
          <w:rFonts w:ascii="Times New Roman" w:eastAsia="Calibri" w:hAnsi="Times New Roman" w:cs="Times New Roman"/>
          <w:spacing w:val="-4"/>
          <w:sz w:val="20"/>
          <w:szCs w:val="20"/>
        </w:rPr>
        <w:t xml:space="preserve">Terms of use for the Coat of Arms are available from the Department of the Prime Minister and Cabinet’s website: </w:t>
      </w:r>
      <w:hyperlink r:id="rId17" w:history="1">
        <w:r w:rsidRPr="00174D5C">
          <w:rPr>
            <w:rFonts w:ascii="Times New Roman" w:eastAsia="Calibri" w:hAnsi="Times New Roman" w:cs="Times New Roman"/>
            <w:color w:val="000000"/>
            <w:spacing w:val="-4"/>
            <w:sz w:val="20"/>
            <w:szCs w:val="20"/>
          </w:rPr>
          <w:t>www.pmc.gov.au/government/commonwealth-coat-arms</w:t>
        </w:r>
      </w:hyperlink>
      <w:r w:rsidRPr="00174D5C">
        <w:rPr>
          <w:rFonts w:ascii="Times New Roman" w:eastAsia="Calibri" w:hAnsi="Times New Roman" w:cs="Times New Roman"/>
          <w:color w:val="000000"/>
          <w:spacing w:val="-4"/>
          <w:sz w:val="20"/>
          <w:szCs w:val="20"/>
        </w:rPr>
        <w:t>.</w:t>
      </w:r>
    </w:p>
    <w:p w14:paraId="5B04E59C" w14:textId="77777777" w:rsidR="00425BC6" w:rsidRPr="006F54F1" w:rsidRDefault="00425BC6" w:rsidP="00425BC6">
      <w:pPr>
        <w:spacing w:before="240" w:line="300" w:lineRule="atLeast"/>
        <w:jc w:val="both"/>
        <w:rPr>
          <w:rFonts w:ascii="Arial" w:eastAsia="Calibri" w:hAnsi="Arial"/>
          <w:b/>
          <w:szCs w:val="25"/>
        </w:rPr>
      </w:pPr>
      <w:r w:rsidRPr="006F54F1">
        <w:rPr>
          <w:rFonts w:ascii="Arial" w:eastAsia="Calibri" w:hAnsi="Arial"/>
          <w:b/>
          <w:szCs w:val="25"/>
        </w:rPr>
        <w:t>Third party copyright</w:t>
      </w:r>
    </w:p>
    <w:p w14:paraId="65E97A58" w14:textId="77777777" w:rsidR="00425BC6" w:rsidRPr="00174D5C" w:rsidRDefault="00425BC6" w:rsidP="00425BC6">
      <w:pPr>
        <w:spacing w:before="60" w:line="300" w:lineRule="atLeast"/>
        <w:jc w:val="both"/>
        <w:rPr>
          <w:rFonts w:ascii="Times New Roman" w:eastAsia="Calibri" w:hAnsi="Times New Roman" w:cs="Times New Roman"/>
          <w:spacing w:val="-4"/>
          <w:sz w:val="20"/>
          <w:szCs w:val="20"/>
        </w:rPr>
      </w:pPr>
      <w:r w:rsidRPr="00174D5C">
        <w:rPr>
          <w:rFonts w:ascii="Times New Roman" w:eastAsia="Calibri" w:hAnsi="Times New Roman" w:cs="Times New Roman"/>
          <w:spacing w:val="-4"/>
          <w:sz w:val="20"/>
          <w:szCs w:val="20"/>
        </w:rPr>
        <w:t>Wherever a third party holds copyright in this material, the copyright remains with that party. Their permission may be required to use the material, please contact them directly.</w:t>
      </w:r>
    </w:p>
    <w:p w14:paraId="490778A8" w14:textId="77777777" w:rsidR="00425BC6" w:rsidRPr="006F54F1" w:rsidRDefault="00425BC6" w:rsidP="00425BC6">
      <w:pPr>
        <w:spacing w:before="240" w:line="300" w:lineRule="atLeast"/>
        <w:jc w:val="both"/>
        <w:rPr>
          <w:rFonts w:ascii="Arial" w:eastAsia="Calibri" w:hAnsi="Arial"/>
          <w:b/>
          <w:szCs w:val="25"/>
        </w:rPr>
      </w:pPr>
      <w:r w:rsidRPr="006F54F1">
        <w:rPr>
          <w:rFonts w:ascii="Arial" w:eastAsia="Calibri" w:hAnsi="Arial"/>
          <w:b/>
          <w:szCs w:val="25"/>
        </w:rPr>
        <w:t>Attribution</w:t>
      </w:r>
    </w:p>
    <w:p w14:paraId="3EAC9415" w14:textId="01C689D8" w:rsidR="00425BC6" w:rsidRPr="00174D5C" w:rsidRDefault="00425BC6" w:rsidP="00425BC6">
      <w:pPr>
        <w:spacing w:before="60" w:line="300" w:lineRule="atLeast"/>
        <w:jc w:val="both"/>
        <w:rPr>
          <w:rFonts w:ascii="Times New Roman" w:eastAsia="Calibri" w:hAnsi="Times New Roman" w:cs="Times New Roman"/>
          <w:spacing w:val="-4"/>
          <w:sz w:val="20"/>
          <w:szCs w:val="20"/>
        </w:rPr>
      </w:pPr>
      <w:r w:rsidRPr="00174D5C">
        <w:rPr>
          <w:rFonts w:ascii="Times New Roman" w:eastAsia="Calibri" w:hAnsi="Times New Roman" w:cs="Times New Roman"/>
          <w:spacing w:val="-4"/>
          <w:sz w:val="20"/>
          <w:szCs w:val="20"/>
        </w:rPr>
        <w:t xml:space="preserve">This work should be attributed as follows, Source: </w:t>
      </w:r>
      <w:r w:rsidRPr="001742A8">
        <w:rPr>
          <w:rFonts w:ascii="Times New Roman" w:eastAsia="Calibri" w:hAnsi="Times New Roman" w:cs="Times New Roman"/>
          <w:i/>
          <w:iCs/>
          <w:spacing w:val="-4"/>
          <w:sz w:val="20"/>
          <w:szCs w:val="20"/>
        </w:rPr>
        <w:t xml:space="preserve">Productivity Commission, </w:t>
      </w:r>
      <w:r w:rsidR="001742A8" w:rsidRPr="001742A8">
        <w:rPr>
          <w:rFonts w:ascii="Times New Roman" w:eastAsia="Calibri" w:hAnsi="Times New Roman" w:cs="Times New Roman"/>
          <w:i/>
          <w:iCs/>
          <w:spacing w:val="-4"/>
          <w:sz w:val="20"/>
          <w:szCs w:val="20"/>
        </w:rPr>
        <w:t>Implementing innovation across the health system</w:t>
      </w:r>
      <w:r w:rsidRPr="001742A8">
        <w:rPr>
          <w:rFonts w:ascii="Times New Roman" w:eastAsia="Calibri" w:hAnsi="Times New Roman" w:cs="Times New Roman"/>
          <w:i/>
          <w:iCs/>
          <w:spacing w:val="-4"/>
          <w:sz w:val="20"/>
          <w:szCs w:val="20"/>
        </w:rPr>
        <w:t>, Information Paper.</w:t>
      </w:r>
    </w:p>
    <w:p w14:paraId="586D5CB5" w14:textId="77777777" w:rsidR="00425BC6" w:rsidRPr="006F54F1" w:rsidRDefault="00425BC6" w:rsidP="00425BC6">
      <w:pPr>
        <w:spacing w:before="240" w:line="300" w:lineRule="atLeast"/>
        <w:jc w:val="both"/>
        <w:rPr>
          <w:rFonts w:ascii="Arial" w:eastAsia="Calibri" w:hAnsi="Arial"/>
          <w:b/>
          <w:szCs w:val="25"/>
        </w:rPr>
      </w:pPr>
      <w:r w:rsidRPr="006F54F1">
        <w:rPr>
          <w:rFonts w:ascii="Arial" w:eastAsia="Calibri" w:hAnsi="Arial"/>
          <w:b/>
          <w:szCs w:val="25"/>
        </w:rPr>
        <w:t>An appropriate reference for this publication is:</w:t>
      </w:r>
    </w:p>
    <w:p w14:paraId="768A70D4" w14:textId="678FDA3C" w:rsidR="00425BC6" w:rsidRPr="00174D5C" w:rsidRDefault="00425BC6" w:rsidP="00425BC6">
      <w:pPr>
        <w:spacing w:before="60" w:line="300" w:lineRule="atLeast"/>
        <w:jc w:val="both"/>
        <w:rPr>
          <w:rFonts w:ascii="Times New Roman" w:eastAsia="Calibri" w:hAnsi="Times New Roman" w:cs="Times New Roman"/>
          <w:spacing w:val="-4"/>
          <w:sz w:val="20"/>
          <w:szCs w:val="20"/>
        </w:rPr>
      </w:pPr>
      <w:r w:rsidRPr="00174D5C">
        <w:rPr>
          <w:rFonts w:ascii="Times New Roman" w:eastAsia="Calibri" w:hAnsi="Times New Roman" w:cs="Times New Roman"/>
          <w:spacing w:val="-4"/>
          <w:sz w:val="20"/>
          <w:szCs w:val="20"/>
        </w:rPr>
        <w:t xml:space="preserve">Productivity Commission 2021, </w:t>
      </w:r>
      <w:r w:rsidR="00D134F0" w:rsidRPr="00D134F0">
        <w:rPr>
          <w:rFonts w:ascii="Times New Roman" w:eastAsia="Calibri" w:hAnsi="Times New Roman" w:cs="Times New Roman"/>
          <w:i/>
          <w:iCs/>
          <w:spacing w:val="-4"/>
          <w:sz w:val="20"/>
          <w:szCs w:val="20"/>
        </w:rPr>
        <w:t>Implementing innovation across the health system</w:t>
      </w:r>
      <w:r w:rsidRPr="00174D5C">
        <w:rPr>
          <w:rFonts w:ascii="Times New Roman" w:eastAsia="Calibri" w:hAnsi="Times New Roman" w:cs="Times New Roman"/>
          <w:spacing w:val="-4"/>
          <w:sz w:val="20"/>
          <w:szCs w:val="20"/>
        </w:rPr>
        <w:t>, Information Paper, Canberra.</w:t>
      </w:r>
    </w:p>
    <w:p w14:paraId="3817767E" w14:textId="77777777" w:rsidR="00425BC6" w:rsidRPr="006F54F1" w:rsidRDefault="00425BC6" w:rsidP="00425BC6">
      <w:pPr>
        <w:spacing w:before="240" w:line="300" w:lineRule="atLeast"/>
        <w:jc w:val="both"/>
        <w:rPr>
          <w:rFonts w:ascii="Arial" w:eastAsia="Calibri" w:hAnsi="Arial"/>
          <w:b/>
          <w:szCs w:val="25"/>
        </w:rPr>
      </w:pPr>
      <w:bookmarkStart w:id="2" w:name="JEL"/>
      <w:bookmarkEnd w:id="2"/>
      <w:r w:rsidRPr="006F54F1">
        <w:rPr>
          <w:rFonts w:ascii="Arial" w:eastAsia="Calibri" w:hAnsi="Arial"/>
          <w:b/>
          <w:szCs w:val="25"/>
        </w:rPr>
        <w:t>Publications enquiries</w:t>
      </w:r>
    </w:p>
    <w:p w14:paraId="772994D0" w14:textId="77777777" w:rsidR="00425BC6" w:rsidRPr="00174D5C" w:rsidRDefault="00425BC6" w:rsidP="00425BC6">
      <w:pPr>
        <w:spacing w:before="60" w:line="300" w:lineRule="atLeast"/>
        <w:jc w:val="both"/>
        <w:rPr>
          <w:rFonts w:ascii="Times New Roman" w:eastAsia="Calibri" w:hAnsi="Times New Roman" w:cs="Times New Roman"/>
          <w:spacing w:val="-4"/>
          <w:sz w:val="20"/>
          <w:szCs w:val="20"/>
        </w:rPr>
      </w:pPr>
      <w:r w:rsidRPr="00174D5C">
        <w:rPr>
          <w:rFonts w:ascii="Times New Roman" w:eastAsia="Calibri" w:hAnsi="Times New Roman" w:cs="Times New Roman"/>
          <w:spacing w:val="-4"/>
          <w:sz w:val="20"/>
          <w:szCs w:val="20"/>
        </w:rPr>
        <w:t>Media, Publications and Web, phone: (03) 96 53 2244 or email: mpw@pc.gov.au</w:t>
      </w:r>
    </w:p>
    <w:p w14:paraId="113EF5FD" w14:textId="77777777" w:rsidR="00425BC6" w:rsidRPr="006F54F1" w:rsidRDefault="00425BC6" w:rsidP="00425BC6">
      <w:pPr>
        <w:keepNext/>
        <w:spacing w:before="240" w:line="80" w:lineRule="exact"/>
        <w:rPr>
          <w:szCs w:val="20"/>
        </w:rPr>
      </w:pPr>
    </w:p>
    <w:tbl>
      <w:tblPr>
        <w:tblW w:w="5000" w:type="pct"/>
        <w:tblBorders>
          <w:top w:val="single" w:sz="6" w:space="0" w:color="2D9AC2" w:themeColor="text2" w:themeShade="BF"/>
          <w:bottom w:val="single" w:sz="6" w:space="0" w:color="2D9AC2" w:themeColor="text2" w:themeShade="BF"/>
        </w:tblBorders>
        <w:tblCellMar>
          <w:left w:w="142" w:type="dxa"/>
          <w:right w:w="142" w:type="dxa"/>
        </w:tblCellMar>
        <w:tblLook w:val="0000" w:firstRow="0" w:lastRow="0" w:firstColumn="0" w:lastColumn="0" w:noHBand="0" w:noVBand="0"/>
      </w:tblPr>
      <w:tblGrid>
        <w:gridCol w:w="8789"/>
      </w:tblGrid>
      <w:tr w:rsidR="00425BC6" w:rsidRPr="006F54F1" w14:paraId="4F58966E" w14:textId="77777777" w:rsidTr="00F559A1">
        <w:trPr>
          <w:tblHeader/>
        </w:trPr>
        <w:tc>
          <w:tcPr>
            <w:tcW w:w="5000" w:type="pct"/>
            <w:shd w:val="clear" w:color="auto" w:fill="F2F2F2"/>
          </w:tcPr>
          <w:p w14:paraId="376F994B" w14:textId="77777777" w:rsidR="00425BC6" w:rsidRPr="006F54F1" w:rsidRDefault="00425BC6" w:rsidP="001B188E">
            <w:pPr>
              <w:keepNext/>
              <w:keepLines/>
              <w:spacing w:before="120" w:line="280" w:lineRule="exact"/>
              <w:ind w:left="1474" w:hanging="1474"/>
              <w:rPr>
                <w:rFonts w:ascii="Arial" w:hAnsi="Arial"/>
                <w:b/>
              </w:rPr>
            </w:pPr>
            <w:r w:rsidRPr="006F54F1">
              <w:rPr>
                <w:rFonts w:ascii="Arial" w:hAnsi="Arial"/>
                <w:b/>
              </w:rPr>
              <w:t>The Productivity Commission</w:t>
            </w:r>
          </w:p>
        </w:tc>
      </w:tr>
      <w:tr w:rsidR="00425BC6" w:rsidRPr="006F54F1" w14:paraId="37228518" w14:textId="77777777" w:rsidTr="00F559A1">
        <w:tc>
          <w:tcPr>
            <w:tcW w:w="5000" w:type="pct"/>
            <w:shd w:val="clear" w:color="auto" w:fill="F2F2F2"/>
          </w:tcPr>
          <w:p w14:paraId="148FDF0B" w14:textId="77777777" w:rsidR="00425BC6" w:rsidRPr="006F54F1" w:rsidRDefault="00425BC6" w:rsidP="001B188E">
            <w:pPr>
              <w:keepNext/>
              <w:spacing w:before="120" w:line="260" w:lineRule="atLeast"/>
              <w:jc w:val="both"/>
              <w:rPr>
                <w:rFonts w:ascii="Arial" w:hAnsi="Arial"/>
                <w:sz w:val="20"/>
                <w:szCs w:val="20"/>
              </w:rPr>
            </w:pPr>
            <w:r w:rsidRPr="006F54F1">
              <w:rPr>
                <w:rFonts w:ascii="Arial" w:hAnsi="Arial"/>
                <w:sz w:val="20"/>
                <w:szCs w:val="20"/>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6E6C5DBE" w14:textId="77777777" w:rsidR="00425BC6" w:rsidRPr="006F54F1" w:rsidRDefault="00425BC6" w:rsidP="001B188E">
            <w:pPr>
              <w:keepNext/>
              <w:spacing w:before="120" w:line="260" w:lineRule="atLeast"/>
              <w:jc w:val="both"/>
              <w:rPr>
                <w:rFonts w:ascii="Arial" w:hAnsi="Arial"/>
                <w:sz w:val="20"/>
                <w:szCs w:val="20"/>
              </w:rPr>
            </w:pPr>
            <w:r w:rsidRPr="006F54F1">
              <w:rPr>
                <w:rFonts w:ascii="Arial" w:hAnsi="Arial"/>
                <w:sz w:val="20"/>
                <w:szCs w:val="20"/>
              </w:rPr>
              <w:t>The Commission’s independence is underpinned by an Act of Parliament. Its processes and outputs are open to public scrutiny and are driven by concern for the wellbeing of the community as a whole.</w:t>
            </w:r>
          </w:p>
          <w:p w14:paraId="4E553D6E" w14:textId="77777777" w:rsidR="00425BC6" w:rsidRPr="006F54F1" w:rsidRDefault="00425BC6" w:rsidP="00290EDD">
            <w:pPr>
              <w:keepNext/>
              <w:spacing w:before="120" w:after="0" w:line="260" w:lineRule="atLeast"/>
              <w:jc w:val="both"/>
              <w:rPr>
                <w:rFonts w:ascii="Arial" w:hAnsi="Arial"/>
                <w:sz w:val="20"/>
                <w:szCs w:val="20"/>
              </w:rPr>
            </w:pPr>
            <w:r w:rsidRPr="006F54F1">
              <w:rPr>
                <w:rFonts w:ascii="Arial" w:hAnsi="Arial"/>
                <w:sz w:val="20"/>
              </w:rPr>
              <w:t>Further information on the Productivity Commission can be obtained from the Commission’s website (</w:t>
            </w:r>
            <w:hyperlink r:id="rId18" w:history="1">
              <w:r w:rsidRPr="006F54F1">
                <w:rPr>
                  <w:rFonts w:ascii="Arial" w:hAnsi="Arial"/>
                  <w:sz w:val="20"/>
                  <w:szCs w:val="20"/>
                </w:rPr>
                <w:t>www.pc.gov.au</w:t>
              </w:r>
            </w:hyperlink>
            <w:r w:rsidRPr="006F54F1">
              <w:rPr>
                <w:rFonts w:ascii="Arial" w:hAnsi="Arial"/>
                <w:sz w:val="20"/>
              </w:rPr>
              <w:t>).</w:t>
            </w:r>
          </w:p>
        </w:tc>
      </w:tr>
      <w:tr w:rsidR="00425BC6" w:rsidRPr="00116F74" w14:paraId="629533A5" w14:textId="77777777" w:rsidTr="00F559A1">
        <w:tc>
          <w:tcPr>
            <w:tcW w:w="5000" w:type="pct"/>
            <w:shd w:val="clear" w:color="auto" w:fill="F2F2F2"/>
          </w:tcPr>
          <w:p w14:paraId="4258C548" w14:textId="77777777" w:rsidR="00425BC6" w:rsidRPr="00116F74" w:rsidRDefault="00425BC6" w:rsidP="00290EDD">
            <w:pPr>
              <w:keepNext/>
              <w:spacing w:after="0" w:line="120" w:lineRule="exact"/>
              <w:jc w:val="both"/>
              <w:rPr>
                <w:rFonts w:ascii="Arial" w:hAnsi="Arial"/>
                <w:sz w:val="20"/>
                <w:szCs w:val="20"/>
              </w:rPr>
            </w:pPr>
          </w:p>
        </w:tc>
      </w:tr>
    </w:tbl>
    <w:p w14:paraId="35FB3BFE" w14:textId="77777777" w:rsidR="00425BC6" w:rsidRPr="00116F74" w:rsidRDefault="00425BC6" w:rsidP="00425BC6">
      <w:pPr>
        <w:spacing w:line="240" w:lineRule="auto"/>
        <w:rPr>
          <w:rFonts w:ascii="Arial" w:eastAsia="Calibri" w:hAnsi="Arial" w:cs="Arial"/>
          <w:sz w:val="20"/>
          <w:szCs w:val="20"/>
        </w:rPr>
      </w:pPr>
    </w:p>
    <w:p w14:paraId="300AEFF3" w14:textId="77777777" w:rsidR="000D1402" w:rsidRDefault="000D1402" w:rsidP="00CD0F9D">
      <w:pPr>
        <w:pStyle w:val="BoxSpaceAbove"/>
        <w:keepLines/>
        <w:rPr>
          <w:color w:val="78A22F" w:themeColor="accent1"/>
        </w:rPr>
        <w:sectPr w:rsidR="000D1402" w:rsidSect="00BD2127">
          <w:footerReference w:type="default" r:id="rId19"/>
          <w:pgSz w:w="11907" w:h="16840" w:code="9"/>
          <w:pgMar w:top="1985" w:right="1304" w:bottom="1247" w:left="1814" w:header="1701" w:footer="397" w:gutter="0"/>
          <w:pgNumType w:start="1" w:chapSep="period"/>
          <w:cols w:space="720"/>
          <w:vAlign w:val="bottom"/>
          <w:titlePg/>
        </w:sectPr>
      </w:pPr>
    </w:p>
    <w:p w14:paraId="52D3FB80" w14:textId="0A930375" w:rsidR="00CD0F9D" w:rsidRPr="00B6039B" w:rsidRDefault="00CD0F9D" w:rsidP="00CE7473">
      <w:pPr>
        <w:pStyle w:val="BoxSpaceAbove"/>
        <w:spacing w:before="120"/>
      </w:pPr>
    </w:p>
    <w:tbl>
      <w:tblPr>
        <w:tblStyle w:val="TableGrid1"/>
        <w:tblW w:w="0" w:type="auto"/>
        <w:jc w:val="right"/>
        <w:tblLook w:val="04A0" w:firstRow="1" w:lastRow="0" w:firstColumn="1" w:lastColumn="0" w:noHBand="0" w:noVBand="1"/>
      </w:tblPr>
      <w:tblGrid>
        <w:gridCol w:w="4962"/>
        <w:gridCol w:w="3827"/>
      </w:tblGrid>
      <w:tr w:rsidR="00D853B1" w:rsidRPr="00CF375C" w14:paraId="36C1B75C" w14:textId="77777777" w:rsidTr="005B3119">
        <w:trPr>
          <w:trHeight w:val="460"/>
          <w:jc w:val="right"/>
        </w:trPr>
        <w:tc>
          <w:tcPr>
            <w:tcW w:w="4962" w:type="dxa"/>
            <w:tcBorders>
              <w:top w:val="single" w:sz="4" w:space="0" w:color="2D9AC2" w:themeColor="text2" w:themeShade="BF"/>
              <w:left w:val="nil"/>
              <w:bottom w:val="single" w:sz="4" w:space="0" w:color="2D9AC2" w:themeColor="text2" w:themeShade="BF"/>
              <w:right w:val="nil"/>
            </w:tcBorders>
            <w:shd w:val="clear" w:color="auto" w:fill="C1E4F0" w:themeFill="text2" w:themeFillTint="66"/>
            <w:vAlign w:val="center"/>
          </w:tcPr>
          <w:p w14:paraId="45F7F95D" w14:textId="77777777" w:rsidR="00CF375C" w:rsidRPr="00365E88" w:rsidRDefault="00CF375C" w:rsidP="006A4243">
            <w:pPr>
              <w:pStyle w:val="TableBodyText"/>
              <w:jc w:val="left"/>
              <w:rPr>
                <w:b/>
                <w:sz w:val="21"/>
                <w:szCs w:val="21"/>
              </w:rPr>
            </w:pPr>
            <w:r w:rsidRPr="00365E88">
              <w:rPr>
                <w:b/>
                <w:sz w:val="21"/>
                <w:szCs w:val="21"/>
              </w:rPr>
              <w:t>Policy change</w:t>
            </w:r>
          </w:p>
        </w:tc>
        <w:tc>
          <w:tcPr>
            <w:tcW w:w="3827" w:type="dxa"/>
            <w:tcBorders>
              <w:top w:val="single" w:sz="4" w:space="0" w:color="2D9AC2" w:themeColor="text2" w:themeShade="BF"/>
              <w:left w:val="nil"/>
              <w:bottom w:val="single" w:sz="4" w:space="0" w:color="2D9AC2" w:themeColor="text2" w:themeShade="BF"/>
              <w:right w:val="nil"/>
            </w:tcBorders>
            <w:shd w:val="clear" w:color="auto" w:fill="C1E4F0" w:themeFill="text2" w:themeFillTint="66"/>
            <w:vAlign w:val="center"/>
          </w:tcPr>
          <w:p w14:paraId="55263B67" w14:textId="77777777" w:rsidR="00CF375C" w:rsidRPr="00365E88" w:rsidRDefault="00CF375C" w:rsidP="006A4243">
            <w:pPr>
              <w:pStyle w:val="TableBodyText"/>
              <w:jc w:val="left"/>
              <w:rPr>
                <w:b/>
                <w:sz w:val="21"/>
                <w:szCs w:val="21"/>
              </w:rPr>
            </w:pPr>
            <w:r w:rsidRPr="00365E88">
              <w:rPr>
                <w:b/>
                <w:sz w:val="21"/>
                <w:szCs w:val="21"/>
              </w:rPr>
              <w:t xml:space="preserve">Expected benefits </w:t>
            </w:r>
          </w:p>
        </w:tc>
      </w:tr>
      <w:tr w:rsidR="00565417" w:rsidRPr="00CF375C" w:rsidDel="00016EC8" w14:paraId="7D3FD127" w14:textId="77777777" w:rsidTr="008B0B80">
        <w:trPr>
          <w:trHeight w:val="460"/>
          <w:jc w:val="right"/>
        </w:trPr>
        <w:tc>
          <w:tcPr>
            <w:tcW w:w="0" w:type="auto"/>
            <w:gridSpan w:val="2"/>
            <w:tcBorders>
              <w:top w:val="single" w:sz="4" w:space="0" w:color="2D9AC2" w:themeColor="text2" w:themeShade="BF"/>
              <w:left w:val="nil"/>
              <w:bottom w:val="single" w:sz="4" w:space="0" w:color="2D9AC2" w:themeColor="text2" w:themeShade="BF"/>
              <w:right w:val="nil"/>
            </w:tcBorders>
            <w:shd w:val="clear" w:color="auto" w:fill="E0F1F7" w:themeFill="text2" w:themeFillTint="33"/>
            <w:vAlign w:val="center"/>
          </w:tcPr>
          <w:p w14:paraId="2C974180" w14:textId="5849E90F" w:rsidR="00016EC8" w:rsidRPr="00365E88" w:rsidDel="00016EC8" w:rsidRDefault="00016EC8" w:rsidP="006A4243">
            <w:pPr>
              <w:pStyle w:val="TableBodyText"/>
              <w:jc w:val="left"/>
              <w:rPr>
                <w:sz w:val="21"/>
                <w:szCs w:val="21"/>
              </w:rPr>
            </w:pPr>
            <w:r w:rsidRPr="00365E88" w:rsidDel="00016EC8">
              <w:rPr>
                <w:b/>
                <w:sz w:val="21"/>
                <w:szCs w:val="21"/>
              </w:rPr>
              <w:t>Innovations supported by the Australian Government</w:t>
            </w:r>
          </w:p>
        </w:tc>
      </w:tr>
      <w:tr w:rsidR="005B3119" w:rsidRPr="00CF375C" w14:paraId="6C14DF3A" w14:textId="77777777" w:rsidTr="005B3119">
        <w:trPr>
          <w:trHeight w:val="460"/>
          <w:jc w:val="right"/>
        </w:trPr>
        <w:tc>
          <w:tcPr>
            <w:tcW w:w="4962" w:type="dxa"/>
            <w:tcBorders>
              <w:top w:val="single" w:sz="4" w:space="0" w:color="2D9AC2" w:themeColor="text2" w:themeShade="BF"/>
              <w:left w:val="nil"/>
              <w:bottom w:val="single" w:sz="4" w:space="0" w:color="2D9AC2" w:themeColor="text2" w:themeShade="BF"/>
              <w:right w:val="nil"/>
            </w:tcBorders>
            <w:shd w:val="clear" w:color="auto" w:fill="auto"/>
          </w:tcPr>
          <w:p w14:paraId="40A40F33" w14:textId="20BA99F5" w:rsidR="00CF375C" w:rsidRPr="005B3119" w:rsidRDefault="00CF375C" w:rsidP="000E0129">
            <w:pPr>
              <w:pStyle w:val="TableBullet"/>
              <w:spacing w:before="40"/>
              <w:rPr>
                <w:sz w:val="19"/>
                <w:szCs w:val="19"/>
              </w:rPr>
            </w:pPr>
            <w:r w:rsidRPr="005B3119">
              <w:rPr>
                <w:sz w:val="19"/>
                <w:szCs w:val="19"/>
              </w:rPr>
              <w:t xml:space="preserve">The Australian Government could give more flexibility </w:t>
            </w:r>
            <w:r w:rsidR="00A77B3D" w:rsidRPr="005B3119">
              <w:rPr>
                <w:sz w:val="19"/>
                <w:szCs w:val="19"/>
              </w:rPr>
              <w:t xml:space="preserve">to </w:t>
            </w:r>
            <w:r w:rsidRPr="005B3119">
              <w:rPr>
                <w:sz w:val="19"/>
                <w:szCs w:val="19"/>
              </w:rPr>
              <w:t xml:space="preserve">PHNs to allocate funding (and/or </w:t>
            </w:r>
            <w:r w:rsidR="00A77B3D" w:rsidRPr="005B3119">
              <w:rPr>
                <w:sz w:val="19"/>
                <w:szCs w:val="19"/>
              </w:rPr>
              <w:t xml:space="preserve">provide </w:t>
            </w:r>
            <w:r w:rsidR="00DE76EC" w:rsidRPr="005B3119">
              <w:rPr>
                <w:sz w:val="19"/>
                <w:szCs w:val="19"/>
              </w:rPr>
              <w:t xml:space="preserve">a greater amount of </w:t>
            </w:r>
            <w:r w:rsidRPr="005B3119">
              <w:rPr>
                <w:sz w:val="19"/>
                <w:szCs w:val="19"/>
              </w:rPr>
              <w:t>flexible funding)</w:t>
            </w:r>
          </w:p>
          <w:p w14:paraId="70E7FC01" w14:textId="0E3ACE6E" w:rsidR="00CF375C" w:rsidRPr="005B3119" w:rsidRDefault="00CF375C" w:rsidP="0050724B">
            <w:pPr>
              <w:pStyle w:val="TableBullet"/>
              <w:rPr>
                <w:sz w:val="19"/>
                <w:szCs w:val="19"/>
              </w:rPr>
            </w:pPr>
            <w:r w:rsidRPr="005B3119">
              <w:rPr>
                <w:sz w:val="19"/>
                <w:szCs w:val="19"/>
              </w:rPr>
              <w:t xml:space="preserve">Improved reporting of innovation by PHNs could be </w:t>
            </w:r>
            <w:r w:rsidR="00DE76EC" w:rsidRPr="005B3119">
              <w:rPr>
                <w:sz w:val="19"/>
                <w:szCs w:val="19"/>
              </w:rPr>
              <w:t>the</w:t>
            </w:r>
            <w:r w:rsidRPr="005B3119">
              <w:rPr>
                <w:sz w:val="19"/>
                <w:szCs w:val="19"/>
              </w:rPr>
              <w:t xml:space="preserve"> basis for additional targeted funding </w:t>
            </w:r>
            <w:r w:rsidR="008B0B80">
              <w:rPr>
                <w:sz w:val="19"/>
                <w:szCs w:val="19"/>
              </w:rPr>
              <w:t>to</w:t>
            </w:r>
            <w:r w:rsidRPr="005B3119">
              <w:rPr>
                <w:sz w:val="19"/>
                <w:szCs w:val="19"/>
              </w:rPr>
              <w:t xml:space="preserve"> high</w:t>
            </w:r>
            <w:r w:rsidR="0094695F" w:rsidRPr="005B3119">
              <w:rPr>
                <w:sz w:val="19"/>
                <w:szCs w:val="19"/>
              </w:rPr>
              <w:noBreakHyphen/>
            </w:r>
            <w:r w:rsidRPr="005B3119">
              <w:rPr>
                <w:sz w:val="19"/>
                <w:szCs w:val="19"/>
              </w:rPr>
              <w:t>performing PHNs</w:t>
            </w:r>
          </w:p>
        </w:tc>
        <w:tc>
          <w:tcPr>
            <w:tcW w:w="3827" w:type="dxa"/>
            <w:tcBorders>
              <w:top w:val="single" w:sz="4" w:space="0" w:color="2D9AC2" w:themeColor="text2" w:themeShade="BF"/>
              <w:left w:val="nil"/>
              <w:bottom w:val="single" w:sz="4" w:space="0" w:color="2D9AC2" w:themeColor="text2" w:themeShade="BF"/>
              <w:right w:val="nil"/>
            </w:tcBorders>
            <w:shd w:val="clear" w:color="auto" w:fill="auto"/>
          </w:tcPr>
          <w:p w14:paraId="0EBBA276" w14:textId="4103BB28" w:rsidR="00CF375C" w:rsidRPr="005B3119" w:rsidRDefault="00CF375C" w:rsidP="000E0129">
            <w:pPr>
              <w:pStyle w:val="TableBullet"/>
              <w:numPr>
                <w:ilvl w:val="0"/>
                <w:numId w:val="0"/>
              </w:numPr>
              <w:spacing w:before="40"/>
              <w:ind w:right="0"/>
              <w:rPr>
                <w:sz w:val="19"/>
                <w:szCs w:val="19"/>
              </w:rPr>
            </w:pPr>
            <w:r w:rsidRPr="005B3119">
              <w:rPr>
                <w:sz w:val="19"/>
                <w:szCs w:val="19"/>
              </w:rPr>
              <w:t xml:space="preserve">Greater funding flexibility is likely to enable PHNs to sustain more innovation, including </w:t>
            </w:r>
            <w:r w:rsidR="008B0B80">
              <w:rPr>
                <w:sz w:val="19"/>
                <w:szCs w:val="19"/>
              </w:rPr>
              <w:t>initiatives</w:t>
            </w:r>
            <w:r w:rsidRPr="005B3119">
              <w:rPr>
                <w:sz w:val="19"/>
                <w:szCs w:val="19"/>
              </w:rPr>
              <w:t xml:space="preserve"> that </w:t>
            </w:r>
            <w:r w:rsidR="008B0B80">
              <w:rPr>
                <w:sz w:val="19"/>
                <w:szCs w:val="19"/>
              </w:rPr>
              <w:t>address the needs of their population</w:t>
            </w:r>
          </w:p>
          <w:p w14:paraId="4F543227" w14:textId="77777777" w:rsidR="00CF375C" w:rsidRPr="005B3119" w:rsidRDefault="00CF375C" w:rsidP="009A0C18">
            <w:pPr>
              <w:pStyle w:val="TableBodyText"/>
              <w:jc w:val="left"/>
              <w:rPr>
                <w:sz w:val="19"/>
                <w:szCs w:val="19"/>
              </w:rPr>
            </w:pPr>
          </w:p>
        </w:tc>
      </w:tr>
      <w:tr w:rsidR="005B3119" w:rsidRPr="00CF375C" w14:paraId="6536DD68" w14:textId="77777777" w:rsidTr="005B3119">
        <w:trPr>
          <w:trHeight w:val="460"/>
          <w:jc w:val="right"/>
        </w:trPr>
        <w:tc>
          <w:tcPr>
            <w:tcW w:w="4962" w:type="dxa"/>
            <w:tcBorders>
              <w:top w:val="single" w:sz="4" w:space="0" w:color="2D9AC2" w:themeColor="text2" w:themeShade="BF"/>
              <w:left w:val="nil"/>
              <w:bottom w:val="single" w:sz="4" w:space="0" w:color="2D9AC2" w:themeColor="text2" w:themeShade="BF"/>
              <w:right w:val="nil"/>
            </w:tcBorders>
            <w:shd w:val="clear" w:color="auto" w:fill="auto"/>
          </w:tcPr>
          <w:p w14:paraId="77C4A4D6" w14:textId="655B0102" w:rsidR="003E0008" w:rsidRPr="005B3119" w:rsidRDefault="003E0008" w:rsidP="001924FB">
            <w:pPr>
              <w:pStyle w:val="TableBodyText"/>
              <w:spacing w:before="40"/>
              <w:jc w:val="left"/>
              <w:rPr>
                <w:sz w:val="19"/>
                <w:szCs w:val="19"/>
              </w:rPr>
            </w:pPr>
            <w:r w:rsidRPr="005B3119">
              <w:rPr>
                <w:sz w:val="19"/>
                <w:szCs w:val="19"/>
              </w:rPr>
              <w:t>PHNs could:</w:t>
            </w:r>
          </w:p>
          <w:p w14:paraId="4DF48DD1" w14:textId="472FC785" w:rsidR="003E0008" w:rsidRPr="005B3119" w:rsidRDefault="003E0008" w:rsidP="0050724B">
            <w:pPr>
              <w:pStyle w:val="TableBullet"/>
              <w:rPr>
                <w:sz w:val="19"/>
                <w:szCs w:val="19"/>
              </w:rPr>
            </w:pPr>
            <w:r w:rsidRPr="005B3119">
              <w:rPr>
                <w:sz w:val="19"/>
                <w:szCs w:val="19"/>
              </w:rPr>
              <w:t xml:space="preserve">implement </w:t>
            </w:r>
            <w:r w:rsidRPr="005B3119">
              <w:rPr>
                <w:b/>
                <w:bCs/>
                <w:sz w:val="19"/>
                <w:szCs w:val="19"/>
              </w:rPr>
              <w:t>Nellie</w:t>
            </w:r>
            <w:r w:rsidRPr="005B3119">
              <w:rPr>
                <w:sz w:val="19"/>
                <w:szCs w:val="19"/>
              </w:rPr>
              <w:t xml:space="preserve"> (or equivalent outreach program for people with chronic conditions, if they believe </w:t>
            </w:r>
            <w:r w:rsidR="002C23B0" w:rsidRPr="005B3119">
              <w:rPr>
                <w:sz w:val="19"/>
                <w:szCs w:val="19"/>
              </w:rPr>
              <w:t>the alternative would</w:t>
            </w:r>
            <w:r w:rsidRPr="005B3119">
              <w:rPr>
                <w:sz w:val="19"/>
                <w:szCs w:val="19"/>
              </w:rPr>
              <w:t xml:space="preserve"> </w:t>
            </w:r>
            <w:r w:rsidR="003A41B4" w:rsidRPr="005B3119">
              <w:rPr>
                <w:sz w:val="19"/>
                <w:szCs w:val="19"/>
              </w:rPr>
              <w:t xml:space="preserve">better </w:t>
            </w:r>
            <w:r w:rsidRPr="005B3119">
              <w:rPr>
                <w:sz w:val="19"/>
                <w:szCs w:val="19"/>
              </w:rPr>
              <w:t>suit their population)</w:t>
            </w:r>
          </w:p>
          <w:p w14:paraId="322A9E48" w14:textId="2121C153" w:rsidR="003E0008" w:rsidRPr="005B3119" w:rsidRDefault="003E0008" w:rsidP="0050724B">
            <w:pPr>
              <w:pStyle w:val="TableBullet"/>
              <w:rPr>
                <w:sz w:val="19"/>
                <w:szCs w:val="19"/>
              </w:rPr>
            </w:pPr>
            <w:r w:rsidRPr="005B3119">
              <w:rPr>
                <w:sz w:val="19"/>
                <w:szCs w:val="19"/>
              </w:rPr>
              <w:t xml:space="preserve">offer </w:t>
            </w:r>
            <w:r w:rsidRPr="005B3119">
              <w:rPr>
                <w:b/>
                <w:bCs/>
                <w:sz w:val="19"/>
                <w:szCs w:val="19"/>
              </w:rPr>
              <w:t>Primary Sense</w:t>
            </w:r>
            <w:r w:rsidRPr="005B3119">
              <w:rPr>
                <w:sz w:val="19"/>
                <w:szCs w:val="19"/>
              </w:rPr>
              <w:t xml:space="preserve"> to GP practices on a commercial basis </w:t>
            </w:r>
          </w:p>
          <w:p w14:paraId="7E6E30F5" w14:textId="27024B6B" w:rsidR="00CF375C" w:rsidRPr="005B3119" w:rsidRDefault="003E0008" w:rsidP="009A0C18">
            <w:pPr>
              <w:pStyle w:val="TableBodyText"/>
              <w:jc w:val="left"/>
              <w:rPr>
                <w:i/>
                <w:sz w:val="19"/>
                <w:szCs w:val="19"/>
              </w:rPr>
            </w:pPr>
            <w:r w:rsidRPr="005B3119">
              <w:rPr>
                <w:i/>
                <w:iCs/>
                <w:sz w:val="19"/>
                <w:szCs w:val="19"/>
              </w:rPr>
              <w:t>For many PHNs, additional flexibility in funding allocation would be necessary to successfully implement these programs</w:t>
            </w:r>
          </w:p>
        </w:tc>
        <w:tc>
          <w:tcPr>
            <w:tcW w:w="3827" w:type="dxa"/>
            <w:tcBorders>
              <w:top w:val="single" w:sz="4" w:space="0" w:color="2D9AC2" w:themeColor="text2" w:themeShade="BF"/>
              <w:left w:val="nil"/>
              <w:bottom w:val="single" w:sz="4" w:space="0" w:color="2D9AC2" w:themeColor="text2" w:themeShade="BF"/>
              <w:right w:val="nil"/>
            </w:tcBorders>
            <w:shd w:val="clear" w:color="auto" w:fill="auto"/>
          </w:tcPr>
          <w:p w14:paraId="645911ED" w14:textId="02F35F15" w:rsidR="00CF375C" w:rsidRPr="005B3119" w:rsidRDefault="00CF375C" w:rsidP="001924FB">
            <w:pPr>
              <w:pStyle w:val="TableBullet"/>
              <w:spacing w:before="40"/>
              <w:rPr>
                <w:sz w:val="19"/>
                <w:szCs w:val="19"/>
              </w:rPr>
            </w:pPr>
            <w:r w:rsidRPr="005B3119">
              <w:rPr>
                <w:sz w:val="19"/>
                <w:szCs w:val="19"/>
              </w:rPr>
              <w:t xml:space="preserve">Rolling out Nellie nationally </w:t>
            </w:r>
            <w:r w:rsidR="006B3CA4" w:rsidRPr="005B3119">
              <w:rPr>
                <w:sz w:val="19"/>
                <w:szCs w:val="19"/>
              </w:rPr>
              <w:t>c</w:t>
            </w:r>
            <w:r w:rsidRPr="005B3119">
              <w:rPr>
                <w:sz w:val="19"/>
                <w:szCs w:val="19"/>
              </w:rPr>
              <w:t>ould improve self</w:t>
            </w:r>
            <w:r w:rsidR="005B190E">
              <w:rPr>
                <w:sz w:val="19"/>
                <w:szCs w:val="19"/>
              </w:rPr>
              <w:noBreakHyphen/>
            </w:r>
            <w:r w:rsidRPr="005B3119">
              <w:rPr>
                <w:sz w:val="19"/>
                <w:szCs w:val="19"/>
              </w:rPr>
              <w:t>management and reduce the number of preventable hospitalisations</w:t>
            </w:r>
          </w:p>
          <w:p w14:paraId="481192BB" w14:textId="6ADF3E35" w:rsidR="00CF375C" w:rsidRPr="005B3119" w:rsidRDefault="00CF375C" w:rsidP="0050724B">
            <w:pPr>
              <w:pStyle w:val="TableBullet"/>
              <w:rPr>
                <w:sz w:val="19"/>
                <w:szCs w:val="19"/>
              </w:rPr>
            </w:pPr>
            <w:r w:rsidRPr="005B3119">
              <w:rPr>
                <w:sz w:val="19"/>
                <w:szCs w:val="19"/>
              </w:rPr>
              <w:t>Primary Sense can improve quality of care</w:t>
            </w:r>
          </w:p>
        </w:tc>
      </w:tr>
      <w:tr w:rsidR="005B3119" w:rsidRPr="00CF375C" w14:paraId="0CE4CB04" w14:textId="77777777" w:rsidTr="005B3119">
        <w:trPr>
          <w:trHeight w:val="460"/>
          <w:jc w:val="right"/>
        </w:trPr>
        <w:tc>
          <w:tcPr>
            <w:tcW w:w="4962" w:type="dxa"/>
            <w:tcBorders>
              <w:top w:val="single" w:sz="4" w:space="0" w:color="2D9AC2" w:themeColor="text2" w:themeShade="BF"/>
              <w:left w:val="nil"/>
              <w:bottom w:val="single" w:sz="4" w:space="0" w:color="2D9AC2" w:themeColor="text2" w:themeShade="BF"/>
              <w:right w:val="nil"/>
            </w:tcBorders>
            <w:shd w:val="clear" w:color="auto" w:fill="auto"/>
          </w:tcPr>
          <w:p w14:paraId="04D8D7F2" w14:textId="1B2DEA6A" w:rsidR="00CF375C" w:rsidRPr="005B3119" w:rsidRDefault="003E0008" w:rsidP="001924FB">
            <w:pPr>
              <w:pStyle w:val="TableBullet"/>
              <w:numPr>
                <w:ilvl w:val="0"/>
                <w:numId w:val="0"/>
              </w:numPr>
              <w:spacing w:before="40"/>
              <w:ind w:right="0"/>
              <w:rPr>
                <w:sz w:val="19"/>
                <w:szCs w:val="19"/>
              </w:rPr>
            </w:pPr>
            <w:r w:rsidRPr="005B3119">
              <w:rPr>
                <w:sz w:val="19"/>
                <w:szCs w:val="19"/>
              </w:rPr>
              <w:t>Additional options PHNs could consider: Turning Pain into Gain, GP Pharmacist</w:t>
            </w:r>
            <w:r w:rsidR="000A6DD4">
              <w:rPr>
                <w:sz w:val="19"/>
                <w:szCs w:val="19"/>
              </w:rPr>
              <w:t>s</w:t>
            </w:r>
          </w:p>
        </w:tc>
        <w:tc>
          <w:tcPr>
            <w:tcW w:w="3827" w:type="dxa"/>
            <w:tcBorders>
              <w:top w:val="single" w:sz="4" w:space="0" w:color="2D9AC2" w:themeColor="text2" w:themeShade="BF"/>
              <w:left w:val="nil"/>
              <w:bottom w:val="single" w:sz="4" w:space="0" w:color="2D9AC2" w:themeColor="text2" w:themeShade="BF"/>
              <w:right w:val="nil"/>
            </w:tcBorders>
            <w:shd w:val="clear" w:color="auto" w:fill="auto"/>
          </w:tcPr>
          <w:p w14:paraId="4D94382C" w14:textId="528633B9" w:rsidR="009C7DDD" w:rsidRPr="005B3119" w:rsidRDefault="00E40448" w:rsidP="001924FB">
            <w:pPr>
              <w:pStyle w:val="TableBullet"/>
              <w:spacing w:before="40"/>
              <w:rPr>
                <w:sz w:val="19"/>
                <w:szCs w:val="19"/>
              </w:rPr>
            </w:pPr>
            <w:r w:rsidRPr="005B3119">
              <w:rPr>
                <w:sz w:val="19"/>
                <w:szCs w:val="19"/>
              </w:rPr>
              <w:t xml:space="preserve">Turning Pain into Gain can improve </w:t>
            </w:r>
            <w:r w:rsidR="00CF375C" w:rsidRPr="005B3119">
              <w:rPr>
                <w:sz w:val="19"/>
                <w:szCs w:val="19"/>
              </w:rPr>
              <w:t>pain management</w:t>
            </w:r>
            <w:r w:rsidR="00EA0001" w:rsidRPr="005B3119">
              <w:rPr>
                <w:sz w:val="19"/>
                <w:szCs w:val="19"/>
              </w:rPr>
              <w:t xml:space="preserve"> and reduce </w:t>
            </w:r>
            <w:r w:rsidR="001A38DF" w:rsidRPr="005B3119">
              <w:rPr>
                <w:sz w:val="19"/>
                <w:szCs w:val="19"/>
              </w:rPr>
              <w:t>hospitalisations</w:t>
            </w:r>
          </w:p>
          <w:p w14:paraId="0DE10761" w14:textId="179C5627" w:rsidR="00CF375C" w:rsidRPr="005B3119" w:rsidRDefault="00E40448" w:rsidP="0050724B">
            <w:pPr>
              <w:pStyle w:val="TableBullet"/>
              <w:rPr>
                <w:sz w:val="19"/>
                <w:szCs w:val="19"/>
              </w:rPr>
            </w:pPr>
            <w:r w:rsidRPr="005B3119">
              <w:rPr>
                <w:sz w:val="19"/>
                <w:szCs w:val="19"/>
              </w:rPr>
              <w:t xml:space="preserve">GP Pharmacists can reduce </w:t>
            </w:r>
            <w:r w:rsidR="00CF375C" w:rsidRPr="005B3119">
              <w:rPr>
                <w:sz w:val="19"/>
                <w:szCs w:val="19"/>
              </w:rPr>
              <w:t xml:space="preserve">medication errors and </w:t>
            </w:r>
            <w:r w:rsidR="001174BA" w:rsidRPr="005B3119">
              <w:rPr>
                <w:sz w:val="19"/>
                <w:szCs w:val="19"/>
              </w:rPr>
              <w:t xml:space="preserve">the number of </w:t>
            </w:r>
            <w:r w:rsidR="009C7DDD" w:rsidRPr="005B3119">
              <w:rPr>
                <w:sz w:val="19"/>
                <w:szCs w:val="19"/>
              </w:rPr>
              <w:t xml:space="preserve">people taking an excessive number of medications </w:t>
            </w:r>
          </w:p>
        </w:tc>
      </w:tr>
      <w:tr w:rsidR="00A01AD8" w:rsidRPr="00CF375C" w14:paraId="658AA9BF" w14:textId="77777777" w:rsidTr="00EF715C">
        <w:trPr>
          <w:trHeight w:val="460"/>
          <w:jc w:val="right"/>
        </w:trPr>
        <w:tc>
          <w:tcPr>
            <w:tcW w:w="0" w:type="auto"/>
            <w:gridSpan w:val="2"/>
            <w:tcBorders>
              <w:top w:val="single" w:sz="4" w:space="0" w:color="2D9AC2" w:themeColor="text2" w:themeShade="BF"/>
              <w:left w:val="nil"/>
              <w:bottom w:val="single" w:sz="4" w:space="0" w:color="2D9AC2" w:themeColor="text2" w:themeShade="BF"/>
              <w:right w:val="nil"/>
            </w:tcBorders>
            <w:shd w:val="clear" w:color="auto" w:fill="E0F1F7" w:themeFill="text2" w:themeFillTint="33"/>
            <w:vAlign w:val="center"/>
          </w:tcPr>
          <w:p w14:paraId="404D0376" w14:textId="5995E890" w:rsidR="00CF375C" w:rsidRPr="00365E88" w:rsidRDefault="00CF375C" w:rsidP="0088349E">
            <w:pPr>
              <w:pStyle w:val="TableBodyText"/>
              <w:jc w:val="left"/>
              <w:rPr>
                <w:b/>
                <w:sz w:val="21"/>
                <w:szCs w:val="21"/>
              </w:rPr>
            </w:pPr>
            <w:r w:rsidRPr="00365E88">
              <w:rPr>
                <w:b/>
                <w:sz w:val="21"/>
                <w:szCs w:val="21"/>
              </w:rPr>
              <w:t>Innovations supported by State and Territory Governments</w:t>
            </w:r>
          </w:p>
        </w:tc>
      </w:tr>
      <w:tr w:rsidR="005B3119" w:rsidRPr="00CF375C" w14:paraId="0E133FEB" w14:textId="77777777" w:rsidTr="005B3119">
        <w:trPr>
          <w:trHeight w:val="460"/>
          <w:jc w:val="right"/>
        </w:trPr>
        <w:tc>
          <w:tcPr>
            <w:tcW w:w="4962" w:type="dxa"/>
            <w:tcBorders>
              <w:top w:val="single" w:sz="4" w:space="0" w:color="2D9AC2" w:themeColor="text2" w:themeShade="BF"/>
              <w:left w:val="nil"/>
              <w:bottom w:val="single" w:sz="4" w:space="0" w:color="2D9AC2" w:themeColor="text2" w:themeShade="BF"/>
              <w:right w:val="nil"/>
            </w:tcBorders>
            <w:shd w:val="clear" w:color="auto" w:fill="auto"/>
          </w:tcPr>
          <w:p w14:paraId="139EE319" w14:textId="77777777" w:rsidR="00CF375C" w:rsidRPr="005B3119" w:rsidRDefault="00CF375C" w:rsidP="000E0129">
            <w:pPr>
              <w:pStyle w:val="TableBullet"/>
              <w:numPr>
                <w:ilvl w:val="0"/>
                <w:numId w:val="0"/>
              </w:numPr>
              <w:spacing w:before="40"/>
              <w:ind w:right="0"/>
              <w:rPr>
                <w:sz w:val="19"/>
                <w:szCs w:val="19"/>
              </w:rPr>
            </w:pPr>
            <w:r w:rsidRPr="005B3119">
              <w:rPr>
                <w:sz w:val="19"/>
                <w:szCs w:val="19"/>
              </w:rPr>
              <w:t xml:space="preserve">State and Territory Governments could trial new funding approaches to deliver care for people with chronic conditions, using the lessons learned from </w:t>
            </w:r>
            <w:proofErr w:type="spellStart"/>
            <w:r w:rsidRPr="009365ED">
              <w:rPr>
                <w:b/>
                <w:bCs/>
                <w:sz w:val="19"/>
                <w:szCs w:val="19"/>
              </w:rPr>
              <w:t>HealthLinks</w:t>
            </w:r>
            <w:proofErr w:type="spellEnd"/>
          </w:p>
        </w:tc>
        <w:tc>
          <w:tcPr>
            <w:tcW w:w="3827" w:type="dxa"/>
            <w:tcBorders>
              <w:top w:val="single" w:sz="4" w:space="0" w:color="2D9AC2" w:themeColor="text2" w:themeShade="BF"/>
              <w:left w:val="nil"/>
              <w:bottom w:val="single" w:sz="4" w:space="0" w:color="2D9AC2" w:themeColor="text2" w:themeShade="BF"/>
              <w:right w:val="nil"/>
            </w:tcBorders>
          </w:tcPr>
          <w:p w14:paraId="76C8BD4E" w14:textId="1D506F40" w:rsidR="00CF375C" w:rsidRPr="000E0129" w:rsidRDefault="00CF375C" w:rsidP="000E0129">
            <w:pPr>
              <w:pStyle w:val="TableBullet"/>
              <w:numPr>
                <w:ilvl w:val="0"/>
                <w:numId w:val="0"/>
              </w:numPr>
              <w:spacing w:before="40"/>
              <w:ind w:right="0"/>
              <w:rPr>
                <w:spacing w:val="-2"/>
                <w:sz w:val="19"/>
                <w:szCs w:val="19"/>
              </w:rPr>
            </w:pPr>
            <w:r w:rsidRPr="000E0129">
              <w:rPr>
                <w:spacing w:val="-2"/>
                <w:sz w:val="19"/>
                <w:szCs w:val="19"/>
              </w:rPr>
              <w:t xml:space="preserve">Capitation </w:t>
            </w:r>
            <w:r w:rsidR="009365ED" w:rsidRPr="000E0129">
              <w:rPr>
                <w:spacing w:val="-2"/>
                <w:sz w:val="19"/>
                <w:szCs w:val="19"/>
              </w:rPr>
              <w:t xml:space="preserve">can </w:t>
            </w:r>
            <w:r w:rsidR="001D236B" w:rsidRPr="000E0129">
              <w:rPr>
                <w:spacing w:val="-2"/>
                <w:sz w:val="19"/>
                <w:szCs w:val="19"/>
              </w:rPr>
              <w:t>improve the support offered to</w:t>
            </w:r>
            <w:r w:rsidR="006B3CA4" w:rsidRPr="000E0129">
              <w:rPr>
                <w:spacing w:val="-2"/>
                <w:sz w:val="19"/>
                <w:szCs w:val="19"/>
              </w:rPr>
              <w:t xml:space="preserve"> </w:t>
            </w:r>
            <w:r w:rsidRPr="000E0129">
              <w:rPr>
                <w:spacing w:val="-2"/>
                <w:sz w:val="19"/>
                <w:szCs w:val="19"/>
              </w:rPr>
              <w:t xml:space="preserve">high frequency hospital users </w:t>
            </w:r>
            <w:r w:rsidR="001D236B" w:rsidRPr="000E0129">
              <w:rPr>
                <w:spacing w:val="-2"/>
                <w:sz w:val="19"/>
                <w:szCs w:val="19"/>
              </w:rPr>
              <w:t>in order to</w:t>
            </w:r>
            <w:r w:rsidRPr="000E0129">
              <w:rPr>
                <w:spacing w:val="-2"/>
                <w:sz w:val="19"/>
                <w:szCs w:val="19"/>
              </w:rPr>
              <w:t xml:space="preserve"> reduce hospitalisation rates. </w:t>
            </w:r>
            <w:r w:rsidR="002751B7" w:rsidRPr="000E0129">
              <w:rPr>
                <w:spacing w:val="-2"/>
                <w:sz w:val="19"/>
                <w:szCs w:val="19"/>
              </w:rPr>
              <w:t>It c</w:t>
            </w:r>
            <w:r w:rsidRPr="000E0129">
              <w:rPr>
                <w:spacing w:val="-2"/>
                <w:sz w:val="19"/>
                <w:szCs w:val="19"/>
              </w:rPr>
              <w:t>an complement pooled funding between LHNs and PHNs</w:t>
            </w:r>
          </w:p>
        </w:tc>
      </w:tr>
      <w:tr w:rsidR="005B3119" w:rsidRPr="00CF375C" w14:paraId="2EEF5293" w14:textId="77777777" w:rsidTr="005B3119">
        <w:trPr>
          <w:trHeight w:val="460"/>
          <w:jc w:val="right"/>
        </w:trPr>
        <w:tc>
          <w:tcPr>
            <w:tcW w:w="4962" w:type="dxa"/>
            <w:tcBorders>
              <w:top w:val="single" w:sz="4" w:space="0" w:color="2D9AC2" w:themeColor="text2" w:themeShade="BF"/>
              <w:left w:val="nil"/>
              <w:bottom w:val="single" w:sz="4" w:space="0" w:color="2D9AC2" w:themeColor="text2" w:themeShade="BF"/>
              <w:right w:val="nil"/>
            </w:tcBorders>
            <w:shd w:val="clear" w:color="auto" w:fill="auto"/>
          </w:tcPr>
          <w:p w14:paraId="3BE8DC7D" w14:textId="77777777" w:rsidR="006B3CA4" w:rsidRPr="005B3119" w:rsidRDefault="00D57BEE" w:rsidP="001924FB">
            <w:pPr>
              <w:pStyle w:val="TableBullet"/>
              <w:spacing w:before="40"/>
              <w:rPr>
                <w:sz w:val="19"/>
                <w:szCs w:val="19"/>
              </w:rPr>
            </w:pPr>
            <w:r w:rsidRPr="005B3119">
              <w:rPr>
                <w:sz w:val="19"/>
                <w:szCs w:val="19"/>
              </w:rPr>
              <w:t>State and Territory Governments could continue to invest (or expand their investments) in data systems to improve health system planning</w:t>
            </w:r>
          </w:p>
          <w:p w14:paraId="4582AA0B" w14:textId="5207B6B0" w:rsidR="006B3CA4" w:rsidRPr="005B3119" w:rsidRDefault="006B3CA4" w:rsidP="006B3CA4">
            <w:pPr>
              <w:pStyle w:val="TableBullet"/>
              <w:rPr>
                <w:sz w:val="19"/>
                <w:szCs w:val="19"/>
              </w:rPr>
            </w:pPr>
            <w:r w:rsidRPr="005B3119">
              <w:rPr>
                <w:sz w:val="19"/>
                <w:szCs w:val="19"/>
              </w:rPr>
              <w:t>All L</w:t>
            </w:r>
            <w:r w:rsidR="00D57BEE" w:rsidRPr="005B3119">
              <w:rPr>
                <w:sz w:val="19"/>
                <w:szCs w:val="19"/>
              </w:rPr>
              <w:t xml:space="preserve">HNs could have access to </w:t>
            </w:r>
            <w:r w:rsidR="00D57BEE" w:rsidRPr="005B3119">
              <w:rPr>
                <w:b/>
                <w:bCs/>
                <w:sz w:val="19"/>
                <w:szCs w:val="19"/>
              </w:rPr>
              <w:t>Smart Referrals</w:t>
            </w:r>
            <w:r w:rsidR="00D57BEE" w:rsidRPr="005B3119">
              <w:rPr>
                <w:sz w:val="19"/>
                <w:szCs w:val="19"/>
              </w:rPr>
              <w:t xml:space="preserve"> (or equivalent)</w:t>
            </w:r>
          </w:p>
          <w:p w14:paraId="46DE0BB5" w14:textId="2D3B2B41" w:rsidR="00D57BEE" w:rsidRPr="005B3119" w:rsidRDefault="006B3CA4" w:rsidP="0050724B">
            <w:pPr>
              <w:pStyle w:val="TableBullet"/>
              <w:rPr>
                <w:sz w:val="19"/>
                <w:szCs w:val="19"/>
              </w:rPr>
            </w:pPr>
            <w:r w:rsidRPr="005B3119">
              <w:rPr>
                <w:sz w:val="19"/>
                <w:szCs w:val="19"/>
              </w:rPr>
              <w:t xml:space="preserve">All </w:t>
            </w:r>
            <w:r w:rsidR="00D57BEE" w:rsidRPr="005B3119">
              <w:rPr>
                <w:sz w:val="19"/>
                <w:szCs w:val="19"/>
              </w:rPr>
              <w:t xml:space="preserve">jurisdictions </w:t>
            </w:r>
            <w:r w:rsidRPr="005B3119">
              <w:rPr>
                <w:sz w:val="19"/>
                <w:szCs w:val="19"/>
              </w:rPr>
              <w:t>c</w:t>
            </w:r>
            <w:r w:rsidR="00D57BEE" w:rsidRPr="005B3119">
              <w:rPr>
                <w:sz w:val="19"/>
                <w:szCs w:val="19"/>
              </w:rPr>
              <w:t xml:space="preserve">ould create linked datasets similar to </w:t>
            </w:r>
            <w:r w:rsidR="00D57BEE" w:rsidRPr="005B3119">
              <w:rPr>
                <w:b/>
                <w:bCs/>
                <w:sz w:val="19"/>
                <w:szCs w:val="19"/>
              </w:rPr>
              <w:t>Lumos</w:t>
            </w:r>
          </w:p>
        </w:tc>
        <w:tc>
          <w:tcPr>
            <w:tcW w:w="3827" w:type="dxa"/>
            <w:tcBorders>
              <w:top w:val="single" w:sz="4" w:space="0" w:color="2D9AC2" w:themeColor="text2" w:themeShade="BF"/>
              <w:left w:val="nil"/>
              <w:bottom w:val="single" w:sz="4" w:space="0" w:color="2D9AC2" w:themeColor="text2" w:themeShade="BF"/>
              <w:right w:val="nil"/>
            </w:tcBorders>
          </w:tcPr>
          <w:p w14:paraId="4FA7B4D5" w14:textId="31C8A67E" w:rsidR="00D57BEE" w:rsidRPr="000E0129" w:rsidRDefault="00D57BEE" w:rsidP="001079E7">
            <w:pPr>
              <w:pStyle w:val="TableBullet"/>
              <w:spacing w:before="40"/>
              <w:rPr>
                <w:spacing w:val="-2"/>
                <w:sz w:val="19"/>
                <w:szCs w:val="19"/>
              </w:rPr>
            </w:pPr>
            <w:r w:rsidRPr="000E0129">
              <w:rPr>
                <w:spacing w:val="-2"/>
                <w:sz w:val="19"/>
                <w:szCs w:val="19"/>
              </w:rPr>
              <w:t xml:space="preserve">Improving data flows between primary and acute care </w:t>
            </w:r>
            <w:r w:rsidR="001174BA" w:rsidRPr="000E0129">
              <w:rPr>
                <w:spacing w:val="-2"/>
                <w:sz w:val="19"/>
                <w:szCs w:val="19"/>
              </w:rPr>
              <w:t xml:space="preserve">can reduce </w:t>
            </w:r>
            <w:r w:rsidRPr="000E0129">
              <w:rPr>
                <w:spacing w:val="-2"/>
                <w:sz w:val="19"/>
                <w:szCs w:val="19"/>
              </w:rPr>
              <w:t xml:space="preserve">errors/waste and improve patient experience </w:t>
            </w:r>
          </w:p>
          <w:p w14:paraId="4F73F79E" w14:textId="120A8820" w:rsidR="00D57BEE" w:rsidRPr="005B3119" w:rsidRDefault="00D57BEE" w:rsidP="0050724B">
            <w:pPr>
              <w:pStyle w:val="TableBullet"/>
              <w:rPr>
                <w:sz w:val="19"/>
                <w:szCs w:val="19"/>
              </w:rPr>
            </w:pPr>
            <w:r w:rsidRPr="005B3119">
              <w:rPr>
                <w:sz w:val="19"/>
                <w:szCs w:val="19"/>
              </w:rPr>
              <w:t xml:space="preserve">Linked datasets </w:t>
            </w:r>
            <w:r w:rsidR="001174BA" w:rsidRPr="005B3119">
              <w:rPr>
                <w:sz w:val="19"/>
                <w:szCs w:val="19"/>
              </w:rPr>
              <w:t xml:space="preserve">can </w:t>
            </w:r>
            <w:r w:rsidRPr="005B3119">
              <w:rPr>
                <w:sz w:val="19"/>
                <w:szCs w:val="19"/>
              </w:rPr>
              <w:t>enable better system planning and delivery of innovative programs</w:t>
            </w:r>
          </w:p>
        </w:tc>
      </w:tr>
      <w:tr w:rsidR="005B3119" w:rsidRPr="00CF375C" w14:paraId="05930FD8" w14:textId="77777777" w:rsidTr="005B3119">
        <w:trPr>
          <w:trHeight w:val="460"/>
          <w:jc w:val="right"/>
        </w:trPr>
        <w:tc>
          <w:tcPr>
            <w:tcW w:w="4962" w:type="dxa"/>
            <w:tcBorders>
              <w:top w:val="single" w:sz="4" w:space="0" w:color="2D9AC2" w:themeColor="text2" w:themeShade="BF"/>
              <w:left w:val="nil"/>
              <w:bottom w:val="single" w:sz="4" w:space="0" w:color="2D9AC2" w:themeColor="text2" w:themeShade="BF"/>
              <w:right w:val="nil"/>
            </w:tcBorders>
            <w:shd w:val="clear" w:color="auto" w:fill="auto"/>
          </w:tcPr>
          <w:p w14:paraId="3668FFEA" w14:textId="04E2FE13" w:rsidR="00CF375C" w:rsidRPr="005B3119" w:rsidRDefault="00CF375C" w:rsidP="001924FB">
            <w:pPr>
              <w:pStyle w:val="TableBullet"/>
              <w:spacing w:before="40"/>
              <w:rPr>
                <w:sz w:val="19"/>
                <w:szCs w:val="19"/>
              </w:rPr>
            </w:pPr>
            <w:r w:rsidRPr="005B3119">
              <w:rPr>
                <w:sz w:val="19"/>
                <w:szCs w:val="19"/>
              </w:rPr>
              <w:t xml:space="preserve">LHNs could implement </w:t>
            </w:r>
            <w:r w:rsidRPr="005B3119">
              <w:rPr>
                <w:b/>
                <w:sz w:val="19"/>
                <w:szCs w:val="19"/>
              </w:rPr>
              <w:t>Monash Watch</w:t>
            </w:r>
            <w:r w:rsidRPr="005B3119">
              <w:rPr>
                <w:sz w:val="19"/>
                <w:szCs w:val="19"/>
              </w:rPr>
              <w:t xml:space="preserve"> (or equivalent outreach program for people with chronic conditions, if they </w:t>
            </w:r>
            <w:r w:rsidR="00D853B1" w:rsidRPr="005B3119">
              <w:rPr>
                <w:sz w:val="19"/>
                <w:szCs w:val="19"/>
              </w:rPr>
              <w:t xml:space="preserve">believe </w:t>
            </w:r>
            <w:r w:rsidR="005C50D4" w:rsidRPr="005B3119">
              <w:rPr>
                <w:sz w:val="19"/>
                <w:szCs w:val="19"/>
              </w:rPr>
              <w:t xml:space="preserve">the alternative would better </w:t>
            </w:r>
            <w:r w:rsidRPr="005B3119">
              <w:rPr>
                <w:sz w:val="19"/>
                <w:szCs w:val="19"/>
              </w:rPr>
              <w:t>suit their population)</w:t>
            </w:r>
          </w:p>
          <w:p w14:paraId="1387C11D" w14:textId="3A4A7EFB" w:rsidR="00CF375C" w:rsidRPr="005B3119" w:rsidRDefault="008B012A" w:rsidP="006C5AB1">
            <w:pPr>
              <w:pStyle w:val="TableBullet"/>
              <w:numPr>
                <w:ilvl w:val="0"/>
                <w:numId w:val="0"/>
              </w:numPr>
              <w:ind w:right="0"/>
              <w:rPr>
                <w:i/>
                <w:sz w:val="19"/>
                <w:szCs w:val="19"/>
              </w:rPr>
            </w:pPr>
            <w:r w:rsidRPr="005B3119">
              <w:rPr>
                <w:i/>
                <w:sz w:val="19"/>
                <w:szCs w:val="19"/>
              </w:rPr>
              <w:t>A</w:t>
            </w:r>
            <w:r w:rsidR="00D57BEE" w:rsidRPr="005B3119">
              <w:rPr>
                <w:i/>
                <w:sz w:val="19"/>
                <w:szCs w:val="19"/>
              </w:rPr>
              <w:t xml:space="preserve">lternative funding approaches and better use of health data </w:t>
            </w:r>
            <w:r w:rsidRPr="005B3119">
              <w:rPr>
                <w:i/>
                <w:sz w:val="19"/>
                <w:szCs w:val="19"/>
              </w:rPr>
              <w:t>could facilitate the adoption of this program</w:t>
            </w:r>
          </w:p>
        </w:tc>
        <w:tc>
          <w:tcPr>
            <w:tcW w:w="3827" w:type="dxa"/>
            <w:tcBorders>
              <w:top w:val="single" w:sz="4" w:space="0" w:color="2D9AC2" w:themeColor="text2" w:themeShade="BF"/>
              <w:left w:val="nil"/>
              <w:bottom w:val="single" w:sz="4" w:space="0" w:color="2D9AC2" w:themeColor="text2" w:themeShade="BF"/>
              <w:right w:val="nil"/>
            </w:tcBorders>
          </w:tcPr>
          <w:p w14:paraId="5A08257D" w14:textId="613D500E" w:rsidR="00CF375C" w:rsidRPr="005B3119" w:rsidRDefault="00CF375C" w:rsidP="001079E7">
            <w:pPr>
              <w:pStyle w:val="TableBullet"/>
              <w:numPr>
                <w:ilvl w:val="0"/>
                <w:numId w:val="0"/>
              </w:numPr>
              <w:spacing w:before="40"/>
              <w:ind w:right="0"/>
              <w:rPr>
                <w:sz w:val="19"/>
                <w:szCs w:val="19"/>
              </w:rPr>
            </w:pPr>
            <w:r w:rsidRPr="005B3119">
              <w:rPr>
                <w:sz w:val="19"/>
                <w:szCs w:val="19"/>
              </w:rPr>
              <w:t>Monash Watch can reduce hospitalisation and lower costs</w:t>
            </w:r>
          </w:p>
        </w:tc>
      </w:tr>
      <w:tr w:rsidR="005B3119" w:rsidRPr="00CF375C" w14:paraId="1C64BE2F" w14:textId="77777777" w:rsidTr="005B3119">
        <w:trPr>
          <w:trHeight w:val="460"/>
          <w:jc w:val="right"/>
        </w:trPr>
        <w:tc>
          <w:tcPr>
            <w:tcW w:w="4962" w:type="dxa"/>
            <w:tcBorders>
              <w:top w:val="single" w:sz="4" w:space="0" w:color="2D9AC2" w:themeColor="text2" w:themeShade="BF"/>
              <w:left w:val="nil"/>
              <w:bottom w:val="single" w:sz="4" w:space="0" w:color="2D9AC2" w:themeColor="text2" w:themeShade="BF"/>
              <w:right w:val="nil"/>
            </w:tcBorders>
          </w:tcPr>
          <w:p w14:paraId="1FF79C2C" w14:textId="288A7459" w:rsidR="00CF375C" w:rsidRPr="005B3119" w:rsidRDefault="00CF375C" w:rsidP="001924FB">
            <w:pPr>
              <w:pStyle w:val="TableBullet"/>
              <w:numPr>
                <w:ilvl w:val="0"/>
                <w:numId w:val="0"/>
              </w:numPr>
              <w:spacing w:before="40"/>
              <w:ind w:right="0"/>
              <w:rPr>
                <w:sz w:val="19"/>
                <w:szCs w:val="19"/>
              </w:rPr>
            </w:pPr>
            <w:r w:rsidRPr="005B3119">
              <w:rPr>
                <w:sz w:val="19"/>
                <w:szCs w:val="19"/>
              </w:rPr>
              <w:t xml:space="preserve">Additional options LHNs could consider: One </w:t>
            </w:r>
            <w:r w:rsidR="005C32DD" w:rsidRPr="005B3119">
              <w:rPr>
                <w:sz w:val="19"/>
                <w:szCs w:val="19"/>
              </w:rPr>
              <w:t>S</w:t>
            </w:r>
            <w:r w:rsidRPr="005B3119">
              <w:rPr>
                <w:sz w:val="19"/>
                <w:szCs w:val="19"/>
              </w:rPr>
              <w:t xml:space="preserve">top </w:t>
            </w:r>
            <w:r w:rsidR="005C32DD" w:rsidRPr="005B3119">
              <w:rPr>
                <w:sz w:val="19"/>
                <w:szCs w:val="19"/>
              </w:rPr>
              <w:t>L</w:t>
            </w:r>
            <w:r w:rsidRPr="005B3119">
              <w:rPr>
                <w:sz w:val="19"/>
                <w:szCs w:val="19"/>
              </w:rPr>
              <w:t xml:space="preserve">iver </w:t>
            </w:r>
            <w:r w:rsidR="005C32DD" w:rsidRPr="005B3119">
              <w:rPr>
                <w:sz w:val="19"/>
                <w:szCs w:val="19"/>
              </w:rPr>
              <w:t>S</w:t>
            </w:r>
            <w:r w:rsidRPr="005B3119">
              <w:rPr>
                <w:sz w:val="19"/>
                <w:szCs w:val="19"/>
              </w:rPr>
              <w:t xml:space="preserve">hop, Royal Perth </w:t>
            </w:r>
            <w:r w:rsidR="005C32DD" w:rsidRPr="005B3119">
              <w:rPr>
                <w:sz w:val="19"/>
                <w:szCs w:val="19"/>
              </w:rPr>
              <w:t xml:space="preserve">Hospital </w:t>
            </w:r>
            <w:r w:rsidR="00D57BEE" w:rsidRPr="005B3119">
              <w:rPr>
                <w:sz w:val="19"/>
                <w:szCs w:val="19"/>
              </w:rPr>
              <w:t>Homeless</w:t>
            </w:r>
            <w:r w:rsidR="005C32DD" w:rsidRPr="005B3119">
              <w:rPr>
                <w:sz w:val="19"/>
                <w:szCs w:val="19"/>
              </w:rPr>
              <w:t xml:space="preserve"> Team</w:t>
            </w:r>
            <w:r w:rsidRPr="005B3119">
              <w:rPr>
                <w:sz w:val="19"/>
                <w:szCs w:val="19"/>
              </w:rPr>
              <w:t xml:space="preserve">, Choices, </w:t>
            </w:r>
            <w:r w:rsidR="00482B44" w:rsidRPr="005B3119">
              <w:rPr>
                <w:sz w:val="19"/>
                <w:szCs w:val="19"/>
              </w:rPr>
              <w:t>GPs with Special Interest</w:t>
            </w:r>
          </w:p>
        </w:tc>
        <w:tc>
          <w:tcPr>
            <w:tcW w:w="3827" w:type="dxa"/>
            <w:tcBorders>
              <w:top w:val="single" w:sz="4" w:space="0" w:color="2D9AC2" w:themeColor="text2" w:themeShade="BF"/>
              <w:left w:val="nil"/>
              <w:bottom w:val="single" w:sz="4" w:space="0" w:color="2D9AC2" w:themeColor="text2" w:themeShade="BF"/>
              <w:right w:val="nil"/>
            </w:tcBorders>
          </w:tcPr>
          <w:p w14:paraId="792F0877" w14:textId="296A2C64" w:rsidR="00CF375C" w:rsidRPr="005B3119" w:rsidRDefault="00832298" w:rsidP="001079E7">
            <w:pPr>
              <w:pStyle w:val="TableBullet"/>
              <w:numPr>
                <w:ilvl w:val="0"/>
                <w:numId w:val="0"/>
              </w:numPr>
              <w:spacing w:before="40"/>
              <w:ind w:right="0"/>
              <w:rPr>
                <w:sz w:val="19"/>
                <w:szCs w:val="19"/>
              </w:rPr>
            </w:pPr>
            <w:r w:rsidRPr="005B3119">
              <w:rPr>
                <w:sz w:val="19"/>
                <w:szCs w:val="19"/>
              </w:rPr>
              <w:t>These programs can provide b</w:t>
            </w:r>
            <w:r w:rsidR="00CF375C" w:rsidRPr="005B3119">
              <w:rPr>
                <w:sz w:val="19"/>
                <w:szCs w:val="19"/>
              </w:rPr>
              <w:t>etter manage</w:t>
            </w:r>
            <w:r w:rsidRPr="005B3119">
              <w:rPr>
                <w:sz w:val="19"/>
                <w:szCs w:val="19"/>
              </w:rPr>
              <w:t>ment of</w:t>
            </w:r>
            <w:r w:rsidR="00CF375C" w:rsidRPr="005B3119">
              <w:rPr>
                <w:sz w:val="19"/>
                <w:szCs w:val="19"/>
              </w:rPr>
              <w:t xml:space="preserve"> specific diseases and </w:t>
            </w:r>
            <w:r w:rsidRPr="005B3119">
              <w:rPr>
                <w:sz w:val="19"/>
                <w:szCs w:val="19"/>
              </w:rPr>
              <w:t xml:space="preserve">more effective </w:t>
            </w:r>
            <w:r w:rsidR="00CF375C" w:rsidRPr="005B3119">
              <w:rPr>
                <w:sz w:val="19"/>
                <w:szCs w:val="19"/>
              </w:rPr>
              <w:t>care for target groups</w:t>
            </w:r>
          </w:p>
        </w:tc>
      </w:tr>
      <w:tr w:rsidR="004F2240" w:rsidRPr="00CF375C" w14:paraId="505C3ECE" w14:textId="77777777" w:rsidTr="00532801">
        <w:trPr>
          <w:trHeight w:val="460"/>
          <w:jc w:val="right"/>
        </w:trPr>
        <w:tc>
          <w:tcPr>
            <w:tcW w:w="0" w:type="auto"/>
            <w:gridSpan w:val="2"/>
            <w:tcBorders>
              <w:top w:val="single" w:sz="4" w:space="0" w:color="2D9AC2" w:themeColor="text2" w:themeShade="BF"/>
              <w:left w:val="nil"/>
              <w:bottom w:val="single" w:sz="4" w:space="0" w:color="2D9AC2" w:themeColor="text2" w:themeShade="BF"/>
              <w:right w:val="nil"/>
            </w:tcBorders>
            <w:shd w:val="clear" w:color="auto" w:fill="E0F1F7" w:themeFill="text2" w:themeFillTint="33"/>
            <w:vAlign w:val="center"/>
          </w:tcPr>
          <w:p w14:paraId="5FE0DBC7" w14:textId="7C834681" w:rsidR="00CF375C" w:rsidRPr="00365E88" w:rsidRDefault="00CF375C" w:rsidP="0088349E">
            <w:pPr>
              <w:pStyle w:val="TableBodyText"/>
              <w:jc w:val="left"/>
              <w:rPr>
                <w:b/>
                <w:sz w:val="21"/>
                <w:szCs w:val="21"/>
              </w:rPr>
            </w:pPr>
            <w:r w:rsidRPr="00365E88">
              <w:rPr>
                <w:b/>
                <w:sz w:val="21"/>
                <w:szCs w:val="21"/>
              </w:rPr>
              <w:t xml:space="preserve">Collaboration between all Governments </w:t>
            </w:r>
          </w:p>
        </w:tc>
      </w:tr>
      <w:tr w:rsidR="005B3119" w:rsidRPr="00CF375C" w14:paraId="6CCE4D59" w14:textId="77777777" w:rsidTr="005B3119">
        <w:trPr>
          <w:trHeight w:val="460"/>
          <w:jc w:val="right"/>
        </w:trPr>
        <w:tc>
          <w:tcPr>
            <w:tcW w:w="4962" w:type="dxa"/>
            <w:tcBorders>
              <w:top w:val="single" w:sz="4" w:space="0" w:color="2D9AC2" w:themeColor="text2" w:themeShade="BF"/>
              <w:left w:val="nil"/>
              <w:bottom w:val="single" w:sz="4" w:space="0" w:color="2D9AC2" w:themeColor="text2" w:themeShade="BF"/>
              <w:right w:val="nil"/>
            </w:tcBorders>
            <w:shd w:val="clear" w:color="auto" w:fill="auto"/>
          </w:tcPr>
          <w:p w14:paraId="7DE232AF" w14:textId="6E48C452" w:rsidR="00D82CF0" w:rsidRPr="00E60674" w:rsidRDefault="00CF375C" w:rsidP="00E60674">
            <w:pPr>
              <w:pStyle w:val="TableBullet"/>
              <w:numPr>
                <w:ilvl w:val="0"/>
                <w:numId w:val="0"/>
              </w:numPr>
              <w:spacing w:before="40"/>
              <w:ind w:right="0"/>
              <w:rPr>
                <w:b/>
                <w:sz w:val="19"/>
                <w:szCs w:val="19"/>
              </w:rPr>
            </w:pPr>
            <w:r w:rsidRPr="005B3119">
              <w:rPr>
                <w:sz w:val="19"/>
                <w:szCs w:val="19"/>
              </w:rPr>
              <w:t xml:space="preserve">State and Territory Governments and the Australian Government could jointly create pooled funding for LHN and PHN collaborations using the lessons of </w:t>
            </w:r>
            <w:r w:rsidRPr="005B3119">
              <w:rPr>
                <w:b/>
                <w:sz w:val="19"/>
                <w:szCs w:val="19"/>
              </w:rPr>
              <w:t xml:space="preserve">Collaborative </w:t>
            </w:r>
            <w:r w:rsidRPr="001D236B">
              <w:rPr>
                <w:b/>
                <w:bCs/>
                <w:sz w:val="19"/>
                <w:szCs w:val="19"/>
              </w:rPr>
              <w:t>Commissioning</w:t>
            </w:r>
          </w:p>
        </w:tc>
        <w:tc>
          <w:tcPr>
            <w:tcW w:w="3827" w:type="dxa"/>
            <w:tcBorders>
              <w:top w:val="single" w:sz="4" w:space="0" w:color="2D9AC2" w:themeColor="text2" w:themeShade="BF"/>
              <w:left w:val="nil"/>
              <w:bottom w:val="single" w:sz="4" w:space="0" w:color="2D9AC2" w:themeColor="text2" w:themeShade="BF"/>
              <w:right w:val="nil"/>
            </w:tcBorders>
            <w:shd w:val="clear" w:color="auto" w:fill="auto"/>
          </w:tcPr>
          <w:p w14:paraId="69BF5936" w14:textId="6299B09C" w:rsidR="00CF375C" w:rsidRPr="000E0129" w:rsidRDefault="00CF375C" w:rsidP="000E0129">
            <w:pPr>
              <w:pStyle w:val="TableBullet"/>
              <w:numPr>
                <w:ilvl w:val="0"/>
                <w:numId w:val="0"/>
              </w:numPr>
              <w:spacing w:before="40"/>
              <w:ind w:right="0"/>
              <w:rPr>
                <w:spacing w:val="-2"/>
                <w:sz w:val="19"/>
                <w:szCs w:val="19"/>
              </w:rPr>
            </w:pPr>
            <w:r w:rsidRPr="000E0129">
              <w:rPr>
                <w:spacing w:val="-2"/>
                <w:sz w:val="19"/>
                <w:szCs w:val="19"/>
              </w:rPr>
              <w:t xml:space="preserve">Pooled funding provides primary healthcare </w:t>
            </w:r>
            <w:r w:rsidR="00482B44" w:rsidRPr="000E0129">
              <w:rPr>
                <w:spacing w:val="-2"/>
                <w:sz w:val="19"/>
                <w:szCs w:val="19"/>
              </w:rPr>
              <w:t xml:space="preserve">organisations </w:t>
            </w:r>
            <w:r w:rsidRPr="000E0129">
              <w:rPr>
                <w:spacing w:val="-2"/>
                <w:sz w:val="19"/>
                <w:szCs w:val="19"/>
              </w:rPr>
              <w:t>with funding and incentives to undertake activities that promote health and reduce hospitalisation rates</w:t>
            </w:r>
          </w:p>
        </w:tc>
      </w:tr>
    </w:tbl>
    <w:p w14:paraId="52ACFA67" w14:textId="3116D6BA" w:rsidR="00C329E2" w:rsidRPr="00C329E2" w:rsidRDefault="00FC6628" w:rsidP="00C329E2">
      <w:pPr>
        <w:pStyle w:val="BodyText"/>
      </w:pPr>
      <w:r w:rsidRPr="005F05A4">
        <w:lastRenderedPageBreak/>
        <w:t>In March 2021, the Council on Federal Financial Relations asked the</w:t>
      </w:r>
      <w:r>
        <w:t xml:space="preserve"> Productivity </w:t>
      </w:r>
      <w:r w:rsidRPr="005F05A4">
        <w:t xml:space="preserve">Commission to prepare a plan for progressing the </w:t>
      </w:r>
      <w:r w:rsidR="00B22ECB">
        <w:t>opportunities for innovation</w:t>
      </w:r>
      <w:r w:rsidR="00B22ECB" w:rsidRPr="005F05A4">
        <w:t xml:space="preserve"> </w:t>
      </w:r>
      <w:r w:rsidRPr="005F05A4">
        <w:t xml:space="preserve">identified in its </w:t>
      </w:r>
      <w:r w:rsidRPr="00653883">
        <w:t>productivity reform case study</w:t>
      </w:r>
      <w:r>
        <w:t xml:space="preserve">, </w:t>
      </w:r>
      <w:r w:rsidRPr="005F05A4">
        <w:rPr>
          <w:i/>
          <w:iCs/>
        </w:rPr>
        <w:t>Innovations in Care for Chronic Health Conditions</w:t>
      </w:r>
      <w:r w:rsidRPr="005F05A4">
        <w:t xml:space="preserve">. </w:t>
      </w:r>
      <w:r>
        <w:t>This paper is the response to that request.</w:t>
      </w:r>
    </w:p>
    <w:p w14:paraId="78BFEAE7" w14:textId="5C0CAFF8" w:rsidR="00BB78C0" w:rsidRDefault="00752E32" w:rsidP="00FC6628">
      <w:pPr>
        <w:pStyle w:val="BodyText"/>
      </w:pPr>
      <w:r>
        <w:t xml:space="preserve">The Commission found examples of innovation in all jurisdictions and all types of health services. </w:t>
      </w:r>
      <w:r w:rsidR="00CB44E9">
        <w:t>All jurisdictions are implem</w:t>
      </w:r>
      <w:r w:rsidR="00A81B6A">
        <w:t xml:space="preserve">enting reforms to their health systems, intended to improve efficiency </w:t>
      </w:r>
      <w:r w:rsidR="00F0525B">
        <w:t>and</w:t>
      </w:r>
      <w:r w:rsidR="005F0458">
        <w:t xml:space="preserve"> consumer outcomes. </w:t>
      </w:r>
      <w:r w:rsidR="000764CD">
        <w:t xml:space="preserve">Work has also been undertaken on alternative funding </w:t>
      </w:r>
      <w:r w:rsidR="00542FE3">
        <w:t>mechanis</w:t>
      </w:r>
      <w:r w:rsidR="006345CD">
        <w:t xml:space="preserve">ms. </w:t>
      </w:r>
      <w:r w:rsidR="00F0525B">
        <w:t>Progress has been slow, due the complex nature of health se</w:t>
      </w:r>
      <w:r w:rsidR="00533A1C">
        <w:t xml:space="preserve">rvices and the funding </w:t>
      </w:r>
      <w:r w:rsidR="00533A1C" w:rsidRPr="003A3A61">
        <w:t>mechanism</w:t>
      </w:r>
      <w:r w:rsidR="00E5343A" w:rsidRPr="003A3A61">
        <w:t>s</w:t>
      </w:r>
      <w:r w:rsidR="00533A1C">
        <w:t xml:space="preserve"> that underpin them. </w:t>
      </w:r>
    </w:p>
    <w:p w14:paraId="5D5770DE" w14:textId="459B2716" w:rsidR="00F87908" w:rsidRPr="00F87908" w:rsidRDefault="00533A1C" w:rsidP="00F87908">
      <w:pPr>
        <w:pStyle w:val="BodyText"/>
      </w:pPr>
      <w:r>
        <w:t xml:space="preserve">The </w:t>
      </w:r>
      <w:r w:rsidR="0012049A">
        <w:t>initiatives featured</w:t>
      </w:r>
      <w:r>
        <w:t xml:space="preserve"> in the Commission’s report offer </w:t>
      </w:r>
      <w:r w:rsidR="0012049A">
        <w:t>practical ways</w:t>
      </w:r>
      <w:r w:rsidR="003E5A46">
        <w:t xml:space="preserve"> </w:t>
      </w:r>
      <w:r w:rsidR="00200EF7">
        <w:t xml:space="preserve">to build momentum for </w:t>
      </w:r>
      <w:r w:rsidR="005C7B8A">
        <w:t xml:space="preserve">change and get </w:t>
      </w:r>
      <w:r w:rsidR="00A546CE">
        <w:t>‘</w:t>
      </w:r>
      <w:r w:rsidR="00FC0364">
        <w:t>runs on the board</w:t>
      </w:r>
      <w:r w:rsidR="006D1E99">
        <w:t>’</w:t>
      </w:r>
      <w:r w:rsidR="00FC0364">
        <w:t xml:space="preserve"> </w:t>
      </w:r>
      <w:r w:rsidR="008A2A1B">
        <w:t>—</w:t>
      </w:r>
      <w:r w:rsidR="00FC0364">
        <w:t xml:space="preserve"> demonstrating what health services can achieve </w:t>
      </w:r>
      <w:r w:rsidR="009F074F">
        <w:t>when they overcome the rigidit</w:t>
      </w:r>
      <w:r w:rsidR="00643473">
        <w:t>ies</w:t>
      </w:r>
      <w:r w:rsidR="009F074F">
        <w:t xml:space="preserve"> of existing policies and structures. </w:t>
      </w:r>
      <w:r w:rsidR="00690C39">
        <w:t xml:space="preserve">While additional funding flexibility would be required to achieve broader </w:t>
      </w:r>
      <w:r w:rsidR="00E04A80">
        <w:t xml:space="preserve">implementation of priority programs, significant progress can be achieved without </w:t>
      </w:r>
      <w:r w:rsidR="00906C34">
        <w:t>new</w:t>
      </w:r>
      <w:r w:rsidR="00E04A80">
        <w:t xml:space="preserve"> funding</w:t>
      </w:r>
      <w:r w:rsidR="00690C39">
        <w:t>.</w:t>
      </w:r>
    </w:p>
    <w:p w14:paraId="2BADFB66" w14:textId="441AE7F2" w:rsidR="00D81A5A" w:rsidRDefault="00C41393" w:rsidP="00FC6628">
      <w:pPr>
        <w:pStyle w:val="BodyText"/>
      </w:pPr>
      <w:r>
        <w:t>Beyond these specific innovations</w:t>
      </w:r>
      <w:r w:rsidR="00E1142F">
        <w:t>, Governments could continue to advance health reform through trials of new funding settings, continued investment in priority areas such as health data</w:t>
      </w:r>
      <w:r w:rsidR="006D1E99">
        <w:t>,</w:t>
      </w:r>
      <w:r w:rsidR="00E1142F">
        <w:t xml:space="preserve"> and crea</w:t>
      </w:r>
      <w:r w:rsidR="00A614F1">
        <w:t xml:space="preserve">ting stronger incentives for innovation. Taken together, these changes have the potential to mobilise health reform on multiple fronts, from </w:t>
      </w:r>
      <w:r w:rsidR="00542FE3">
        <w:t xml:space="preserve">supporting GPs </w:t>
      </w:r>
      <w:r w:rsidR="00143EDE">
        <w:t>in</w:t>
      </w:r>
      <w:r w:rsidR="00542FE3">
        <w:t xml:space="preserve"> mak</w:t>
      </w:r>
      <w:r w:rsidR="00143EDE">
        <w:t>ing</w:t>
      </w:r>
      <w:r w:rsidR="00542FE3">
        <w:t xml:space="preserve"> better decisions to redesigning data flows between primary and acute care. </w:t>
      </w:r>
    </w:p>
    <w:p w14:paraId="3D3E266B" w14:textId="77777777" w:rsidR="00E05A2F" w:rsidRDefault="00E04A80" w:rsidP="00FC6628">
      <w:pPr>
        <w:pStyle w:val="BodyText"/>
      </w:pPr>
      <w:r>
        <w:t xml:space="preserve">This paper has two </w:t>
      </w:r>
      <w:r w:rsidR="003E0008">
        <w:t>purposes</w:t>
      </w:r>
      <w:r>
        <w:t>.</w:t>
      </w:r>
      <w:r w:rsidR="002A55C6">
        <w:t xml:space="preserve"> </w:t>
      </w:r>
      <w:r w:rsidR="0080295B">
        <w:t>First, it</w:t>
      </w:r>
      <w:r w:rsidR="009B11AD">
        <w:t xml:space="preserve"> </w:t>
      </w:r>
      <w:r w:rsidR="0080295B">
        <w:t>include</w:t>
      </w:r>
      <w:r>
        <w:t xml:space="preserve">s </w:t>
      </w:r>
      <w:r w:rsidR="00096566">
        <w:t xml:space="preserve">recommendations to improve government policies in the areas of funding, use of data and diffusion of innovation. They reflect </w:t>
      </w:r>
      <w:r w:rsidR="00D06FA7">
        <w:t>key</w:t>
      </w:r>
      <w:r w:rsidR="00813D29">
        <w:t xml:space="preserve"> lessons </w:t>
      </w:r>
      <w:r w:rsidR="00D06FA7">
        <w:t>from the experiences of people and organisations that developed and implemented the</w:t>
      </w:r>
      <w:r w:rsidR="00813D29">
        <w:t xml:space="preserve"> innovative programs </w:t>
      </w:r>
      <w:r w:rsidR="00984AA6">
        <w:t>included in</w:t>
      </w:r>
      <w:r w:rsidR="00813D29">
        <w:t xml:space="preserve"> </w:t>
      </w:r>
      <w:r w:rsidR="00B97A07">
        <w:t xml:space="preserve">the </w:t>
      </w:r>
      <w:r w:rsidR="00813D29" w:rsidRPr="005F05A4">
        <w:rPr>
          <w:i/>
          <w:iCs/>
        </w:rPr>
        <w:t>Innovations in Care for Chronic Health Conditions</w:t>
      </w:r>
      <w:r w:rsidR="00813D29">
        <w:rPr>
          <w:i/>
          <w:iCs/>
        </w:rPr>
        <w:t xml:space="preserve"> </w:t>
      </w:r>
      <w:r w:rsidR="00813D29" w:rsidRPr="00813D29">
        <w:t>report.</w:t>
      </w:r>
      <w:r w:rsidR="00D06FA7">
        <w:t xml:space="preserve"> These recommendations </w:t>
      </w:r>
      <w:r w:rsidR="00DC755E">
        <w:t>are likely to support further innovation, and they</w:t>
      </w:r>
      <w:r w:rsidR="00096566">
        <w:t xml:space="preserve"> complement existing work already being carried out across the health system.</w:t>
      </w:r>
      <w:r w:rsidR="00BE746C">
        <w:t xml:space="preserve"> </w:t>
      </w:r>
    </w:p>
    <w:p w14:paraId="5F4CD953" w14:textId="3A1926F5" w:rsidR="009B11AD" w:rsidRDefault="0080295B" w:rsidP="00E05A2F">
      <w:pPr>
        <w:pStyle w:val="BodyText"/>
      </w:pPr>
      <w:r>
        <w:t>Second, it</w:t>
      </w:r>
      <w:r w:rsidR="009B11AD">
        <w:t xml:space="preserve"> presents some of the factors that would enable the broader implementation of the </w:t>
      </w:r>
      <w:r w:rsidR="00A46585">
        <w:t xml:space="preserve">innovations </w:t>
      </w:r>
      <w:r w:rsidR="009B11AD">
        <w:t xml:space="preserve">included in the report. </w:t>
      </w:r>
      <w:r w:rsidR="005326DF">
        <w:t>I</w:t>
      </w:r>
      <w:r w:rsidR="009B11AD">
        <w:t>t is not feasible to implement them all at the same time, at the same pace, or in all jurisdictions. This reflects that reform initiatives must account for:</w:t>
      </w:r>
    </w:p>
    <w:p w14:paraId="53768DCA" w14:textId="0B6A4DF2" w:rsidR="001D52D7" w:rsidRDefault="009B11AD" w:rsidP="00D5075E">
      <w:pPr>
        <w:pStyle w:val="ListBullet"/>
        <w:spacing w:before="100" w:line="280" w:lineRule="atLeast"/>
      </w:pPr>
      <w:r>
        <w:t>the diverse needs of people in different parts of Australia, and the extent to which existing services are meeting those needs</w:t>
      </w:r>
    </w:p>
    <w:p w14:paraId="2A596CBB" w14:textId="77777777" w:rsidR="009B11AD" w:rsidRPr="00337A55" w:rsidRDefault="009B11AD" w:rsidP="00D5075E">
      <w:pPr>
        <w:pStyle w:val="ListBullet"/>
        <w:spacing w:before="100" w:line="280" w:lineRule="atLeast"/>
      </w:pPr>
      <w:r>
        <w:t xml:space="preserve">capacity constraints affecting health professionals, health system administrators and policymakers, who can only focus on a limited number of new initiatives at any one time </w:t>
      </w:r>
    </w:p>
    <w:p w14:paraId="43AD1A59" w14:textId="77777777" w:rsidR="009B11AD" w:rsidRDefault="009B11AD" w:rsidP="00D5075E">
      <w:pPr>
        <w:pStyle w:val="ListBullet"/>
        <w:spacing w:before="100" w:line="280" w:lineRule="atLeast"/>
      </w:pPr>
      <w:r>
        <w:t>existing reform initiatives, and the progress made in each jurisdiction</w:t>
      </w:r>
    </w:p>
    <w:p w14:paraId="7956ADDD" w14:textId="01AEF80C" w:rsidR="009B11AD" w:rsidRDefault="009B11AD" w:rsidP="00D5075E">
      <w:pPr>
        <w:pStyle w:val="ListBullet"/>
        <w:spacing w:before="100" w:line="280" w:lineRule="atLeast"/>
      </w:pPr>
      <w:r>
        <w:t xml:space="preserve">the priorities of each </w:t>
      </w:r>
      <w:r w:rsidR="002A663A">
        <w:t>primary health network (</w:t>
      </w:r>
      <w:r>
        <w:t>PHN</w:t>
      </w:r>
      <w:r w:rsidR="002A663A">
        <w:t>)</w:t>
      </w:r>
      <w:r>
        <w:t xml:space="preserve"> and </w:t>
      </w:r>
      <w:r w:rsidR="000A549B">
        <w:t>local h</w:t>
      </w:r>
      <w:r w:rsidR="00C21665">
        <w:t>ospital network</w:t>
      </w:r>
      <w:r w:rsidR="00F21301">
        <w:t xml:space="preserve"> (</w:t>
      </w:r>
      <w:r>
        <w:t>LHN</w:t>
      </w:r>
      <w:r w:rsidR="00F21301">
        <w:rPr>
          <w:rStyle w:val="FootnoteReference"/>
        </w:rPr>
        <w:footnoteReference w:id="2"/>
      </w:r>
      <w:r w:rsidR="00F21301">
        <w:t>)</w:t>
      </w:r>
      <w:r>
        <w:t xml:space="preserve"> to address the health needs of the people in their specific catchment areas</w:t>
      </w:r>
    </w:p>
    <w:p w14:paraId="349550E3" w14:textId="23C28EEB" w:rsidR="009B11AD" w:rsidRDefault="009B11AD" w:rsidP="00D5075E">
      <w:pPr>
        <w:pStyle w:val="ListBullet"/>
        <w:spacing w:before="100" w:line="280" w:lineRule="atLeast"/>
      </w:pPr>
      <w:r>
        <w:t>funding pressures, which vary by jurisdiction.</w:t>
      </w:r>
    </w:p>
    <w:p w14:paraId="43106EED" w14:textId="79F1A5B5" w:rsidR="00097008" w:rsidRDefault="00097D9C" w:rsidP="00DF772D">
      <w:pPr>
        <w:pStyle w:val="BodyText"/>
      </w:pPr>
      <w:r>
        <w:lastRenderedPageBreak/>
        <w:t>Nonetheless, some</w:t>
      </w:r>
      <w:r w:rsidR="00E00FDC">
        <w:t xml:space="preserve"> </w:t>
      </w:r>
      <w:r w:rsidR="00097008">
        <w:t xml:space="preserve">of </w:t>
      </w:r>
      <w:r w:rsidR="00DF772D">
        <w:t xml:space="preserve">the </w:t>
      </w:r>
      <w:r w:rsidR="00E00FDC">
        <w:t xml:space="preserve">innovations included in </w:t>
      </w:r>
      <w:r w:rsidR="00097008">
        <w:t>the Commission’s</w:t>
      </w:r>
      <w:r w:rsidR="007F19D9">
        <w:t xml:space="preserve"> report</w:t>
      </w:r>
      <w:r w:rsidR="00E00FDC">
        <w:t xml:space="preserve"> </w:t>
      </w:r>
      <w:r>
        <w:t xml:space="preserve">could be considered </w:t>
      </w:r>
      <w:r w:rsidR="0080295B">
        <w:t xml:space="preserve">for </w:t>
      </w:r>
      <w:r w:rsidR="001A2B38">
        <w:t>wider</w:t>
      </w:r>
      <w:r w:rsidR="00B87710">
        <w:t xml:space="preserve"> and </w:t>
      </w:r>
      <w:r w:rsidR="00793E7F">
        <w:t>timely</w:t>
      </w:r>
      <w:r w:rsidR="0080295B">
        <w:t xml:space="preserve"> implementation across Australia</w:t>
      </w:r>
      <w:r w:rsidR="00DA53EF">
        <w:t xml:space="preserve"> as they </w:t>
      </w:r>
      <w:r w:rsidR="00625014">
        <w:t>have</w:t>
      </w:r>
      <w:r w:rsidR="00DA53EF">
        <w:t xml:space="preserve"> proven </w:t>
      </w:r>
      <w:r w:rsidR="00625014">
        <w:t>outcomes and have demonstrated scalability</w:t>
      </w:r>
      <w:r w:rsidR="0080295B">
        <w:t xml:space="preserve">. </w:t>
      </w:r>
    </w:p>
    <w:p w14:paraId="7718B79A" w14:textId="2169644C" w:rsidR="00DF772D" w:rsidRDefault="007631C2" w:rsidP="00DF772D">
      <w:pPr>
        <w:pStyle w:val="BodyText"/>
      </w:pPr>
      <w:r>
        <w:t xml:space="preserve">Innovations that fall into </w:t>
      </w:r>
      <w:r w:rsidR="0080295B">
        <w:t>this</w:t>
      </w:r>
      <w:r>
        <w:t xml:space="preserve"> group </w:t>
      </w:r>
      <w:r w:rsidR="003C377E">
        <w:t xml:space="preserve">— </w:t>
      </w:r>
      <w:r>
        <w:t>Nellie, Monash Watch</w:t>
      </w:r>
      <w:r w:rsidR="00597A04">
        <w:t>,</w:t>
      </w:r>
      <w:r>
        <w:t xml:space="preserve"> Primary Sense</w:t>
      </w:r>
      <w:r w:rsidR="00905C57">
        <w:t xml:space="preserve">, Smart Referrals </w:t>
      </w:r>
      <w:r w:rsidR="00E97C29">
        <w:t xml:space="preserve">and </w:t>
      </w:r>
      <w:r w:rsidR="00905C57">
        <w:t xml:space="preserve">Lumos </w:t>
      </w:r>
      <w:r w:rsidR="003C377E">
        <w:t xml:space="preserve">— </w:t>
      </w:r>
      <w:r w:rsidR="00905C57">
        <w:t xml:space="preserve">could be adopted </w:t>
      </w:r>
      <w:r w:rsidR="00E97C29">
        <w:t>by</w:t>
      </w:r>
      <w:r w:rsidR="00905C57">
        <w:t xml:space="preserve"> all jurisdictions. </w:t>
      </w:r>
      <w:r w:rsidR="000B15AB">
        <w:t xml:space="preserve">Health </w:t>
      </w:r>
      <w:r w:rsidR="00411410">
        <w:t xml:space="preserve">service </w:t>
      </w:r>
      <w:r w:rsidR="000B15AB">
        <w:t xml:space="preserve">organisations could still choose to implement other initiatives that comprise similar </w:t>
      </w:r>
      <w:r w:rsidR="00D070E2">
        <w:t>features</w:t>
      </w:r>
      <w:r w:rsidR="000B15AB">
        <w:t xml:space="preserve">, but these specific innovations have the potential to help a large number of people and are ready to be rolled out </w:t>
      </w:r>
      <w:r w:rsidR="006B59DF">
        <w:t>more widel</w:t>
      </w:r>
      <w:r w:rsidR="00171473">
        <w:t>y</w:t>
      </w:r>
      <w:r w:rsidR="000B15AB">
        <w:t xml:space="preserve">. </w:t>
      </w:r>
      <w:r w:rsidR="008A6B98">
        <w:t xml:space="preserve">While not all </w:t>
      </w:r>
      <w:r w:rsidR="005A00D7">
        <w:t>jurisdictions</w:t>
      </w:r>
      <w:r w:rsidR="008A6B98">
        <w:t xml:space="preserve"> may wish to </w:t>
      </w:r>
      <w:r w:rsidR="005A00D7">
        <w:t xml:space="preserve">copy </w:t>
      </w:r>
      <w:proofErr w:type="spellStart"/>
      <w:r w:rsidR="00D41FA7">
        <w:t>HealthLinks</w:t>
      </w:r>
      <w:proofErr w:type="spellEnd"/>
      <w:r w:rsidR="00D41FA7">
        <w:t xml:space="preserve"> and Collaborative Commissioning</w:t>
      </w:r>
      <w:r w:rsidR="008C0BC7">
        <w:t xml:space="preserve"> in their entirety</w:t>
      </w:r>
      <w:r w:rsidR="00D41FA7">
        <w:t xml:space="preserve">, these novel </w:t>
      </w:r>
      <w:r w:rsidR="00CB3098">
        <w:t xml:space="preserve">arrangements </w:t>
      </w:r>
      <w:r w:rsidR="008E5B43">
        <w:t>offer</w:t>
      </w:r>
      <w:r w:rsidR="00CB3098">
        <w:t xml:space="preserve"> </w:t>
      </w:r>
      <w:r w:rsidR="008C0BC7">
        <w:t>lessons</w:t>
      </w:r>
      <w:r w:rsidR="00CB3098">
        <w:t xml:space="preserve"> for the development of </w:t>
      </w:r>
      <w:r w:rsidR="000C1645">
        <w:t>funding approaches</w:t>
      </w:r>
      <w:r w:rsidR="005A00D7">
        <w:t xml:space="preserve"> that </w:t>
      </w:r>
      <w:r w:rsidR="00D46403">
        <w:t xml:space="preserve">provide </w:t>
      </w:r>
      <w:r w:rsidR="001B588D">
        <w:t xml:space="preserve">the </w:t>
      </w:r>
      <w:r w:rsidR="00C31FA4">
        <w:t>resources</w:t>
      </w:r>
      <w:r w:rsidR="001B588D">
        <w:t xml:space="preserve"> and </w:t>
      </w:r>
      <w:r w:rsidR="00D46403">
        <w:t xml:space="preserve">incentives </w:t>
      </w:r>
      <w:r w:rsidR="001B588D">
        <w:t xml:space="preserve">to reduce </w:t>
      </w:r>
      <w:r w:rsidR="004B32B9">
        <w:t>avoidable</w:t>
      </w:r>
      <w:r w:rsidR="00652A97">
        <w:t xml:space="preserve"> </w:t>
      </w:r>
      <w:r w:rsidR="004B32B9">
        <w:t>hospitalisation</w:t>
      </w:r>
      <w:r w:rsidR="00CC61C7">
        <w:t>.</w:t>
      </w:r>
      <w:r w:rsidR="00E70433">
        <w:t xml:space="preserve"> </w:t>
      </w:r>
    </w:p>
    <w:p w14:paraId="777776B3" w14:textId="450C998F" w:rsidR="00097008" w:rsidRDefault="005E1323" w:rsidP="00DF772D">
      <w:pPr>
        <w:pStyle w:val="BodyText"/>
      </w:pPr>
      <w:r>
        <w:t>Other</w:t>
      </w:r>
      <w:r w:rsidR="00097008">
        <w:t xml:space="preserve"> </w:t>
      </w:r>
      <w:r w:rsidR="006B59DF">
        <w:t>interventions</w:t>
      </w:r>
      <w:r w:rsidR="00097008">
        <w:t xml:space="preserve"> </w:t>
      </w:r>
      <w:r>
        <w:t>mentioned in the report</w:t>
      </w:r>
      <w:r w:rsidR="00097008">
        <w:t xml:space="preserve"> have strong innovative attributes but are tailored to </w:t>
      </w:r>
      <w:r>
        <w:t xml:space="preserve">the </w:t>
      </w:r>
      <w:r w:rsidR="00097008">
        <w:t>needs of specific populations</w:t>
      </w:r>
      <w:r w:rsidR="00B115C8">
        <w:t xml:space="preserve"> and health professionals</w:t>
      </w:r>
      <w:r w:rsidR="00097008">
        <w:t>.</w:t>
      </w:r>
      <w:r w:rsidR="000B7C8C">
        <w:t xml:space="preserve"> Health organisations could consider adopting these interventions or adapting some o</w:t>
      </w:r>
      <w:r w:rsidR="00CD1521">
        <w:t>f</w:t>
      </w:r>
      <w:r w:rsidR="000B7C8C">
        <w:t xml:space="preserve"> their </w:t>
      </w:r>
      <w:r w:rsidR="00CD1521">
        <w:t xml:space="preserve">key elements when they are seeking to </w:t>
      </w:r>
      <w:r w:rsidR="00171473">
        <w:t xml:space="preserve">improve the care they deliver to vulnerable populations or streamline workflows. </w:t>
      </w:r>
    </w:p>
    <w:p w14:paraId="510F29CB" w14:textId="3C73B2A6" w:rsidR="00FC6628" w:rsidDel="008853FC" w:rsidRDefault="00FC6628" w:rsidP="00FC6628">
      <w:pPr>
        <w:pStyle w:val="Heading2"/>
        <w:ind w:left="0" w:firstLine="0"/>
      </w:pPr>
      <w:r w:rsidDel="008853FC">
        <w:t xml:space="preserve">Enabling wider implementation of </w:t>
      </w:r>
      <w:r w:rsidR="0021735C" w:rsidDel="008853FC">
        <w:t>innovation</w:t>
      </w:r>
      <w:r w:rsidDel="008853FC">
        <w:t xml:space="preserve"> </w:t>
      </w:r>
    </w:p>
    <w:p w14:paraId="23981CB7" w14:textId="3259B4DF" w:rsidR="007D2C98" w:rsidRPr="006921B3" w:rsidRDefault="007E3A68" w:rsidP="00033AD8">
      <w:pPr>
        <w:pStyle w:val="BodyText"/>
      </w:pPr>
      <w:r>
        <w:t>During</w:t>
      </w:r>
      <w:r w:rsidR="00FF7B28">
        <w:t xml:space="preserve"> the Commission’s consultation on innovative health care, nearly all stakeholders pointed to three barriers to </w:t>
      </w:r>
      <w:r w:rsidR="008511B0">
        <w:t>sustainable innovation: funding structures</w:t>
      </w:r>
      <w:r w:rsidR="00321A33">
        <w:t xml:space="preserve">, </w:t>
      </w:r>
      <w:r w:rsidR="008511B0">
        <w:t>insufficient use of health data and slow diffusion of best practice. The recommendations below address each of these</w:t>
      </w:r>
      <w:r w:rsidR="00C42A11">
        <w:t xml:space="preserve"> areas</w:t>
      </w:r>
      <w:r w:rsidR="00C42A11" w:rsidDel="00CC7F2A">
        <w:t xml:space="preserve">. </w:t>
      </w:r>
      <w:r w:rsidR="007D2C98" w:rsidRPr="006921B3">
        <w:t>Implementing the Commission’s recommendations would:</w:t>
      </w:r>
    </w:p>
    <w:p w14:paraId="1D925C25" w14:textId="77777777" w:rsidR="007D2C98" w:rsidRPr="006921B3" w:rsidRDefault="007D2C98" w:rsidP="007D2C98">
      <w:pPr>
        <w:pStyle w:val="ListBullet"/>
      </w:pPr>
      <w:r w:rsidRPr="006921B3">
        <w:t>facilitate the wider adoption of the successful innovations featured as case studies</w:t>
      </w:r>
    </w:p>
    <w:p w14:paraId="15E2BDB7" w14:textId="29F5974E" w:rsidR="00FC6628" w:rsidRDefault="007D2C98" w:rsidP="00E643F1">
      <w:pPr>
        <w:pStyle w:val="ListBullet"/>
      </w:pPr>
      <w:r w:rsidRPr="006921B3">
        <w:t xml:space="preserve">enhance the likelihood that a larger number of successful healthcare innovations will emerge in the future. </w:t>
      </w:r>
    </w:p>
    <w:p w14:paraId="04CE921A" w14:textId="77777777" w:rsidR="00FC6628" w:rsidRDefault="00FC6628" w:rsidP="00FC6628">
      <w:pPr>
        <w:pStyle w:val="Heading2"/>
      </w:pPr>
      <w:r w:rsidRPr="003D71DA">
        <w:t>1.</w:t>
      </w:r>
      <w:r>
        <w:t xml:space="preserve"> Make funding more flexible</w:t>
      </w:r>
    </w:p>
    <w:p w14:paraId="03C7A972" w14:textId="3EFD7AF5" w:rsidR="00FC6628" w:rsidRDefault="00FC6628" w:rsidP="00FC6628">
      <w:pPr>
        <w:pStyle w:val="Heading3"/>
        <w:spacing w:before="280"/>
      </w:pPr>
      <w:r>
        <w:t xml:space="preserve">Flexible funding for PHNs </w:t>
      </w:r>
    </w:p>
    <w:p w14:paraId="1DBC1E28" w14:textId="283F0F8F" w:rsidR="00FC6628" w:rsidRDefault="007E11FE" w:rsidP="00FC6628">
      <w:pPr>
        <w:pStyle w:val="BodyText"/>
      </w:pPr>
      <w:r>
        <w:t xml:space="preserve">Many </w:t>
      </w:r>
      <w:r w:rsidR="00FC6628">
        <w:t xml:space="preserve">PHNs </w:t>
      </w:r>
      <w:r>
        <w:t>have developed</w:t>
      </w:r>
      <w:r w:rsidR="00FC6628">
        <w:t xml:space="preserve"> a track record of using their flexible funding allocations to develop programs that deliver cost</w:t>
      </w:r>
      <w:r w:rsidR="005B190E">
        <w:noBreakHyphen/>
      </w:r>
      <w:r w:rsidR="00FC6628">
        <w:t xml:space="preserve">effective improvements in care. </w:t>
      </w:r>
      <w:r w:rsidR="001B2C58">
        <w:t>Several</w:t>
      </w:r>
      <w:r w:rsidR="00FC6628">
        <w:t xml:space="preserve"> of the successful programs featured in </w:t>
      </w:r>
      <w:r w:rsidR="00FC6628" w:rsidRPr="005F05A4">
        <w:rPr>
          <w:i/>
          <w:iCs/>
        </w:rPr>
        <w:t>Innovations in Care for Chronic Health Conditions</w:t>
      </w:r>
      <w:r w:rsidR="00FC6628">
        <w:t xml:space="preserve"> relied </w:t>
      </w:r>
      <w:r w:rsidR="008931EC">
        <w:t>— in wh</w:t>
      </w:r>
      <w:r w:rsidR="008D6E8D">
        <w:t>o</w:t>
      </w:r>
      <w:r w:rsidR="008931EC">
        <w:t xml:space="preserve">le or in part — </w:t>
      </w:r>
      <w:r w:rsidR="00FC6628">
        <w:t xml:space="preserve">on PHNs’ flexible funds. They include Nellie (case study 1), </w:t>
      </w:r>
      <w:r w:rsidR="00FC6628" w:rsidRPr="009F4233">
        <w:t>Turning Pain into Gain (case study 2)</w:t>
      </w:r>
      <w:r w:rsidR="00FC6628">
        <w:t xml:space="preserve">, </w:t>
      </w:r>
      <w:proofErr w:type="spellStart"/>
      <w:r w:rsidR="00FC6628" w:rsidRPr="00C15174">
        <w:t>WentWest’s</w:t>
      </w:r>
      <w:proofErr w:type="spellEnd"/>
      <w:r w:rsidR="00FC6628" w:rsidRPr="00C15174">
        <w:t xml:space="preserve"> General Practice Pharmacist program</w:t>
      </w:r>
      <w:r w:rsidR="00FC6628">
        <w:t xml:space="preserve"> (case study 5), </w:t>
      </w:r>
      <w:r w:rsidR="00FC6628" w:rsidRPr="00BD2E8D">
        <w:rPr>
          <w:noProof/>
        </w:rPr>
        <w:t>Western Sydney’s COVID</w:t>
      </w:r>
      <w:r w:rsidR="005B190E">
        <w:rPr>
          <w:noProof/>
        </w:rPr>
        <w:noBreakHyphen/>
      </w:r>
      <w:r w:rsidR="00FC6628" w:rsidRPr="00BD2E8D">
        <w:rPr>
          <w:noProof/>
        </w:rPr>
        <w:t>19 response</w:t>
      </w:r>
      <w:r w:rsidR="00FC6628">
        <w:rPr>
          <w:noProof/>
        </w:rPr>
        <w:t xml:space="preserve"> (case study 8), </w:t>
      </w:r>
      <w:r w:rsidR="00FC6628" w:rsidRPr="0097194C">
        <w:t>The Collaborative</w:t>
      </w:r>
      <w:r w:rsidR="00FC6628">
        <w:t xml:space="preserve"> (case study 10), </w:t>
      </w:r>
      <w:r w:rsidR="00FC6628" w:rsidRPr="00AE3B7B">
        <w:t>Primary Sense</w:t>
      </w:r>
      <w:r w:rsidR="00FC6628">
        <w:t xml:space="preserve"> (case study 11) and </w:t>
      </w:r>
      <w:r w:rsidR="00FC6628" w:rsidRPr="005A21AE">
        <w:t>Collaborative Commissioning</w:t>
      </w:r>
      <w:r w:rsidR="00FC6628">
        <w:t xml:space="preserve"> (case study 16). </w:t>
      </w:r>
    </w:p>
    <w:p w14:paraId="54DDB0A8" w14:textId="430C3AD7" w:rsidR="00FC6628" w:rsidRDefault="00FC6628" w:rsidP="00FC6628">
      <w:pPr>
        <w:pStyle w:val="BodyText"/>
      </w:pPr>
      <w:r>
        <w:t xml:space="preserve">But PHNs have </w:t>
      </w:r>
      <w:r w:rsidR="00B3771F">
        <w:t>limited flexible funding for such programs</w:t>
      </w:r>
      <w:r>
        <w:t xml:space="preserve">. </w:t>
      </w:r>
      <w:r w:rsidRPr="000437B7">
        <w:t xml:space="preserve">On average, each PHN </w:t>
      </w:r>
      <w:r w:rsidR="006B79AD">
        <w:t xml:space="preserve">receives </w:t>
      </w:r>
      <w:r w:rsidRPr="000437B7">
        <w:t xml:space="preserve">about $11.5 million each year to fund improvements in the effectiveness and efficiency of </w:t>
      </w:r>
      <w:r w:rsidRPr="000437B7">
        <w:lastRenderedPageBreak/>
        <w:t xml:space="preserve">health services, promote better health outcomes for key population groups, and also cover </w:t>
      </w:r>
      <w:r>
        <w:t xml:space="preserve">the PHN’s </w:t>
      </w:r>
      <w:r w:rsidRPr="000437B7">
        <w:t xml:space="preserve">operating costs. This funding </w:t>
      </w:r>
      <w:r>
        <w:t>represents</w:t>
      </w:r>
      <w:r w:rsidRPr="000437B7">
        <w:t>, in aggregate, 27% of the total annual budget of PHNs</w:t>
      </w:r>
      <w:r w:rsidR="00916D15">
        <w:t xml:space="preserve"> (</w:t>
      </w:r>
      <w:r w:rsidRPr="000437B7">
        <w:t>less than 0.2% of total health expenditure</w:t>
      </w:r>
      <w:r w:rsidR="00916D15">
        <w:t xml:space="preserve">), </w:t>
      </w:r>
      <w:r w:rsidR="00694656">
        <w:t>but only some fraction of this is genuinely available as a source of funding for innovation</w:t>
      </w:r>
      <w:r>
        <w:t xml:space="preserve">. </w:t>
      </w:r>
    </w:p>
    <w:p w14:paraId="1C966B49" w14:textId="155ECE86" w:rsidR="004D621E" w:rsidRDefault="00FC6628" w:rsidP="00FC6628">
      <w:pPr>
        <w:pStyle w:val="BodyText"/>
      </w:pPr>
      <w:r w:rsidRPr="000437B7">
        <w:t>This limited funding makes it difficult to achieve larger</w:t>
      </w:r>
      <w:r w:rsidR="001875FD">
        <w:noBreakHyphen/>
      </w:r>
      <w:r w:rsidRPr="000437B7">
        <w:t>scale innovation</w:t>
      </w:r>
      <w:r>
        <w:t xml:space="preserve">. Instead, </w:t>
      </w:r>
      <w:r w:rsidRPr="000437B7">
        <w:t>PHN</w:t>
      </w:r>
      <w:r w:rsidR="00DF274D">
        <w:t>s must limit their innovation to</w:t>
      </w:r>
      <w:r w:rsidRPr="000437B7">
        <w:t xml:space="preserve"> </w:t>
      </w:r>
      <w:r w:rsidR="00DF274D">
        <w:t xml:space="preserve">a few </w:t>
      </w:r>
      <w:r w:rsidRPr="000437B7">
        <w:t xml:space="preserve">chronic conditions </w:t>
      </w:r>
      <w:r w:rsidR="00F55E09">
        <w:t xml:space="preserve">and </w:t>
      </w:r>
      <w:r w:rsidRPr="000437B7">
        <w:t>clinical practice</w:t>
      </w:r>
      <w:r w:rsidR="00DF274D">
        <w:t>s</w:t>
      </w:r>
      <w:r w:rsidR="00366673">
        <w:t>, and usually at small scale</w:t>
      </w:r>
      <w:r w:rsidRPr="000437B7">
        <w:t xml:space="preserve">. </w:t>
      </w:r>
      <w:r>
        <w:t xml:space="preserve">It also makes it </w:t>
      </w:r>
      <w:r w:rsidR="00894B48">
        <w:t>challengin</w:t>
      </w:r>
      <w:r w:rsidR="004276C6">
        <w:t>g</w:t>
      </w:r>
      <w:r>
        <w:t xml:space="preserve"> for PHNs to </w:t>
      </w:r>
      <w:r w:rsidRPr="000437B7">
        <w:t xml:space="preserve">adopt programs that have worked well elsewhere. </w:t>
      </w:r>
      <w:r>
        <w:t xml:space="preserve">For example, </w:t>
      </w:r>
      <w:r w:rsidR="00893C4F">
        <w:t>under current funding allocations</w:t>
      </w:r>
      <w:r>
        <w:t xml:space="preserve">, </w:t>
      </w:r>
      <w:r w:rsidR="00996178">
        <w:t>the</w:t>
      </w:r>
      <w:r>
        <w:t xml:space="preserve"> South East Melbourne PHN </w:t>
      </w:r>
      <w:r w:rsidR="00F87A5D">
        <w:t xml:space="preserve">would most likely need to cease funding its Nellie program (case study 1) </w:t>
      </w:r>
      <w:r>
        <w:t xml:space="preserve">to have sufficient funds to adopt </w:t>
      </w:r>
      <w:r w:rsidR="00420DC4">
        <w:t>Primary Sense</w:t>
      </w:r>
      <w:r>
        <w:t xml:space="preserve"> </w:t>
      </w:r>
      <w:r w:rsidRPr="009F4233">
        <w:t xml:space="preserve">(case </w:t>
      </w:r>
      <w:r w:rsidR="00420DC4" w:rsidRPr="009F4233">
        <w:t>study</w:t>
      </w:r>
      <w:r w:rsidR="00420DC4">
        <w:t> </w:t>
      </w:r>
      <w:r w:rsidR="00373B4B">
        <w:t>11</w:t>
      </w:r>
      <w:r w:rsidRPr="009F4233">
        <w:t>)</w:t>
      </w:r>
      <w:r>
        <w:t xml:space="preserve">, and vice versa. This would be a poor outcome, as both </w:t>
      </w:r>
      <w:r w:rsidR="004D621E">
        <w:t xml:space="preserve">initiatives </w:t>
      </w:r>
      <w:r>
        <w:t>have strong potential for successful implementation throughout Australia.</w:t>
      </w:r>
      <w:r w:rsidR="00526B88">
        <w:t xml:space="preserve"> </w:t>
      </w:r>
      <w:r w:rsidR="00BC07DB">
        <w:t xml:space="preserve">This suggests </w:t>
      </w:r>
      <w:r w:rsidR="00AF37CE">
        <w:t>there should</w:t>
      </w:r>
      <w:r w:rsidR="00BC07DB">
        <w:t xml:space="preserve"> </w:t>
      </w:r>
      <w:r w:rsidR="006D4BF2">
        <w:t xml:space="preserve">be </w:t>
      </w:r>
      <w:r w:rsidR="00061A78">
        <w:t>more flexible funding for innovation</w:t>
      </w:r>
      <w:r w:rsidR="00957787">
        <w:t xml:space="preserve"> and its absorption.</w:t>
      </w:r>
      <w:r w:rsidR="006C6DCA">
        <w:t xml:space="preserve"> </w:t>
      </w:r>
      <w:r w:rsidR="00FF354A">
        <w:t xml:space="preserve">Such flexibility could take two forms. </w:t>
      </w:r>
    </w:p>
    <w:p w14:paraId="15123CBF" w14:textId="60B47B14" w:rsidR="000D7749" w:rsidRDefault="00FF354A" w:rsidP="00FC6628">
      <w:pPr>
        <w:pStyle w:val="BodyText"/>
      </w:pPr>
      <w:r>
        <w:t>One option</w:t>
      </w:r>
      <w:r w:rsidR="00494608">
        <w:t xml:space="preserve"> would be to </w:t>
      </w:r>
      <w:r w:rsidR="00A02A4B">
        <w:t xml:space="preserve">allow more spending </w:t>
      </w:r>
      <w:r w:rsidR="00BA2E24">
        <w:t>flexibility</w:t>
      </w:r>
      <w:r w:rsidR="00A02A4B">
        <w:t xml:space="preserve"> by PHNs within the current funding envelope</w:t>
      </w:r>
      <w:r w:rsidR="004D621E">
        <w:t>. B</w:t>
      </w:r>
      <w:r w:rsidR="00413F2B">
        <w:t xml:space="preserve">y definition, this </w:t>
      </w:r>
      <w:r w:rsidR="004D621E">
        <w:t xml:space="preserve">would require </w:t>
      </w:r>
      <w:r w:rsidR="00F02A6C">
        <w:t xml:space="preserve">that </w:t>
      </w:r>
      <w:r w:rsidR="004D621E">
        <w:t xml:space="preserve">the Australian Government reduce </w:t>
      </w:r>
      <w:r w:rsidR="00496B11">
        <w:t xml:space="preserve">the </w:t>
      </w:r>
      <w:r w:rsidR="00041A18">
        <w:t xml:space="preserve">scope </w:t>
      </w:r>
      <w:r w:rsidR="00496B11">
        <w:t>and</w:t>
      </w:r>
      <w:r w:rsidR="000D53DA">
        <w:t xml:space="preserve"> level of funding for </w:t>
      </w:r>
      <w:r w:rsidR="00293091">
        <w:t xml:space="preserve">the </w:t>
      </w:r>
      <w:r w:rsidR="000F724C">
        <w:t xml:space="preserve">specific </w:t>
      </w:r>
      <w:r w:rsidR="00293091">
        <w:t>activities it prescribes for PHNs</w:t>
      </w:r>
      <w:r w:rsidR="00DF3F16">
        <w:t xml:space="preserve">. </w:t>
      </w:r>
      <w:r w:rsidR="00050E65">
        <w:t xml:space="preserve">An </w:t>
      </w:r>
      <w:r w:rsidR="00156636">
        <w:t xml:space="preserve">alternative </w:t>
      </w:r>
      <w:r w:rsidR="00050E65">
        <w:t xml:space="preserve">(or complementary) </w:t>
      </w:r>
      <w:r w:rsidR="00156636">
        <w:t xml:space="preserve">option is to increase the </w:t>
      </w:r>
      <w:r w:rsidR="00050E65">
        <w:t xml:space="preserve">total funding of PHNs and </w:t>
      </w:r>
      <w:r w:rsidR="00E21E01">
        <w:t xml:space="preserve">add this to the </w:t>
      </w:r>
      <w:r w:rsidR="00E02F79">
        <w:t xml:space="preserve">pool available </w:t>
      </w:r>
      <w:r w:rsidR="00156636" w:rsidDel="001F3CC8">
        <w:t>for</w:t>
      </w:r>
      <w:r w:rsidR="00156636">
        <w:t xml:space="preserve"> flexible use by PHNs. </w:t>
      </w:r>
      <w:r w:rsidR="00D50710">
        <w:t>While an increase in PHN budgets is</w:t>
      </w:r>
      <w:r w:rsidR="00A03A78">
        <w:t xml:space="preserve"> more likely to secure </w:t>
      </w:r>
      <w:r w:rsidR="00F568D3">
        <w:t>greater innovation</w:t>
      </w:r>
      <w:r w:rsidR="00D30825">
        <w:t xml:space="preserve">, </w:t>
      </w:r>
      <w:r w:rsidR="00D50710">
        <w:t xml:space="preserve">allowing PHNs </w:t>
      </w:r>
      <w:r w:rsidR="00D30825">
        <w:t>more flexibility within the</w:t>
      </w:r>
      <w:r w:rsidR="00D50710">
        <w:t>ir</w:t>
      </w:r>
      <w:r w:rsidR="00D30825">
        <w:t xml:space="preserve"> </w:t>
      </w:r>
      <w:r w:rsidR="0010649C">
        <w:t xml:space="preserve">current budgets would </w:t>
      </w:r>
      <w:r w:rsidR="00103BE1">
        <w:t xml:space="preserve">still </w:t>
      </w:r>
      <w:r w:rsidR="00F04D65">
        <w:t>be beneficial</w:t>
      </w:r>
      <w:r w:rsidR="00AD772A">
        <w:t>.</w:t>
      </w:r>
    </w:p>
    <w:p w14:paraId="62EF6E97" w14:textId="3B61276C" w:rsidR="0041246E" w:rsidRPr="0089756D" w:rsidRDefault="0001094D" w:rsidP="0041246E">
      <w:pPr>
        <w:pStyle w:val="BodyText"/>
        <w:rPr>
          <w:spacing w:val="-2"/>
        </w:rPr>
      </w:pPr>
      <w:r w:rsidRPr="0089756D">
        <w:rPr>
          <w:spacing w:val="-2"/>
        </w:rPr>
        <w:t>T</w:t>
      </w:r>
      <w:r w:rsidR="00374EDA" w:rsidRPr="0089756D">
        <w:rPr>
          <w:spacing w:val="-2"/>
        </w:rPr>
        <w:t xml:space="preserve">o </w:t>
      </w:r>
      <w:r w:rsidR="002C0999" w:rsidRPr="0089756D">
        <w:rPr>
          <w:spacing w:val="-2"/>
        </w:rPr>
        <w:t>achieve their intended ou</w:t>
      </w:r>
      <w:r w:rsidR="005953AD" w:rsidRPr="0089756D">
        <w:rPr>
          <w:spacing w:val="-2"/>
        </w:rPr>
        <w:t>tcomes</w:t>
      </w:r>
      <w:r w:rsidRPr="0089756D">
        <w:rPr>
          <w:spacing w:val="-2"/>
        </w:rPr>
        <w:t xml:space="preserve">, funding changes should </w:t>
      </w:r>
      <w:r w:rsidR="00061F6E" w:rsidRPr="0089756D">
        <w:rPr>
          <w:spacing w:val="-2"/>
        </w:rPr>
        <w:t xml:space="preserve">encourage a culture of innovation </w:t>
      </w:r>
      <w:r w:rsidR="00EB5353" w:rsidRPr="0089756D">
        <w:rPr>
          <w:spacing w:val="-2"/>
        </w:rPr>
        <w:t>by PHNs</w:t>
      </w:r>
      <w:r w:rsidR="00C86029" w:rsidRPr="0089756D">
        <w:rPr>
          <w:spacing w:val="-2"/>
        </w:rPr>
        <w:t>, promoting a</w:t>
      </w:r>
      <w:r w:rsidR="00925E32" w:rsidRPr="0089756D">
        <w:rPr>
          <w:spacing w:val="-2"/>
        </w:rPr>
        <w:t xml:space="preserve"> </w:t>
      </w:r>
      <w:r w:rsidR="008666BD" w:rsidRPr="0089756D">
        <w:rPr>
          <w:spacing w:val="-2"/>
        </w:rPr>
        <w:t xml:space="preserve">purposeful pursuit of </w:t>
      </w:r>
      <w:r w:rsidR="00DC3264" w:rsidRPr="0089756D">
        <w:rPr>
          <w:spacing w:val="-2"/>
        </w:rPr>
        <w:t>the development</w:t>
      </w:r>
      <w:r w:rsidR="008666BD" w:rsidRPr="0089756D">
        <w:rPr>
          <w:spacing w:val="-2"/>
        </w:rPr>
        <w:t xml:space="preserve"> and adopti</w:t>
      </w:r>
      <w:r w:rsidR="00DC3264" w:rsidRPr="0089756D">
        <w:rPr>
          <w:spacing w:val="-2"/>
        </w:rPr>
        <w:t>on</w:t>
      </w:r>
      <w:r w:rsidR="00C17C19" w:rsidRPr="0089756D">
        <w:rPr>
          <w:spacing w:val="-2"/>
        </w:rPr>
        <w:t xml:space="preserve"> of</w:t>
      </w:r>
      <w:r w:rsidR="008666BD" w:rsidRPr="0089756D">
        <w:rPr>
          <w:spacing w:val="-2"/>
        </w:rPr>
        <w:t xml:space="preserve"> </w:t>
      </w:r>
      <w:r w:rsidR="004E25E4" w:rsidRPr="0089756D">
        <w:rPr>
          <w:spacing w:val="-2"/>
        </w:rPr>
        <w:t>innovations</w:t>
      </w:r>
      <w:r w:rsidR="009E6652" w:rsidRPr="0089756D">
        <w:rPr>
          <w:spacing w:val="-2"/>
        </w:rPr>
        <w:t xml:space="preserve">. This </w:t>
      </w:r>
      <w:r w:rsidR="00895E5C" w:rsidRPr="0089756D">
        <w:rPr>
          <w:spacing w:val="-2"/>
        </w:rPr>
        <w:t xml:space="preserve">would entail </w:t>
      </w:r>
      <w:r w:rsidR="00E060CC" w:rsidRPr="0089756D">
        <w:rPr>
          <w:spacing w:val="-2"/>
        </w:rPr>
        <w:t>changes in accountability</w:t>
      </w:r>
      <w:r w:rsidR="009A3C1B" w:rsidRPr="0089756D">
        <w:rPr>
          <w:spacing w:val="-2"/>
        </w:rPr>
        <w:t xml:space="preserve">, </w:t>
      </w:r>
      <w:r w:rsidR="00E060CC" w:rsidRPr="0089756D">
        <w:rPr>
          <w:spacing w:val="-2"/>
        </w:rPr>
        <w:t xml:space="preserve">rewards for </w:t>
      </w:r>
      <w:r w:rsidR="009A3C1B" w:rsidRPr="0089756D">
        <w:rPr>
          <w:spacing w:val="-2"/>
        </w:rPr>
        <w:t xml:space="preserve">innovation, and </w:t>
      </w:r>
      <w:r w:rsidR="00B737AE" w:rsidRPr="0089756D">
        <w:rPr>
          <w:spacing w:val="-2"/>
        </w:rPr>
        <w:t>a</w:t>
      </w:r>
      <w:r w:rsidR="00C05982" w:rsidRPr="0089756D">
        <w:rPr>
          <w:spacing w:val="-2"/>
        </w:rPr>
        <w:t xml:space="preserve"> balanced focus by senior management and PHN boards on innovation. </w:t>
      </w:r>
      <w:r w:rsidR="0099741C" w:rsidRPr="0089756D">
        <w:rPr>
          <w:spacing w:val="-2"/>
        </w:rPr>
        <w:t>A</w:t>
      </w:r>
      <w:r w:rsidR="00C05982" w:rsidRPr="0089756D">
        <w:rPr>
          <w:spacing w:val="-2"/>
        </w:rPr>
        <w:t xml:space="preserve"> </w:t>
      </w:r>
      <w:r w:rsidR="0041246E" w:rsidRPr="0089756D">
        <w:rPr>
          <w:spacing w:val="-2"/>
        </w:rPr>
        <w:t xml:space="preserve">review of PHN governance emphasised the importance of ensuring a balance in </w:t>
      </w:r>
      <w:r w:rsidR="00061F6E" w:rsidRPr="0089756D">
        <w:rPr>
          <w:spacing w:val="-2"/>
        </w:rPr>
        <w:t>board</w:t>
      </w:r>
      <w:r w:rsidR="0041246E" w:rsidRPr="0089756D">
        <w:rPr>
          <w:spacing w:val="-2"/>
        </w:rPr>
        <w:t xml:space="preserve"> considerations of stability and innovation in oversighting PHNs, noting the natural tendency for a focus on the former</w:t>
      </w:r>
      <w:r w:rsidR="009F0469" w:rsidRPr="0089756D">
        <w:rPr>
          <w:spacing w:val="-2"/>
        </w:rPr>
        <w:t>.</w:t>
      </w:r>
    </w:p>
    <w:p w14:paraId="1672720C" w14:textId="5EC06C6A" w:rsidR="0041246E" w:rsidRPr="008D26E6" w:rsidRDefault="0041246E" w:rsidP="0041246E">
      <w:pPr>
        <w:pStyle w:val="Quote"/>
      </w:pPr>
      <w:r>
        <w:t>The primary health sector, although functional, faces numerous problems. … the duplication, wastage and under</w:t>
      </w:r>
      <w:r w:rsidR="005B190E">
        <w:noBreakHyphen/>
      </w:r>
      <w:r>
        <w:t xml:space="preserve">utilised capacity that result from poor coordination adversely impact health outcomes for patients. The primary health system is not improving community health as much as it could. PHNs exist to improve health outcomes. They are best placed to do so if they seek to innovate rather than accept the status </w:t>
      </w:r>
      <w:r w:rsidRPr="008D26E6">
        <w:t>quo</w:t>
      </w:r>
      <w:r w:rsidR="00F02B5A">
        <w:t>.</w:t>
      </w:r>
      <w:r w:rsidR="00B246E0">
        <w:rPr>
          <w:rStyle w:val="FootnoteReference"/>
        </w:rPr>
        <w:footnoteReference w:id="3"/>
      </w:r>
      <w:r w:rsidRPr="008D26E6">
        <w:t xml:space="preserve"> </w:t>
      </w:r>
    </w:p>
    <w:p w14:paraId="4557A5EF" w14:textId="2523CECD" w:rsidR="002C06E3" w:rsidRPr="002C06E3" w:rsidRDefault="00526B88" w:rsidP="002C06E3">
      <w:pPr>
        <w:pStyle w:val="BodyText"/>
      </w:pPr>
      <w:r>
        <w:t xml:space="preserve">The </w:t>
      </w:r>
      <w:r w:rsidR="00B94119" w:rsidRPr="0097530D">
        <w:rPr>
          <w:i/>
          <w:iCs/>
        </w:rPr>
        <w:t>PHN Program Performance and Quality Framework</w:t>
      </w:r>
      <w:r w:rsidR="00B94119">
        <w:t xml:space="preserve"> </w:t>
      </w:r>
      <w:r w:rsidR="008F1F33">
        <w:t>measures</w:t>
      </w:r>
      <w:r w:rsidR="00F53899">
        <w:t xml:space="preserve"> whether a PHN makes </w:t>
      </w:r>
      <w:r w:rsidR="00E90617">
        <w:t xml:space="preserve">health system improvements and innovation. The latest report </w:t>
      </w:r>
      <w:r w:rsidR="00232BEF">
        <w:t>finds</w:t>
      </w:r>
      <w:r w:rsidR="00E90617">
        <w:t xml:space="preserve"> that 100% of PHNs ach</w:t>
      </w:r>
      <w:r w:rsidR="00BB58F3">
        <w:t>ie</w:t>
      </w:r>
      <w:r w:rsidR="00E90617">
        <w:t xml:space="preserve">ve that </w:t>
      </w:r>
      <w:r w:rsidR="00BB58F3">
        <w:t xml:space="preserve">goal, but given the vagueness of the </w:t>
      </w:r>
      <w:r w:rsidR="0009293D">
        <w:t>criteria</w:t>
      </w:r>
      <w:r w:rsidR="00232BEF">
        <w:t xml:space="preserve">, the result is not surprising or </w:t>
      </w:r>
      <w:r w:rsidR="0009293D">
        <w:t xml:space="preserve">useful for identifying the true scope of PHNs to be innovative. </w:t>
      </w:r>
      <w:r w:rsidR="00DA3AB8">
        <w:t>M</w:t>
      </w:r>
      <w:r w:rsidR="00E17040">
        <w:t xml:space="preserve">ore nuanced reporting </w:t>
      </w:r>
      <w:r w:rsidR="00DA44F7">
        <w:t xml:space="preserve">(for example, through defining specific outcomes achieved by innovation) </w:t>
      </w:r>
      <w:r w:rsidR="00DA3AB8">
        <w:t xml:space="preserve">in </w:t>
      </w:r>
      <w:r w:rsidR="00662827">
        <w:t>a</w:t>
      </w:r>
      <w:r w:rsidR="00DA3AB8">
        <w:t xml:space="preserve">n </w:t>
      </w:r>
      <w:r w:rsidR="00662827">
        <w:t xml:space="preserve">amended </w:t>
      </w:r>
      <w:r w:rsidR="00B94119">
        <w:t>reporting framework for PHN performance and quality</w:t>
      </w:r>
      <w:r w:rsidR="00DA3AB8">
        <w:t xml:space="preserve"> </w:t>
      </w:r>
      <w:r w:rsidR="00E17040">
        <w:t xml:space="preserve">would better measure the extent </w:t>
      </w:r>
      <w:r w:rsidR="00DA3AB8">
        <w:t xml:space="preserve">and quality </w:t>
      </w:r>
      <w:r w:rsidR="00E17040">
        <w:t>of innovation and its diffusion</w:t>
      </w:r>
      <w:r w:rsidR="00FD3B31">
        <w:t xml:space="preserve"> </w:t>
      </w:r>
      <w:r w:rsidR="00DA3AB8">
        <w:t>among different PHNs</w:t>
      </w:r>
      <w:r w:rsidR="008723B2">
        <w:t>. This</w:t>
      </w:r>
      <w:r w:rsidR="00FD3B31">
        <w:t xml:space="preserve"> would assist </w:t>
      </w:r>
      <w:r w:rsidR="00952ECD">
        <w:t xml:space="preserve">the </w:t>
      </w:r>
      <w:r w:rsidR="00952ECD">
        <w:lastRenderedPageBreak/>
        <w:t xml:space="preserve">Australian Government </w:t>
      </w:r>
      <w:r w:rsidR="00FD3B31">
        <w:t>to see how effectively flexible funding is translating into innovation</w:t>
      </w:r>
      <w:r w:rsidR="005F3ADE">
        <w:t>, and to identify PHNs that are under</w:t>
      </w:r>
      <w:r w:rsidR="005F3ADE">
        <w:noBreakHyphen/>
        <w:t xml:space="preserve">innovating. </w:t>
      </w:r>
      <w:r w:rsidR="00641F74">
        <w:t xml:space="preserve">Changes should avoid </w:t>
      </w:r>
      <w:r w:rsidR="00D81B20">
        <w:t>any significant increase in compliance burdens for PHNs</w:t>
      </w:r>
      <w:r w:rsidR="00EB6082">
        <w:t>.</w:t>
      </w:r>
    </w:p>
    <w:p w14:paraId="2CBA7388" w14:textId="0B73A5FB" w:rsidR="00491E07" w:rsidRDefault="003D648B" w:rsidP="00FC6628">
      <w:pPr>
        <w:pStyle w:val="BodyText"/>
      </w:pPr>
      <w:r>
        <w:t xml:space="preserve">There </w:t>
      </w:r>
      <w:r w:rsidR="009A6184">
        <w:t>are</w:t>
      </w:r>
      <w:r>
        <w:t xml:space="preserve"> also grounds </w:t>
      </w:r>
      <w:r w:rsidR="00663ECB">
        <w:t>to</w:t>
      </w:r>
      <w:r>
        <w:t xml:space="preserve"> </w:t>
      </w:r>
      <w:r w:rsidR="00DC5109">
        <w:t>provid</w:t>
      </w:r>
      <w:r w:rsidR="00663ECB">
        <w:t>e</w:t>
      </w:r>
      <w:r>
        <w:t xml:space="preserve"> </w:t>
      </w:r>
      <w:r w:rsidR="00663ECB" w:rsidRPr="0067350B">
        <w:rPr>
          <w:i/>
        </w:rPr>
        <w:t>individual</w:t>
      </w:r>
      <w:r w:rsidR="00663ECB">
        <w:t xml:space="preserve"> </w:t>
      </w:r>
      <w:r>
        <w:t xml:space="preserve">PHNs with additional </w:t>
      </w:r>
      <w:r w:rsidR="00177519">
        <w:t>untied</w:t>
      </w:r>
      <w:r>
        <w:t xml:space="preserve"> funding if they have demonstrated a </w:t>
      </w:r>
      <w:r w:rsidR="000A6A51">
        <w:t xml:space="preserve">strong </w:t>
      </w:r>
      <w:r>
        <w:t xml:space="preserve">capacity for </w:t>
      </w:r>
      <w:r w:rsidR="009A6184">
        <w:t>innovation</w:t>
      </w:r>
      <w:r w:rsidR="000A6A51">
        <w:t xml:space="preserve"> or absorption </w:t>
      </w:r>
      <w:r w:rsidR="001A5299">
        <w:t>(and adaptation)</w:t>
      </w:r>
      <w:r w:rsidR="000A6A51">
        <w:t xml:space="preserve"> of others</w:t>
      </w:r>
      <w:r w:rsidR="000540D3">
        <w:t>’</w:t>
      </w:r>
      <w:r w:rsidR="000A6A51">
        <w:t xml:space="preserve"> innovations. </w:t>
      </w:r>
      <w:r w:rsidR="004565C4">
        <w:t xml:space="preserve">In its </w:t>
      </w:r>
      <w:r w:rsidR="00162C9A">
        <w:t>PHN</w:t>
      </w:r>
      <w:r w:rsidR="004565C4">
        <w:t xml:space="preserve"> </w:t>
      </w:r>
      <w:r w:rsidR="00B245FA">
        <w:t>Grant Program Guidelines, t</w:t>
      </w:r>
      <w:r w:rsidR="00A67C5F">
        <w:t xml:space="preserve">he Australian Government has </w:t>
      </w:r>
      <w:r w:rsidR="00926115">
        <w:t>recognised</w:t>
      </w:r>
      <w:r w:rsidR="00A67C5F">
        <w:t xml:space="preserve"> the desirability of </w:t>
      </w:r>
      <w:r w:rsidR="00810C21">
        <w:t xml:space="preserve">incentive funding for </w:t>
      </w:r>
      <w:r w:rsidR="00A36C5C">
        <w:t>high</w:t>
      </w:r>
      <w:r w:rsidR="00A36C5C">
        <w:noBreakHyphen/>
        <w:t>performing PHNs</w:t>
      </w:r>
      <w:r w:rsidR="00C870C8">
        <w:t xml:space="preserve">, but </w:t>
      </w:r>
      <w:r w:rsidR="00E5070D">
        <w:t>there does not appear to be secure</w:t>
      </w:r>
      <w:r w:rsidR="00187EC4">
        <w:t xml:space="preserve"> funding </w:t>
      </w:r>
      <w:r w:rsidR="00E5070D">
        <w:t>for this function.</w:t>
      </w:r>
      <w:r w:rsidR="00E87EF7">
        <w:t xml:space="preserve"> </w:t>
      </w:r>
      <w:r w:rsidR="000A6A51">
        <w:t>In our case studies, the Commission came across highly innovative PHNs</w:t>
      </w:r>
      <w:r w:rsidR="00510CDA">
        <w:t xml:space="preserve">, whose </w:t>
      </w:r>
      <w:r w:rsidR="007A330B">
        <w:t>activities</w:t>
      </w:r>
      <w:r w:rsidR="00510CDA">
        <w:t xml:space="preserve"> </w:t>
      </w:r>
      <w:r w:rsidR="007A330B">
        <w:t>benefited not just their own communities, but ha</w:t>
      </w:r>
      <w:r w:rsidR="005B3EA6">
        <w:t>ve</w:t>
      </w:r>
      <w:r w:rsidR="007A330B">
        <w:t xml:space="preserve"> </w:t>
      </w:r>
      <w:r w:rsidR="00510CDA">
        <w:t>ha</w:t>
      </w:r>
      <w:r w:rsidR="005B3EA6">
        <w:t>d</w:t>
      </w:r>
      <w:r w:rsidR="00510CDA">
        <w:t xml:space="preserve"> general ‘</w:t>
      </w:r>
      <w:proofErr w:type="spellStart"/>
      <w:r w:rsidR="00510CDA">
        <w:t>spillover</w:t>
      </w:r>
      <w:proofErr w:type="spellEnd"/>
      <w:r w:rsidR="00510CDA">
        <w:t xml:space="preserve">’ benefits for </w:t>
      </w:r>
      <w:r w:rsidR="007A330B">
        <w:t>other PHNs (and LHNs)</w:t>
      </w:r>
      <w:r w:rsidR="0056085C">
        <w:t xml:space="preserve">. </w:t>
      </w:r>
      <w:r w:rsidR="00E01772">
        <w:t xml:space="preserve">Additional funding for PHNs that have a </w:t>
      </w:r>
      <w:r w:rsidR="0097530D">
        <w:t>comparative</w:t>
      </w:r>
      <w:r w:rsidR="00E01772">
        <w:t xml:space="preserve"> advantage in </w:t>
      </w:r>
      <w:r w:rsidR="00493AD9">
        <w:t xml:space="preserve">successful </w:t>
      </w:r>
      <w:r w:rsidR="00E01772">
        <w:t xml:space="preserve">innovation </w:t>
      </w:r>
      <w:r w:rsidR="007D70D9">
        <w:t>is</w:t>
      </w:r>
      <w:r w:rsidR="00712343">
        <w:t xml:space="preserve"> one</w:t>
      </w:r>
      <w:r w:rsidR="007D70D9">
        <w:t xml:space="preserve"> way of increasing </w:t>
      </w:r>
      <w:r w:rsidR="00A42225">
        <w:t>the overall level of innovation in primary health</w:t>
      </w:r>
      <w:r w:rsidR="007B31CB">
        <w:t xml:space="preserve"> </w:t>
      </w:r>
      <w:r w:rsidR="00A42225">
        <w:t>care</w:t>
      </w:r>
      <w:r w:rsidR="0006222D">
        <w:t>. In effect</w:t>
      </w:r>
      <w:r w:rsidR="00D360EF">
        <w:t>,</w:t>
      </w:r>
      <w:r w:rsidR="0006222D">
        <w:t xml:space="preserve"> this </w:t>
      </w:r>
      <w:r w:rsidR="00D360EF">
        <w:t>creates</w:t>
      </w:r>
      <w:r w:rsidR="0006222D">
        <w:t xml:space="preserve"> an imperative to f</w:t>
      </w:r>
      <w:r w:rsidR="00F752FF">
        <w:t xml:space="preserve">ind </w:t>
      </w:r>
      <w:r w:rsidR="00800574">
        <w:t xml:space="preserve">the </w:t>
      </w:r>
      <w:r w:rsidR="00356CE2">
        <w:t xml:space="preserve">adept </w:t>
      </w:r>
      <w:r w:rsidR="00F752FF">
        <w:t>innovators, give them resources</w:t>
      </w:r>
      <w:r w:rsidR="0006222D">
        <w:t xml:space="preserve"> that reflect the </w:t>
      </w:r>
      <w:r w:rsidR="00EB054A">
        <w:t xml:space="preserve">additional </w:t>
      </w:r>
      <w:r w:rsidR="0006222D">
        <w:t>value they have created</w:t>
      </w:r>
      <w:r w:rsidR="00F752FF">
        <w:t xml:space="preserve">, </w:t>
      </w:r>
      <w:r w:rsidR="00F52034">
        <w:t>and spread the lessons</w:t>
      </w:r>
      <w:r w:rsidR="0032278C">
        <w:t xml:space="preserve">. </w:t>
      </w:r>
    </w:p>
    <w:p w14:paraId="649BD22C" w14:textId="7A66AB0E" w:rsidR="00233AF2" w:rsidRDefault="00C01BF3" w:rsidP="00EE1301">
      <w:pPr>
        <w:pStyle w:val="BodyText"/>
      </w:pPr>
      <w:r>
        <w:t xml:space="preserve">Such an </w:t>
      </w:r>
      <w:r w:rsidR="00FB7168">
        <w:t>approach</w:t>
      </w:r>
      <w:r>
        <w:t xml:space="preserve"> recognises that </w:t>
      </w:r>
      <w:r w:rsidR="00D0478D">
        <w:t xml:space="preserve">while </w:t>
      </w:r>
      <w:r>
        <w:t>PHNs</w:t>
      </w:r>
      <w:r w:rsidR="007B31CB">
        <w:t>’</w:t>
      </w:r>
      <w:r>
        <w:t xml:space="preserve"> </w:t>
      </w:r>
      <w:r w:rsidR="00D0478D">
        <w:t xml:space="preserve">focus should </w:t>
      </w:r>
      <w:r w:rsidR="00564BC5">
        <w:t xml:space="preserve">remain on strengthening integrated care in their local areas, they are also </w:t>
      </w:r>
      <w:r w:rsidR="00E92B68">
        <w:t xml:space="preserve">a collective </w:t>
      </w:r>
      <w:r w:rsidR="00564BC5">
        <w:t>ins</w:t>
      </w:r>
      <w:r w:rsidR="00101F74">
        <w:t xml:space="preserve">titution </w:t>
      </w:r>
      <w:r w:rsidR="00E92B68">
        <w:t xml:space="preserve">in which some specialisation and cooperation </w:t>
      </w:r>
      <w:r w:rsidR="00B46060">
        <w:t>could be</w:t>
      </w:r>
      <w:r w:rsidR="00E92B68">
        <w:t xml:space="preserve"> </w:t>
      </w:r>
      <w:r w:rsidR="00C87972">
        <w:t xml:space="preserve">valuable. </w:t>
      </w:r>
      <w:r w:rsidR="00852D28">
        <w:t xml:space="preserve">For instance, </w:t>
      </w:r>
      <w:r w:rsidR="00EA0453">
        <w:t>s</w:t>
      </w:r>
      <w:r w:rsidR="00BB679D">
        <w:t>ome PHNs may dev</w:t>
      </w:r>
      <w:r w:rsidR="003F2A2A">
        <w:t xml:space="preserve">elop </w:t>
      </w:r>
      <w:r w:rsidR="00852D28">
        <w:t xml:space="preserve">specialist </w:t>
      </w:r>
      <w:r w:rsidR="003F2A2A">
        <w:t xml:space="preserve">expertise in data use, while others in </w:t>
      </w:r>
      <w:r w:rsidR="0019756F">
        <w:t xml:space="preserve">healthcare </w:t>
      </w:r>
      <w:r w:rsidR="00B52613">
        <w:t>self</w:t>
      </w:r>
      <w:r w:rsidR="005B190E">
        <w:noBreakHyphen/>
      </w:r>
      <w:r w:rsidR="00950899">
        <w:t>management</w:t>
      </w:r>
      <w:r w:rsidR="00CC5714">
        <w:t xml:space="preserve">. They would become centres of excellence that others could draw on. </w:t>
      </w:r>
      <w:r w:rsidR="00EA0453">
        <w:t xml:space="preserve">In other cases, </w:t>
      </w:r>
      <w:r w:rsidR="000F1D51">
        <w:t xml:space="preserve">joint ventures between </w:t>
      </w:r>
      <w:r w:rsidR="00EA0453">
        <w:t xml:space="preserve">PHNs </w:t>
      </w:r>
      <w:r w:rsidR="000F1D51">
        <w:t>could</w:t>
      </w:r>
      <w:r w:rsidR="00EA0453">
        <w:t xml:space="preserve"> </w:t>
      </w:r>
      <w:r w:rsidR="00AC0D3C">
        <w:t>spread</w:t>
      </w:r>
      <w:r w:rsidR="00EA0453">
        <w:t xml:space="preserve"> the fixed costs of innovation</w:t>
      </w:r>
      <w:r w:rsidR="00AC0D3C">
        <w:t xml:space="preserve"> across </w:t>
      </w:r>
      <w:r w:rsidR="007251DB">
        <w:t>bigger regional populations</w:t>
      </w:r>
      <w:r w:rsidR="00C116EE">
        <w:t xml:space="preserve"> (reducing the average cost of innovation)</w:t>
      </w:r>
      <w:r w:rsidR="007251DB">
        <w:t xml:space="preserve">, </w:t>
      </w:r>
      <w:r w:rsidR="0031090F">
        <w:t xml:space="preserve">diversify risk and aid diffusion. </w:t>
      </w:r>
      <w:r w:rsidR="00233AF2">
        <w:t xml:space="preserve">One of the reasons for </w:t>
      </w:r>
      <w:r w:rsidR="00F65D7E">
        <w:t xml:space="preserve">changes to accountability and increased flexibility in </w:t>
      </w:r>
      <w:r w:rsidR="00BC500B">
        <w:t xml:space="preserve">PHN </w:t>
      </w:r>
      <w:r w:rsidR="00F65D7E">
        <w:t xml:space="preserve">funding is that it </w:t>
      </w:r>
      <w:r w:rsidR="00BC500B">
        <w:t xml:space="preserve">would </w:t>
      </w:r>
      <w:r w:rsidR="00DE003D">
        <w:t xml:space="preserve">further </w:t>
      </w:r>
      <w:r w:rsidR="006A580D">
        <w:t xml:space="preserve">encourage and </w:t>
      </w:r>
      <w:r w:rsidR="004F5BC0">
        <w:t xml:space="preserve">fund the people and </w:t>
      </w:r>
      <w:r w:rsidR="006A6B02">
        <w:t xml:space="preserve">systems that </w:t>
      </w:r>
      <w:r w:rsidR="00F505B6">
        <w:t xml:space="preserve">support the dissemination </w:t>
      </w:r>
      <w:r w:rsidR="00565983">
        <w:t>of</w:t>
      </w:r>
      <w:r w:rsidR="00F505B6">
        <w:t xml:space="preserve"> the lessons from </w:t>
      </w:r>
      <w:r w:rsidR="00565983">
        <w:t xml:space="preserve">such </w:t>
      </w:r>
      <w:r w:rsidR="00F505B6">
        <w:t>specialisation</w:t>
      </w:r>
      <w:r w:rsidR="00565983">
        <w:t>.</w:t>
      </w:r>
    </w:p>
    <w:p w14:paraId="38BD7136" w14:textId="72488ED1" w:rsidR="0080524A" w:rsidRDefault="00C87972" w:rsidP="00EE1301">
      <w:pPr>
        <w:pStyle w:val="BodyText"/>
      </w:pPr>
      <w:r>
        <w:t xml:space="preserve">There is already recognition of </w:t>
      </w:r>
      <w:r w:rsidR="00CC5714">
        <w:t xml:space="preserve">the importance of </w:t>
      </w:r>
      <w:r w:rsidR="00950899">
        <w:t>cooperation</w:t>
      </w:r>
      <w:r>
        <w:t xml:space="preserve"> through the monthly meetings of PHN </w:t>
      </w:r>
      <w:r w:rsidR="00C54D0B">
        <w:t>CEOs</w:t>
      </w:r>
      <w:r w:rsidR="004D4D29">
        <w:t xml:space="preserve"> </w:t>
      </w:r>
      <w:r w:rsidR="00C72833">
        <w:t xml:space="preserve">and </w:t>
      </w:r>
      <w:r w:rsidR="007E3103">
        <w:t xml:space="preserve">existing </w:t>
      </w:r>
      <w:r w:rsidR="00950899">
        <w:t>partnerships</w:t>
      </w:r>
      <w:r w:rsidR="00C72833">
        <w:t xml:space="preserve"> between PHNs. For example</w:t>
      </w:r>
      <w:r w:rsidR="0080524A">
        <w:t>:</w:t>
      </w:r>
    </w:p>
    <w:p w14:paraId="2B01D961" w14:textId="4F59F46D" w:rsidR="0080524A" w:rsidRDefault="0080524A" w:rsidP="00F3518B">
      <w:pPr>
        <w:pStyle w:val="ListBullet"/>
      </w:pPr>
      <w:r>
        <w:t>A</w:t>
      </w:r>
      <w:r w:rsidR="00F035A6">
        <w:t>ll</w:t>
      </w:r>
      <w:r w:rsidR="00F035A6" w:rsidRPr="00F035A6">
        <w:t xml:space="preserve"> Vic</w:t>
      </w:r>
      <w:r w:rsidR="00F035A6">
        <w:t>torian</w:t>
      </w:r>
      <w:r w:rsidR="00F035A6" w:rsidRPr="00F035A6">
        <w:t xml:space="preserve"> PHNs are </w:t>
      </w:r>
      <w:r w:rsidR="004315AA">
        <w:t>jointly</w:t>
      </w:r>
      <w:r w:rsidR="00F035A6" w:rsidRPr="00F035A6">
        <w:t xml:space="preserve"> </w:t>
      </w:r>
      <w:r w:rsidR="00372FAB" w:rsidRPr="00F035A6">
        <w:t>develop</w:t>
      </w:r>
      <w:r w:rsidR="004315AA">
        <w:t xml:space="preserve">ing </w:t>
      </w:r>
      <w:r w:rsidR="00372FAB" w:rsidRPr="00F035A6">
        <w:t>paediatric health pathway</w:t>
      </w:r>
      <w:r w:rsidR="00F035A6" w:rsidRPr="00F035A6">
        <w:t>s</w:t>
      </w:r>
      <w:r w:rsidR="00C74772">
        <w:t xml:space="preserve"> that </w:t>
      </w:r>
      <w:r w:rsidR="00FF068D">
        <w:t xml:space="preserve">promote </w:t>
      </w:r>
      <w:r w:rsidR="00FF068D" w:rsidRPr="00FF068D">
        <w:t xml:space="preserve">better and safer care for children in general practice and </w:t>
      </w:r>
      <w:r w:rsidR="00FF068D">
        <w:t xml:space="preserve">that </w:t>
      </w:r>
      <w:r w:rsidR="00156CA9">
        <w:t>limit pressures</w:t>
      </w:r>
      <w:r w:rsidR="00FF068D" w:rsidRPr="00FF068D">
        <w:t xml:space="preserve"> on hospital emergency departments</w:t>
      </w:r>
      <w:r w:rsidR="00156CA9">
        <w:t>.</w:t>
      </w:r>
      <w:r w:rsidR="00F035A6" w:rsidRPr="00F035A6">
        <w:t xml:space="preserve"> </w:t>
      </w:r>
    </w:p>
    <w:p w14:paraId="2411A4BB" w14:textId="0A9ED693" w:rsidR="0080524A" w:rsidRDefault="00114B05" w:rsidP="00F3518B">
      <w:pPr>
        <w:pStyle w:val="ListBullet"/>
      </w:pPr>
      <w:r>
        <w:t xml:space="preserve">The </w:t>
      </w:r>
      <w:r w:rsidR="00593B48">
        <w:t>Victorian</w:t>
      </w:r>
      <w:r w:rsidR="00AE7B01">
        <w:t>–</w:t>
      </w:r>
      <w:r w:rsidR="008063D0">
        <w:t xml:space="preserve">Tasmanian PHN alliance </w:t>
      </w:r>
      <w:r w:rsidR="00EE1301">
        <w:t>and several</w:t>
      </w:r>
      <w:r w:rsidR="00574598">
        <w:t xml:space="preserve"> </w:t>
      </w:r>
      <w:r w:rsidR="00C30DF3">
        <w:t xml:space="preserve">other partners </w:t>
      </w:r>
      <w:r w:rsidR="00626B58">
        <w:t xml:space="preserve">are working </w:t>
      </w:r>
      <w:r w:rsidR="00990462">
        <w:t>collaboratively to</w:t>
      </w:r>
      <w:r w:rsidR="00574598">
        <w:t xml:space="preserve"> </w:t>
      </w:r>
      <w:r w:rsidR="00AA3795">
        <w:t>design, develop and d</w:t>
      </w:r>
      <w:r w:rsidR="00EE1301">
        <w:t>e</w:t>
      </w:r>
      <w:r w:rsidR="00AA3795">
        <w:t xml:space="preserve">liver training in the use of </w:t>
      </w:r>
      <w:proofErr w:type="spellStart"/>
      <w:r w:rsidR="00AA3795">
        <w:t>SafeScript</w:t>
      </w:r>
      <w:proofErr w:type="spellEnd"/>
      <w:r w:rsidR="00EE1301">
        <w:t xml:space="preserve">. This </w:t>
      </w:r>
      <w:r w:rsidR="00AA3795">
        <w:t xml:space="preserve">software tool </w:t>
      </w:r>
      <w:r w:rsidR="00EE1301">
        <w:t xml:space="preserve">was </w:t>
      </w:r>
      <w:r w:rsidR="00AA3795">
        <w:t>developed by the V</w:t>
      </w:r>
      <w:r w:rsidR="00EE1301">
        <w:t>i</w:t>
      </w:r>
      <w:r w:rsidR="00AA3795">
        <w:t xml:space="preserve">ctorian Government to </w:t>
      </w:r>
      <w:r w:rsidR="00EE1301">
        <w:t xml:space="preserve">allow pharmacy records for certain medicines to be transmitted to a centralised database that can be accessed by doctors and pharmacists during a consultation. </w:t>
      </w:r>
      <w:r w:rsidR="00BA3458">
        <w:t xml:space="preserve"> </w:t>
      </w:r>
    </w:p>
    <w:p w14:paraId="16EB78E4" w14:textId="3138B8E6" w:rsidR="00C116EE" w:rsidRDefault="00327D0C" w:rsidP="00F3518B">
      <w:pPr>
        <w:pStyle w:val="ListBullet"/>
      </w:pPr>
      <w:r>
        <w:t xml:space="preserve">In our case studies, </w:t>
      </w:r>
      <w:r w:rsidR="00383A8D">
        <w:t xml:space="preserve">Choices </w:t>
      </w:r>
      <w:r w:rsidR="00347CD2">
        <w:t xml:space="preserve">(case study 7) </w:t>
      </w:r>
      <w:r w:rsidR="00425281">
        <w:t xml:space="preserve">is an exemplar of an innovation that emerged from cooperation between three </w:t>
      </w:r>
      <w:r w:rsidR="00347CD2">
        <w:t>PHNs (which collectively comprise the WA Primary Health Alliance).</w:t>
      </w:r>
      <w:r w:rsidR="0031245B">
        <w:t xml:space="preserve"> </w:t>
      </w:r>
    </w:p>
    <w:p w14:paraId="535223A3" w14:textId="488D7D05" w:rsidR="00256C79" w:rsidRDefault="0048413B" w:rsidP="00FC6628">
      <w:pPr>
        <w:pStyle w:val="BodyText"/>
      </w:pPr>
      <w:r>
        <w:t>While</w:t>
      </w:r>
      <w:r w:rsidR="002E24B4">
        <w:t xml:space="preserve"> a greater share of flexible funding </w:t>
      </w:r>
      <w:r w:rsidR="002A4B4F">
        <w:t xml:space="preserve">to PHNs </w:t>
      </w:r>
      <w:r w:rsidR="0013707D">
        <w:t>w</w:t>
      </w:r>
      <w:r w:rsidR="00534399">
        <w:t xml:space="preserve">ould, in its own right, </w:t>
      </w:r>
      <w:r w:rsidR="00172A94">
        <w:t>reduce the financial barriers</w:t>
      </w:r>
      <w:r w:rsidR="0013707D">
        <w:t xml:space="preserve"> </w:t>
      </w:r>
      <w:r w:rsidR="00172A94">
        <w:t xml:space="preserve">to </w:t>
      </w:r>
      <w:r w:rsidR="0013707D">
        <w:t>such cross</w:t>
      </w:r>
      <w:r w:rsidR="00CC4696">
        <w:noBreakHyphen/>
      </w:r>
      <w:r w:rsidR="0013707D">
        <w:t>PHN collaboratio</w:t>
      </w:r>
      <w:r w:rsidR="00172A94">
        <w:t>n</w:t>
      </w:r>
      <w:r>
        <w:t>, a</w:t>
      </w:r>
      <w:r w:rsidR="008F0FAF">
        <w:t xml:space="preserve"> </w:t>
      </w:r>
      <w:r w:rsidR="00247B74">
        <w:t xml:space="preserve">complementary </w:t>
      </w:r>
      <w:r w:rsidR="00926DDC">
        <w:t xml:space="preserve">policy </w:t>
      </w:r>
      <w:r w:rsidR="008F0FAF">
        <w:t xml:space="preserve">option would be </w:t>
      </w:r>
      <w:r w:rsidR="008F0FAF">
        <w:lastRenderedPageBreak/>
        <w:t>to</w:t>
      </w:r>
      <w:r w:rsidR="003B3179">
        <w:t xml:space="preserve"> </w:t>
      </w:r>
      <w:r w:rsidR="005A352F">
        <w:t xml:space="preserve">further </w:t>
      </w:r>
      <w:r w:rsidR="001462E0">
        <w:t>encourage</w:t>
      </w:r>
      <w:r w:rsidR="00172A94">
        <w:t xml:space="preserve"> PHN joint ventures</w:t>
      </w:r>
      <w:r w:rsidR="001462E0">
        <w:t xml:space="preserve"> by providing </w:t>
      </w:r>
      <w:r w:rsidR="00172A94">
        <w:t xml:space="preserve">some funding </w:t>
      </w:r>
      <w:r w:rsidR="00926DDC">
        <w:t>earmarked</w:t>
      </w:r>
      <w:r w:rsidR="00172A94">
        <w:t xml:space="preserve"> for such ventures. Such an initiative could be tria</w:t>
      </w:r>
      <w:r w:rsidR="00AB2158">
        <w:t>l</w:t>
      </w:r>
      <w:r w:rsidR="00172A94">
        <w:t>led rather than universally rolled out</w:t>
      </w:r>
      <w:r w:rsidR="00EC1938">
        <w:t>.</w:t>
      </w:r>
      <w:r w:rsidR="007E7728">
        <w:t xml:space="preserve"> </w:t>
      </w:r>
    </w:p>
    <w:p w14:paraId="26574EDC" w14:textId="3496B8BB" w:rsidR="00A85F16" w:rsidRDefault="00256C79" w:rsidP="00FC6628">
      <w:pPr>
        <w:pStyle w:val="BodyText"/>
      </w:pPr>
      <w:r>
        <w:t xml:space="preserve">There should be an expectation that additional funding for PHNs in any of the above forms </w:t>
      </w:r>
      <w:r w:rsidR="0006009F">
        <w:t>produce long</w:t>
      </w:r>
      <w:r w:rsidR="0006009F">
        <w:noBreakHyphen/>
        <w:t>run savings (for example, through reduced hospitalisation</w:t>
      </w:r>
      <w:r w:rsidR="00B21CF5">
        <w:t>s)</w:t>
      </w:r>
      <w:r w:rsidR="0006009F">
        <w:t xml:space="preserve"> or</w:t>
      </w:r>
      <w:r>
        <w:t xml:space="preserve"> </w:t>
      </w:r>
      <w:r w:rsidR="003F2F5C">
        <w:t xml:space="preserve">measurable </w:t>
      </w:r>
      <w:r w:rsidR="00DB6FAB">
        <w:t>benefits for c</w:t>
      </w:r>
      <w:r w:rsidR="009C65C0">
        <w:t>onsumers</w:t>
      </w:r>
      <w:r w:rsidR="00D22A18">
        <w:t>.</w:t>
      </w:r>
      <w:r w:rsidR="009C65C0">
        <w:t xml:space="preserve"> </w:t>
      </w:r>
    </w:p>
    <w:p w14:paraId="3D067679" w14:textId="77777777" w:rsidR="00FC6628" w:rsidRPr="004E3B94" w:rsidRDefault="00FC6628" w:rsidP="00FC6628">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C6628" w14:paraId="475AFEBB" w14:textId="77777777" w:rsidTr="00D3668D">
        <w:trPr>
          <w:cantSplit/>
          <w:tblHeader/>
        </w:trPr>
        <w:tc>
          <w:tcPr>
            <w:tcW w:w="5000" w:type="pct"/>
            <w:tcBorders>
              <w:top w:val="single" w:sz="6" w:space="0" w:color="2D9AC2" w:themeColor="text2" w:themeShade="BF"/>
              <w:left w:val="nil"/>
              <w:bottom w:val="nil"/>
              <w:right w:val="nil"/>
            </w:tcBorders>
            <w:shd w:val="clear" w:color="auto" w:fill="E0F1F7" w:themeFill="text2" w:themeFillTint="33"/>
            <w:tcMar>
              <w:left w:w="170" w:type="dxa"/>
              <w:right w:w="170" w:type="dxa"/>
            </w:tcMar>
          </w:tcPr>
          <w:p w14:paraId="3BFBD65A" w14:textId="1ED04B71" w:rsidR="00FC6628" w:rsidRPr="002D6D7E" w:rsidRDefault="00FC6628" w:rsidP="00D3668D">
            <w:pPr>
              <w:pStyle w:val="FindingTitle"/>
              <w:spacing w:before="120"/>
              <w:ind w:left="1191" w:hanging="1191"/>
              <w:rPr>
                <w:b/>
                <w:noProof/>
              </w:rPr>
            </w:pPr>
            <w:r>
              <w:rPr>
                <w:b/>
                <w:bCs/>
              </w:rPr>
              <w:t xml:space="preserve">Recommendation 1 </w:t>
            </w:r>
            <w:r w:rsidR="00FE0098">
              <w:rPr>
                <w:b/>
                <w:bCs/>
              </w:rPr>
              <w:t>– Greater funding flexibility for Primary health networks</w:t>
            </w:r>
          </w:p>
        </w:tc>
      </w:tr>
      <w:tr w:rsidR="00FC6628" w:rsidRPr="00750BE2" w14:paraId="3FAD7342" w14:textId="77777777" w:rsidTr="00D3668D">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2B27A6C9" w14:textId="7701F3AB" w:rsidR="00196393" w:rsidRDefault="00FC6628" w:rsidP="00D3668D">
            <w:pPr>
              <w:pStyle w:val="Rec"/>
              <w:keepNext/>
            </w:pPr>
            <w:r>
              <w:t xml:space="preserve">The Australian Government </w:t>
            </w:r>
            <w:r w:rsidR="00DC7A4D">
              <w:t xml:space="preserve">could </w:t>
            </w:r>
            <w:r>
              <w:t xml:space="preserve">increase the amount of </w:t>
            </w:r>
            <w:r w:rsidRPr="0050537F">
              <w:t xml:space="preserve">flexible funding </w:t>
            </w:r>
            <w:r>
              <w:t>available to Primary Health Networks (PHNs)</w:t>
            </w:r>
            <w:r w:rsidR="00CA19C4">
              <w:t xml:space="preserve"> </w:t>
            </w:r>
            <w:r w:rsidR="007A2909">
              <w:t>b</w:t>
            </w:r>
            <w:r w:rsidR="00CA19C4">
              <w:t>y</w:t>
            </w:r>
            <w:r w:rsidR="00196393">
              <w:t>:</w:t>
            </w:r>
          </w:p>
          <w:p w14:paraId="57B3A456" w14:textId="20EDD292" w:rsidR="00716F2B" w:rsidRDefault="00E32A99" w:rsidP="0026481B">
            <w:pPr>
              <w:pStyle w:val="RecBullet"/>
            </w:pPr>
            <w:r>
              <w:t xml:space="preserve">reducing the level of prescription of </w:t>
            </w:r>
            <w:r w:rsidR="00CA19C4">
              <w:t>PHN</w:t>
            </w:r>
            <w:r w:rsidR="002F5ADE">
              <w:t xml:space="preserve">s’ activities </w:t>
            </w:r>
            <w:r w:rsidR="00273E15">
              <w:t>within current budget constraints</w:t>
            </w:r>
            <w:r w:rsidR="00C76CC2">
              <w:t>, or/and</w:t>
            </w:r>
          </w:p>
          <w:p w14:paraId="2066C480" w14:textId="13815A80" w:rsidR="00FC6628" w:rsidRDefault="002F5ADE" w:rsidP="0026481B">
            <w:pPr>
              <w:pStyle w:val="RecBullet"/>
            </w:pPr>
            <w:r>
              <w:t xml:space="preserve">increasing the </w:t>
            </w:r>
            <w:r w:rsidR="003647D2">
              <w:t>total funding of PHNs</w:t>
            </w:r>
            <w:r w:rsidR="00337E1D">
              <w:t xml:space="preserve"> with this earmarked for </w:t>
            </w:r>
            <w:r w:rsidR="00273E15">
              <w:t>flexible spending</w:t>
            </w:r>
            <w:r w:rsidR="00FC6628" w:rsidRPr="0050537F">
              <w:t>.</w:t>
            </w:r>
            <w:r w:rsidR="000A2792">
              <w:t xml:space="preserve"> </w:t>
            </w:r>
          </w:p>
          <w:p w14:paraId="5E58ADB5" w14:textId="6479AA74" w:rsidR="002F111E" w:rsidRDefault="001D4856" w:rsidP="008C4A67">
            <w:pPr>
              <w:pStyle w:val="Rec"/>
              <w:keepNext/>
            </w:pPr>
            <w:r>
              <w:t>The</w:t>
            </w:r>
            <w:r w:rsidR="00CA19C4">
              <w:t xml:space="preserve"> Australian Government </w:t>
            </w:r>
            <w:r w:rsidR="00DC7A4D">
              <w:t xml:space="preserve">could </w:t>
            </w:r>
            <w:r w:rsidR="00CA19C4">
              <w:t>also consider</w:t>
            </w:r>
            <w:r w:rsidR="002F111E">
              <w:t>:</w:t>
            </w:r>
          </w:p>
          <w:p w14:paraId="70903B28" w14:textId="3C15F3F3" w:rsidR="002F111E" w:rsidRDefault="00A92C02" w:rsidP="001E7A78">
            <w:pPr>
              <w:pStyle w:val="RecBullet"/>
            </w:pPr>
            <w:r>
              <w:t>a</w:t>
            </w:r>
            <w:r w:rsidR="002F111E">
              <w:t xml:space="preserve">mending the </w:t>
            </w:r>
            <w:r w:rsidR="002F111E" w:rsidRPr="00DE4957">
              <w:rPr>
                <w:i/>
              </w:rPr>
              <w:t>PHN Program Performance and Quality Framework</w:t>
            </w:r>
            <w:r w:rsidR="002F111E" w:rsidRPr="002F111E">
              <w:t xml:space="preserve"> </w:t>
            </w:r>
            <w:r w:rsidR="002F111E">
              <w:t>to</w:t>
            </w:r>
            <w:r w:rsidR="002F111E" w:rsidRPr="002F111E">
              <w:t xml:space="preserve"> better measure the extent and quality of innovation and its diffusion among different PHNs</w:t>
            </w:r>
          </w:p>
          <w:p w14:paraId="33DB5FE6" w14:textId="0BB1FBD3" w:rsidR="00024EB5" w:rsidRDefault="00024EB5" w:rsidP="001E7A78">
            <w:pPr>
              <w:pStyle w:val="RecBullet"/>
            </w:pPr>
            <w:r w:rsidRPr="00024EB5">
              <w:t>provid</w:t>
            </w:r>
            <w:r w:rsidR="004C4C48">
              <w:t>ing</w:t>
            </w:r>
            <w:r w:rsidRPr="00024EB5">
              <w:t xml:space="preserve"> individual PHNs with </w:t>
            </w:r>
            <w:r w:rsidR="003A3FC6">
              <w:t xml:space="preserve">(modest) </w:t>
            </w:r>
            <w:r w:rsidRPr="00024EB5">
              <w:t xml:space="preserve">additional funding </w:t>
            </w:r>
            <w:r w:rsidR="00DE4957">
              <w:t xml:space="preserve">for </w:t>
            </w:r>
            <w:r w:rsidR="00154085">
              <w:t>innovation projects</w:t>
            </w:r>
            <w:r w:rsidRPr="00024EB5">
              <w:t xml:space="preserve"> if they have demonstrated a strong capacity for innovation or absorption of others’ innovations</w:t>
            </w:r>
            <w:r w:rsidR="00F1262F">
              <w:t xml:space="preserve">, with </w:t>
            </w:r>
            <w:r w:rsidR="00615649">
              <w:t>a funding pool set aside for this function</w:t>
            </w:r>
          </w:p>
          <w:p w14:paraId="524A4A5A" w14:textId="3B4C9A82" w:rsidR="004C4C48" w:rsidRDefault="00D0170B" w:rsidP="001E7A78">
            <w:pPr>
              <w:pStyle w:val="RecBullet"/>
            </w:pPr>
            <w:r>
              <w:t>trialling</w:t>
            </w:r>
            <w:r w:rsidR="00024EB5">
              <w:t xml:space="preserve"> the provision of additional</w:t>
            </w:r>
            <w:r w:rsidR="00024EB5" w:rsidRPr="00024EB5">
              <w:t xml:space="preserve"> funding earmarked for </w:t>
            </w:r>
            <w:r w:rsidR="00024EB5">
              <w:t>joint</w:t>
            </w:r>
            <w:r w:rsidR="00024EB5" w:rsidRPr="00024EB5">
              <w:t xml:space="preserve"> </w:t>
            </w:r>
            <w:r w:rsidR="004C4C48">
              <w:t>innovation</w:t>
            </w:r>
            <w:r w:rsidR="00024EB5">
              <w:t xml:space="preserve"> </w:t>
            </w:r>
            <w:r w:rsidR="00024EB5" w:rsidRPr="00024EB5">
              <w:t xml:space="preserve">ventures </w:t>
            </w:r>
            <w:r w:rsidR="00024EB5">
              <w:t>among PHNs</w:t>
            </w:r>
            <w:r w:rsidR="004C4C48">
              <w:t>.</w:t>
            </w:r>
          </w:p>
          <w:p w14:paraId="58DFB072" w14:textId="3EF65661" w:rsidR="00FF770B" w:rsidRPr="007D5C2B" w:rsidRDefault="00FF770B" w:rsidP="008C4A67">
            <w:pPr>
              <w:pStyle w:val="Rec"/>
              <w:keepNext/>
              <w:rPr>
                <w:b/>
                <w:bCs/>
                <w:caps/>
                <w:sz w:val="18"/>
              </w:rPr>
            </w:pPr>
            <w:r w:rsidRPr="007D5C2B">
              <w:rPr>
                <w:b/>
                <w:bCs/>
                <w:caps/>
                <w:sz w:val="18"/>
              </w:rPr>
              <w:t>Expected outcomes</w:t>
            </w:r>
          </w:p>
          <w:p w14:paraId="3EBDF824" w14:textId="7F93655C" w:rsidR="00FB1ED6" w:rsidRDefault="005338F4" w:rsidP="008C4A67">
            <w:pPr>
              <w:pStyle w:val="Rec"/>
              <w:keepNext/>
            </w:pPr>
            <w:r>
              <w:t xml:space="preserve">This would </w:t>
            </w:r>
            <w:r w:rsidR="008F1459">
              <w:t>encourage greater and more efficient innovation</w:t>
            </w:r>
            <w:r w:rsidR="00DA16E6">
              <w:t xml:space="preserve"> </w:t>
            </w:r>
            <w:r w:rsidR="00744961">
              <w:t>in primary health</w:t>
            </w:r>
            <w:r w:rsidR="00EF3125">
              <w:t xml:space="preserve"> </w:t>
            </w:r>
            <w:r w:rsidR="00744961">
              <w:t xml:space="preserve">care, </w:t>
            </w:r>
            <w:r w:rsidR="001D4F12">
              <w:t>including through joint ventures</w:t>
            </w:r>
            <w:r w:rsidR="00617980">
              <w:t xml:space="preserve"> </w:t>
            </w:r>
            <w:r w:rsidR="009A6DAD">
              <w:t xml:space="preserve">and </w:t>
            </w:r>
            <w:r w:rsidR="001D4F12">
              <w:t>specialisation</w:t>
            </w:r>
            <w:r w:rsidR="00C329D5">
              <w:t xml:space="preserve"> in some areas</w:t>
            </w:r>
            <w:r w:rsidR="00617663">
              <w:t xml:space="preserve"> of innovation</w:t>
            </w:r>
            <w:r w:rsidR="00146B4F">
              <w:t>, and</w:t>
            </w:r>
            <w:r w:rsidR="009A6DAD">
              <w:t xml:space="preserve"> by </w:t>
            </w:r>
            <w:r w:rsidR="00617980">
              <w:t xml:space="preserve">giving PHNs the discretion to </w:t>
            </w:r>
            <w:r w:rsidR="004E297E">
              <w:t>allocate</w:t>
            </w:r>
            <w:r w:rsidR="00146B4F">
              <w:t xml:space="preserve"> resources to disseminate </w:t>
            </w:r>
            <w:r w:rsidR="001C30DB">
              <w:t xml:space="preserve">ideas and </w:t>
            </w:r>
            <w:r w:rsidR="00744961">
              <w:t>the development of an innovative workforce</w:t>
            </w:r>
            <w:r w:rsidR="009B6567">
              <w:t>.</w:t>
            </w:r>
          </w:p>
          <w:p w14:paraId="08EB2314" w14:textId="31198DD7" w:rsidR="00F7748E" w:rsidRPr="00FA7915" w:rsidRDefault="008C2FD8" w:rsidP="008C4A67">
            <w:pPr>
              <w:pStyle w:val="Rec"/>
              <w:keepNext/>
            </w:pPr>
            <w:r>
              <w:t xml:space="preserve">The funding would also </w:t>
            </w:r>
            <w:r w:rsidR="00F7748E">
              <w:t xml:space="preserve">support the </w:t>
            </w:r>
            <w:r w:rsidR="00653E8B">
              <w:t>implementation</w:t>
            </w:r>
            <w:r w:rsidR="00F7748E">
              <w:t xml:space="preserve"> of</w:t>
            </w:r>
            <w:r w:rsidR="003C43C3">
              <w:t xml:space="preserve"> </w:t>
            </w:r>
            <w:r w:rsidR="008C4A67">
              <w:t>initiatives</w:t>
            </w:r>
            <w:r w:rsidR="001103C6">
              <w:t xml:space="preserve"> such as </w:t>
            </w:r>
            <w:r w:rsidR="00EE20F3" w:rsidRPr="00EE20F3">
              <w:t>Nellie (case study 1)</w:t>
            </w:r>
            <w:r w:rsidR="006601A0">
              <w:t>,</w:t>
            </w:r>
            <w:r w:rsidR="003C43C3">
              <w:t xml:space="preserve"> </w:t>
            </w:r>
            <w:r w:rsidR="00906B72">
              <w:t>T</w:t>
            </w:r>
            <w:r w:rsidR="00EE20F3" w:rsidRPr="00EE20F3">
              <w:t>urning Pain into Gain (case study 2)</w:t>
            </w:r>
            <w:r w:rsidR="003C43C3">
              <w:t xml:space="preserve"> and </w:t>
            </w:r>
            <w:r w:rsidR="0062256E" w:rsidRPr="00EE20F3">
              <w:t>Primary Sense (case study 11)</w:t>
            </w:r>
            <w:r w:rsidR="003C43C3">
              <w:t xml:space="preserve">, as well </w:t>
            </w:r>
            <w:r w:rsidR="001103C6">
              <w:t>as</w:t>
            </w:r>
            <w:r w:rsidR="008C4A67">
              <w:t xml:space="preserve"> allowing PHNs to participate in LHN–PHN collaborations, such as </w:t>
            </w:r>
            <w:r w:rsidR="008C4A67" w:rsidRPr="00EE20F3">
              <w:t>Collaborative Commissioning (case study 16)</w:t>
            </w:r>
            <w:r w:rsidR="008C4A67">
              <w:t xml:space="preserve"> and </w:t>
            </w:r>
            <w:r w:rsidR="008C4A67" w:rsidRPr="00EE20F3">
              <w:t>The Collaborative (case study 10)</w:t>
            </w:r>
            <w:r w:rsidR="008C4A67">
              <w:t>.</w:t>
            </w:r>
            <w:r w:rsidR="006B1C25">
              <w:t xml:space="preserve"> </w:t>
            </w:r>
          </w:p>
        </w:tc>
      </w:tr>
      <w:tr w:rsidR="00FC6628" w14:paraId="2BBE612B" w14:textId="77777777" w:rsidTr="00D3668D">
        <w:trPr>
          <w:cantSplit/>
        </w:trPr>
        <w:tc>
          <w:tcPr>
            <w:tcW w:w="5000" w:type="pct"/>
            <w:tcBorders>
              <w:top w:val="nil"/>
              <w:left w:val="nil"/>
              <w:bottom w:val="single" w:sz="6" w:space="0" w:color="2D9AC2" w:themeColor="text2" w:themeShade="BF"/>
              <w:right w:val="nil"/>
            </w:tcBorders>
            <w:shd w:val="clear" w:color="auto" w:fill="E0F1F7" w:themeFill="text2" w:themeFillTint="33"/>
            <w:tcMar>
              <w:left w:w="170" w:type="dxa"/>
              <w:right w:w="170" w:type="dxa"/>
            </w:tcMar>
          </w:tcPr>
          <w:p w14:paraId="7C2B7F44" w14:textId="77777777" w:rsidR="00FC6628" w:rsidRDefault="00FC6628" w:rsidP="001706C2">
            <w:pPr>
              <w:pStyle w:val="Space"/>
              <w:keepLines/>
              <w:spacing w:after="0"/>
            </w:pPr>
          </w:p>
        </w:tc>
      </w:tr>
      <w:tr w:rsidR="00FC6628" w:rsidRPr="000863A5" w14:paraId="12FDECAE" w14:textId="77777777" w:rsidTr="00D3668D">
        <w:trPr>
          <w:cantSplit/>
        </w:trPr>
        <w:tc>
          <w:tcPr>
            <w:tcW w:w="5000" w:type="pct"/>
            <w:tcBorders>
              <w:top w:val="single" w:sz="6" w:space="0" w:color="2D9AC2" w:themeColor="text2" w:themeShade="BF"/>
              <w:left w:val="nil"/>
              <w:bottom w:val="nil"/>
              <w:right w:val="nil"/>
            </w:tcBorders>
            <w:tcMar>
              <w:left w:w="170" w:type="dxa"/>
              <w:right w:w="170" w:type="dxa"/>
            </w:tcMar>
          </w:tcPr>
          <w:p w14:paraId="41A28610" w14:textId="77777777" w:rsidR="00FC6628" w:rsidRPr="00626D32" w:rsidRDefault="00FC6628" w:rsidP="00D3668D">
            <w:pPr>
              <w:pStyle w:val="BoxSpaceBelow"/>
              <w:keepLines/>
            </w:pPr>
          </w:p>
        </w:tc>
      </w:tr>
    </w:tbl>
    <w:p w14:paraId="0704DC4C" w14:textId="440A2B2E" w:rsidR="00DD32A3" w:rsidRPr="001706C2" w:rsidRDefault="00DD32A3" w:rsidP="00A42FD2">
      <w:pPr>
        <w:pStyle w:val="BodyText"/>
        <w:spacing w:before="0" w:line="240" w:lineRule="auto"/>
        <w:rPr>
          <w:sz w:val="4"/>
          <w:szCs w:val="4"/>
        </w:rPr>
      </w:pPr>
    </w:p>
    <w:p w14:paraId="326D9306" w14:textId="1FFB4EA5" w:rsidR="00FC6628" w:rsidRDefault="00FC6628" w:rsidP="00317773">
      <w:pPr>
        <w:pStyle w:val="Heading3"/>
      </w:pPr>
      <w:r>
        <w:t xml:space="preserve">Funding LHNs for prevention and chronic care </w:t>
      </w:r>
    </w:p>
    <w:p w14:paraId="30AE0F6B" w14:textId="2E88A254" w:rsidR="00FC6628" w:rsidRPr="00DD32A3" w:rsidRDefault="00FC6628" w:rsidP="00DD32A3">
      <w:pPr>
        <w:pStyle w:val="BodyText"/>
      </w:pPr>
      <w:r w:rsidRPr="00DD32A3">
        <w:t>Activity</w:t>
      </w:r>
      <w:r w:rsidR="005B190E">
        <w:noBreakHyphen/>
      </w:r>
      <w:r w:rsidRPr="00DD32A3">
        <w:t xml:space="preserve">based funding mechanisms, which are the predominant models used in the hospital system, reward LHNs for the number of patients they see, and the volume of treatment they provide. </w:t>
      </w:r>
      <w:r w:rsidR="00124213">
        <w:t xml:space="preserve">It is a </w:t>
      </w:r>
      <w:r w:rsidR="007F49D5">
        <w:t>powerful</w:t>
      </w:r>
      <w:r w:rsidR="00124213">
        <w:t xml:space="preserve"> mechanism to underpin the cost</w:t>
      </w:r>
      <w:r w:rsidR="005B190E">
        <w:noBreakHyphen/>
      </w:r>
      <w:r w:rsidR="00124213">
        <w:t xml:space="preserve">effective provision of </w:t>
      </w:r>
      <w:r w:rsidR="00FB01F7">
        <w:t>episodic</w:t>
      </w:r>
      <w:r w:rsidR="00124213">
        <w:t xml:space="preserve"> care. However, t</w:t>
      </w:r>
      <w:r w:rsidRPr="00DD32A3">
        <w:t xml:space="preserve">hese funding mechanisms offer limited compensation for the management of </w:t>
      </w:r>
      <w:r w:rsidRPr="00DD32A3">
        <w:lastRenderedPageBreak/>
        <w:t>chronic conditions</w:t>
      </w:r>
      <w:r w:rsidR="0053507F" w:rsidRPr="003B4B56">
        <w:rPr>
          <w:rStyle w:val="FootnoteReference"/>
        </w:rPr>
        <w:footnoteReference w:id="4"/>
      </w:r>
      <w:r w:rsidRPr="00DD32A3">
        <w:t xml:space="preserve"> and provide insufficient incentives to engage in prevention, proactive outreach and quality improvement. This means that an LHN that works to keep people healthy and avoid the need for hospital visits will likely face a decline in revenue</w:t>
      </w:r>
      <w:r w:rsidR="00D04B75">
        <w:t>.</w:t>
      </w:r>
      <w:r w:rsidR="000B4E54">
        <w:t xml:space="preserve"> (GPs </w:t>
      </w:r>
      <w:r w:rsidR="00E35688">
        <w:t xml:space="preserve">can </w:t>
      </w:r>
      <w:r w:rsidR="000B4E54">
        <w:t>find themselve</w:t>
      </w:r>
      <w:r w:rsidR="009337CE">
        <w:t xml:space="preserve">s </w:t>
      </w:r>
      <w:r w:rsidR="00C51B15">
        <w:t xml:space="preserve">in a </w:t>
      </w:r>
      <w:r w:rsidR="00FF47BF">
        <w:t>comparable situation</w:t>
      </w:r>
      <w:r w:rsidR="00C51B15">
        <w:t xml:space="preserve"> </w:t>
      </w:r>
      <w:r w:rsidR="004C6A8F">
        <w:t>because</w:t>
      </w:r>
      <w:r w:rsidR="00C51B15">
        <w:t xml:space="preserve"> </w:t>
      </w:r>
      <w:r w:rsidR="00722266">
        <w:t>their income</w:t>
      </w:r>
      <w:r w:rsidR="00432BFA">
        <w:t>s</w:t>
      </w:r>
      <w:r w:rsidR="00722266">
        <w:t xml:space="preserve"> decline </w:t>
      </w:r>
      <w:r w:rsidR="0062118E">
        <w:t xml:space="preserve">if they spend time on unremunerated care coordination tasks, or if </w:t>
      </w:r>
      <w:r w:rsidR="00C51B15">
        <w:t xml:space="preserve">successful management of chronic conditions </w:t>
      </w:r>
      <w:r w:rsidR="00722266">
        <w:t>means people need to see their doctor less often</w:t>
      </w:r>
      <w:r w:rsidR="00C51B15">
        <w:t>)</w:t>
      </w:r>
      <w:r w:rsidRPr="00DD32A3">
        <w:t>.</w:t>
      </w:r>
    </w:p>
    <w:p w14:paraId="2092453A" w14:textId="7FEAC176" w:rsidR="00FC6628" w:rsidRPr="00DD32A3" w:rsidRDefault="00FC6628" w:rsidP="00DD32A3">
      <w:pPr>
        <w:pStyle w:val="BodyText"/>
      </w:pPr>
      <w:r w:rsidRPr="00DD32A3">
        <w:t xml:space="preserve">Initiatives that </w:t>
      </w:r>
      <w:r w:rsidR="001E4FDD" w:rsidRPr="00DD32A3">
        <w:t xml:space="preserve">either introduce flexibility to funding allocations or support pooled funding, </w:t>
      </w:r>
      <w:r w:rsidRPr="00DD32A3">
        <w:t xml:space="preserve">so that hospitals do not lose funding for undertaking </w:t>
      </w:r>
      <w:r w:rsidR="00124213">
        <w:t xml:space="preserve">effective </w:t>
      </w:r>
      <w:r w:rsidRPr="00DD32A3">
        <w:t xml:space="preserve">prevention, chronic disease management and outreach activities, have demonstrated success. Examples include </w:t>
      </w:r>
      <w:r w:rsidR="00BB621C" w:rsidRPr="00DD32A3">
        <w:t>Monash Watch (case study 4),</w:t>
      </w:r>
      <w:r w:rsidRPr="00DD32A3">
        <w:t xml:space="preserve"> Choices (case study 7), Western Sydney’s COVID</w:t>
      </w:r>
      <w:r w:rsidRPr="00DD32A3">
        <w:noBreakHyphen/>
        <w:t>19 response (case study 8), Royal Perth Hospital Homeless Team (case study 9)</w:t>
      </w:r>
      <w:r w:rsidR="007D71D9" w:rsidRPr="00DD32A3">
        <w:t xml:space="preserve"> and</w:t>
      </w:r>
      <w:r w:rsidRPr="00DD32A3">
        <w:t xml:space="preserve"> The Collaborative (case study 10). But these small</w:t>
      </w:r>
      <w:r w:rsidR="005B190E">
        <w:noBreakHyphen/>
      </w:r>
      <w:r w:rsidRPr="00DD32A3">
        <w:t>scale initiatives are not sufficient to meet the large and growing challenge of providing effective preventive care and keeping people with chronic conditions healthy and out of hospital.</w:t>
      </w:r>
    </w:p>
    <w:p w14:paraId="28CA391B" w14:textId="21C70B56" w:rsidR="00331747" w:rsidRDefault="00FC6628" w:rsidP="00DD32A3">
      <w:pPr>
        <w:pStyle w:val="BodyText"/>
      </w:pPr>
      <w:r w:rsidRPr="00DD32A3">
        <w:t>Under the Addendum to the National Health Reform Agreement 2020–25, the Australian, State and Territory Governments have agreed to long</w:t>
      </w:r>
      <w:r w:rsidRPr="00DD32A3">
        <w:noBreakHyphen/>
        <w:t>term reforms, including trialling blended funding models, bundled payments, refinements to activity</w:t>
      </w:r>
      <w:r w:rsidRPr="00DD32A3">
        <w:noBreakHyphen/>
        <w:t>based funding, capitation models and outcomes</w:t>
      </w:r>
      <w:r w:rsidRPr="00DD32A3">
        <w:noBreakHyphen/>
        <w:t xml:space="preserve">based payments. </w:t>
      </w:r>
      <w:r w:rsidR="00903691" w:rsidRPr="00DD32A3">
        <w:t xml:space="preserve">Such trials are currently underway </w:t>
      </w:r>
      <w:r w:rsidR="00100EA8">
        <w:t xml:space="preserve">for LHNs in New South Wales and Victoria. </w:t>
      </w:r>
      <w:r w:rsidRPr="00DD32A3">
        <w:t xml:space="preserve">As </w:t>
      </w:r>
      <w:proofErr w:type="spellStart"/>
      <w:r w:rsidRPr="00DD32A3">
        <w:t>HealthLinks</w:t>
      </w:r>
      <w:proofErr w:type="spellEnd"/>
      <w:r w:rsidRPr="00DD32A3">
        <w:t xml:space="preserve"> (case study 17) demonstrates, </w:t>
      </w:r>
      <w:r w:rsidR="002020A7">
        <w:t>new</w:t>
      </w:r>
      <w:r w:rsidRPr="00DD32A3">
        <w:t xml:space="preserve"> payment mechanisms can spur effective and sustainable innovations, such as Monash Watch (case study 4). </w:t>
      </w:r>
      <w:proofErr w:type="spellStart"/>
      <w:r w:rsidR="00CC700F">
        <w:t>Health</w:t>
      </w:r>
      <w:r w:rsidR="003E74AA">
        <w:t>L</w:t>
      </w:r>
      <w:r w:rsidR="00CC700F">
        <w:t>inks</w:t>
      </w:r>
      <w:proofErr w:type="spellEnd"/>
      <w:r w:rsidR="00CC700F">
        <w:t xml:space="preserve"> has provided </w:t>
      </w:r>
      <w:r w:rsidR="00094321">
        <w:t>useful lessons about the design and implementation of capitation</w:t>
      </w:r>
      <w:r w:rsidR="0034779C">
        <w:noBreakHyphen/>
        <w:t xml:space="preserve">based funding oriented to high frequency hospital users, and </w:t>
      </w:r>
      <w:r w:rsidR="005831D1">
        <w:t xml:space="preserve">for the </w:t>
      </w:r>
      <w:r w:rsidR="00395D43">
        <w:t>algorithms</w:t>
      </w:r>
      <w:r w:rsidR="005831D1">
        <w:t xml:space="preserve"> that underpin </w:t>
      </w:r>
      <w:r w:rsidR="00395D43">
        <w:t>identification of such users.</w:t>
      </w:r>
    </w:p>
    <w:p w14:paraId="2676953E" w14:textId="7C93985D" w:rsidR="00FC6628" w:rsidRPr="00DD32A3" w:rsidRDefault="00FC6628" w:rsidP="00DD32A3">
      <w:pPr>
        <w:pStyle w:val="BodyText"/>
      </w:pPr>
      <w:r w:rsidRPr="00DD32A3">
        <w:t xml:space="preserve">But advancing funding reform </w:t>
      </w:r>
      <w:r w:rsidR="00E904BE">
        <w:t>would</w:t>
      </w:r>
      <w:r w:rsidR="00E904BE" w:rsidRPr="00DD32A3">
        <w:t xml:space="preserve"> </w:t>
      </w:r>
      <w:r w:rsidRPr="00DD32A3">
        <w:t xml:space="preserve">require </w:t>
      </w:r>
      <w:r w:rsidR="00D1467B">
        <w:t>greater involvement</w:t>
      </w:r>
      <w:r w:rsidR="000C180B">
        <w:t xml:space="preserve"> of all</w:t>
      </w:r>
      <w:r w:rsidR="003E1822" w:rsidRPr="00DD32A3">
        <w:t xml:space="preserve"> </w:t>
      </w:r>
      <w:r w:rsidRPr="00DD32A3">
        <w:t>jurisdiction</w:t>
      </w:r>
      <w:r w:rsidR="003E1822">
        <w:t>s</w:t>
      </w:r>
      <w:r w:rsidRPr="00DD32A3">
        <w:t xml:space="preserve"> </w:t>
      </w:r>
      <w:r w:rsidR="00BA5F58">
        <w:t>in</w:t>
      </w:r>
      <w:r w:rsidR="00BA5F58" w:rsidRPr="00DD32A3">
        <w:t xml:space="preserve"> </w:t>
      </w:r>
      <w:r w:rsidR="008224B9" w:rsidRPr="00DD32A3">
        <w:t>trial</w:t>
      </w:r>
      <w:r w:rsidR="008224B9">
        <w:t>ling</w:t>
      </w:r>
      <w:r w:rsidRPr="00DD32A3">
        <w:t xml:space="preserve"> new approaches</w:t>
      </w:r>
      <w:r w:rsidR="002170C8" w:rsidRPr="00DD32A3">
        <w:t>, learning from the experiences of N</w:t>
      </w:r>
      <w:r w:rsidR="008224B9">
        <w:t xml:space="preserve">ew </w:t>
      </w:r>
      <w:r w:rsidR="002170C8" w:rsidRPr="00DD32A3">
        <w:t>S</w:t>
      </w:r>
      <w:r w:rsidR="008224B9">
        <w:t xml:space="preserve">outh </w:t>
      </w:r>
      <w:r w:rsidR="002170C8" w:rsidRPr="00DD32A3">
        <w:t>W</w:t>
      </w:r>
      <w:r w:rsidR="008224B9">
        <w:t>ales</w:t>
      </w:r>
      <w:r w:rsidR="002170C8" w:rsidRPr="00DD32A3">
        <w:t xml:space="preserve"> and Victoria</w:t>
      </w:r>
      <w:r w:rsidR="00E828A4" w:rsidRPr="00DD32A3">
        <w:t xml:space="preserve"> and working together with </w:t>
      </w:r>
      <w:r w:rsidR="005D5924" w:rsidRPr="00DD32A3">
        <w:t>the Independent Hospital Pricing Authority (</w:t>
      </w:r>
      <w:r w:rsidR="00E828A4" w:rsidRPr="00DD32A3">
        <w:t>IHPA</w:t>
      </w:r>
      <w:r w:rsidR="005D5924" w:rsidRPr="00DD32A3">
        <w:t>)</w:t>
      </w:r>
      <w:r w:rsidRPr="00DD32A3">
        <w:t xml:space="preserve">. </w:t>
      </w:r>
      <w:r w:rsidR="0041693C">
        <w:t>The development o</w:t>
      </w:r>
      <w:r w:rsidR="000F554C">
        <w:t>f funding models</w:t>
      </w:r>
      <w:r w:rsidR="00B91A44">
        <w:t xml:space="preserve"> at the jurisdictional level </w:t>
      </w:r>
      <w:r w:rsidR="00C37840">
        <w:t xml:space="preserve">would </w:t>
      </w:r>
      <w:r w:rsidR="001A1BF6">
        <w:t xml:space="preserve">provide a </w:t>
      </w:r>
      <w:r w:rsidR="00A17BEE">
        <w:t xml:space="preserve">pathway to </w:t>
      </w:r>
      <w:r w:rsidR="00FF0C5D">
        <w:t>sca</w:t>
      </w:r>
      <w:r w:rsidR="00C37840">
        <w:t>l</w:t>
      </w:r>
      <w:r w:rsidR="00FF0C5D">
        <w:t>ing up to a nationally con</w:t>
      </w:r>
      <w:r w:rsidR="00C37840">
        <w:t>sistent capitation</w:t>
      </w:r>
      <w:r w:rsidR="00FF0C5D">
        <w:t xml:space="preserve"> and pooled funding </w:t>
      </w:r>
      <w:r w:rsidR="00C37840">
        <w:t xml:space="preserve">model. </w:t>
      </w:r>
      <w:r w:rsidR="00DD28F3" w:rsidRPr="00DD32A3">
        <w:t xml:space="preserve">Developing effective funding models would also require </w:t>
      </w:r>
      <w:r w:rsidR="00982D1A" w:rsidRPr="00DD32A3">
        <w:t>greater use of</w:t>
      </w:r>
      <w:r w:rsidR="004472F1" w:rsidRPr="00DD32A3">
        <w:t xml:space="preserve"> </w:t>
      </w:r>
      <w:r w:rsidR="00AE06AA" w:rsidRPr="00DD32A3">
        <w:t xml:space="preserve">health data (see below). </w:t>
      </w:r>
    </w:p>
    <w:p w14:paraId="38AADD5F" w14:textId="6EC5F119" w:rsidR="00CF5665" w:rsidRPr="00DD32A3" w:rsidRDefault="00E66641" w:rsidP="00DD32A3">
      <w:pPr>
        <w:pStyle w:val="BodyText"/>
      </w:pPr>
      <w:r w:rsidRPr="00DD32A3">
        <w:t xml:space="preserve">As with PHNs, the Commission </w:t>
      </w:r>
      <w:r w:rsidR="00552B26" w:rsidRPr="00DD32A3">
        <w:t xml:space="preserve">found that </w:t>
      </w:r>
      <w:r w:rsidR="00C31564" w:rsidRPr="00DD32A3">
        <w:t>several</w:t>
      </w:r>
      <w:r w:rsidRPr="00DD32A3">
        <w:t xml:space="preserve"> LHNs in different jurisdictions </w:t>
      </w:r>
      <w:r w:rsidR="00552B26" w:rsidRPr="00DD32A3">
        <w:t xml:space="preserve">introduced </w:t>
      </w:r>
      <w:r w:rsidR="00D804AA" w:rsidRPr="00DD32A3">
        <w:t>new approaches to care or have take</w:t>
      </w:r>
      <w:r w:rsidR="00F552A4" w:rsidRPr="00DD32A3">
        <w:t>n</w:t>
      </w:r>
      <w:r w:rsidR="00D804AA" w:rsidRPr="00DD32A3">
        <w:t xml:space="preserve"> an active role in collaborative efforts. </w:t>
      </w:r>
      <w:r w:rsidR="00727D52" w:rsidRPr="00DD32A3">
        <w:t>T</w:t>
      </w:r>
      <w:r w:rsidR="00C160F0" w:rsidRPr="00DD32A3">
        <w:t>he reporting frameworks of LHNs differ across jurisdictions</w:t>
      </w:r>
      <w:r w:rsidR="006F489B" w:rsidRPr="00DD32A3">
        <w:t xml:space="preserve"> and the extent to which </w:t>
      </w:r>
      <w:r w:rsidR="00E67C88" w:rsidRPr="00DD32A3">
        <w:t>they</w:t>
      </w:r>
      <w:r w:rsidR="006F489B" w:rsidRPr="00DD32A3">
        <w:t xml:space="preserve"> prioritise innovation</w:t>
      </w:r>
      <w:r w:rsidR="00727D52" w:rsidRPr="00DD32A3">
        <w:t xml:space="preserve"> </w:t>
      </w:r>
      <w:r w:rsidR="00E67C88" w:rsidRPr="00DD32A3">
        <w:t>var</w:t>
      </w:r>
      <w:r w:rsidR="00662B68" w:rsidRPr="00DD32A3">
        <w:t>ies</w:t>
      </w:r>
      <w:r w:rsidR="00881A0E" w:rsidRPr="00DD32A3">
        <w:t xml:space="preserve">. </w:t>
      </w:r>
      <w:r w:rsidR="005843B1" w:rsidRPr="00DD32A3">
        <w:t xml:space="preserve">Consistently </w:t>
      </w:r>
      <w:r w:rsidR="0065173E" w:rsidRPr="00DD32A3">
        <w:t>i</w:t>
      </w:r>
      <w:r w:rsidR="00881A0E" w:rsidRPr="00DD32A3">
        <w:t>ncorporating innovation in reporting frameworks can give LHNs an added in</w:t>
      </w:r>
      <w:r w:rsidR="004E38BF" w:rsidRPr="00DD32A3">
        <w:t>centive to improve their service delivery model.</w:t>
      </w:r>
    </w:p>
    <w:p w14:paraId="2E4836D4" w14:textId="77777777" w:rsidR="00FC6628" w:rsidRPr="004E3B94" w:rsidRDefault="00FC6628" w:rsidP="00FC6628">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C6628" w14:paraId="07CF6D1C" w14:textId="77777777" w:rsidTr="00D3668D">
        <w:trPr>
          <w:cantSplit/>
          <w:tblHeader/>
        </w:trPr>
        <w:tc>
          <w:tcPr>
            <w:tcW w:w="5000" w:type="pct"/>
            <w:tcBorders>
              <w:top w:val="single" w:sz="6" w:space="0" w:color="2D9AC2" w:themeColor="text2" w:themeShade="BF"/>
              <w:left w:val="nil"/>
              <w:bottom w:val="nil"/>
              <w:right w:val="nil"/>
            </w:tcBorders>
            <w:shd w:val="clear" w:color="auto" w:fill="E0F1F7" w:themeFill="text2" w:themeFillTint="33"/>
            <w:tcMar>
              <w:left w:w="170" w:type="dxa"/>
              <w:right w:w="170" w:type="dxa"/>
            </w:tcMar>
          </w:tcPr>
          <w:p w14:paraId="236C2B8C" w14:textId="029A1F90" w:rsidR="00FC6628" w:rsidRPr="002D6D7E" w:rsidRDefault="00FC6628" w:rsidP="00565CE9">
            <w:pPr>
              <w:pStyle w:val="FindingTitle"/>
              <w:spacing w:before="120"/>
              <w:ind w:left="1191" w:hanging="1191"/>
              <w:rPr>
                <w:b/>
                <w:noProof/>
              </w:rPr>
            </w:pPr>
            <w:r>
              <w:rPr>
                <w:b/>
                <w:bCs/>
              </w:rPr>
              <w:t>Recommendation 2</w:t>
            </w:r>
            <w:r w:rsidR="00FE0098">
              <w:rPr>
                <w:b/>
                <w:bCs/>
              </w:rPr>
              <w:t xml:space="preserve"> – trialling innovative funding arrangements </w:t>
            </w:r>
          </w:p>
        </w:tc>
      </w:tr>
      <w:tr w:rsidR="00FC6628" w:rsidRPr="00750BE2" w14:paraId="097A250B" w14:textId="77777777" w:rsidTr="00D3668D">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77DDC971" w14:textId="62E0DC36" w:rsidR="00CB442E" w:rsidRDefault="00726FC7" w:rsidP="00D3668D">
            <w:pPr>
              <w:pStyle w:val="Rec"/>
              <w:keepNext/>
            </w:pPr>
            <w:r>
              <w:t xml:space="preserve">State and Territory Governments </w:t>
            </w:r>
            <w:r w:rsidR="00D1467B">
              <w:t xml:space="preserve">could </w:t>
            </w:r>
            <w:r>
              <w:t>commence (or where applicable, continue) trials of alternative funding models that provide Local Hospital Networks</w:t>
            </w:r>
            <w:r w:rsidR="003601AC">
              <w:t xml:space="preserve"> (LHNs)</w:t>
            </w:r>
            <w:r>
              <w:t xml:space="preserve"> with </w:t>
            </w:r>
            <w:r w:rsidR="005B36D6">
              <w:t xml:space="preserve">both the </w:t>
            </w:r>
            <w:r>
              <w:t xml:space="preserve">flexibility </w:t>
            </w:r>
            <w:r w:rsidR="005B36D6">
              <w:t>and incentive</w:t>
            </w:r>
            <w:r w:rsidR="000B4E54">
              <w:t>s</w:t>
            </w:r>
            <w:r w:rsidR="005B36D6">
              <w:t xml:space="preserve"> </w:t>
            </w:r>
            <w:r>
              <w:t>to meet the care needs of people with chronic conditions</w:t>
            </w:r>
            <w:r w:rsidR="00FC6628">
              <w:t xml:space="preserve">. </w:t>
            </w:r>
            <w:r w:rsidR="00CB442E">
              <w:t xml:space="preserve">This work should draw on the experiences of </w:t>
            </w:r>
            <w:proofErr w:type="spellStart"/>
            <w:r w:rsidR="00CB442E">
              <w:t>HealthLinks</w:t>
            </w:r>
            <w:proofErr w:type="spellEnd"/>
            <w:r w:rsidR="00CB442E">
              <w:t xml:space="preserve"> (case study 17) and </w:t>
            </w:r>
            <w:r w:rsidR="00CB442E" w:rsidRPr="000B1B85">
              <w:t xml:space="preserve">Collaborative Commissioning </w:t>
            </w:r>
            <w:r w:rsidR="00CB442E">
              <w:t>(case study 16).</w:t>
            </w:r>
          </w:p>
          <w:p w14:paraId="15C032AC" w14:textId="23AF59BA" w:rsidR="00037655" w:rsidRDefault="00037655" w:rsidP="00D3668D">
            <w:pPr>
              <w:pStyle w:val="Rec"/>
              <w:keepNext/>
            </w:pPr>
            <w:r>
              <w:t xml:space="preserve">State and Territory Health Departments </w:t>
            </w:r>
            <w:r w:rsidR="00454253">
              <w:t xml:space="preserve">could also </w:t>
            </w:r>
            <w:r>
              <w:t xml:space="preserve">review the performance frameworks </w:t>
            </w:r>
            <w:r w:rsidR="000A42B0">
              <w:t xml:space="preserve">of </w:t>
            </w:r>
            <w:r w:rsidR="00F061AC">
              <w:t>LHNs</w:t>
            </w:r>
            <w:r w:rsidR="000A42B0">
              <w:t xml:space="preserve">, </w:t>
            </w:r>
            <w:r w:rsidR="00A61F7A">
              <w:t xml:space="preserve">to </w:t>
            </w:r>
            <w:r w:rsidR="00E55392">
              <w:t>ensure</w:t>
            </w:r>
            <w:r w:rsidR="00593046">
              <w:t xml:space="preserve"> </w:t>
            </w:r>
            <w:r w:rsidR="00513DDB">
              <w:t xml:space="preserve">LHNs </w:t>
            </w:r>
            <w:r w:rsidR="005843B1">
              <w:t xml:space="preserve">consistently </w:t>
            </w:r>
            <w:r w:rsidR="00513DDB">
              <w:t xml:space="preserve">work towards </w:t>
            </w:r>
            <w:r w:rsidR="00607B5C">
              <w:t xml:space="preserve">diversifying and </w:t>
            </w:r>
            <w:r w:rsidR="00513DDB">
              <w:t xml:space="preserve">improving their service delivery models. </w:t>
            </w:r>
          </w:p>
          <w:p w14:paraId="64BB5395" w14:textId="77777777" w:rsidR="00695B0E" w:rsidRPr="007D5C2B" w:rsidRDefault="00695B0E" w:rsidP="00565CE9">
            <w:pPr>
              <w:pStyle w:val="Rec"/>
              <w:keepNext/>
              <w:rPr>
                <w:b/>
                <w:bCs/>
                <w:caps/>
                <w:sz w:val="18"/>
              </w:rPr>
            </w:pPr>
            <w:r w:rsidRPr="007D5C2B">
              <w:rPr>
                <w:b/>
                <w:bCs/>
                <w:caps/>
                <w:sz w:val="18"/>
              </w:rPr>
              <w:t>Expected outcomes</w:t>
            </w:r>
          </w:p>
          <w:p w14:paraId="37884951" w14:textId="70653059" w:rsidR="00193B3B" w:rsidRDefault="00F376CA" w:rsidP="00D3668D">
            <w:pPr>
              <w:pStyle w:val="Rec"/>
              <w:keepNext/>
            </w:pPr>
            <w:r>
              <w:t xml:space="preserve">This would encourage LHNs to develop new ways of addressing the health needs of their local communities </w:t>
            </w:r>
            <w:r w:rsidR="00454253">
              <w:t>and</w:t>
            </w:r>
            <w:r>
              <w:t xml:space="preserve"> adopt innovations developed el</w:t>
            </w:r>
            <w:r w:rsidR="004813AB">
              <w:t>se</w:t>
            </w:r>
            <w:r>
              <w:t>where</w:t>
            </w:r>
            <w:r w:rsidR="004813AB">
              <w:t xml:space="preserve">. </w:t>
            </w:r>
            <w:r w:rsidR="00F666D7">
              <w:t>It</w:t>
            </w:r>
            <w:r w:rsidR="00F666D7" w:rsidDel="00454253">
              <w:t xml:space="preserve"> </w:t>
            </w:r>
            <w:r w:rsidR="00454253">
              <w:t>would</w:t>
            </w:r>
            <w:r w:rsidR="00F666D7">
              <w:t xml:space="preserve"> a</w:t>
            </w:r>
            <w:r w:rsidR="0096617E">
              <w:t>lso</w:t>
            </w:r>
            <w:r w:rsidR="00193B3B">
              <w:t xml:space="preserve"> support the implementation of initiatives such as </w:t>
            </w:r>
            <w:r w:rsidR="00BB621C">
              <w:t>Monash Watch (case study 4)</w:t>
            </w:r>
            <w:r w:rsidR="00CB442E">
              <w:t xml:space="preserve"> and</w:t>
            </w:r>
            <w:r w:rsidR="00BB621C">
              <w:t xml:space="preserve"> </w:t>
            </w:r>
            <w:r w:rsidR="00BB621C" w:rsidRPr="00674D49">
              <w:rPr>
                <w:noProof/>
              </w:rPr>
              <w:t>Royal Perth Hospital Homeless Team</w:t>
            </w:r>
            <w:r w:rsidR="00BB621C" w:rsidRPr="0097194C">
              <w:t xml:space="preserve"> </w:t>
            </w:r>
            <w:r w:rsidR="00BB621C">
              <w:t>(case study 9</w:t>
            </w:r>
            <w:r w:rsidR="00CB442E">
              <w:t>).</w:t>
            </w:r>
          </w:p>
          <w:p w14:paraId="3B997715" w14:textId="74FCC03D" w:rsidR="004813AB" w:rsidRPr="00FA7915" w:rsidRDefault="004813AB" w:rsidP="00D3668D">
            <w:pPr>
              <w:pStyle w:val="Rec"/>
              <w:keepNext/>
            </w:pPr>
            <w:r>
              <w:t>A</w:t>
            </w:r>
            <w:r w:rsidR="00F13DA4">
              <w:t xml:space="preserve">dditional trials of innovative funding </w:t>
            </w:r>
            <w:r w:rsidR="00454253">
              <w:t xml:space="preserve">would </w:t>
            </w:r>
            <w:r w:rsidR="004B26BF">
              <w:t>contribute to</w:t>
            </w:r>
            <w:r w:rsidR="00F13DA4">
              <w:t xml:space="preserve"> broader health funding reform.</w:t>
            </w:r>
          </w:p>
        </w:tc>
      </w:tr>
      <w:tr w:rsidR="00FC6628" w14:paraId="48D4C05D" w14:textId="77777777" w:rsidTr="00D3668D">
        <w:trPr>
          <w:cantSplit/>
        </w:trPr>
        <w:tc>
          <w:tcPr>
            <w:tcW w:w="5000" w:type="pct"/>
            <w:tcBorders>
              <w:top w:val="nil"/>
              <w:left w:val="nil"/>
              <w:bottom w:val="single" w:sz="6" w:space="0" w:color="2D9AC2" w:themeColor="text2" w:themeShade="BF"/>
              <w:right w:val="nil"/>
            </w:tcBorders>
            <w:shd w:val="clear" w:color="auto" w:fill="E0F1F7" w:themeFill="text2" w:themeFillTint="33"/>
            <w:tcMar>
              <w:left w:w="170" w:type="dxa"/>
              <w:right w:w="170" w:type="dxa"/>
            </w:tcMar>
          </w:tcPr>
          <w:p w14:paraId="2DEBC441" w14:textId="77777777" w:rsidR="00FC6628" w:rsidRDefault="00FC6628" w:rsidP="006670FF">
            <w:pPr>
              <w:pStyle w:val="Space"/>
              <w:keepLines/>
              <w:spacing w:after="0"/>
            </w:pPr>
          </w:p>
        </w:tc>
      </w:tr>
      <w:tr w:rsidR="00FC6628" w:rsidRPr="000863A5" w14:paraId="6DF3B722" w14:textId="77777777" w:rsidTr="00D3668D">
        <w:trPr>
          <w:cantSplit/>
        </w:trPr>
        <w:tc>
          <w:tcPr>
            <w:tcW w:w="5000" w:type="pct"/>
            <w:tcBorders>
              <w:top w:val="single" w:sz="6" w:space="0" w:color="2D9AC2" w:themeColor="text2" w:themeShade="BF"/>
              <w:left w:val="nil"/>
              <w:bottom w:val="nil"/>
              <w:right w:val="nil"/>
            </w:tcBorders>
            <w:tcMar>
              <w:left w:w="170" w:type="dxa"/>
              <w:right w:w="170" w:type="dxa"/>
            </w:tcMar>
          </w:tcPr>
          <w:p w14:paraId="24E485F4" w14:textId="77777777" w:rsidR="00FC6628" w:rsidRPr="00626D32" w:rsidRDefault="00FC6628" w:rsidP="00D3668D">
            <w:pPr>
              <w:pStyle w:val="BoxSpaceBelow"/>
              <w:keepLines/>
            </w:pPr>
          </w:p>
        </w:tc>
      </w:tr>
    </w:tbl>
    <w:p w14:paraId="39C576DB" w14:textId="39A56535" w:rsidR="00FC6628" w:rsidRDefault="00FC6628" w:rsidP="00FC6628">
      <w:pPr>
        <w:pStyle w:val="Heading2"/>
      </w:pPr>
      <w:r w:rsidRPr="006033AB">
        <w:t>2.</w:t>
      </w:r>
      <w:r>
        <w:t xml:space="preserve"> Harness data to </w:t>
      </w:r>
      <w:r w:rsidR="002A3DF1">
        <w:t xml:space="preserve">make </w:t>
      </w:r>
      <w:r>
        <w:t>better decisions</w:t>
      </w:r>
    </w:p>
    <w:p w14:paraId="717ED13D" w14:textId="09CCCF44" w:rsidR="00FC6628" w:rsidRPr="00DD32A3" w:rsidRDefault="00FC6628" w:rsidP="00DD32A3">
      <w:pPr>
        <w:pStyle w:val="BodyText"/>
      </w:pPr>
      <w:r w:rsidRPr="00DD32A3">
        <w:t xml:space="preserve">Data is one of the key enablers of </w:t>
      </w:r>
      <w:r w:rsidR="00420EA6" w:rsidRPr="00DD32A3">
        <w:t>health innovation and quality improvement</w:t>
      </w:r>
      <w:r w:rsidRPr="00DD32A3">
        <w:t xml:space="preserve">. For example, </w:t>
      </w:r>
      <w:proofErr w:type="spellStart"/>
      <w:r w:rsidRPr="00DD32A3">
        <w:t>HealthLinks</w:t>
      </w:r>
      <w:proofErr w:type="spellEnd"/>
      <w:r w:rsidRPr="00DD32A3">
        <w:t xml:space="preserve"> (cases study</w:t>
      </w:r>
      <w:r w:rsidR="004F76F7" w:rsidRPr="00DD32A3">
        <w:t> </w:t>
      </w:r>
      <w:r w:rsidRPr="00DD32A3">
        <w:t>17) uses an algorithm to identify consumers</w:t>
      </w:r>
      <w:r w:rsidR="00DC6BF3" w:rsidRPr="00DD32A3">
        <w:t xml:space="preserve"> at high risk of hospitalisation</w:t>
      </w:r>
      <w:r w:rsidRPr="00DD32A3">
        <w:t xml:space="preserve">. </w:t>
      </w:r>
      <w:r w:rsidR="00656F8A" w:rsidRPr="00DD32A3">
        <w:t>The algorithm i</w:t>
      </w:r>
      <w:r w:rsidR="00222CB1" w:rsidRPr="00DD32A3">
        <w:t xml:space="preserve">s an important part of the capitation funding model, while also helping health services to offer the right service to the right people at the right time. </w:t>
      </w:r>
      <w:r w:rsidRPr="00DD32A3">
        <w:t xml:space="preserve">But even much simpler systems can lead to significant improvement. Reports that alert clinicians to potential medication safety issues or patients who </w:t>
      </w:r>
      <w:r w:rsidR="00DF288D" w:rsidRPr="00DD32A3">
        <w:t>need</w:t>
      </w:r>
      <w:r w:rsidRPr="00DD32A3">
        <w:t xml:space="preserve"> periodic reviews enable safer and more coordinated care.</w:t>
      </w:r>
    </w:p>
    <w:p w14:paraId="292E0FB7" w14:textId="5BAB0456" w:rsidR="00FC6628" w:rsidRPr="00DD32A3" w:rsidRDefault="00222CB1" w:rsidP="00DD32A3">
      <w:pPr>
        <w:pStyle w:val="BodyText"/>
      </w:pPr>
      <w:r w:rsidRPr="00DD32A3">
        <w:t>T</w:t>
      </w:r>
      <w:r w:rsidR="00FC6628" w:rsidRPr="00DD32A3">
        <w:t xml:space="preserve">he case studies featured in Innovations in Care for Chronic Health Conditions </w:t>
      </w:r>
      <w:r w:rsidR="00E06D3C" w:rsidRPr="00DD32A3">
        <w:t xml:space="preserve">that focus particularly on data use </w:t>
      </w:r>
      <w:r w:rsidR="00FC6628" w:rsidRPr="00DD32A3">
        <w:t>— Primary Sense (case study</w:t>
      </w:r>
      <w:r w:rsidR="00394425" w:rsidRPr="00DD32A3">
        <w:t> </w:t>
      </w:r>
      <w:r w:rsidR="00FC6628" w:rsidRPr="00DD32A3">
        <w:t>11), the Chronic Conditions Management Model (case study 12), Smart Referrals (case study 13) and Lumos (case study</w:t>
      </w:r>
      <w:r w:rsidR="002714DE" w:rsidRPr="00DD32A3">
        <w:t> </w:t>
      </w:r>
      <w:r w:rsidR="00FC6628" w:rsidRPr="00DD32A3">
        <w:t>14)</w:t>
      </w:r>
      <w:r w:rsidR="006B4B2D" w:rsidRPr="00DD32A3">
        <w:t xml:space="preserve"> </w:t>
      </w:r>
      <w:r w:rsidR="00FC6628" w:rsidRPr="00DD32A3">
        <w:t xml:space="preserve">— </w:t>
      </w:r>
      <w:r w:rsidR="00E06D3C" w:rsidRPr="00DD32A3">
        <w:t xml:space="preserve">demonstrate the wide range of benefits </w:t>
      </w:r>
      <w:r w:rsidR="003E64A1" w:rsidRPr="00DD32A3">
        <w:t xml:space="preserve">that can be obtained </w:t>
      </w:r>
      <w:r w:rsidR="00E06D3C" w:rsidRPr="00DD32A3">
        <w:t>from improved access and use of health data that is already routinely collected.</w:t>
      </w:r>
      <w:r w:rsidR="008A150F" w:rsidRPr="00DD32A3">
        <w:t xml:space="preserve"> </w:t>
      </w:r>
      <w:r w:rsidR="005478CF" w:rsidRPr="00DD32A3">
        <w:t xml:space="preserve">They are part of a much larger number of </w:t>
      </w:r>
      <w:r w:rsidR="009C55EA" w:rsidRPr="00DD32A3">
        <w:t>data improvement projects occurring in many parts of the health system, including, for example</w:t>
      </w:r>
      <w:r w:rsidR="002574F6">
        <w:t>,</w:t>
      </w:r>
      <w:r w:rsidR="009C55EA" w:rsidRPr="00DD32A3">
        <w:t xml:space="preserve"> </w:t>
      </w:r>
      <w:r w:rsidR="000F1267" w:rsidRPr="00DD32A3">
        <w:t xml:space="preserve">the Primary Insights project that will provide data analytics to PHNs. </w:t>
      </w:r>
    </w:p>
    <w:p w14:paraId="71C0DB2B" w14:textId="78C6596D" w:rsidR="00800CAD" w:rsidRPr="00DD32A3" w:rsidRDefault="00FC6628" w:rsidP="00DD32A3">
      <w:pPr>
        <w:pStyle w:val="BodyText"/>
      </w:pPr>
      <w:r w:rsidRPr="00DD32A3">
        <w:t>However, the use of innovative data tools</w:t>
      </w:r>
      <w:r w:rsidR="00893652" w:rsidRPr="00DD32A3">
        <w:t xml:space="preserve"> among health professionals</w:t>
      </w:r>
      <w:r w:rsidRPr="00DD32A3">
        <w:t xml:space="preserve"> is not widespread. </w:t>
      </w:r>
      <w:r w:rsidR="006C3667" w:rsidRPr="00DD32A3">
        <w:t>While some GP practices invest</w:t>
      </w:r>
      <w:r w:rsidR="00800CAD" w:rsidRPr="00DD32A3">
        <w:t xml:space="preserve"> in </w:t>
      </w:r>
      <w:r w:rsidR="006C3667" w:rsidRPr="00DD32A3">
        <w:t xml:space="preserve">data management tools, </w:t>
      </w:r>
      <w:r w:rsidRPr="00DD32A3">
        <w:t xml:space="preserve">GPs often have little time and limited financial incentives to engage in quality improvement initiatives, including greater use of data. </w:t>
      </w:r>
      <w:r w:rsidR="006C3667" w:rsidRPr="00DD32A3">
        <w:t>Funding</w:t>
      </w:r>
      <w:r w:rsidR="00800CAD" w:rsidRPr="00DD32A3">
        <w:t xml:space="preserve"> PHNs to </w:t>
      </w:r>
      <w:r w:rsidR="006C3667" w:rsidRPr="00DD32A3">
        <w:t xml:space="preserve">offer tools such as Primary Sense to more GP practices and support their use can significantly increase the use of data in primary care. </w:t>
      </w:r>
    </w:p>
    <w:p w14:paraId="7E8ACFE1" w14:textId="2CCA215B" w:rsidR="007D00ED" w:rsidRPr="00DD32A3" w:rsidRDefault="00FC6628" w:rsidP="00DD32A3">
      <w:pPr>
        <w:pStyle w:val="BodyText"/>
      </w:pPr>
      <w:r w:rsidRPr="00DD32A3">
        <w:lastRenderedPageBreak/>
        <w:t xml:space="preserve">The implementation of </w:t>
      </w:r>
      <w:r w:rsidR="007C5AF6" w:rsidRPr="00DD32A3">
        <w:t>large</w:t>
      </w:r>
      <w:r w:rsidR="007C5AF6" w:rsidRPr="00DD32A3">
        <w:noBreakHyphen/>
      </w:r>
      <w:r w:rsidR="006C3667" w:rsidRPr="00DD32A3">
        <w:t xml:space="preserve">scale </w:t>
      </w:r>
      <w:r w:rsidR="00EA458E" w:rsidRPr="00DD32A3">
        <w:t>projects that involve</w:t>
      </w:r>
      <w:r w:rsidR="00800CAD" w:rsidRPr="00DD32A3">
        <w:t xml:space="preserve"> </w:t>
      </w:r>
      <w:r w:rsidR="00B722FF" w:rsidRPr="00DD32A3">
        <w:t xml:space="preserve">data sharing and linkage, such as Smart Referrals and Lumos, </w:t>
      </w:r>
      <w:r w:rsidRPr="00DD32A3">
        <w:t xml:space="preserve">can be stymied by </w:t>
      </w:r>
      <w:r w:rsidR="00B722FF" w:rsidRPr="00DD32A3">
        <w:t>technical difficulties (with the primary and acute care data management system not ‘talking’ to each other)</w:t>
      </w:r>
      <w:r w:rsidR="00550A4A" w:rsidRPr="00DD32A3">
        <w:t xml:space="preserve">. There </w:t>
      </w:r>
      <w:r w:rsidR="00534C1C" w:rsidRPr="00DD32A3">
        <w:t>are</w:t>
      </w:r>
      <w:r w:rsidR="00550A4A" w:rsidRPr="00DD32A3">
        <w:t xml:space="preserve"> </w:t>
      </w:r>
      <w:r w:rsidRPr="00DD32A3">
        <w:t xml:space="preserve">regulatory limitations on data linkages </w:t>
      </w:r>
      <w:r w:rsidR="00E4401E" w:rsidRPr="00DD32A3">
        <w:t>and</w:t>
      </w:r>
      <w:r w:rsidRPr="00DD32A3">
        <w:t xml:space="preserve"> misconceptions about privacy legislation and its implications for data sharing and governance. </w:t>
      </w:r>
      <w:r w:rsidR="00410A75" w:rsidRPr="00DD32A3">
        <w:t>Overcoming these issues takes time, and often depends on building trust between different organisations. Therefore, such projects require long</w:t>
      </w:r>
      <w:r w:rsidR="00CE6739" w:rsidRPr="00DD32A3">
        <w:noBreakHyphen/>
      </w:r>
      <w:r w:rsidR="00410A75" w:rsidRPr="00DD32A3">
        <w:t xml:space="preserve">term funding commitments from their respective State </w:t>
      </w:r>
      <w:r w:rsidR="00124213">
        <w:t xml:space="preserve">and Territory </w:t>
      </w:r>
      <w:r w:rsidR="00410A75" w:rsidRPr="00DD32A3">
        <w:t>Governments</w:t>
      </w:r>
      <w:r w:rsidR="005C433C" w:rsidRPr="00DD32A3">
        <w:t xml:space="preserve">, so they have the time to build </w:t>
      </w:r>
      <w:r w:rsidR="004F32CD" w:rsidRPr="00DD32A3">
        <w:t xml:space="preserve">the relationships that will </w:t>
      </w:r>
      <w:r w:rsidR="0098584E" w:rsidRPr="00DD32A3">
        <w:t>underpin</w:t>
      </w:r>
      <w:r w:rsidR="004F32CD" w:rsidRPr="00DD32A3">
        <w:t xml:space="preserve"> their success</w:t>
      </w:r>
      <w:r w:rsidR="00410A75" w:rsidRPr="00DD32A3">
        <w:t xml:space="preserve">. </w:t>
      </w:r>
    </w:p>
    <w:p w14:paraId="18C2FAD3" w14:textId="4B6A3609" w:rsidR="00FD7F0F" w:rsidRPr="000E0129" w:rsidRDefault="00FD7F0F" w:rsidP="00DD32A3">
      <w:pPr>
        <w:pStyle w:val="BodyText"/>
        <w:rPr>
          <w:spacing w:val="2"/>
        </w:rPr>
      </w:pPr>
      <w:r w:rsidRPr="000E0129">
        <w:rPr>
          <w:spacing w:val="2"/>
        </w:rPr>
        <w:t>Using health data to its full potential can mitigate some of the inherent risks of innovation</w:t>
      </w:r>
      <w:r w:rsidR="00816250" w:rsidRPr="000E0129">
        <w:rPr>
          <w:spacing w:val="2"/>
        </w:rPr>
        <w:t xml:space="preserve">. Both </w:t>
      </w:r>
      <w:proofErr w:type="spellStart"/>
      <w:r w:rsidR="00816250" w:rsidRPr="000E0129">
        <w:rPr>
          <w:spacing w:val="2"/>
        </w:rPr>
        <w:t>HealthLinks</w:t>
      </w:r>
      <w:proofErr w:type="spellEnd"/>
      <w:r w:rsidR="00816250" w:rsidRPr="000E0129">
        <w:rPr>
          <w:spacing w:val="2"/>
        </w:rPr>
        <w:t xml:space="preserve"> and Collaborative Commissioning rely on modelling and analytics to estimate the costs and benefits of interventions, and identify the cohorts who would benefit most. These projects also use data to underpin detailed evaluations, which are a critical part of diffusion.</w:t>
      </w:r>
    </w:p>
    <w:p w14:paraId="792A9E2B" w14:textId="77777777" w:rsidR="00FC6628" w:rsidRPr="004E3B94" w:rsidRDefault="00FC6628" w:rsidP="00FC6628">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C6628" w14:paraId="4B86B4C8" w14:textId="77777777" w:rsidTr="00D3668D">
        <w:trPr>
          <w:cantSplit/>
          <w:tblHeader/>
        </w:trPr>
        <w:tc>
          <w:tcPr>
            <w:tcW w:w="5000" w:type="pct"/>
            <w:tcBorders>
              <w:top w:val="single" w:sz="6" w:space="0" w:color="2D9AC2" w:themeColor="text2" w:themeShade="BF"/>
              <w:left w:val="nil"/>
              <w:bottom w:val="nil"/>
              <w:right w:val="nil"/>
            </w:tcBorders>
            <w:shd w:val="clear" w:color="auto" w:fill="E0F1F7" w:themeFill="text2" w:themeFillTint="33"/>
            <w:tcMar>
              <w:left w:w="170" w:type="dxa"/>
              <w:right w:w="170" w:type="dxa"/>
            </w:tcMar>
          </w:tcPr>
          <w:p w14:paraId="7302BFD8" w14:textId="3C385923" w:rsidR="00FC6628" w:rsidRPr="002D6D7E" w:rsidRDefault="00FC6628" w:rsidP="00D3668D">
            <w:pPr>
              <w:pStyle w:val="FindingTitle"/>
              <w:spacing w:before="120"/>
              <w:ind w:left="1191" w:hanging="1191"/>
              <w:rPr>
                <w:b/>
                <w:noProof/>
              </w:rPr>
            </w:pPr>
            <w:r>
              <w:rPr>
                <w:b/>
                <w:bCs/>
              </w:rPr>
              <w:t>Recommendation 3</w:t>
            </w:r>
            <w:r w:rsidR="009725A5">
              <w:rPr>
                <w:b/>
                <w:bCs/>
              </w:rPr>
              <w:t xml:space="preserve"> </w:t>
            </w:r>
            <w:r w:rsidR="00EA3770">
              <w:rPr>
                <w:b/>
                <w:bCs/>
              </w:rPr>
              <w:t>– improved data systems and data linkages</w:t>
            </w:r>
          </w:p>
        </w:tc>
      </w:tr>
      <w:tr w:rsidR="00FC6628" w:rsidRPr="00750BE2" w14:paraId="702B74B3" w14:textId="77777777" w:rsidTr="00D3668D">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63A65398" w14:textId="67AD333C" w:rsidR="00FC6628" w:rsidRPr="0098584E" w:rsidRDefault="00DE671F" w:rsidP="0098584E">
            <w:pPr>
              <w:pStyle w:val="Rec"/>
              <w:rPr>
                <w:rFonts w:asciiTheme="minorHAnsi" w:hAnsiTheme="minorHAnsi" w:cstheme="minorHAnsi"/>
              </w:rPr>
            </w:pPr>
            <w:r w:rsidRPr="0098584E">
              <w:rPr>
                <w:rFonts w:asciiTheme="minorHAnsi" w:hAnsiTheme="minorHAnsi" w:cstheme="minorHAnsi"/>
              </w:rPr>
              <w:t xml:space="preserve">PHNs </w:t>
            </w:r>
            <w:r w:rsidR="00462C06">
              <w:rPr>
                <w:rFonts w:asciiTheme="minorHAnsi" w:hAnsiTheme="minorHAnsi" w:cstheme="minorHAnsi"/>
              </w:rPr>
              <w:t>could</w:t>
            </w:r>
            <w:r w:rsidR="00462C06" w:rsidRPr="0098584E">
              <w:rPr>
                <w:rFonts w:asciiTheme="minorHAnsi" w:hAnsiTheme="minorHAnsi" w:cstheme="minorHAnsi"/>
              </w:rPr>
              <w:t xml:space="preserve"> </w:t>
            </w:r>
            <w:r w:rsidRPr="0098584E">
              <w:rPr>
                <w:rFonts w:asciiTheme="minorHAnsi" w:hAnsiTheme="minorHAnsi" w:cstheme="minorHAnsi"/>
              </w:rPr>
              <w:t xml:space="preserve">work with </w:t>
            </w:r>
            <w:r w:rsidR="002D24DC">
              <w:rPr>
                <w:rFonts w:asciiTheme="minorHAnsi" w:hAnsiTheme="minorHAnsi" w:cstheme="minorHAnsi"/>
              </w:rPr>
              <w:t xml:space="preserve">GP </w:t>
            </w:r>
            <w:r w:rsidRPr="0098584E">
              <w:rPr>
                <w:rFonts w:asciiTheme="minorHAnsi" w:hAnsiTheme="minorHAnsi" w:cstheme="minorHAnsi"/>
              </w:rPr>
              <w:t xml:space="preserve">practices </w:t>
            </w:r>
            <w:r w:rsidR="007B6A85">
              <w:rPr>
                <w:rFonts w:asciiTheme="minorHAnsi" w:hAnsiTheme="minorHAnsi" w:cstheme="minorHAnsi"/>
              </w:rPr>
              <w:t>(or build o</w:t>
            </w:r>
            <w:r w:rsidR="00D82526">
              <w:rPr>
                <w:rFonts w:asciiTheme="minorHAnsi" w:hAnsiTheme="minorHAnsi" w:cstheme="minorHAnsi"/>
              </w:rPr>
              <w:t>n</w:t>
            </w:r>
            <w:r w:rsidR="00034A73">
              <w:rPr>
                <w:rFonts w:asciiTheme="minorHAnsi" w:hAnsiTheme="minorHAnsi" w:cstheme="minorHAnsi"/>
              </w:rPr>
              <w:t xml:space="preserve"> their</w:t>
            </w:r>
            <w:r w:rsidR="007B6A85">
              <w:rPr>
                <w:rFonts w:asciiTheme="minorHAnsi" w:hAnsiTheme="minorHAnsi" w:cstheme="minorHAnsi"/>
              </w:rPr>
              <w:t xml:space="preserve"> existing </w:t>
            </w:r>
            <w:r w:rsidR="001B018C">
              <w:rPr>
                <w:rFonts w:asciiTheme="minorHAnsi" w:hAnsiTheme="minorHAnsi" w:cstheme="minorHAnsi"/>
              </w:rPr>
              <w:t xml:space="preserve">efforts) </w:t>
            </w:r>
            <w:r w:rsidRPr="0098584E">
              <w:rPr>
                <w:rFonts w:asciiTheme="minorHAnsi" w:hAnsiTheme="minorHAnsi" w:cstheme="minorHAnsi"/>
              </w:rPr>
              <w:t xml:space="preserve">to </w:t>
            </w:r>
            <w:r w:rsidR="002D24DC">
              <w:rPr>
                <w:rFonts w:asciiTheme="minorHAnsi" w:hAnsiTheme="minorHAnsi" w:cstheme="minorHAnsi"/>
              </w:rPr>
              <w:t xml:space="preserve">encourage </w:t>
            </w:r>
            <w:r w:rsidR="00594AA6">
              <w:rPr>
                <w:rFonts w:asciiTheme="minorHAnsi" w:hAnsiTheme="minorHAnsi" w:cstheme="minorHAnsi"/>
              </w:rPr>
              <w:t xml:space="preserve">them </w:t>
            </w:r>
            <w:r w:rsidR="00040DFE">
              <w:rPr>
                <w:rFonts w:asciiTheme="minorHAnsi" w:hAnsiTheme="minorHAnsi" w:cstheme="minorHAnsi"/>
              </w:rPr>
              <w:t xml:space="preserve">to </w:t>
            </w:r>
            <w:r w:rsidR="00DF0CB6">
              <w:rPr>
                <w:rFonts w:asciiTheme="minorHAnsi" w:hAnsiTheme="minorHAnsi" w:cstheme="minorHAnsi"/>
              </w:rPr>
              <w:t xml:space="preserve">expand </w:t>
            </w:r>
            <w:r w:rsidR="00BE5D59">
              <w:rPr>
                <w:rFonts w:asciiTheme="minorHAnsi" w:hAnsiTheme="minorHAnsi" w:cstheme="minorHAnsi"/>
              </w:rPr>
              <w:t>the</w:t>
            </w:r>
            <w:r w:rsidR="00DF0CB6">
              <w:rPr>
                <w:rFonts w:asciiTheme="minorHAnsi" w:hAnsiTheme="minorHAnsi" w:cstheme="minorHAnsi"/>
              </w:rPr>
              <w:t xml:space="preserve"> use of data </w:t>
            </w:r>
            <w:r w:rsidR="00FC6628" w:rsidRPr="0098584E">
              <w:rPr>
                <w:rFonts w:asciiTheme="minorHAnsi" w:hAnsiTheme="minorHAnsi" w:cstheme="minorHAnsi"/>
              </w:rPr>
              <w:t>on</w:t>
            </w:r>
            <w:r w:rsidR="00FC6628" w:rsidRPr="0098584E" w:rsidDel="0074005B">
              <w:rPr>
                <w:rFonts w:asciiTheme="minorHAnsi" w:hAnsiTheme="minorHAnsi" w:cstheme="minorHAnsi"/>
              </w:rPr>
              <w:t xml:space="preserve"> </w:t>
            </w:r>
            <w:r w:rsidR="00564E04">
              <w:rPr>
                <w:rFonts w:asciiTheme="minorHAnsi" w:hAnsiTheme="minorHAnsi" w:cstheme="minorHAnsi"/>
              </w:rPr>
              <w:t>community</w:t>
            </w:r>
            <w:r w:rsidR="0074005B">
              <w:rPr>
                <w:rFonts w:asciiTheme="minorHAnsi" w:hAnsiTheme="minorHAnsi" w:cstheme="minorHAnsi"/>
              </w:rPr>
              <w:t xml:space="preserve"> health trends and risks</w:t>
            </w:r>
            <w:r w:rsidR="00107C2D">
              <w:rPr>
                <w:rFonts w:asciiTheme="minorHAnsi" w:hAnsiTheme="minorHAnsi" w:cstheme="minorHAnsi"/>
              </w:rPr>
              <w:t>.</w:t>
            </w:r>
            <w:r w:rsidR="000B4E54">
              <w:rPr>
                <w:rFonts w:asciiTheme="minorHAnsi" w:hAnsiTheme="minorHAnsi" w:cstheme="minorHAnsi"/>
              </w:rPr>
              <w:t xml:space="preserve"> This may require additional funding from the Australian Government. </w:t>
            </w:r>
          </w:p>
          <w:p w14:paraId="2B6725DA" w14:textId="0881C141" w:rsidR="00053C28" w:rsidRPr="0098584E" w:rsidRDefault="00A71092" w:rsidP="0098584E">
            <w:pPr>
              <w:pStyle w:val="Rec"/>
              <w:rPr>
                <w:rFonts w:asciiTheme="minorHAnsi" w:hAnsiTheme="minorHAnsi" w:cstheme="minorHAnsi"/>
              </w:rPr>
            </w:pPr>
            <w:r w:rsidRPr="0098584E">
              <w:rPr>
                <w:rFonts w:asciiTheme="minorHAnsi" w:hAnsiTheme="minorHAnsi" w:cstheme="minorHAnsi"/>
              </w:rPr>
              <w:t xml:space="preserve">State and Territory Governments </w:t>
            </w:r>
            <w:r w:rsidR="00462C06">
              <w:rPr>
                <w:rFonts w:asciiTheme="minorHAnsi" w:hAnsiTheme="minorHAnsi" w:cstheme="minorHAnsi"/>
              </w:rPr>
              <w:t>could</w:t>
            </w:r>
            <w:r w:rsidR="00462C06" w:rsidRPr="0098584E">
              <w:rPr>
                <w:rFonts w:asciiTheme="minorHAnsi" w:hAnsiTheme="minorHAnsi" w:cstheme="minorHAnsi"/>
              </w:rPr>
              <w:t xml:space="preserve"> </w:t>
            </w:r>
            <w:r w:rsidR="0025640B" w:rsidRPr="0098584E">
              <w:rPr>
                <w:rFonts w:asciiTheme="minorHAnsi" w:hAnsiTheme="minorHAnsi" w:cstheme="minorHAnsi"/>
              </w:rPr>
              <w:t xml:space="preserve">invest </w:t>
            </w:r>
            <w:r w:rsidR="00C81B68">
              <w:rPr>
                <w:rFonts w:asciiTheme="minorHAnsi" w:hAnsiTheme="minorHAnsi" w:cstheme="minorHAnsi"/>
              </w:rPr>
              <w:t xml:space="preserve">(or expand their existing investments) </w:t>
            </w:r>
            <w:r w:rsidR="0025640B" w:rsidRPr="0098584E">
              <w:rPr>
                <w:rFonts w:asciiTheme="minorHAnsi" w:hAnsiTheme="minorHAnsi" w:cstheme="minorHAnsi"/>
              </w:rPr>
              <w:t xml:space="preserve">in </w:t>
            </w:r>
            <w:r w:rsidR="00350E2D">
              <w:rPr>
                <w:rFonts w:asciiTheme="minorHAnsi" w:hAnsiTheme="minorHAnsi" w:cstheme="minorHAnsi"/>
              </w:rPr>
              <w:t>data systems and linkages</w:t>
            </w:r>
            <w:r w:rsidR="00053C28" w:rsidRPr="0098584E">
              <w:rPr>
                <w:rFonts w:asciiTheme="minorHAnsi" w:hAnsiTheme="minorHAnsi" w:cstheme="minorHAnsi"/>
              </w:rPr>
              <w:t xml:space="preserve">, </w:t>
            </w:r>
            <w:r w:rsidR="00350E2D">
              <w:rPr>
                <w:rFonts w:asciiTheme="minorHAnsi" w:hAnsiTheme="minorHAnsi" w:cstheme="minorHAnsi"/>
              </w:rPr>
              <w:t>so that</w:t>
            </w:r>
            <w:r w:rsidR="00053C28" w:rsidRPr="0098584E">
              <w:rPr>
                <w:rFonts w:asciiTheme="minorHAnsi" w:hAnsiTheme="minorHAnsi" w:cstheme="minorHAnsi"/>
              </w:rPr>
              <w:t>:</w:t>
            </w:r>
          </w:p>
          <w:p w14:paraId="372B97C6" w14:textId="765EAC4A" w:rsidR="00A71092" w:rsidRPr="00BC3F07" w:rsidRDefault="00A71092" w:rsidP="00B86C25">
            <w:pPr>
              <w:pStyle w:val="RecBullet"/>
            </w:pPr>
            <w:r w:rsidRPr="00B86C25">
              <w:t>systems</w:t>
            </w:r>
            <w:r w:rsidRPr="007A5821">
              <w:t xml:space="preserve"> enable </w:t>
            </w:r>
            <w:r w:rsidRPr="007960C0">
              <w:t xml:space="preserve">electronic </w:t>
            </w:r>
            <w:r w:rsidRPr="00600B80">
              <w:t xml:space="preserve">communication </w:t>
            </w:r>
            <w:r w:rsidRPr="00121370">
              <w:t xml:space="preserve">between GPs and </w:t>
            </w:r>
            <w:r w:rsidR="004C3542" w:rsidRPr="00BC3F07">
              <w:t>hospitals</w:t>
            </w:r>
            <w:r w:rsidRPr="00BC3F07">
              <w:t xml:space="preserve"> </w:t>
            </w:r>
          </w:p>
          <w:p w14:paraId="764B04DC" w14:textId="76B7EACC" w:rsidR="00A71092" w:rsidRDefault="00A71092" w:rsidP="00BC3F07">
            <w:pPr>
              <w:pStyle w:val="RecBullet"/>
            </w:pPr>
            <w:r w:rsidRPr="00BC3F07">
              <w:t>linked dataset</w:t>
            </w:r>
            <w:r w:rsidR="004C3542" w:rsidRPr="00BC3F07">
              <w:t>s</w:t>
            </w:r>
            <w:r w:rsidRPr="00BC3F07">
              <w:t xml:space="preserve"> connect </w:t>
            </w:r>
            <w:r w:rsidR="003F64C8">
              <w:t>health data from all setting</w:t>
            </w:r>
            <w:r w:rsidR="00B15E1A" w:rsidRPr="00107C46">
              <w:t>s</w:t>
            </w:r>
            <w:r w:rsidR="003F64C8">
              <w:t xml:space="preserve"> of care</w:t>
            </w:r>
            <w:r w:rsidR="00EA04E7">
              <w:t>.</w:t>
            </w:r>
            <w:r w:rsidR="00410F4D">
              <w:t xml:space="preserve"> </w:t>
            </w:r>
          </w:p>
          <w:p w14:paraId="2A14B9ED" w14:textId="77777777" w:rsidR="00FE0098" w:rsidRPr="007D5C2B" w:rsidRDefault="00FE0098" w:rsidP="00FE0098">
            <w:pPr>
              <w:pStyle w:val="Rec"/>
              <w:keepNext/>
              <w:rPr>
                <w:b/>
                <w:bCs/>
                <w:caps/>
                <w:sz w:val="18"/>
              </w:rPr>
            </w:pPr>
            <w:r w:rsidRPr="007D5C2B">
              <w:rPr>
                <w:b/>
                <w:bCs/>
                <w:caps/>
                <w:sz w:val="18"/>
              </w:rPr>
              <w:t>Expected outcomes</w:t>
            </w:r>
          </w:p>
          <w:p w14:paraId="00E34683" w14:textId="1562C890" w:rsidR="00FE0098" w:rsidRDefault="009725A5" w:rsidP="009725A5">
            <w:pPr>
              <w:pStyle w:val="RecBullet"/>
              <w:numPr>
                <w:ilvl w:val="0"/>
                <w:numId w:val="0"/>
              </w:numPr>
            </w:pPr>
            <w:r>
              <w:t xml:space="preserve">Better use of primary care data would enable GPs to </w:t>
            </w:r>
            <w:r w:rsidRPr="0098584E">
              <w:rPr>
                <w:rFonts w:asciiTheme="minorHAnsi" w:hAnsiTheme="minorHAnsi" w:cstheme="minorHAnsi"/>
              </w:rPr>
              <w:t xml:space="preserve">tailor care </w:t>
            </w:r>
            <w:r>
              <w:rPr>
                <w:rFonts w:asciiTheme="minorHAnsi" w:hAnsiTheme="minorHAnsi" w:cstheme="minorHAnsi"/>
              </w:rPr>
              <w:t xml:space="preserve">delivery and outreach </w:t>
            </w:r>
            <w:r w:rsidRPr="0098584E">
              <w:rPr>
                <w:rFonts w:asciiTheme="minorHAnsi" w:hAnsiTheme="minorHAnsi" w:cstheme="minorHAnsi"/>
              </w:rPr>
              <w:t>to people’s needs</w:t>
            </w:r>
            <w:r>
              <w:rPr>
                <w:rFonts w:asciiTheme="minorHAnsi" w:hAnsiTheme="minorHAnsi" w:cstheme="minorHAnsi"/>
              </w:rPr>
              <w:t>, while more effective data flows between GPs and hospitals would enable better care</w:t>
            </w:r>
            <w:r w:rsidR="0012435E">
              <w:rPr>
                <w:rFonts w:asciiTheme="minorHAnsi" w:hAnsiTheme="minorHAnsi" w:cstheme="minorHAnsi"/>
              </w:rPr>
              <w:t xml:space="preserve">, </w:t>
            </w:r>
            <w:r>
              <w:rPr>
                <w:rFonts w:asciiTheme="minorHAnsi" w:hAnsiTheme="minorHAnsi" w:cstheme="minorHAnsi"/>
              </w:rPr>
              <w:t>minimise erro</w:t>
            </w:r>
            <w:r w:rsidR="00EA04E7">
              <w:rPr>
                <w:rFonts w:asciiTheme="minorHAnsi" w:hAnsiTheme="minorHAnsi" w:cstheme="minorHAnsi"/>
              </w:rPr>
              <w:t>rs</w:t>
            </w:r>
            <w:r w:rsidR="0012435E">
              <w:rPr>
                <w:rFonts w:asciiTheme="minorHAnsi" w:hAnsiTheme="minorHAnsi" w:cstheme="minorHAnsi"/>
              </w:rPr>
              <w:t xml:space="preserve"> and </w:t>
            </w:r>
            <w:r w:rsidR="00AA1039">
              <w:rPr>
                <w:rFonts w:asciiTheme="minorHAnsi" w:hAnsiTheme="minorHAnsi" w:cstheme="minorHAnsi"/>
              </w:rPr>
              <w:t>assist the development of capitation funding models</w:t>
            </w:r>
            <w:r w:rsidR="00EA04E7">
              <w:rPr>
                <w:rFonts w:asciiTheme="minorHAnsi" w:hAnsiTheme="minorHAnsi" w:cstheme="minorHAnsi"/>
              </w:rPr>
              <w:t xml:space="preserve">. Linking data would </w:t>
            </w:r>
            <w:r w:rsidR="00EA04E7">
              <w:t>support better system planning and population health</w:t>
            </w:r>
            <w:r w:rsidR="00EA04E7" w:rsidRPr="007960C0">
              <w:t>.</w:t>
            </w:r>
          </w:p>
          <w:p w14:paraId="3C003CDB" w14:textId="73568969" w:rsidR="00FC6628" w:rsidRPr="007A5821" w:rsidRDefault="00EA04E7" w:rsidP="0098584E">
            <w:pPr>
              <w:pStyle w:val="Rec"/>
            </w:pPr>
            <w:r>
              <w:t>T</w:t>
            </w:r>
            <w:r w:rsidR="00CC28E9">
              <w:t xml:space="preserve">he </w:t>
            </w:r>
            <w:r>
              <w:t xml:space="preserve">broader </w:t>
            </w:r>
            <w:r w:rsidR="00CC28E9">
              <w:t xml:space="preserve">implementation of initiatives such as </w:t>
            </w:r>
            <w:r w:rsidR="00C327A8" w:rsidRPr="00C327A8">
              <w:t>Primary Sense</w:t>
            </w:r>
            <w:r w:rsidR="00CC28E9">
              <w:t xml:space="preserve"> (case study</w:t>
            </w:r>
            <w:r w:rsidR="00C327A8" w:rsidRPr="00C327A8">
              <w:t xml:space="preserve"> 11), Smart Referrals</w:t>
            </w:r>
            <w:r w:rsidR="00CC28E9" w:rsidRPr="0097194C">
              <w:t xml:space="preserve"> </w:t>
            </w:r>
            <w:r w:rsidR="00CC28E9">
              <w:t>(case study</w:t>
            </w:r>
            <w:r w:rsidR="00C327A8" w:rsidRPr="00C327A8">
              <w:t xml:space="preserve"> 13</w:t>
            </w:r>
            <w:r w:rsidR="00CC28E9">
              <w:t xml:space="preserve">) and </w:t>
            </w:r>
            <w:r w:rsidR="00C327A8" w:rsidRPr="00C327A8">
              <w:t>Lumos</w:t>
            </w:r>
            <w:r w:rsidR="00CC28E9" w:rsidRPr="000B1B85">
              <w:t xml:space="preserve"> </w:t>
            </w:r>
            <w:r w:rsidR="00CC28E9">
              <w:t>(case study </w:t>
            </w:r>
            <w:r w:rsidR="00C327A8" w:rsidRPr="00C327A8">
              <w:t>14)</w:t>
            </w:r>
            <w:r>
              <w:t xml:space="preserve"> would</w:t>
            </w:r>
            <w:r w:rsidR="004B5A0A">
              <w:t xml:space="preserve"> </w:t>
            </w:r>
            <w:r w:rsidR="00081D4C">
              <w:t>help jurisdictions to achieve these outcomes</w:t>
            </w:r>
            <w:r w:rsidR="00265728">
              <w:t>.</w:t>
            </w:r>
          </w:p>
        </w:tc>
      </w:tr>
      <w:tr w:rsidR="00FC6628" w14:paraId="104EB60D" w14:textId="77777777" w:rsidTr="00D3668D">
        <w:trPr>
          <w:cantSplit/>
        </w:trPr>
        <w:tc>
          <w:tcPr>
            <w:tcW w:w="5000" w:type="pct"/>
            <w:tcBorders>
              <w:top w:val="nil"/>
              <w:left w:val="nil"/>
              <w:bottom w:val="single" w:sz="6" w:space="0" w:color="2D9AC2" w:themeColor="text2" w:themeShade="BF"/>
              <w:right w:val="nil"/>
            </w:tcBorders>
            <w:shd w:val="clear" w:color="auto" w:fill="E0F1F7" w:themeFill="text2" w:themeFillTint="33"/>
            <w:tcMar>
              <w:left w:w="170" w:type="dxa"/>
              <w:right w:w="170" w:type="dxa"/>
            </w:tcMar>
          </w:tcPr>
          <w:p w14:paraId="4E28DA62" w14:textId="77777777" w:rsidR="00FC6628" w:rsidRDefault="00FC6628" w:rsidP="008240F0">
            <w:pPr>
              <w:pStyle w:val="Space"/>
              <w:keepLines/>
              <w:spacing w:after="0"/>
            </w:pPr>
          </w:p>
        </w:tc>
      </w:tr>
      <w:tr w:rsidR="00FC6628" w:rsidRPr="000863A5" w14:paraId="4E895D78" w14:textId="77777777" w:rsidTr="00D3668D">
        <w:trPr>
          <w:cantSplit/>
        </w:trPr>
        <w:tc>
          <w:tcPr>
            <w:tcW w:w="5000" w:type="pct"/>
            <w:tcBorders>
              <w:top w:val="single" w:sz="6" w:space="0" w:color="2D9AC2" w:themeColor="text2" w:themeShade="BF"/>
              <w:left w:val="nil"/>
              <w:bottom w:val="nil"/>
              <w:right w:val="nil"/>
            </w:tcBorders>
            <w:tcMar>
              <w:left w:w="170" w:type="dxa"/>
              <w:right w:w="170" w:type="dxa"/>
            </w:tcMar>
          </w:tcPr>
          <w:p w14:paraId="36AAB909" w14:textId="77777777" w:rsidR="00FC6628" w:rsidRPr="00626D32" w:rsidRDefault="00FC6628" w:rsidP="00D3668D">
            <w:pPr>
              <w:pStyle w:val="BoxSpaceBelow"/>
              <w:keepLines/>
            </w:pPr>
          </w:p>
        </w:tc>
      </w:tr>
    </w:tbl>
    <w:p w14:paraId="7F693A61" w14:textId="77777777" w:rsidR="00FC6628" w:rsidRDefault="00FC6628" w:rsidP="00EF21D0">
      <w:pPr>
        <w:pStyle w:val="Heading2nosectionno"/>
      </w:pPr>
      <w:r>
        <w:t>3</w:t>
      </w:r>
      <w:r w:rsidRPr="00A53E62">
        <w:t>.</w:t>
      </w:r>
      <w:r>
        <w:t xml:space="preserve"> </w:t>
      </w:r>
      <w:r w:rsidRPr="00A53E62">
        <w:t xml:space="preserve">Encourage learning from </w:t>
      </w:r>
      <w:r>
        <w:t xml:space="preserve">success achieved </w:t>
      </w:r>
      <w:r w:rsidRPr="00A53E62">
        <w:t>elsewhere</w:t>
      </w:r>
    </w:p>
    <w:p w14:paraId="3A465BDD" w14:textId="1D522584" w:rsidR="00AE1CDB" w:rsidRPr="00A02B3B" w:rsidRDefault="00FC6628" w:rsidP="00FC6628">
      <w:pPr>
        <w:pStyle w:val="BodyText"/>
        <w:rPr>
          <w:spacing w:val="-2"/>
        </w:rPr>
      </w:pPr>
      <w:r w:rsidRPr="00A02B3B">
        <w:rPr>
          <w:spacing w:val="-2"/>
        </w:rPr>
        <w:t xml:space="preserve">The examples in </w:t>
      </w:r>
      <w:r w:rsidRPr="00A02B3B">
        <w:rPr>
          <w:i/>
          <w:spacing w:val="-2"/>
        </w:rPr>
        <w:t>Innovations in Care for Chronic Health Conditions</w:t>
      </w:r>
      <w:r w:rsidRPr="00A02B3B">
        <w:rPr>
          <w:spacing w:val="-2"/>
        </w:rPr>
        <w:t xml:space="preserve"> reveal the diverse avenues for achieving better health outcomes for people with chronic conditions. </w:t>
      </w:r>
      <w:r w:rsidR="00BB20D1" w:rsidRPr="00A02B3B">
        <w:rPr>
          <w:spacing w:val="-2"/>
        </w:rPr>
        <w:t xml:space="preserve">There are two </w:t>
      </w:r>
      <w:r w:rsidR="009F4595" w:rsidRPr="00A02B3B">
        <w:rPr>
          <w:spacing w:val="-2"/>
        </w:rPr>
        <w:t>main</w:t>
      </w:r>
      <w:r w:rsidR="00BB20D1" w:rsidRPr="00A02B3B">
        <w:rPr>
          <w:spacing w:val="-2"/>
        </w:rPr>
        <w:t xml:space="preserve"> </w:t>
      </w:r>
      <w:r w:rsidR="00B76BFC" w:rsidRPr="00A02B3B">
        <w:rPr>
          <w:spacing w:val="-2"/>
        </w:rPr>
        <w:t xml:space="preserve">implications </w:t>
      </w:r>
      <w:r w:rsidR="0093360A" w:rsidRPr="00A02B3B">
        <w:rPr>
          <w:spacing w:val="-2"/>
        </w:rPr>
        <w:t>for learning</w:t>
      </w:r>
      <w:r w:rsidR="004E734B" w:rsidRPr="00A02B3B">
        <w:rPr>
          <w:spacing w:val="-2"/>
        </w:rPr>
        <w:t xml:space="preserve"> </w:t>
      </w:r>
      <w:r w:rsidR="009F4595" w:rsidRPr="00A02B3B">
        <w:rPr>
          <w:spacing w:val="-2"/>
        </w:rPr>
        <w:t>arising</w:t>
      </w:r>
      <w:r w:rsidR="004E734B" w:rsidRPr="00A02B3B">
        <w:rPr>
          <w:spacing w:val="-2"/>
        </w:rPr>
        <w:t xml:space="preserve"> from the case studies</w:t>
      </w:r>
      <w:r w:rsidR="001C47A5" w:rsidRPr="00A02B3B">
        <w:rPr>
          <w:spacing w:val="-2"/>
        </w:rPr>
        <w:t xml:space="preserve">. </w:t>
      </w:r>
      <w:r w:rsidR="00A94E0E" w:rsidRPr="00A02B3B">
        <w:rPr>
          <w:spacing w:val="-2"/>
        </w:rPr>
        <w:t xml:space="preserve">First, there </w:t>
      </w:r>
      <w:r w:rsidR="00DC6CA0" w:rsidRPr="00A02B3B">
        <w:rPr>
          <w:spacing w:val="-2"/>
        </w:rPr>
        <w:t>need</w:t>
      </w:r>
      <w:r w:rsidR="005B36D6">
        <w:rPr>
          <w:spacing w:val="-2"/>
        </w:rPr>
        <w:t>s</w:t>
      </w:r>
      <w:r w:rsidR="00DC6CA0" w:rsidRPr="00A02B3B">
        <w:rPr>
          <w:spacing w:val="-2"/>
        </w:rPr>
        <w:t xml:space="preserve"> to </w:t>
      </w:r>
      <w:r w:rsidR="005B36D6">
        <w:rPr>
          <w:spacing w:val="-2"/>
        </w:rPr>
        <w:t>be</w:t>
      </w:r>
      <w:r w:rsidR="00DC6CA0" w:rsidRPr="00A02B3B">
        <w:rPr>
          <w:spacing w:val="-2"/>
        </w:rPr>
        <w:t xml:space="preserve"> a systematic approach for </w:t>
      </w:r>
      <w:r w:rsidR="00A94E0E" w:rsidRPr="00A02B3B">
        <w:rPr>
          <w:spacing w:val="-2"/>
        </w:rPr>
        <w:t>dissemination of healthcare innovations more generally, and second, some of the case studies examined by the Commission could be</w:t>
      </w:r>
      <w:r w:rsidR="00BB44E7" w:rsidRPr="00A02B3B">
        <w:rPr>
          <w:spacing w:val="-2"/>
        </w:rPr>
        <w:t xml:space="preserve"> adopted now or soon</w:t>
      </w:r>
      <w:r w:rsidR="001C47A5" w:rsidRPr="00A02B3B">
        <w:rPr>
          <w:spacing w:val="-2"/>
        </w:rPr>
        <w:t xml:space="preserve">. </w:t>
      </w:r>
    </w:p>
    <w:p w14:paraId="4C98A279" w14:textId="4537D85B" w:rsidR="00852C55" w:rsidRDefault="003F3EF1" w:rsidP="001B35E6">
      <w:pPr>
        <w:pStyle w:val="Heading3"/>
      </w:pPr>
      <w:r>
        <w:lastRenderedPageBreak/>
        <w:t xml:space="preserve">Moving towards </w:t>
      </w:r>
      <w:r w:rsidR="005867A4">
        <w:t xml:space="preserve">a </w:t>
      </w:r>
      <w:r w:rsidR="005867A4" w:rsidRPr="001E308D">
        <w:rPr>
          <w:i/>
          <w:iCs/>
        </w:rPr>
        <w:t>system</w:t>
      </w:r>
      <w:r w:rsidR="005867A4">
        <w:t xml:space="preserve"> for </w:t>
      </w:r>
      <w:r w:rsidR="00852C55">
        <w:t>more rapid and systematic diffusion</w:t>
      </w:r>
    </w:p>
    <w:p w14:paraId="2FF27CEA" w14:textId="64585261" w:rsidR="002906E3" w:rsidRPr="000E0129" w:rsidRDefault="09639742" w:rsidP="002906E3">
      <w:pPr>
        <w:pStyle w:val="BodyText"/>
      </w:pPr>
      <w:r w:rsidRPr="000E0129">
        <w:t xml:space="preserve">The </w:t>
      </w:r>
      <w:r w:rsidR="234B3055" w:rsidRPr="000E0129">
        <w:t xml:space="preserve">wider </w:t>
      </w:r>
      <w:r w:rsidRPr="000E0129">
        <w:t>adoption of t</w:t>
      </w:r>
      <w:r w:rsidR="234B3055" w:rsidRPr="000E0129">
        <w:t>he types of innovation described in the Commission’s case studies</w:t>
      </w:r>
      <w:r w:rsidR="4ED1268A" w:rsidRPr="000E0129">
        <w:t xml:space="preserve"> </w:t>
      </w:r>
      <w:r w:rsidR="642A2222" w:rsidRPr="000E0129">
        <w:t>is hampered</w:t>
      </w:r>
      <w:r w:rsidR="1DF3A24D" w:rsidRPr="000E0129">
        <w:t xml:space="preserve"> </w:t>
      </w:r>
      <w:r w:rsidR="4ED1268A" w:rsidRPr="000E0129">
        <w:t xml:space="preserve">by </w:t>
      </w:r>
      <w:r w:rsidR="005B2B29" w:rsidRPr="000E0129">
        <w:t xml:space="preserve">the scarcity of </w:t>
      </w:r>
      <w:r w:rsidR="000654A0" w:rsidRPr="000E0129">
        <w:t xml:space="preserve">information and </w:t>
      </w:r>
      <w:r w:rsidR="005B2B29" w:rsidRPr="000E0129">
        <w:t xml:space="preserve">time to </w:t>
      </w:r>
      <w:r w:rsidR="0088496B" w:rsidRPr="000E0129">
        <w:t>consider</w:t>
      </w:r>
      <w:r w:rsidR="005B2B29" w:rsidRPr="000E0129">
        <w:t xml:space="preserve"> the many competing options for system improvement</w:t>
      </w:r>
      <w:r w:rsidR="000654A0" w:rsidRPr="000E0129">
        <w:t xml:space="preserve"> and </w:t>
      </w:r>
      <w:r w:rsidR="7D435E43" w:rsidRPr="000E0129">
        <w:t xml:space="preserve">limited </w:t>
      </w:r>
      <w:r w:rsidR="7B92F065" w:rsidRPr="000E0129">
        <w:t xml:space="preserve">incentives to change practices </w:t>
      </w:r>
      <w:r w:rsidR="004B0287" w:rsidRPr="000E0129">
        <w:t>and cultures</w:t>
      </w:r>
      <w:r w:rsidR="00981D16" w:rsidRPr="000E0129">
        <w:t>.</w:t>
      </w:r>
      <w:r w:rsidR="00A032B0" w:rsidRPr="000E0129">
        <w:t xml:space="preserve"> </w:t>
      </w:r>
      <w:r w:rsidR="001C1FC5" w:rsidRPr="000E0129">
        <w:t>This</w:t>
      </w:r>
      <w:r w:rsidR="001C1FC5" w:rsidRPr="000E0129" w:rsidDel="004B0287">
        <w:t xml:space="preserve"> </w:t>
      </w:r>
      <w:r w:rsidR="001C1FC5" w:rsidRPr="000E0129">
        <w:t>reflects</w:t>
      </w:r>
      <w:r w:rsidR="7B92F065" w:rsidRPr="000E0129">
        <w:t xml:space="preserve"> the design of funding arrangements</w:t>
      </w:r>
      <w:r w:rsidR="54CC48F3" w:rsidRPr="000E0129">
        <w:t xml:space="preserve"> </w:t>
      </w:r>
      <w:r w:rsidR="00CA7AA1" w:rsidRPr="000E0129">
        <w:t>(</w:t>
      </w:r>
      <w:r w:rsidR="54CC48F3" w:rsidRPr="000E0129">
        <w:t>as discussed above</w:t>
      </w:r>
      <w:r w:rsidR="00CA7AA1" w:rsidRPr="000E0129">
        <w:t>)</w:t>
      </w:r>
      <w:r w:rsidR="007D476F" w:rsidRPr="000E0129">
        <w:t xml:space="preserve">, </w:t>
      </w:r>
      <w:r w:rsidR="00055DA1" w:rsidRPr="000E0129">
        <w:t>professional siloes and</w:t>
      </w:r>
      <w:r w:rsidR="0012372C" w:rsidRPr="000E0129">
        <w:t xml:space="preserve"> </w:t>
      </w:r>
      <w:r w:rsidR="005929FF" w:rsidRPr="000E0129">
        <w:t>deeply rooted ways of working, which health professionals may be reluctant to change.</w:t>
      </w:r>
      <w:r w:rsidR="315ED96C" w:rsidRPr="000E0129">
        <w:t xml:space="preserve"> </w:t>
      </w:r>
      <w:r w:rsidR="00E85C0E" w:rsidRPr="000E0129">
        <w:t xml:space="preserve">The information useful for the wider adoption of many of the case studies must be detailed, practical, provide context, indicate roles and capabilities, set out data collection needs, </w:t>
      </w:r>
      <w:r w:rsidR="0015406C" w:rsidRPr="000E0129">
        <w:t xml:space="preserve">describe how </w:t>
      </w:r>
      <w:r w:rsidR="00235464" w:rsidRPr="000E0129">
        <w:t xml:space="preserve">to create more collaborative </w:t>
      </w:r>
      <w:r w:rsidR="00072282" w:rsidRPr="000E0129">
        <w:t xml:space="preserve">(less siloed) </w:t>
      </w:r>
      <w:r w:rsidR="00C77B5A" w:rsidRPr="000E0129">
        <w:t xml:space="preserve">and innovative </w:t>
      </w:r>
      <w:r w:rsidR="00072282" w:rsidRPr="000E0129">
        <w:t>professional cultures</w:t>
      </w:r>
      <w:r w:rsidR="00BC1CC1" w:rsidRPr="000E0129">
        <w:t>,</w:t>
      </w:r>
      <w:r w:rsidR="00072282" w:rsidRPr="000E0129">
        <w:t xml:space="preserve"> </w:t>
      </w:r>
      <w:r w:rsidR="00E85C0E" w:rsidRPr="000E0129">
        <w:t>and provide realistic timelines for adoption.</w:t>
      </w:r>
    </w:p>
    <w:p w14:paraId="68A7B451" w14:textId="6D86CB84" w:rsidR="002A07EF" w:rsidRPr="00FB2031" w:rsidRDefault="002906E3" w:rsidP="002906E3">
      <w:pPr>
        <w:pStyle w:val="BodyText"/>
        <w:rPr>
          <w:spacing w:val="-2"/>
        </w:rPr>
      </w:pPr>
      <w:r w:rsidRPr="00FB2031">
        <w:rPr>
          <w:spacing w:val="-2"/>
        </w:rPr>
        <w:t xml:space="preserve">The barrier </w:t>
      </w:r>
      <w:r w:rsidR="003F5FEA" w:rsidRPr="00FB2031">
        <w:rPr>
          <w:spacing w:val="-2"/>
        </w:rPr>
        <w:t xml:space="preserve">posed by inadequate information </w:t>
      </w:r>
      <w:r w:rsidR="00226DD2" w:rsidRPr="00FB2031">
        <w:rPr>
          <w:spacing w:val="-2"/>
        </w:rPr>
        <w:t xml:space="preserve">about </w:t>
      </w:r>
      <w:r w:rsidR="00404C06" w:rsidRPr="00FB2031">
        <w:rPr>
          <w:spacing w:val="-2"/>
        </w:rPr>
        <w:t>process</w:t>
      </w:r>
      <w:r w:rsidR="00404C06" w:rsidRPr="00FB2031">
        <w:rPr>
          <w:spacing w:val="-2"/>
        </w:rPr>
        <w:noBreakHyphen/>
        <w:t xml:space="preserve">oriented innovations </w:t>
      </w:r>
      <w:r w:rsidR="00E10AAB" w:rsidRPr="00FB2031">
        <w:rPr>
          <w:spacing w:val="-2"/>
        </w:rPr>
        <w:t>stand</w:t>
      </w:r>
      <w:r w:rsidR="00010F57" w:rsidRPr="00FB2031">
        <w:rPr>
          <w:spacing w:val="-2"/>
        </w:rPr>
        <w:t>s</w:t>
      </w:r>
      <w:r w:rsidRPr="00FB2031">
        <w:rPr>
          <w:spacing w:val="-2"/>
        </w:rPr>
        <w:t xml:space="preserve"> in stark contrast to the </w:t>
      </w:r>
      <w:r w:rsidR="000C159F" w:rsidRPr="00FB2031">
        <w:rPr>
          <w:spacing w:val="-2"/>
        </w:rPr>
        <w:t xml:space="preserve">substantial </w:t>
      </w:r>
      <w:r w:rsidR="00C2735C" w:rsidRPr="00FB2031">
        <w:rPr>
          <w:spacing w:val="-2"/>
        </w:rPr>
        <w:t xml:space="preserve">institutional </w:t>
      </w:r>
      <w:r w:rsidR="000C159F" w:rsidRPr="00FB2031">
        <w:rPr>
          <w:spacing w:val="-2"/>
        </w:rPr>
        <w:t xml:space="preserve">effort spent </w:t>
      </w:r>
      <w:r w:rsidR="009348E2" w:rsidRPr="00FB2031">
        <w:rPr>
          <w:spacing w:val="-2"/>
        </w:rPr>
        <w:t xml:space="preserve">on </w:t>
      </w:r>
      <w:r w:rsidR="00E8202D" w:rsidRPr="00FB2031">
        <w:rPr>
          <w:spacing w:val="-2"/>
        </w:rPr>
        <w:t>provid</w:t>
      </w:r>
      <w:r w:rsidR="009348E2" w:rsidRPr="00FB2031">
        <w:rPr>
          <w:spacing w:val="-2"/>
        </w:rPr>
        <w:t>ing</w:t>
      </w:r>
      <w:r w:rsidR="00E8202D" w:rsidRPr="00FB2031">
        <w:rPr>
          <w:spacing w:val="-2"/>
        </w:rPr>
        <w:t xml:space="preserve"> </w:t>
      </w:r>
      <w:r w:rsidR="00D350CD" w:rsidRPr="00FB2031">
        <w:rPr>
          <w:spacing w:val="-2"/>
        </w:rPr>
        <w:t xml:space="preserve">precise </w:t>
      </w:r>
      <w:r w:rsidR="00E8202D" w:rsidRPr="00FB2031">
        <w:rPr>
          <w:spacing w:val="-2"/>
        </w:rPr>
        <w:t>advice on</w:t>
      </w:r>
      <w:r w:rsidR="00CD2DE3" w:rsidRPr="00FB2031">
        <w:rPr>
          <w:spacing w:val="-2"/>
        </w:rPr>
        <w:t xml:space="preserve"> </w:t>
      </w:r>
      <w:r w:rsidR="009348E2" w:rsidRPr="00FB2031">
        <w:rPr>
          <w:spacing w:val="-2"/>
        </w:rPr>
        <w:t>e</w:t>
      </w:r>
      <w:r w:rsidR="00CE3992" w:rsidRPr="00FB2031">
        <w:rPr>
          <w:spacing w:val="-2"/>
        </w:rPr>
        <w:t>vidence</w:t>
      </w:r>
      <w:r w:rsidR="0026249A" w:rsidRPr="00FB2031">
        <w:rPr>
          <w:spacing w:val="-2"/>
        </w:rPr>
        <w:noBreakHyphen/>
        <w:t xml:space="preserve">based </w:t>
      </w:r>
      <w:r w:rsidR="00367CC6" w:rsidRPr="00FB2031">
        <w:rPr>
          <w:spacing w:val="-2"/>
        </w:rPr>
        <w:t>medical</w:t>
      </w:r>
      <w:r w:rsidR="00C44C70" w:rsidRPr="00FB2031">
        <w:rPr>
          <w:spacing w:val="-2"/>
        </w:rPr>
        <w:t xml:space="preserve"> procedures, pharmaceuticals and medical technologie</w:t>
      </w:r>
      <w:r w:rsidR="00FA3601" w:rsidRPr="00FB2031">
        <w:rPr>
          <w:spacing w:val="-2"/>
        </w:rPr>
        <w:t xml:space="preserve">s. </w:t>
      </w:r>
      <w:r w:rsidR="00367CC6" w:rsidRPr="00FB2031">
        <w:rPr>
          <w:spacing w:val="-2"/>
        </w:rPr>
        <w:t xml:space="preserve">A plethora of agencies undertake </w:t>
      </w:r>
      <w:r w:rsidR="00010F57" w:rsidRPr="00FB2031">
        <w:rPr>
          <w:spacing w:val="-2"/>
        </w:rPr>
        <w:t xml:space="preserve">detailed </w:t>
      </w:r>
      <w:r w:rsidR="00082EB8" w:rsidRPr="00FB2031">
        <w:rPr>
          <w:spacing w:val="-2"/>
        </w:rPr>
        <w:t>assessments in these areas</w:t>
      </w:r>
      <w:r w:rsidR="00367CC6" w:rsidRPr="00FB2031">
        <w:rPr>
          <w:spacing w:val="-2"/>
        </w:rPr>
        <w:t xml:space="preserve">, such as </w:t>
      </w:r>
      <w:r w:rsidR="002A07EF" w:rsidRPr="00FB2031">
        <w:rPr>
          <w:spacing w:val="-2"/>
        </w:rPr>
        <w:t xml:space="preserve">the </w:t>
      </w:r>
      <w:r w:rsidR="00EC553D" w:rsidRPr="00FB2031">
        <w:rPr>
          <w:spacing w:val="-2"/>
        </w:rPr>
        <w:t>Australian Commission on Safety and Quality in Health Care (ACSQHC)</w:t>
      </w:r>
      <w:r w:rsidR="00367CC6" w:rsidRPr="00FB2031">
        <w:rPr>
          <w:spacing w:val="-2"/>
        </w:rPr>
        <w:t xml:space="preserve">, </w:t>
      </w:r>
      <w:r w:rsidR="00EC553D" w:rsidRPr="00FB2031">
        <w:rPr>
          <w:spacing w:val="-2"/>
        </w:rPr>
        <w:t>the National Health and Medical Research Council (NHMRC)</w:t>
      </w:r>
      <w:r w:rsidR="00367CC6" w:rsidRPr="00FB2031">
        <w:rPr>
          <w:spacing w:val="-2"/>
        </w:rPr>
        <w:t xml:space="preserve"> </w:t>
      </w:r>
      <w:r w:rsidR="004E5977" w:rsidRPr="00FB2031">
        <w:rPr>
          <w:spacing w:val="-2"/>
        </w:rPr>
        <w:t xml:space="preserve">and </w:t>
      </w:r>
      <w:r w:rsidR="00367CC6" w:rsidRPr="00FB2031">
        <w:rPr>
          <w:spacing w:val="-2"/>
        </w:rPr>
        <w:t xml:space="preserve">for new </w:t>
      </w:r>
      <w:r w:rsidR="00FC452F" w:rsidRPr="00FB2031">
        <w:rPr>
          <w:spacing w:val="-2"/>
        </w:rPr>
        <w:t xml:space="preserve">interventions, </w:t>
      </w:r>
      <w:r w:rsidR="00DC78B1" w:rsidRPr="00FB2031">
        <w:rPr>
          <w:spacing w:val="-2"/>
        </w:rPr>
        <w:t xml:space="preserve">the Medical Services Advisory Committee </w:t>
      </w:r>
      <w:r w:rsidR="004828FC" w:rsidRPr="00FB2031">
        <w:rPr>
          <w:spacing w:val="-2"/>
        </w:rPr>
        <w:t xml:space="preserve">(MSAC) </w:t>
      </w:r>
      <w:r w:rsidR="00DC78B1" w:rsidRPr="00FB2031">
        <w:rPr>
          <w:spacing w:val="-2"/>
        </w:rPr>
        <w:t xml:space="preserve">and the </w:t>
      </w:r>
      <w:r w:rsidR="004828FC" w:rsidRPr="00FB2031">
        <w:rPr>
          <w:spacing w:val="-2"/>
        </w:rPr>
        <w:t>Pharmaceutical Benefits Advisory Committee (PBAC)</w:t>
      </w:r>
      <w:r w:rsidR="00FC452F" w:rsidRPr="00FB2031">
        <w:rPr>
          <w:spacing w:val="-2"/>
        </w:rPr>
        <w:t>.</w:t>
      </w:r>
      <w:r w:rsidR="001C3677" w:rsidRPr="00FB2031">
        <w:rPr>
          <w:spacing w:val="-2"/>
        </w:rPr>
        <w:t xml:space="preserve"> </w:t>
      </w:r>
    </w:p>
    <w:p w14:paraId="40480F67" w14:textId="59E2804C" w:rsidR="00D04788" w:rsidRPr="00FB2031" w:rsidRDefault="005F7B31" w:rsidP="00FC6628">
      <w:pPr>
        <w:pStyle w:val="BodyText"/>
        <w:rPr>
          <w:spacing w:val="-2"/>
        </w:rPr>
      </w:pPr>
      <w:r w:rsidRPr="00FB2031">
        <w:rPr>
          <w:spacing w:val="-2"/>
        </w:rPr>
        <w:t xml:space="preserve">In part, the contrast reflects the different nature of the innovations </w:t>
      </w:r>
      <w:r w:rsidR="000B60D6" w:rsidRPr="00FB2031">
        <w:rPr>
          <w:spacing w:val="-2"/>
        </w:rPr>
        <w:t>exemplified</w:t>
      </w:r>
      <w:r w:rsidRPr="00FB2031">
        <w:rPr>
          <w:spacing w:val="-2"/>
        </w:rPr>
        <w:t xml:space="preserve"> by the case s</w:t>
      </w:r>
      <w:r w:rsidR="000B60D6" w:rsidRPr="00FB2031">
        <w:rPr>
          <w:spacing w:val="-2"/>
        </w:rPr>
        <w:t xml:space="preserve">tudies, which </w:t>
      </w:r>
      <w:r w:rsidR="006C2A41" w:rsidRPr="00FB2031">
        <w:rPr>
          <w:spacing w:val="-2"/>
        </w:rPr>
        <w:t>involve system change and the coordinated actions of a variety health professionals, funders, and officials</w:t>
      </w:r>
      <w:r w:rsidR="00D76E03" w:rsidRPr="00FB2031">
        <w:rPr>
          <w:spacing w:val="-2"/>
        </w:rPr>
        <w:t xml:space="preserve">. </w:t>
      </w:r>
      <w:r w:rsidR="006C2A41" w:rsidRPr="00FB2031">
        <w:rPr>
          <w:spacing w:val="-2"/>
        </w:rPr>
        <w:t xml:space="preserve">No single health professional can adopt any of the case studies </w:t>
      </w:r>
      <w:r w:rsidR="00FC5201" w:rsidRPr="00FB2031">
        <w:rPr>
          <w:spacing w:val="-2"/>
        </w:rPr>
        <w:t xml:space="preserve">by themselves </w:t>
      </w:r>
      <w:r w:rsidR="006C2A41" w:rsidRPr="00FB2031">
        <w:rPr>
          <w:spacing w:val="-2"/>
        </w:rPr>
        <w:t xml:space="preserve">— all involve many actors and complementary architectures, such as the software underpinning Nellie, the involvement of volunteers in Turning </w:t>
      </w:r>
      <w:r w:rsidR="00CA366A" w:rsidRPr="00FB2031">
        <w:rPr>
          <w:spacing w:val="-2"/>
        </w:rPr>
        <w:t>P</w:t>
      </w:r>
      <w:r w:rsidR="006C2A41" w:rsidRPr="00FB2031">
        <w:rPr>
          <w:spacing w:val="-2"/>
        </w:rPr>
        <w:t>ain into Gain, and the</w:t>
      </w:r>
      <w:r w:rsidR="000B60D6" w:rsidRPr="00FB2031">
        <w:rPr>
          <w:spacing w:val="-2"/>
        </w:rPr>
        <w:t xml:space="preserve"> </w:t>
      </w:r>
      <w:r w:rsidR="006C2A41" w:rsidRPr="00FB2031">
        <w:rPr>
          <w:spacing w:val="-2"/>
        </w:rPr>
        <w:t xml:space="preserve">hospitals, funders and algorithm developers in </w:t>
      </w:r>
      <w:proofErr w:type="spellStart"/>
      <w:r w:rsidR="006C2A41" w:rsidRPr="00FB2031">
        <w:rPr>
          <w:spacing w:val="-2"/>
        </w:rPr>
        <w:t>HealthLinks</w:t>
      </w:r>
      <w:proofErr w:type="spellEnd"/>
      <w:r w:rsidR="006C2A41" w:rsidRPr="00FB2031">
        <w:rPr>
          <w:spacing w:val="-2"/>
        </w:rPr>
        <w:t>.</w:t>
      </w:r>
      <w:r w:rsidR="00061259" w:rsidRPr="00FB2031">
        <w:rPr>
          <w:spacing w:val="-2"/>
        </w:rPr>
        <w:t xml:space="preserve"> </w:t>
      </w:r>
    </w:p>
    <w:p w14:paraId="30C10F8A" w14:textId="566FE9A0" w:rsidR="00E31D19" w:rsidRPr="000E0129" w:rsidRDefault="00C50B5D" w:rsidP="00404A70">
      <w:pPr>
        <w:pStyle w:val="BodyText"/>
        <w:rPr>
          <w:spacing w:val="-4"/>
        </w:rPr>
      </w:pPr>
      <w:r w:rsidRPr="000E0129">
        <w:rPr>
          <w:spacing w:val="-4"/>
        </w:rPr>
        <w:t xml:space="preserve">Though </w:t>
      </w:r>
      <w:r w:rsidR="00FC3115" w:rsidRPr="000E0129">
        <w:rPr>
          <w:spacing w:val="-4"/>
        </w:rPr>
        <w:t>not their primary focus</w:t>
      </w:r>
      <w:r w:rsidRPr="000E0129">
        <w:rPr>
          <w:spacing w:val="-4"/>
        </w:rPr>
        <w:t xml:space="preserve">, the </w:t>
      </w:r>
      <w:r w:rsidR="00FC3115" w:rsidRPr="000E0129">
        <w:rPr>
          <w:spacing w:val="-4"/>
        </w:rPr>
        <w:t xml:space="preserve">ACSQHC and the NHMRC already play </w:t>
      </w:r>
      <w:r w:rsidR="00FC3115" w:rsidRPr="000E0129">
        <w:rPr>
          <w:i/>
          <w:iCs/>
          <w:spacing w:val="-4"/>
        </w:rPr>
        <w:t>a</w:t>
      </w:r>
      <w:r w:rsidR="00FC3115" w:rsidRPr="000E0129">
        <w:rPr>
          <w:spacing w:val="-4"/>
        </w:rPr>
        <w:t xml:space="preserve"> role in disseminating </w:t>
      </w:r>
      <w:r w:rsidR="00A807B9" w:rsidRPr="000E0129">
        <w:rPr>
          <w:spacing w:val="-4"/>
        </w:rPr>
        <w:t xml:space="preserve">information of this kind. </w:t>
      </w:r>
      <w:r w:rsidR="00F903F0" w:rsidRPr="000E0129">
        <w:rPr>
          <w:spacing w:val="-4"/>
        </w:rPr>
        <w:t>T</w:t>
      </w:r>
      <w:r w:rsidR="00A807B9" w:rsidRPr="000E0129">
        <w:rPr>
          <w:spacing w:val="-4"/>
        </w:rPr>
        <w:t xml:space="preserve">he NHMRC </w:t>
      </w:r>
      <w:r w:rsidR="00F333D8" w:rsidRPr="000E0129">
        <w:rPr>
          <w:spacing w:val="-4"/>
        </w:rPr>
        <w:t xml:space="preserve">accredits </w:t>
      </w:r>
      <w:r w:rsidR="00A807B9" w:rsidRPr="000E0129">
        <w:rPr>
          <w:spacing w:val="-4"/>
        </w:rPr>
        <w:t>Advanced Health Research and Translation Centres</w:t>
      </w:r>
      <w:r w:rsidR="00F23317" w:rsidRPr="000E0129">
        <w:rPr>
          <w:spacing w:val="-4"/>
        </w:rPr>
        <w:t xml:space="preserve">, </w:t>
      </w:r>
      <w:r w:rsidR="00B5576A" w:rsidRPr="000E0129">
        <w:rPr>
          <w:spacing w:val="-4"/>
        </w:rPr>
        <w:t xml:space="preserve">which sometimes </w:t>
      </w:r>
      <w:r w:rsidR="00F77F36" w:rsidRPr="000E0129">
        <w:rPr>
          <w:spacing w:val="-4"/>
        </w:rPr>
        <w:t>highlight healt</w:t>
      </w:r>
      <w:r w:rsidR="00F86808" w:rsidRPr="000E0129">
        <w:rPr>
          <w:spacing w:val="-4"/>
        </w:rPr>
        <w:t xml:space="preserve">hcare programs that have features </w:t>
      </w:r>
      <w:r w:rsidR="00B5576A" w:rsidRPr="000E0129">
        <w:rPr>
          <w:spacing w:val="-4"/>
        </w:rPr>
        <w:t>like</w:t>
      </w:r>
      <w:r w:rsidR="00F86808" w:rsidRPr="000E0129">
        <w:rPr>
          <w:spacing w:val="-4"/>
        </w:rPr>
        <w:t xml:space="preserve"> those of the case studies. </w:t>
      </w:r>
      <w:r w:rsidR="00160723" w:rsidRPr="000E0129">
        <w:rPr>
          <w:spacing w:val="-4"/>
        </w:rPr>
        <w:t>O</w:t>
      </w:r>
      <w:r w:rsidR="00403B37" w:rsidRPr="000E0129">
        <w:rPr>
          <w:spacing w:val="-4"/>
        </w:rPr>
        <w:t>ne of its centres describes t</w:t>
      </w:r>
      <w:r w:rsidR="00404A70" w:rsidRPr="000E0129">
        <w:rPr>
          <w:spacing w:val="-4"/>
        </w:rPr>
        <w:t xml:space="preserve">he </w:t>
      </w:r>
      <w:r w:rsidR="00B5576A" w:rsidRPr="000E0129">
        <w:rPr>
          <w:spacing w:val="-4"/>
        </w:rPr>
        <w:t>‘</w:t>
      </w:r>
      <w:r w:rsidR="00404A70" w:rsidRPr="000E0129">
        <w:rPr>
          <w:spacing w:val="-4"/>
        </w:rPr>
        <w:t>Eat Walk Engage</w:t>
      </w:r>
      <w:r w:rsidR="00B5576A" w:rsidRPr="000E0129">
        <w:rPr>
          <w:spacing w:val="-4"/>
        </w:rPr>
        <w:t>’</w:t>
      </w:r>
      <w:r w:rsidR="00404A70" w:rsidRPr="000E0129">
        <w:rPr>
          <w:spacing w:val="-4"/>
        </w:rPr>
        <w:t xml:space="preserve"> program</w:t>
      </w:r>
      <w:r w:rsidR="00403B37" w:rsidRPr="000E0129">
        <w:rPr>
          <w:spacing w:val="-4"/>
        </w:rPr>
        <w:t>, which</w:t>
      </w:r>
      <w:r w:rsidR="00404A70" w:rsidRPr="000E0129">
        <w:rPr>
          <w:spacing w:val="-4"/>
        </w:rPr>
        <w:t xml:space="preserve"> is </w:t>
      </w:r>
      <w:r w:rsidR="00403B37" w:rsidRPr="000E0129">
        <w:rPr>
          <w:spacing w:val="-4"/>
        </w:rPr>
        <w:t>‘</w:t>
      </w:r>
      <w:r w:rsidR="00404A70" w:rsidRPr="000E0129">
        <w:rPr>
          <w:spacing w:val="-4"/>
        </w:rPr>
        <w:t>a multi</w:t>
      </w:r>
      <w:r w:rsidR="005B190E" w:rsidRPr="000E0129">
        <w:rPr>
          <w:spacing w:val="-4"/>
        </w:rPr>
        <w:noBreakHyphen/>
      </w:r>
      <w:r w:rsidR="00404A70" w:rsidRPr="000E0129">
        <w:rPr>
          <w:spacing w:val="-4"/>
        </w:rPr>
        <w:t>faceted,</w:t>
      </w:r>
      <w:r w:rsidR="00403B37" w:rsidRPr="000E0129">
        <w:rPr>
          <w:spacing w:val="-4"/>
        </w:rPr>
        <w:t xml:space="preserve"> </w:t>
      </w:r>
      <w:r w:rsidR="00404A70" w:rsidRPr="000E0129">
        <w:rPr>
          <w:spacing w:val="-4"/>
        </w:rPr>
        <w:t>multidisciplinary strategy to support the nutrition,</w:t>
      </w:r>
      <w:r w:rsidR="00403B37" w:rsidRPr="000E0129">
        <w:rPr>
          <w:spacing w:val="-4"/>
        </w:rPr>
        <w:t xml:space="preserve"> </w:t>
      </w:r>
      <w:r w:rsidR="00404A70" w:rsidRPr="000E0129">
        <w:rPr>
          <w:spacing w:val="-4"/>
        </w:rPr>
        <w:t>hydration, early mobilisation, and meaningful</w:t>
      </w:r>
      <w:r w:rsidR="00403B37" w:rsidRPr="000E0129">
        <w:rPr>
          <w:spacing w:val="-4"/>
        </w:rPr>
        <w:t xml:space="preserve"> </w:t>
      </w:r>
      <w:r w:rsidR="00404A70" w:rsidRPr="000E0129">
        <w:rPr>
          <w:spacing w:val="-4"/>
        </w:rPr>
        <w:t>cognitive engagement of older patients</w:t>
      </w:r>
      <w:r w:rsidR="00403B37" w:rsidRPr="000E0129">
        <w:rPr>
          <w:spacing w:val="-4"/>
        </w:rPr>
        <w:t>’</w:t>
      </w:r>
      <w:r w:rsidR="00C3506A">
        <w:rPr>
          <w:spacing w:val="-4"/>
        </w:rPr>
        <w:t>.</w:t>
      </w:r>
      <w:r w:rsidR="005349C9">
        <w:rPr>
          <w:rStyle w:val="FootnoteReference"/>
          <w:spacing w:val="-4"/>
        </w:rPr>
        <w:footnoteReference w:id="5"/>
      </w:r>
      <w:r w:rsidR="008B722A" w:rsidRPr="000E0129">
        <w:rPr>
          <w:spacing w:val="-4"/>
        </w:rPr>
        <w:t xml:space="preserve"> </w:t>
      </w:r>
      <w:r w:rsidR="00914832" w:rsidRPr="000E0129">
        <w:rPr>
          <w:spacing w:val="-4"/>
        </w:rPr>
        <w:t xml:space="preserve">However, </w:t>
      </w:r>
      <w:r w:rsidR="009E3DC8" w:rsidRPr="000E0129">
        <w:rPr>
          <w:spacing w:val="-4"/>
        </w:rPr>
        <w:t xml:space="preserve">the </w:t>
      </w:r>
      <w:r w:rsidR="00A66331" w:rsidRPr="000E0129">
        <w:rPr>
          <w:spacing w:val="-4"/>
        </w:rPr>
        <w:t xml:space="preserve">translation centres </w:t>
      </w:r>
      <w:r w:rsidR="00F333D8" w:rsidRPr="000E0129">
        <w:rPr>
          <w:spacing w:val="-4"/>
        </w:rPr>
        <w:t xml:space="preserve">depend on grant funding from a range of </w:t>
      </w:r>
      <w:r w:rsidR="00AB3C0F" w:rsidRPr="000E0129">
        <w:rPr>
          <w:spacing w:val="-4"/>
        </w:rPr>
        <w:t>sources</w:t>
      </w:r>
      <w:r w:rsidR="00F333D8" w:rsidRPr="000E0129">
        <w:rPr>
          <w:spacing w:val="-4"/>
        </w:rPr>
        <w:t xml:space="preserve">, so their </w:t>
      </w:r>
      <w:r w:rsidR="00AB3C0F" w:rsidRPr="000E0129">
        <w:rPr>
          <w:spacing w:val="-4"/>
        </w:rPr>
        <w:t xml:space="preserve">funding </w:t>
      </w:r>
      <w:r w:rsidR="00A66331" w:rsidRPr="000E0129">
        <w:rPr>
          <w:spacing w:val="-4"/>
        </w:rPr>
        <w:t>is uncertain</w:t>
      </w:r>
      <w:r w:rsidR="004A496B" w:rsidRPr="000E0129">
        <w:rPr>
          <w:spacing w:val="-4"/>
        </w:rPr>
        <w:t xml:space="preserve"> </w:t>
      </w:r>
      <w:r w:rsidR="00AB3C0F" w:rsidRPr="000E0129">
        <w:rPr>
          <w:spacing w:val="-4"/>
        </w:rPr>
        <w:t>and</w:t>
      </w:r>
      <w:r w:rsidR="009B4C58" w:rsidRPr="000E0129">
        <w:rPr>
          <w:spacing w:val="-4"/>
        </w:rPr>
        <w:t xml:space="preserve"> </w:t>
      </w:r>
      <w:r w:rsidR="004A496B" w:rsidRPr="000E0129">
        <w:rPr>
          <w:spacing w:val="-4"/>
        </w:rPr>
        <w:t>ongoing diffusion of good ideas is not guaranteed</w:t>
      </w:r>
      <w:r w:rsidR="003E2DD2" w:rsidRPr="000E0129">
        <w:rPr>
          <w:spacing w:val="-4"/>
        </w:rPr>
        <w:t xml:space="preserve">. </w:t>
      </w:r>
    </w:p>
    <w:p w14:paraId="66F5A041" w14:textId="28322186" w:rsidR="00687E97" w:rsidRPr="00FB2031" w:rsidRDefault="003E2DD2" w:rsidP="00687E97">
      <w:pPr>
        <w:pStyle w:val="BodyText"/>
        <w:rPr>
          <w:spacing w:val="-2"/>
        </w:rPr>
      </w:pPr>
      <w:r w:rsidRPr="00FB2031">
        <w:rPr>
          <w:spacing w:val="-2"/>
        </w:rPr>
        <w:t xml:space="preserve">The </w:t>
      </w:r>
      <w:r w:rsidR="00E31D19" w:rsidRPr="00FB2031">
        <w:rPr>
          <w:spacing w:val="-2"/>
        </w:rPr>
        <w:t xml:space="preserve">ACSQHC is better placed </w:t>
      </w:r>
      <w:r w:rsidR="007E2513" w:rsidRPr="00FB2031">
        <w:rPr>
          <w:spacing w:val="-2"/>
        </w:rPr>
        <w:t xml:space="preserve">to </w:t>
      </w:r>
      <w:r w:rsidR="007E5B25" w:rsidRPr="00FB2031">
        <w:rPr>
          <w:spacing w:val="-2"/>
        </w:rPr>
        <w:t>disseminate</w:t>
      </w:r>
      <w:r w:rsidR="007E2513" w:rsidRPr="00FB2031">
        <w:rPr>
          <w:spacing w:val="-2"/>
        </w:rPr>
        <w:t xml:space="preserve"> detailed knowledge on </w:t>
      </w:r>
      <w:r w:rsidR="009B4C58" w:rsidRPr="00FB2031">
        <w:rPr>
          <w:spacing w:val="-2"/>
        </w:rPr>
        <w:t>case studies</w:t>
      </w:r>
      <w:r w:rsidR="00914832" w:rsidRPr="00FB2031">
        <w:rPr>
          <w:spacing w:val="-2"/>
        </w:rPr>
        <w:t xml:space="preserve"> </w:t>
      </w:r>
      <w:r w:rsidR="00571FDD" w:rsidRPr="00FB2031">
        <w:rPr>
          <w:spacing w:val="-2"/>
        </w:rPr>
        <w:t>of healthcare innovation</w:t>
      </w:r>
      <w:r w:rsidR="00545752" w:rsidRPr="00FB2031">
        <w:rPr>
          <w:spacing w:val="-2"/>
        </w:rPr>
        <w:t xml:space="preserve"> (and there are no grounds for creating a new agency devoted to dissemination of innovative health</w:t>
      </w:r>
      <w:r w:rsidR="007E3A6F" w:rsidRPr="00FB2031">
        <w:rPr>
          <w:spacing w:val="-2"/>
        </w:rPr>
        <w:t xml:space="preserve"> </w:t>
      </w:r>
      <w:r w:rsidR="00545752" w:rsidRPr="00FB2031">
        <w:rPr>
          <w:spacing w:val="-2"/>
        </w:rPr>
        <w:t>care)</w:t>
      </w:r>
      <w:r w:rsidR="00571FDD" w:rsidRPr="00FB2031">
        <w:rPr>
          <w:spacing w:val="-2"/>
        </w:rPr>
        <w:t xml:space="preserve">. </w:t>
      </w:r>
      <w:r w:rsidR="00687E97" w:rsidRPr="00FB2031">
        <w:rPr>
          <w:spacing w:val="-2"/>
        </w:rPr>
        <w:t>As well as being responsible for healthcare standards, accreditation and guidelines, the ACSQHC has a legislated role in promoting, supporting and encouraging the implementation of programs and initiatives relating to healthcare safety and quality (section</w:t>
      </w:r>
      <w:r w:rsidR="00D53C3C">
        <w:rPr>
          <w:spacing w:val="-2"/>
        </w:rPr>
        <w:t> </w:t>
      </w:r>
      <w:r w:rsidR="00687E97" w:rsidRPr="00FB2031">
        <w:rPr>
          <w:spacing w:val="-2"/>
        </w:rPr>
        <w:t xml:space="preserve">9 of the </w:t>
      </w:r>
      <w:r w:rsidR="00687E97" w:rsidRPr="00FB2031">
        <w:rPr>
          <w:i/>
          <w:spacing w:val="-2"/>
        </w:rPr>
        <w:t>National Health Reform Act 2011</w:t>
      </w:r>
      <w:r w:rsidR="00687E97" w:rsidRPr="00FB2031">
        <w:rPr>
          <w:spacing w:val="-2"/>
        </w:rPr>
        <w:t xml:space="preserve">). </w:t>
      </w:r>
    </w:p>
    <w:p w14:paraId="1E69D954" w14:textId="080963A8" w:rsidR="009E27E2" w:rsidRDefault="00687E97" w:rsidP="00687E97">
      <w:pPr>
        <w:pStyle w:val="BodyText"/>
      </w:pPr>
      <w:r>
        <w:lastRenderedPageBreak/>
        <w:t>One of the ways in which it fulfills this role is by running a program of Recognition of Exemplar Practice</w:t>
      </w:r>
      <w:r w:rsidR="00944B74">
        <w:t xml:space="preserve"> (REP)</w:t>
      </w:r>
      <w:r>
        <w:t>.</w:t>
      </w:r>
      <w:r w:rsidR="00F9778C" w:rsidRPr="00030838">
        <w:rPr>
          <w:rStyle w:val="FootnoteReference"/>
        </w:rPr>
        <w:footnoteReference w:id="6"/>
      </w:r>
      <w:r>
        <w:t xml:space="preserve"> </w:t>
      </w:r>
      <w:r w:rsidRPr="003953F8">
        <w:t xml:space="preserve">The </w:t>
      </w:r>
      <w:r>
        <w:t>program</w:t>
      </w:r>
      <w:r w:rsidRPr="003953F8">
        <w:t xml:space="preserve"> </w:t>
      </w:r>
      <w:r>
        <w:t>‘</w:t>
      </w:r>
      <w:r w:rsidRPr="003953F8">
        <w:t>is intended to facilitate the identification and sharing of information on safe and good</w:t>
      </w:r>
      <w:r w:rsidR="005B190E">
        <w:noBreakHyphen/>
      </w:r>
      <w:r w:rsidRPr="003953F8">
        <w:t>quality practice between organisations managing similar issues</w:t>
      </w:r>
      <w:r>
        <w:t>’</w:t>
      </w:r>
      <w:r w:rsidR="00DD760D">
        <w:rPr>
          <w:szCs w:val="24"/>
        </w:rPr>
        <w:t>.</w:t>
      </w:r>
      <w:r w:rsidR="00DD760D">
        <w:rPr>
          <w:rStyle w:val="FootnoteReference"/>
          <w:szCs w:val="24"/>
        </w:rPr>
        <w:footnoteReference w:id="7"/>
      </w:r>
      <w:r w:rsidR="00DD760D">
        <w:rPr>
          <w:szCs w:val="24"/>
        </w:rPr>
        <w:t xml:space="preserve"> </w:t>
      </w:r>
      <w:r>
        <w:t xml:space="preserve">When exemplar practices are identified, detailed information about them </w:t>
      </w:r>
      <w:r w:rsidR="00915366">
        <w:t>can be</w:t>
      </w:r>
      <w:r>
        <w:t xml:space="preserve"> communicated to all health service organisations of the same type (</w:t>
      </w:r>
      <w:r w:rsidR="00065658">
        <w:t>for example,</w:t>
      </w:r>
      <w:r>
        <w:t xml:space="preserve"> to all hospitals, day surgeries, etc). This information is also published on the ACSQHC website. So, for example, the </w:t>
      </w:r>
      <w:r w:rsidRPr="00500AF9">
        <w:t>Transition Support Service</w:t>
      </w:r>
      <w:r>
        <w:t xml:space="preserve"> at t</w:t>
      </w:r>
      <w:r w:rsidRPr="00500AF9">
        <w:t>he Royal Children</w:t>
      </w:r>
      <w:r>
        <w:t>’</w:t>
      </w:r>
      <w:r w:rsidRPr="00500AF9">
        <w:t xml:space="preserve">s Hospital </w:t>
      </w:r>
      <w:r>
        <w:t xml:space="preserve">(RCH) </w:t>
      </w:r>
      <w:r w:rsidRPr="00500AF9">
        <w:t>Melbourne</w:t>
      </w:r>
      <w:r>
        <w:t xml:space="preserve"> has been recognised as an exemplar practice, and health services looking to emulate it can access 15 pages of </w:t>
      </w:r>
      <w:r w:rsidR="00065658">
        <w:t xml:space="preserve">detailed </w:t>
      </w:r>
      <w:r>
        <w:t xml:space="preserve">information about the service and how it was implemented, as well as contact details for relevant people at RCH. </w:t>
      </w:r>
      <w:r w:rsidR="0075763E">
        <w:t xml:space="preserve">However, reflecting the nascency of the REP, </w:t>
      </w:r>
      <w:r w:rsidR="00D158A0">
        <w:t xml:space="preserve">this </w:t>
      </w:r>
      <w:r w:rsidR="009E27E2">
        <w:t>is</w:t>
      </w:r>
      <w:r w:rsidR="00D158A0">
        <w:t xml:space="preserve"> the only </w:t>
      </w:r>
      <w:r w:rsidR="001A4192">
        <w:t>exemplar practice</w:t>
      </w:r>
      <w:r w:rsidR="00175BD3">
        <w:t xml:space="preserve"> highlighted by the ACSQHC</w:t>
      </w:r>
      <w:r w:rsidR="00175BD3" w:rsidRPr="00175BD3">
        <w:t xml:space="preserve"> </w:t>
      </w:r>
      <w:r w:rsidR="00175BD3">
        <w:t>at the time of publication</w:t>
      </w:r>
      <w:r>
        <w:t xml:space="preserve">. </w:t>
      </w:r>
      <w:r w:rsidR="00A26D6D">
        <w:t>The ACSQHC has an annual budget of almost $20 million, but only a small fraction of this is used for the diffusion of good practices.</w:t>
      </w:r>
    </w:p>
    <w:p w14:paraId="675AB533" w14:textId="3023E94E" w:rsidR="00687E97" w:rsidRPr="00FB2031" w:rsidRDefault="00355419" w:rsidP="00687E97">
      <w:pPr>
        <w:pStyle w:val="BodyText"/>
        <w:rPr>
          <w:spacing w:val="-2"/>
        </w:rPr>
      </w:pPr>
      <w:r w:rsidRPr="00FB2031">
        <w:rPr>
          <w:spacing w:val="-2"/>
        </w:rPr>
        <w:t xml:space="preserve">The REP </w:t>
      </w:r>
      <w:r w:rsidR="00584D19" w:rsidRPr="00FB2031">
        <w:rPr>
          <w:spacing w:val="-2"/>
        </w:rPr>
        <w:t xml:space="preserve">program </w:t>
      </w:r>
      <w:r w:rsidRPr="00FB2031">
        <w:rPr>
          <w:spacing w:val="-2"/>
        </w:rPr>
        <w:t>is a</w:t>
      </w:r>
      <w:r w:rsidR="00C94206" w:rsidRPr="00FB2031">
        <w:rPr>
          <w:spacing w:val="-2"/>
        </w:rPr>
        <w:t xml:space="preserve">n attractive </w:t>
      </w:r>
      <w:r w:rsidRPr="00FB2031">
        <w:rPr>
          <w:spacing w:val="-2"/>
        </w:rPr>
        <w:t>mechanism for d</w:t>
      </w:r>
      <w:r w:rsidR="001A5A3B" w:rsidRPr="00FB2031">
        <w:rPr>
          <w:spacing w:val="-2"/>
        </w:rPr>
        <w:t>isseminating novel health care practices throughout Australia</w:t>
      </w:r>
      <w:r w:rsidR="00F550BB" w:rsidRPr="00FB2031">
        <w:rPr>
          <w:spacing w:val="-2"/>
        </w:rPr>
        <w:t xml:space="preserve">, though it will only demonstrate good value if it </w:t>
      </w:r>
      <w:r w:rsidR="00F9778C" w:rsidRPr="00FB2031">
        <w:rPr>
          <w:spacing w:val="-2"/>
        </w:rPr>
        <w:t>covers more exemplar practices</w:t>
      </w:r>
      <w:r w:rsidR="00AF0C09" w:rsidRPr="00FB2031">
        <w:rPr>
          <w:spacing w:val="-2"/>
        </w:rPr>
        <w:t xml:space="preserve"> </w:t>
      </w:r>
      <w:r w:rsidR="001E308D" w:rsidRPr="00FB2031">
        <w:rPr>
          <w:spacing w:val="-2"/>
        </w:rPr>
        <w:t xml:space="preserve">and highlights those </w:t>
      </w:r>
      <w:r w:rsidR="00AF0C09" w:rsidRPr="00FB2031">
        <w:rPr>
          <w:spacing w:val="-2"/>
        </w:rPr>
        <w:t>with the greatest scope for emulation or adaptation</w:t>
      </w:r>
      <w:r w:rsidR="00F9778C" w:rsidRPr="00FB2031">
        <w:rPr>
          <w:spacing w:val="-2"/>
        </w:rPr>
        <w:t xml:space="preserve">. </w:t>
      </w:r>
      <w:r w:rsidR="00687E97" w:rsidRPr="00FB2031">
        <w:rPr>
          <w:spacing w:val="-2"/>
        </w:rPr>
        <w:t xml:space="preserve">The </w:t>
      </w:r>
      <w:r w:rsidR="00A26D6D" w:rsidRPr="00FB2031">
        <w:rPr>
          <w:spacing w:val="-2"/>
        </w:rPr>
        <w:t>REP</w:t>
      </w:r>
      <w:r w:rsidR="00687E97" w:rsidRPr="00FB2031">
        <w:rPr>
          <w:spacing w:val="-2"/>
        </w:rPr>
        <w:t xml:space="preserve"> </w:t>
      </w:r>
      <w:r w:rsidR="00584D19" w:rsidRPr="00FB2031">
        <w:rPr>
          <w:spacing w:val="-2"/>
        </w:rPr>
        <w:t xml:space="preserve">program </w:t>
      </w:r>
      <w:r w:rsidR="00687E97" w:rsidRPr="00FB2031">
        <w:rPr>
          <w:spacing w:val="-2"/>
        </w:rPr>
        <w:t xml:space="preserve">could be enhanced by allowing health services to nominate their own exemplar practices, rather than relying on health service assessors (accreditation agencies) as the sole channel of identification and nomination. </w:t>
      </w:r>
      <w:r w:rsidR="00080B6C" w:rsidRPr="00FB2031">
        <w:rPr>
          <w:spacing w:val="-2"/>
        </w:rPr>
        <w:t xml:space="preserve">The types of exemplar practices recognised </w:t>
      </w:r>
      <w:r w:rsidR="00A049C7" w:rsidRPr="00FB2031">
        <w:rPr>
          <w:spacing w:val="-2"/>
        </w:rPr>
        <w:t xml:space="preserve">will need to change as </w:t>
      </w:r>
      <w:r w:rsidR="001A3C8C" w:rsidRPr="00FB2031">
        <w:rPr>
          <w:spacing w:val="-2"/>
        </w:rPr>
        <w:t>lessons</w:t>
      </w:r>
      <w:r w:rsidR="00A049C7" w:rsidRPr="00FB2031">
        <w:rPr>
          <w:spacing w:val="-2"/>
        </w:rPr>
        <w:t xml:space="preserve"> emerge from </w:t>
      </w:r>
      <w:r w:rsidR="001A3C8C" w:rsidRPr="00FB2031">
        <w:rPr>
          <w:spacing w:val="-2"/>
        </w:rPr>
        <w:t>the</w:t>
      </w:r>
      <w:r w:rsidR="00A049C7" w:rsidRPr="00FB2031">
        <w:rPr>
          <w:spacing w:val="-2"/>
        </w:rPr>
        <w:t xml:space="preserve"> wider </w:t>
      </w:r>
      <w:r w:rsidR="001A3C8C" w:rsidRPr="00FB2031">
        <w:rPr>
          <w:spacing w:val="-2"/>
        </w:rPr>
        <w:t>adoption of the practices.</w:t>
      </w:r>
    </w:p>
    <w:p w14:paraId="1DE647D6" w14:textId="46494A32" w:rsidR="00687E97" w:rsidRPr="00FB2031" w:rsidRDefault="00881A35" w:rsidP="00687E97">
      <w:pPr>
        <w:pStyle w:val="BodyText"/>
        <w:rPr>
          <w:spacing w:val="-2"/>
        </w:rPr>
      </w:pPr>
      <w:r w:rsidRPr="00FB2031">
        <w:rPr>
          <w:spacing w:val="-2"/>
        </w:rPr>
        <w:t xml:space="preserve">While </w:t>
      </w:r>
      <w:r w:rsidR="00003AC9" w:rsidRPr="00FB2031">
        <w:rPr>
          <w:spacing w:val="-2"/>
        </w:rPr>
        <w:t>developing the ‘supply</w:t>
      </w:r>
      <w:r w:rsidR="005B190E">
        <w:rPr>
          <w:spacing w:val="-2"/>
        </w:rPr>
        <w:noBreakHyphen/>
      </w:r>
      <w:r w:rsidR="00003AC9" w:rsidRPr="00FB2031">
        <w:rPr>
          <w:spacing w:val="-2"/>
        </w:rPr>
        <w:t xml:space="preserve">side’ of information provision is </w:t>
      </w:r>
      <w:r w:rsidRPr="00FB2031">
        <w:rPr>
          <w:spacing w:val="-2"/>
        </w:rPr>
        <w:t>an important step for greater adoption of healthcare inno</w:t>
      </w:r>
      <w:r w:rsidR="00003AC9" w:rsidRPr="00FB2031">
        <w:rPr>
          <w:spacing w:val="-2"/>
        </w:rPr>
        <w:t xml:space="preserve">vation, there is also a need for </w:t>
      </w:r>
      <w:r w:rsidR="0075361C" w:rsidRPr="00FB2031">
        <w:rPr>
          <w:spacing w:val="-2"/>
        </w:rPr>
        <w:t xml:space="preserve">a demand for that information that goes beyond the </w:t>
      </w:r>
      <w:r w:rsidR="00232685" w:rsidRPr="00FB2031">
        <w:rPr>
          <w:spacing w:val="-2"/>
        </w:rPr>
        <w:t xml:space="preserve">general desire of health care providers to </w:t>
      </w:r>
      <w:r w:rsidR="00703CDD" w:rsidRPr="00FB2031">
        <w:rPr>
          <w:spacing w:val="-2"/>
        </w:rPr>
        <w:t xml:space="preserve">provide high quality care. The changes to flexible funding </w:t>
      </w:r>
      <w:r w:rsidR="00084EE0" w:rsidRPr="00FB2031">
        <w:rPr>
          <w:spacing w:val="-2"/>
        </w:rPr>
        <w:t xml:space="preserve">of PHNs </w:t>
      </w:r>
      <w:r w:rsidR="00703CDD" w:rsidRPr="00FB2031">
        <w:rPr>
          <w:spacing w:val="-2"/>
        </w:rPr>
        <w:t xml:space="preserve">and shifts </w:t>
      </w:r>
      <w:r w:rsidR="00084EE0" w:rsidRPr="00FB2031">
        <w:rPr>
          <w:spacing w:val="-2"/>
        </w:rPr>
        <w:t>in</w:t>
      </w:r>
      <w:r w:rsidR="00703CDD" w:rsidRPr="00FB2031">
        <w:rPr>
          <w:spacing w:val="-2"/>
        </w:rPr>
        <w:t xml:space="preserve"> </w:t>
      </w:r>
      <w:r w:rsidR="00084EE0" w:rsidRPr="00FB2031">
        <w:rPr>
          <w:spacing w:val="-2"/>
        </w:rPr>
        <w:t xml:space="preserve">hospital </w:t>
      </w:r>
      <w:r w:rsidR="00703CDD" w:rsidRPr="00FB2031">
        <w:rPr>
          <w:spacing w:val="-2"/>
        </w:rPr>
        <w:t>fun</w:t>
      </w:r>
      <w:r w:rsidR="00084EE0" w:rsidRPr="00FB2031">
        <w:rPr>
          <w:spacing w:val="-2"/>
        </w:rPr>
        <w:t>d</w:t>
      </w:r>
      <w:r w:rsidR="00703CDD" w:rsidRPr="00FB2031">
        <w:rPr>
          <w:spacing w:val="-2"/>
        </w:rPr>
        <w:t xml:space="preserve">ing that encourage </w:t>
      </w:r>
      <w:r w:rsidR="005F7137" w:rsidRPr="00FB2031">
        <w:rPr>
          <w:spacing w:val="-2"/>
        </w:rPr>
        <w:t>effective low</w:t>
      </w:r>
      <w:r w:rsidR="005F7137" w:rsidRPr="00FB2031">
        <w:rPr>
          <w:spacing w:val="-2"/>
        </w:rPr>
        <w:noBreakHyphen/>
        <w:t xml:space="preserve">cost primary health care </w:t>
      </w:r>
      <w:r w:rsidR="009A0AB8" w:rsidRPr="00FB2031">
        <w:rPr>
          <w:spacing w:val="-2"/>
        </w:rPr>
        <w:t xml:space="preserve">rather than hospital activity </w:t>
      </w:r>
      <w:r w:rsidR="00A61F3C" w:rsidRPr="00FB2031">
        <w:rPr>
          <w:spacing w:val="-2"/>
        </w:rPr>
        <w:t>are</w:t>
      </w:r>
      <w:r w:rsidR="009A0AB8" w:rsidRPr="00FB2031">
        <w:rPr>
          <w:spacing w:val="-2"/>
        </w:rPr>
        <w:t xml:space="preserve"> a desirable complement.</w:t>
      </w:r>
    </w:p>
    <w:p w14:paraId="7DDC1CBD" w14:textId="425BBBBE" w:rsidR="00EF4BE8" w:rsidRPr="00FB2031" w:rsidRDefault="00B06BED" w:rsidP="00884F39">
      <w:pPr>
        <w:pStyle w:val="BodyText"/>
        <w:rPr>
          <w:spacing w:val="-2"/>
        </w:rPr>
      </w:pPr>
      <w:r w:rsidRPr="00FB2031">
        <w:rPr>
          <w:spacing w:val="-2"/>
        </w:rPr>
        <w:t>A major chall</w:t>
      </w:r>
      <w:r w:rsidR="00601AA7" w:rsidRPr="00FB2031">
        <w:rPr>
          <w:spacing w:val="-2"/>
        </w:rPr>
        <w:t>en</w:t>
      </w:r>
      <w:r w:rsidRPr="00FB2031">
        <w:rPr>
          <w:spacing w:val="-2"/>
        </w:rPr>
        <w:t xml:space="preserve">ge </w:t>
      </w:r>
      <w:r w:rsidR="00601AA7" w:rsidRPr="00FB2031">
        <w:rPr>
          <w:spacing w:val="-2"/>
        </w:rPr>
        <w:t xml:space="preserve">in </w:t>
      </w:r>
      <w:r w:rsidR="002F77AB" w:rsidRPr="00FB2031">
        <w:rPr>
          <w:spacing w:val="-2"/>
        </w:rPr>
        <w:t xml:space="preserve">diffusion of </w:t>
      </w:r>
      <w:r w:rsidR="00946A08" w:rsidRPr="00FB2031">
        <w:rPr>
          <w:spacing w:val="-2"/>
        </w:rPr>
        <w:t>best practice</w:t>
      </w:r>
      <w:r w:rsidR="002F77AB" w:rsidRPr="00FB2031">
        <w:rPr>
          <w:spacing w:val="-2"/>
        </w:rPr>
        <w:t xml:space="preserve"> is that </w:t>
      </w:r>
      <w:r w:rsidR="00DF0BD2" w:rsidRPr="00FB2031">
        <w:rPr>
          <w:spacing w:val="-2"/>
        </w:rPr>
        <w:t xml:space="preserve">it is often </w:t>
      </w:r>
      <w:r w:rsidR="00F647A1" w:rsidRPr="00FB2031">
        <w:rPr>
          <w:spacing w:val="-2"/>
        </w:rPr>
        <w:t>glacial</w:t>
      </w:r>
      <w:r w:rsidR="008A64BE" w:rsidRPr="00FB2031">
        <w:rPr>
          <w:spacing w:val="-2"/>
        </w:rPr>
        <w:t xml:space="preserve"> even when </w:t>
      </w:r>
      <w:r w:rsidR="00185110" w:rsidRPr="00FB2031">
        <w:rPr>
          <w:spacing w:val="-2"/>
        </w:rPr>
        <w:t>the</w:t>
      </w:r>
      <w:r w:rsidR="00946A08" w:rsidRPr="00FB2031">
        <w:rPr>
          <w:spacing w:val="-2"/>
        </w:rPr>
        <w:t>re is evidence for change.</w:t>
      </w:r>
      <w:r w:rsidR="00185110" w:rsidRPr="00FB2031">
        <w:rPr>
          <w:spacing w:val="-2"/>
        </w:rPr>
        <w:t xml:space="preserve"> </w:t>
      </w:r>
      <w:r w:rsidR="00C21964" w:rsidRPr="00FB2031">
        <w:rPr>
          <w:spacing w:val="-2"/>
        </w:rPr>
        <w:t>As highlighted by the Royal Commission into Aged Care Quality and Safety, t</w:t>
      </w:r>
      <w:r w:rsidR="00946A08" w:rsidRPr="00FB2031">
        <w:rPr>
          <w:spacing w:val="-2"/>
        </w:rPr>
        <w:t>his is</w:t>
      </w:r>
      <w:r w:rsidR="005675A9" w:rsidRPr="00FB2031">
        <w:rPr>
          <w:spacing w:val="-2"/>
        </w:rPr>
        <w:t xml:space="preserve"> </w:t>
      </w:r>
      <w:r w:rsidR="005C034F" w:rsidRPr="00FB2031">
        <w:rPr>
          <w:spacing w:val="-2"/>
        </w:rPr>
        <w:t>exemplified</w:t>
      </w:r>
      <w:r w:rsidR="00360BB4" w:rsidRPr="00FB2031">
        <w:rPr>
          <w:spacing w:val="-2"/>
        </w:rPr>
        <w:t xml:space="preserve"> by the </w:t>
      </w:r>
      <w:r w:rsidR="00A86B2D" w:rsidRPr="00FB2031">
        <w:rPr>
          <w:spacing w:val="-2"/>
        </w:rPr>
        <w:t xml:space="preserve">continuing </w:t>
      </w:r>
      <w:r w:rsidR="00BB3DEA" w:rsidRPr="00FB2031">
        <w:rPr>
          <w:spacing w:val="-2"/>
        </w:rPr>
        <w:t>inadequate and slow adoption of best practice in prescribing</w:t>
      </w:r>
      <w:r w:rsidR="001865E7" w:rsidRPr="00FB2031">
        <w:rPr>
          <w:spacing w:val="-2"/>
        </w:rPr>
        <w:t xml:space="preserve"> of </w:t>
      </w:r>
      <w:r w:rsidR="001235FA" w:rsidRPr="00FB2031">
        <w:rPr>
          <w:spacing w:val="-2"/>
        </w:rPr>
        <w:t xml:space="preserve">drugs for </w:t>
      </w:r>
      <w:r w:rsidR="00FE581B" w:rsidRPr="00FB2031">
        <w:rPr>
          <w:spacing w:val="-2"/>
        </w:rPr>
        <w:t>the aged</w:t>
      </w:r>
      <w:r w:rsidR="00C8050F" w:rsidRPr="00FB2031">
        <w:rPr>
          <w:spacing w:val="-2"/>
        </w:rPr>
        <w:t>,</w:t>
      </w:r>
      <w:r w:rsidR="0056559A" w:rsidRPr="00FB2031">
        <w:rPr>
          <w:spacing w:val="-2"/>
        </w:rPr>
        <w:t xml:space="preserve"> </w:t>
      </w:r>
      <w:r w:rsidR="00C8050F" w:rsidRPr="00FB2031">
        <w:rPr>
          <w:spacing w:val="-2"/>
        </w:rPr>
        <w:t>notwithstanding that</w:t>
      </w:r>
      <w:r w:rsidR="0056559A" w:rsidRPr="00FB2031">
        <w:rPr>
          <w:spacing w:val="-2"/>
        </w:rPr>
        <w:t xml:space="preserve"> the appropriate practices are well</w:t>
      </w:r>
      <w:r w:rsidR="0056559A" w:rsidRPr="00FB2031">
        <w:rPr>
          <w:spacing w:val="-2"/>
        </w:rPr>
        <w:noBreakHyphen/>
        <w:t>defined and agreed</w:t>
      </w:r>
      <w:r w:rsidR="00BB3DEA" w:rsidRPr="00FB2031">
        <w:rPr>
          <w:spacing w:val="-2"/>
        </w:rPr>
        <w:t xml:space="preserve"> (box </w:t>
      </w:r>
      <w:r w:rsidR="008826E2" w:rsidRPr="00FB2031">
        <w:rPr>
          <w:spacing w:val="-2"/>
        </w:rPr>
        <w:t>1</w:t>
      </w:r>
      <w:r w:rsidR="00BB3DEA" w:rsidRPr="00FB2031">
        <w:rPr>
          <w:spacing w:val="-2"/>
        </w:rPr>
        <w:t>).</w:t>
      </w:r>
      <w:r w:rsidR="00F647A1" w:rsidRPr="00FB2031">
        <w:rPr>
          <w:spacing w:val="-2"/>
        </w:rPr>
        <w:t xml:space="preserve"> </w:t>
      </w:r>
      <w:r w:rsidR="001235FA" w:rsidRPr="00FB2031">
        <w:rPr>
          <w:spacing w:val="-2"/>
        </w:rPr>
        <w:t xml:space="preserve">Equally, </w:t>
      </w:r>
      <w:r w:rsidR="00C84E00" w:rsidRPr="00FB2031">
        <w:rPr>
          <w:spacing w:val="-2"/>
        </w:rPr>
        <w:t xml:space="preserve">antiquated technologies like </w:t>
      </w:r>
      <w:r w:rsidR="001235FA" w:rsidRPr="00FB2031">
        <w:rPr>
          <w:spacing w:val="-2"/>
        </w:rPr>
        <w:t xml:space="preserve">faxes and </w:t>
      </w:r>
      <w:r w:rsidR="00F1100A" w:rsidRPr="00FB2031">
        <w:rPr>
          <w:spacing w:val="-2"/>
        </w:rPr>
        <w:t>pagers still abound in hospitals</w:t>
      </w:r>
      <w:r w:rsidR="00CC324F" w:rsidRPr="00FB2031">
        <w:rPr>
          <w:spacing w:val="-2"/>
        </w:rPr>
        <w:t xml:space="preserve">. </w:t>
      </w:r>
    </w:p>
    <w:p w14:paraId="36933A82" w14:textId="564706C8" w:rsidR="008673F1" w:rsidRPr="00FB2031" w:rsidRDefault="00884F39" w:rsidP="00884F39">
      <w:pPr>
        <w:pStyle w:val="BodyText"/>
        <w:rPr>
          <w:spacing w:val="-2"/>
        </w:rPr>
      </w:pPr>
      <w:r w:rsidRPr="00FB2031">
        <w:rPr>
          <w:spacing w:val="-2"/>
        </w:rPr>
        <w:t>A key question is</w:t>
      </w:r>
      <w:r w:rsidR="00957B71" w:rsidRPr="00FB2031">
        <w:rPr>
          <w:spacing w:val="-2"/>
        </w:rPr>
        <w:t>,</w:t>
      </w:r>
      <w:r w:rsidRPr="00FB2031">
        <w:rPr>
          <w:spacing w:val="-2"/>
        </w:rPr>
        <w:t xml:space="preserve"> therefore, how can diffusion be accelerated for the types of innovations spelt out in the Commission’s case studies (and not just for adoption of best practice </w:t>
      </w:r>
      <w:r w:rsidR="00602F34" w:rsidRPr="00FB2031">
        <w:rPr>
          <w:spacing w:val="-2"/>
        </w:rPr>
        <w:t>medical interventions</w:t>
      </w:r>
      <w:r w:rsidRPr="00FB2031">
        <w:rPr>
          <w:spacing w:val="-2"/>
        </w:rPr>
        <w:t>)</w:t>
      </w:r>
      <w:r w:rsidR="00957B71" w:rsidRPr="00FB2031">
        <w:rPr>
          <w:spacing w:val="-2"/>
        </w:rPr>
        <w:t>?</w:t>
      </w:r>
      <w:r w:rsidR="003251ED" w:rsidRPr="00FB2031">
        <w:rPr>
          <w:spacing w:val="-2"/>
        </w:rPr>
        <w:t xml:space="preserve"> One option is </w:t>
      </w:r>
      <w:r w:rsidR="00EB35A8" w:rsidRPr="00FB2031">
        <w:rPr>
          <w:spacing w:val="-2"/>
        </w:rPr>
        <w:t xml:space="preserve">to </w:t>
      </w:r>
      <w:r w:rsidR="00DA54E1" w:rsidRPr="00FB2031">
        <w:rPr>
          <w:spacing w:val="-2"/>
        </w:rPr>
        <w:t xml:space="preserve">periodically </w:t>
      </w:r>
      <w:r w:rsidR="00EB35A8" w:rsidRPr="00FB2031">
        <w:rPr>
          <w:spacing w:val="-2"/>
        </w:rPr>
        <w:t>test the effectiveness of the REP</w:t>
      </w:r>
      <w:r w:rsidR="00ED77D7" w:rsidRPr="00FB2031">
        <w:rPr>
          <w:spacing w:val="-2"/>
        </w:rPr>
        <w:t xml:space="preserve">, examining </w:t>
      </w:r>
      <w:r w:rsidR="00ED77D7" w:rsidRPr="00FB2031">
        <w:rPr>
          <w:spacing w:val="-2"/>
        </w:rPr>
        <w:lastRenderedPageBreak/>
        <w:t>whether the information is accessible</w:t>
      </w:r>
      <w:r w:rsidR="00DA54E1" w:rsidRPr="00FB2031">
        <w:rPr>
          <w:spacing w:val="-2"/>
        </w:rPr>
        <w:t xml:space="preserve">, </w:t>
      </w:r>
      <w:r w:rsidR="00ED77D7" w:rsidRPr="00FB2031">
        <w:rPr>
          <w:spacing w:val="-2"/>
        </w:rPr>
        <w:t>sufficient</w:t>
      </w:r>
      <w:r w:rsidR="00DA54E1" w:rsidRPr="00FB2031">
        <w:rPr>
          <w:spacing w:val="-2"/>
        </w:rPr>
        <w:t xml:space="preserve"> and persuasive</w:t>
      </w:r>
      <w:r w:rsidR="00ED77D7" w:rsidRPr="00FB2031">
        <w:rPr>
          <w:spacing w:val="-2"/>
        </w:rPr>
        <w:t xml:space="preserve">, </w:t>
      </w:r>
      <w:r w:rsidR="008045E9" w:rsidRPr="00FB2031">
        <w:rPr>
          <w:spacing w:val="-2"/>
        </w:rPr>
        <w:t xml:space="preserve">and that it reaches the right </w:t>
      </w:r>
      <w:r w:rsidR="00DA54E1" w:rsidRPr="00FB2031">
        <w:rPr>
          <w:spacing w:val="-2"/>
        </w:rPr>
        <w:t xml:space="preserve">groups and with reasonable </w:t>
      </w:r>
      <w:proofErr w:type="spellStart"/>
      <w:r w:rsidR="00DA54E1" w:rsidRPr="00FB2031">
        <w:rPr>
          <w:spacing w:val="-2"/>
        </w:rPr>
        <w:t>takeup</w:t>
      </w:r>
      <w:proofErr w:type="spellEnd"/>
      <w:r w:rsidR="00DA54E1" w:rsidRPr="00FB2031">
        <w:rPr>
          <w:spacing w:val="-2"/>
        </w:rPr>
        <w:t xml:space="preserve">. </w:t>
      </w:r>
      <w:r w:rsidR="00C8050F" w:rsidRPr="00FB2031">
        <w:rPr>
          <w:spacing w:val="-2"/>
        </w:rPr>
        <w:t>Follow up on the lessons on the challenges and the drivers of successful diffusion would provide a better evidence base for subsequent efforts to promote diffusion. Diffusion should be informed by, and provide evidence for, implementation science.</w:t>
      </w:r>
      <w:r w:rsidR="003251ED" w:rsidRPr="00FB2031">
        <w:rPr>
          <w:spacing w:val="-2"/>
        </w:rPr>
        <w:t xml:space="preserve"> </w:t>
      </w:r>
    </w:p>
    <w:p w14:paraId="2A27CE93" w14:textId="0347F14D" w:rsidR="00AE2959" w:rsidRPr="00FB2031" w:rsidRDefault="00AE2959" w:rsidP="00884F39">
      <w:pPr>
        <w:pStyle w:val="BodyText"/>
        <w:rPr>
          <w:spacing w:val="-2"/>
        </w:rPr>
      </w:pPr>
      <w:r w:rsidRPr="00FB2031">
        <w:rPr>
          <w:spacing w:val="-2"/>
        </w:rPr>
        <w:t xml:space="preserve">However, offering information alone is unlikely to be sufficient. Over time, Governments could consider the incentives faced by health professionals and health services to change their ways of working and adopt best practice. As emphasised in </w:t>
      </w:r>
      <w:r w:rsidR="00046D07" w:rsidRPr="00046D07">
        <w:rPr>
          <w:iCs/>
          <w:spacing w:val="-2"/>
        </w:rPr>
        <w:t>the</w:t>
      </w:r>
      <w:r w:rsidR="00046D07" w:rsidRPr="00FB2031">
        <w:rPr>
          <w:i/>
          <w:spacing w:val="-2"/>
        </w:rPr>
        <w:t xml:space="preserve"> </w:t>
      </w:r>
      <w:r w:rsidRPr="00FB2031">
        <w:rPr>
          <w:i/>
          <w:spacing w:val="-2"/>
        </w:rPr>
        <w:t>Innovations in Care for Chronic Health Conditions</w:t>
      </w:r>
      <w:r w:rsidRPr="00FB2031">
        <w:rPr>
          <w:spacing w:val="-2"/>
        </w:rPr>
        <w:t xml:space="preserve"> report, current innovation occurs in spite of systemic policy settings – instead of being promoted by them.  </w:t>
      </w:r>
    </w:p>
    <w:p w14:paraId="3C38C165" w14:textId="1284488B" w:rsidR="004750BA" w:rsidRDefault="004750B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750BA" w14:paraId="4A2D832A" w14:textId="77777777" w:rsidTr="00622F1D">
        <w:trPr>
          <w:tblHeader/>
        </w:trPr>
        <w:tc>
          <w:tcPr>
            <w:tcW w:w="5000" w:type="pct"/>
            <w:tcBorders>
              <w:top w:val="single" w:sz="6" w:space="0" w:color="2D9AC2" w:themeColor="text2" w:themeShade="BF"/>
              <w:left w:val="nil"/>
              <w:bottom w:val="nil"/>
              <w:right w:val="nil"/>
            </w:tcBorders>
            <w:shd w:val="clear" w:color="auto" w:fill="F2F2F2"/>
          </w:tcPr>
          <w:p w14:paraId="68601C60" w14:textId="1A64212C" w:rsidR="004750BA" w:rsidRDefault="004750BA">
            <w:pPr>
              <w:pStyle w:val="BoxTitle"/>
            </w:pPr>
            <w:r>
              <w:rPr>
                <w:b w:val="0"/>
              </w:rPr>
              <w:t xml:space="preserve">Box </w:t>
            </w:r>
            <w:r w:rsidR="00D1400E">
              <w:rPr>
                <w:b w:val="0"/>
              </w:rPr>
              <w:t>1</w:t>
            </w:r>
            <w:r>
              <w:tab/>
            </w:r>
            <w:r w:rsidR="0050495C">
              <w:t>S</w:t>
            </w:r>
            <w:r w:rsidR="00360BB4">
              <w:t>tark lesson</w:t>
            </w:r>
            <w:r w:rsidR="0050495C">
              <w:t>s</w:t>
            </w:r>
            <w:r w:rsidR="00CC710B">
              <w:t xml:space="preserve"> about slow</w:t>
            </w:r>
            <w:r w:rsidR="00AB1474">
              <w:t xml:space="preserve"> diffusion</w:t>
            </w:r>
          </w:p>
        </w:tc>
      </w:tr>
      <w:tr w:rsidR="004750BA" w14:paraId="5C6BE2F6" w14:textId="77777777" w:rsidTr="005D4BF7">
        <w:tc>
          <w:tcPr>
            <w:tcW w:w="5000" w:type="pct"/>
            <w:tcBorders>
              <w:top w:val="nil"/>
              <w:left w:val="nil"/>
              <w:bottom w:val="nil"/>
              <w:right w:val="nil"/>
            </w:tcBorders>
            <w:shd w:val="clear" w:color="auto" w:fill="F2F2F2"/>
          </w:tcPr>
          <w:p w14:paraId="3B5C713F" w14:textId="758622DD" w:rsidR="00AE2165" w:rsidRDefault="00716131" w:rsidP="004D7683">
            <w:pPr>
              <w:pStyle w:val="Box"/>
            </w:pPr>
            <w:r>
              <w:t xml:space="preserve">While </w:t>
            </w:r>
            <w:r w:rsidR="00F554A0">
              <w:t>the</w:t>
            </w:r>
            <w:r>
              <w:t xml:space="preserve"> </w:t>
            </w:r>
            <w:r w:rsidR="00E426B5">
              <w:t>cautious</w:t>
            </w:r>
            <w:r>
              <w:t xml:space="preserve"> </w:t>
            </w:r>
            <w:r w:rsidRPr="00681B5E">
              <w:t>introduction</w:t>
            </w:r>
            <w:r>
              <w:t xml:space="preserve"> of </w:t>
            </w:r>
            <w:r w:rsidR="00E426B5">
              <w:t>medical</w:t>
            </w:r>
            <w:r>
              <w:t xml:space="preserve"> technologies </w:t>
            </w:r>
            <w:r w:rsidR="00E426B5">
              <w:t xml:space="preserve">and new drugs </w:t>
            </w:r>
            <w:r>
              <w:t>is often appropriate if they are not fully tested or high cost,</w:t>
            </w:r>
            <w:r w:rsidR="002F28F6">
              <w:t xml:space="preserve"> once accepted</w:t>
            </w:r>
            <w:r w:rsidR="00BD0B98">
              <w:t xml:space="preserve"> </w:t>
            </w:r>
            <w:r w:rsidR="00E426B5">
              <w:t xml:space="preserve">as </w:t>
            </w:r>
            <w:r w:rsidR="00F554A0">
              <w:t>cost</w:t>
            </w:r>
            <w:r w:rsidR="005B190E">
              <w:noBreakHyphen/>
            </w:r>
            <w:r w:rsidR="00F554A0">
              <w:t xml:space="preserve">effective, it is desirable that they are widely diffused. </w:t>
            </w:r>
            <w:r w:rsidR="00AE2165">
              <w:t>R</w:t>
            </w:r>
            <w:r w:rsidR="00C27ACF">
              <w:t xml:space="preserve">apid diffusion of knowledge about overused </w:t>
            </w:r>
            <w:r w:rsidR="00490FC4">
              <w:t xml:space="preserve">treatments </w:t>
            </w:r>
            <w:r w:rsidR="00AE2165">
              <w:t>is equally important.</w:t>
            </w:r>
          </w:p>
          <w:p w14:paraId="5ED09AA2" w14:textId="7C85FEC3" w:rsidR="004026D3" w:rsidRDefault="00CC710B" w:rsidP="004026D3">
            <w:pPr>
              <w:pStyle w:val="Box"/>
            </w:pPr>
            <w:r w:rsidRPr="00CC710B">
              <w:t xml:space="preserve">A vivid example </w:t>
            </w:r>
            <w:r w:rsidR="00AB1474">
              <w:t>of slow diffusion of knowledge</w:t>
            </w:r>
            <w:r w:rsidRPr="00CC710B">
              <w:t xml:space="preserve"> is </w:t>
            </w:r>
            <w:r w:rsidR="00012D5E">
              <w:t xml:space="preserve">awareness by </w:t>
            </w:r>
            <w:r w:rsidR="00AE2165">
              <w:t>clinicians</w:t>
            </w:r>
            <w:r w:rsidR="00012D5E">
              <w:t xml:space="preserve"> of the appropriate prescribing of psychotropic drugs for </w:t>
            </w:r>
            <w:r w:rsidR="00F84306">
              <w:t xml:space="preserve">aged people experiencing dementia, an issue highlighted in the recent Royal Commission into Aged </w:t>
            </w:r>
            <w:r w:rsidR="008B3BDD">
              <w:t>C</w:t>
            </w:r>
            <w:r w:rsidR="00F84306">
              <w:t>are</w:t>
            </w:r>
            <w:r w:rsidR="008B3BDD">
              <w:t xml:space="preserve"> Quality and Safety.</w:t>
            </w:r>
            <w:r w:rsidR="00DD3F8C">
              <w:t xml:space="preserve"> </w:t>
            </w:r>
            <w:r w:rsidR="00E76603">
              <w:t>Psychotropic drugs</w:t>
            </w:r>
            <w:r w:rsidR="00983E5F">
              <w:t xml:space="preserve"> are </w:t>
            </w:r>
            <w:r w:rsidR="00E76603">
              <w:t>those</w:t>
            </w:r>
            <w:r w:rsidR="00983E5F" w:rsidRPr="00552CCE">
              <w:t xml:space="preserve"> capable of affecting the mind, emotions and behaviour</w:t>
            </w:r>
            <w:r w:rsidR="00E76603">
              <w:t>,</w:t>
            </w:r>
            <w:r w:rsidR="00983E5F" w:rsidRPr="00552CCE">
              <w:t xml:space="preserve"> and </w:t>
            </w:r>
            <w:r w:rsidR="00E76603">
              <w:t>include anti</w:t>
            </w:r>
            <w:r w:rsidR="005B190E">
              <w:noBreakHyphen/>
            </w:r>
            <w:r w:rsidR="00E76603">
              <w:t>depressants and antipsychotic medications</w:t>
            </w:r>
            <w:r w:rsidR="00670AA3">
              <w:t>.</w:t>
            </w:r>
            <w:r w:rsidR="00983E5F">
              <w:t xml:space="preserve"> </w:t>
            </w:r>
            <w:r w:rsidR="004026D3">
              <w:t xml:space="preserve">There has been concern about providing such drugs to aged care residents for more than 20 years given their side effects and relative lack of efficacy. </w:t>
            </w:r>
            <w:proofErr w:type="spellStart"/>
            <w:r w:rsidR="004026D3">
              <w:t>NPSMedicineWise</w:t>
            </w:r>
            <w:proofErr w:type="spellEnd"/>
            <w:r w:rsidR="004026D3">
              <w:t xml:space="preserve"> has noted that:</w:t>
            </w:r>
          </w:p>
          <w:p w14:paraId="03C91F5C" w14:textId="4B27B6A6" w:rsidR="004026D3" w:rsidRDefault="004026D3" w:rsidP="004026D3">
            <w:pPr>
              <w:pStyle w:val="BoxQuote"/>
            </w:pPr>
            <w:r w:rsidRPr="006A071B">
              <w:t>The evidence for the efficacy of antipsychotic drugs in the treatment of behavioural and psychological symptoms of dementia is unconvincing. However, the drugs cause definite harm including an increased risk of death</w:t>
            </w:r>
            <w:r w:rsidR="00A86BD0" w:rsidRPr="00A86BD0">
              <w:rPr>
                <w:szCs w:val="18"/>
              </w:rPr>
              <w:t>.</w:t>
            </w:r>
            <w:r w:rsidR="00A86BD0" w:rsidRPr="00A86BD0">
              <w:rPr>
                <w:rStyle w:val="FootnoteReference"/>
                <w:sz w:val="18"/>
                <w:szCs w:val="18"/>
              </w:rPr>
              <w:footnoteReference w:id="8"/>
            </w:r>
          </w:p>
          <w:p w14:paraId="5CF6D036" w14:textId="1B2BEF03" w:rsidR="00CD4B55" w:rsidRDefault="004026D3" w:rsidP="004D7683">
            <w:pPr>
              <w:pStyle w:val="Box"/>
            </w:pPr>
            <w:r>
              <w:t xml:space="preserve">However, </w:t>
            </w:r>
            <w:r w:rsidR="00180530">
              <w:t>a</w:t>
            </w:r>
            <w:r w:rsidR="000F1C3D">
              <w:t xml:space="preserve"> </w:t>
            </w:r>
            <w:r w:rsidR="001E2BA6">
              <w:t>substantial</w:t>
            </w:r>
            <w:r w:rsidR="000F1C3D">
              <w:t xml:space="preserve"> share of aged care residents </w:t>
            </w:r>
            <w:r w:rsidR="00180530">
              <w:t>continue to be</w:t>
            </w:r>
            <w:r w:rsidR="003A2777" w:rsidDel="00180530">
              <w:t xml:space="preserve"> </w:t>
            </w:r>
            <w:r w:rsidR="003A2777">
              <w:t xml:space="preserve">prescribed </w:t>
            </w:r>
            <w:r w:rsidR="007E3E00">
              <w:t>psychotropic</w:t>
            </w:r>
            <w:r w:rsidR="003A2777">
              <w:t xml:space="preserve"> drugs</w:t>
            </w:r>
            <w:r w:rsidR="009A4B86">
              <w:t xml:space="preserve">, with </w:t>
            </w:r>
            <w:r w:rsidR="00D625C6">
              <w:t>60</w:t>
            </w:r>
            <w:r w:rsidR="00AC0F21">
              <w:t>%</w:t>
            </w:r>
            <w:r w:rsidR="00D625C6">
              <w:t xml:space="preserve"> receiving at least one</w:t>
            </w:r>
            <w:r w:rsidR="009A4B86">
              <w:t xml:space="preserve"> </w:t>
            </w:r>
            <w:r w:rsidR="00E25ED2">
              <w:t>in their first three months</w:t>
            </w:r>
            <w:r w:rsidR="003A2777">
              <w:t xml:space="preserve"> </w:t>
            </w:r>
            <w:r w:rsidR="001E2BA6">
              <w:t>of residential care</w:t>
            </w:r>
            <w:r w:rsidR="000D1BD3">
              <w:t xml:space="preserve">. </w:t>
            </w:r>
            <w:r w:rsidR="004B0CC2">
              <w:t xml:space="preserve">And in </w:t>
            </w:r>
            <w:r w:rsidR="00280F85">
              <w:t>up to</w:t>
            </w:r>
            <w:r w:rsidR="00A56CA6">
              <w:t xml:space="preserve"> 31% </w:t>
            </w:r>
            <w:r w:rsidR="00280F85">
              <w:t xml:space="preserve">of cases, </w:t>
            </w:r>
            <w:r w:rsidR="004B0CC2">
              <w:t xml:space="preserve">antipsychotic </w:t>
            </w:r>
            <w:r w:rsidR="00A56CA6">
              <w:t>drug</w:t>
            </w:r>
            <w:r w:rsidR="00280F85">
              <w:t>s are</w:t>
            </w:r>
            <w:r w:rsidR="00A56CA6">
              <w:t xml:space="preserve"> </w:t>
            </w:r>
            <w:r w:rsidR="00A57A76">
              <w:t>administered to people who have not been diagnosed with</w:t>
            </w:r>
            <w:r w:rsidR="00A56CA6">
              <w:t xml:space="preserve"> psychotic and related conditions</w:t>
            </w:r>
            <w:r w:rsidR="00455697">
              <w:t>.</w:t>
            </w:r>
          </w:p>
          <w:p w14:paraId="751757BB" w14:textId="3C8D2FDB" w:rsidR="009F1FA3" w:rsidRPr="009F1FA3" w:rsidRDefault="001D6955" w:rsidP="009F1FA3">
            <w:pPr>
              <w:pStyle w:val="Box"/>
            </w:pPr>
            <w:r>
              <w:t xml:space="preserve">There are </w:t>
            </w:r>
            <w:r w:rsidR="00426DD7">
              <w:t>often superior non</w:t>
            </w:r>
            <w:r w:rsidR="00426DD7">
              <w:noBreakHyphen/>
              <w:t xml:space="preserve">pharmacological </w:t>
            </w:r>
            <w:r>
              <w:t xml:space="preserve">alternatives to </w:t>
            </w:r>
            <w:r w:rsidR="007D4506">
              <w:t>psychotropic</w:t>
            </w:r>
            <w:r w:rsidR="00701971">
              <w:t xml:space="preserve"> drugs</w:t>
            </w:r>
            <w:r w:rsidR="00A50395">
              <w:t>,</w:t>
            </w:r>
            <w:r w:rsidR="00994C4C">
              <w:t xml:space="preserve"> including behaviour management services</w:t>
            </w:r>
            <w:r w:rsidR="00C43E18">
              <w:t>,</w:t>
            </w:r>
            <w:r w:rsidR="008F6BED">
              <w:t xml:space="preserve"> </w:t>
            </w:r>
            <w:r w:rsidR="00994C4C">
              <w:t xml:space="preserve">which have been funded by the Australian Government for more than a decade. </w:t>
            </w:r>
            <w:r w:rsidR="00C43E18">
              <w:t>Accordingly, while such drugs have a place</w:t>
            </w:r>
            <w:r w:rsidR="00284E29">
              <w:t xml:space="preserve"> in aged care,</w:t>
            </w:r>
            <w:r w:rsidR="00700BB7">
              <w:t xml:space="preserve"> </w:t>
            </w:r>
            <w:r w:rsidR="004B2080">
              <w:t>inappropriate use continues despite widespread information dissemination.</w:t>
            </w:r>
          </w:p>
          <w:p w14:paraId="4F0DB880" w14:textId="5FA7AB84" w:rsidR="004750BA" w:rsidRDefault="00CC710B" w:rsidP="005D4BF7">
            <w:pPr>
              <w:pStyle w:val="Box"/>
            </w:pPr>
            <w:r w:rsidRPr="00CC710B">
              <w:t xml:space="preserve">There are many other patterns of clinical practice </w:t>
            </w:r>
            <w:r w:rsidR="00E10494">
              <w:t>where</w:t>
            </w:r>
            <w:r w:rsidRPr="00CC710B">
              <w:t xml:space="preserve"> information provision alone </w:t>
            </w:r>
            <w:r w:rsidR="00E10494">
              <w:t>has been insufficient to change health professionals’ behaviour</w:t>
            </w:r>
            <w:r w:rsidRPr="00CC710B">
              <w:t xml:space="preserve"> (as catalogued, for example by the </w:t>
            </w:r>
            <w:r w:rsidR="000253D1">
              <w:t xml:space="preserve">various Australian </w:t>
            </w:r>
            <w:r w:rsidRPr="00CC710B">
              <w:t>Atlas</w:t>
            </w:r>
            <w:r w:rsidR="000253D1">
              <w:t>es</w:t>
            </w:r>
            <w:r w:rsidRPr="00CC710B">
              <w:t xml:space="preserve"> of Healthcare Variation issued by the ACSQHC</w:t>
            </w:r>
            <w:r w:rsidR="009A16F2">
              <w:t xml:space="preserve"> and </w:t>
            </w:r>
            <w:r w:rsidR="008F6A14">
              <w:t xml:space="preserve">the </w:t>
            </w:r>
            <w:r w:rsidR="009A16F2">
              <w:t>AIHW)</w:t>
            </w:r>
            <w:r w:rsidRPr="00CC710B">
              <w:t>.</w:t>
            </w:r>
          </w:p>
        </w:tc>
      </w:tr>
      <w:tr w:rsidR="004750BA" w14:paraId="4206E8A4" w14:textId="77777777" w:rsidTr="00622F1D">
        <w:tc>
          <w:tcPr>
            <w:tcW w:w="5000" w:type="pct"/>
            <w:tcBorders>
              <w:top w:val="nil"/>
              <w:left w:val="nil"/>
              <w:bottom w:val="single" w:sz="6" w:space="0" w:color="2D9AC2" w:themeColor="text2" w:themeShade="BF"/>
              <w:right w:val="nil"/>
            </w:tcBorders>
            <w:shd w:val="clear" w:color="auto" w:fill="F2F2F2"/>
          </w:tcPr>
          <w:p w14:paraId="5AB08C65" w14:textId="77777777" w:rsidR="004750BA" w:rsidRDefault="004750BA">
            <w:pPr>
              <w:pStyle w:val="Box"/>
              <w:spacing w:before="0" w:line="120" w:lineRule="exact"/>
            </w:pPr>
          </w:p>
        </w:tc>
      </w:tr>
      <w:tr w:rsidR="004750BA" w:rsidRPr="000863A5" w14:paraId="0DABE627" w14:textId="77777777" w:rsidTr="00622F1D">
        <w:tc>
          <w:tcPr>
            <w:tcW w:w="5000" w:type="pct"/>
            <w:tcBorders>
              <w:top w:val="single" w:sz="6" w:space="0" w:color="2D9AC2" w:themeColor="text2" w:themeShade="BF"/>
              <w:left w:val="nil"/>
              <w:bottom w:val="nil"/>
              <w:right w:val="nil"/>
            </w:tcBorders>
          </w:tcPr>
          <w:p w14:paraId="1E17AF47" w14:textId="4AA0BCB7" w:rsidR="004750BA" w:rsidRPr="00626D32" w:rsidRDefault="004750BA" w:rsidP="005D4BF7">
            <w:pPr>
              <w:pStyle w:val="BoxSpaceBelow"/>
            </w:pPr>
          </w:p>
        </w:tc>
      </w:tr>
    </w:tbl>
    <w:p w14:paraId="6963EA7D" w14:textId="77777777" w:rsidR="00B4138B" w:rsidRPr="004E3B94" w:rsidRDefault="00B4138B" w:rsidP="00B4138B">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4138B" w14:paraId="43DBAAA1" w14:textId="77777777" w:rsidTr="00196E53">
        <w:trPr>
          <w:cantSplit/>
          <w:tblHeader/>
        </w:trPr>
        <w:tc>
          <w:tcPr>
            <w:tcW w:w="5000" w:type="pct"/>
            <w:tcBorders>
              <w:top w:val="single" w:sz="6" w:space="0" w:color="2D9AC2" w:themeColor="text2" w:themeShade="BF"/>
              <w:left w:val="nil"/>
              <w:bottom w:val="nil"/>
              <w:right w:val="nil"/>
            </w:tcBorders>
            <w:shd w:val="clear" w:color="auto" w:fill="E0F1F7" w:themeFill="text2" w:themeFillTint="33"/>
            <w:tcMar>
              <w:left w:w="170" w:type="dxa"/>
              <w:right w:w="170" w:type="dxa"/>
            </w:tcMar>
          </w:tcPr>
          <w:p w14:paraId="3927B871" w14:textId="3789680A" w:rsidR="00B4138B" w:rsidRPr="002D6D7E" w:rsidRDefault="00B4138B" w:rsidP="00196E53">
            <w:pPr>
              <w:pStyle w:val="FindingTitle"/>
              <w:spacing w:before="120"/>
              <w:ind w:left="1191" w:hanging="1191"/>
              <w:rPr>
                <w:b/>
                <w:noProof/>
              </w:rPr>
            </w:pPr>
            <w:r>
              <w:rPr>
                <w:b/>
                <w:bCs/>
              </w:rPr>
              <w:t>Recommendation 4 – diffusion o</w:t>
            </w:r>
            <w:r w:rsidR="00F40697">
              <w:rPr>
                <w:b/>
                <w:bCs/>
              </w:rPr>
              <w:t>f</w:t>
            </w:r>
            <w:r>
              <w:rPr>
                <w:b/>
                <w:bCs/>
              </w:rPr>
              <w:t xml:space="preserve"> exemplar practices</w:t>
            </w:r>
          </w:p>
        </w:tc>
      </w:tr>
      <w:tr w:rsidR="00B4138B" w:rsidRPr="00750BE2" w14:paraId="555EE567" w14:textId="77777777" w:rsidTr="00196E53">
        <w:trPr>
          <w:cantSplit/>
        </w:trPr>
        <w:tc>
          <w:tcPr>
            <w:tcW w:w="5000" w:type="pct"/>
            <w:tcBorders>
              <w:top w:val="nil"/>
              <w:left w:val="nil"/>
              <w:bottom w:val="nil"/>
              <w:right w:val="nil"/>
            </w:tcBorders>
            <w:shd w:val="clear" w:color="auto" w:fill="E0F1F7" w:themeFill="text2" w:themeFillTint="33"/>
            <w:tcMar>
              <w:left w:w="170" w:type="dxa"/>
              <w:right w:w="170" w:type="dxa"/>
            </w:tcMar>
          </w:tcPr>
          <w:p w14:paraId="0F5A61B4" w14:textId="543E508C" w:rsidR="00B4138B" w:rsidRDefault="00B4138B" w:rsidP="00B4138B">
            <w:pPr>
              <w:pStyle w:val="Rec"/>
              <w:keepNext/>
            </w:pPr>
            <w:r>
              <w:t xml:space="preserve">The Australian Commission on Safety and Quality </w:t>
            </w:r>
            <w:r w:rsidR="0067658B">
              <w:t xml:space="preserve">in </w:t>
            </w:r>
            <w:r>
              <w:t>Health</w:t>
            </w:r>
            <w:r w:rsidR="00F40697">
              <w:t xml:space="preserve"> C</w:t>
            </w:r>
            <w:r>
              <w:t xml:space="preserve">are </w:t>
            </w:r>
            <w:r w:rsidR="0067658B">
              <w:t xml:space="preserve">(ACSQHC) </w:t>
            </w:r>
            <w:r w:rsidR="00181374">
              <w:t xml:space="preserve">could </w:t>
            </w:r>
            <w:r>
              <w:t xml:space="preserve">expand its </w:t>
            </w:r>
            <w:r w:rsidRPr="000976D8">
              <w:t>Recognition of Exemplar Practice</w:t>
            </w:r>
            <w:r>
              <w:t xml:space="preserve"> (REP) </w:t>
            </w:r>
            <w:r w:rsidR="009E0C85">
              <w:t>p</w:t>
            </w:r>
            <w:r>
              <w:t xml:space="preserve">rogram to cover more case studies of promising major healthcare innovations across the Australian healthcare system. </w:t>
            </w:r>
          </w:p>
          <w:p w14:paraId="1962E500" w14:textId="75A4F39B" w:rsidR="00B4138B" w:rsidRDefault="00B4138B" w:rsidP="00B4138B">
            <w:pPr>
              <w:pStyle w:val="Rec"/>
              <w:keepNext/>
            </w:pPr>
            <w:r>
              <w:t xml:space="preserve">In doing so, it </w:t>
            </w:r>
            <w:r w:rsidR="00181374">
              <w:t xml:space="preserve">could </w:t>
            </w:r>
            <w:r>
              <w:t>a</w:t>
            </w:r>
            <w:r w:rsidRPr="000907D7">
              <w:t>llow health services to nominate their own exemplar practices, rather than relying on health service assessors (accreditation agencies) as the sole channel of identification and nomination</w:t>
            </w:r>
            <w:r>
              <w:t>.</w:t>
            </w:r>
          </w:p>
          <w:p w14:paraId="01F7E3BB" w14:textId="77777777" w:rsidR="00B4138B" w:rsidRDefault="00B4138B" w:rsidP="00B4138B">
            <w:pPr>
              <w:pStyle w:val="Rec"/>
              <w:keepNext/>
            </w:pPr>
            <w:r>
              <w:t>The REP program should be reviewed periodically to assess whether it is effectively translating knowledge from case studies into greater adoption.</w:t>
            </w:r>
          </w:p>
          <w:p w14:paraId="1E759B48" w14:textId="54227EF6" w:rsidR="00B4138B" w:rsidRDefault="00B4138B" w:rsidP="00B4138B">
            <w:pPr>
              <w:pStyle w:val="Rec"/>
              <w:keepNext/>
            </w:pPr>
            <w:r>
              <w:t xml:space="preserve">The role of the </w:t>
            </w:r>
            <w:r w:rsidR="0067658B">
              <w:t>ACSQHC</w:t>
            </w:r>
            <w:r>
              <w:t xml:space="preserve"> in disseminating innovations </w:t>
            </w:r>
            <w:r w:rsidR="00181374">
              <w:t xml:space="preserve">could </w:t>
            </w:r>
            <w:r>
              <w:t>be accompanied by funding reforms that create incentives for their uptake by health service providers (</w:t>
            </w:r>
            <w:r w:rsidR="001216A0">
              <w:t>r</w:t>
            </w:r>
            <w:r>
              <w:t xml:space="preserve">ecommendations </w:t>
            </w:r>
            <w:r w:rsidR="001216A0">
              <w:t>1</w:t>
            </w:r>
            <w:r>
              <w:t xml:space="preserve"> and </w:t>
            </w:r>
            <w:r w:rsidR="00C444F2">
              <w:t>2</w:t>
            </w:r>
            <w:r>
              <w:t>).</w:t>
            </w:r>
          </w:p>
          <w:p w14:paraId="7CBD51EB" w14:textId="5F5A18C8" w:rsidR="00B4138B" w:rsidRPr="007D5C2B" w:rsidRDefault="00B4138B" w:rsidP="00B4138B">
            <w:pPr>
              <w:pStyle w:val="Rec"/>
              <w:keepNext/>
              <w:rPr>
                <w:b/>
                <w:bCs/>
                <w:caps/>
                <w:sz w:val="18"/>
              </w:rPr>
            </w:pPr>
            <w:r w:rsidRPr="007D5C2B">
              <w:rPr>
                <w:b/>
                <w:bCs/>
                <w:caps/>
                <w:sz w:val="18"/>
              </w:rPr>
              <w:t>Expected outcomes</w:t>
            </w:r>
          </w:p>
          <w:p w14:paraId="45908C30" w14:textId="68EFC351" w:rsidR="00B4138B" w:rsidRPr="007A5821" w:rsidRDefault="00B4138B" w:rsidP="00196E53">
            <w:pPr>
              <w:pStyle w:val="Rec"/>
            </w:pPr>
            <w:r>
              <w:t>There</w:t>
            </w:r>
            <w:r w:rsidDel="0028799A">
              <w:t xml:space="preserve"> </w:t>
            </w:r>
            <w:r w:rsidR="0028799A">
              <w:t>would</w:t>
            </w:r>
            <w:r>
              <w:t xml:space="preserve"> be wider and faster adoption of innovative health</w:t>
            </w:r>
            <w:r w:rsidR="003A17DE">
              <w:t xml:space="preserve"> </w:t>
            </w:r>
            <w:r>
              <w:t>care and further evidence</w:t>
            </w:r>
            <w:r>
              <w:noBreakHyphen/>
              <w:t>based development of new approaches for effective dissemination of such innovation.</w:t>
            </w:r>
          </w:p>
        </w:tc>
      </w:tr>
      <w:tr w:rsidR="00B4138B" w14:paraId="1A30375B" w14:textId="77777777" w:rsidTr="00196E53">
        <w:trPr>
          <w:cantSplit/>
        </w:trPr>
        <w:tc>
          <w:tcPr>
            <w:tcW w:w="5000" w:type="pct"/>
            <w:tcBorders>
              <w:top w:val="nil"/>
              <w:left w:val="nil"/>
              <w:bottom w:val="single" w:sz="6" w:space="0" w:color="2D9AC2" w:themeColor="text2" w:themeShade="BF"/>
              <w:right w:val="nil"/>
            </w:tcBorders>
            <w:shd w:val="clear" w:color="auto" w:fill="E0F1F7" w:themeFill="text2" w:themeFillTint="33"/>
            <w:tcMar>
              <w:left w:w="170" w:type="dxa"/>
              <w:right w:w="170" w:type="dxa"/>
            </w:tcMar>
          </w:tcPr>
          <w:p w14:paraId="349383B3" w14:textId="77777777" w:rsidR="00B4138B" w:rsidRDefault="00B4138B" w:rsidP="008240F0">
            <w:pPr>
              <w:pStyle w:val="Space"/>
              <w:keepLines/>
              <w:spacing w:after="0"/>
            </w:pPr>
          </w:p>
        </w:tc>
      </w:tr>
      <w:tr w:rsidR="00B4138B" w:rsidRPr="000863A5" w14:paraId="1087A871" w14:textId="77777777" w:rsidTr="00196E53">
        <w:trPr>
          <w:cantSplit/>
        </w:trPr>
        <w:tc>
          <w:tcPr>
            <w:tcW w:w="5000" w:type="pct"/>
            <w:tcBorders>
              <w:top w:val="single" w:sz="6" w:space="0" w:color="2D9AC2" w:themeColor="text2" w:themeShade="BF"/>
              <w:left w:val="nil"/>
              <w:bottom w:val="nil"/>
              <w:right w:val="nil"/>
            </w:tcBorders>
            <w:tcMar>
              <w:left w:w="170" w:type="dxa"/>
              <w:right w:w="170" w:type="dxa"/>
            </w:tcMar>
          </w:tcPr>
          <w:p w14:paraId="46C862EB" w14:textId="77777777" w:rsidR="00B4138B" w:rsidRPr="00626D32" w:rsidRDefault="00B4138B" w:rsidP="00196E53">
            <w:pPr>
              <w:pStyle w:val="BoxSpaceBelow"/>
              <w:keepLines/>
            </w:pPr>
          </w:p>
        </w:tc>
      </w:tr>
    </w:tbl>
    <w:p w14:paraId="0E7F6AA7" w14:textId="51691AFD" w:rsidR="00B66707" w:rsidRDefault="00BB44E7" w:rsidP="006921B3">
      <w:pPr>
        <w:pStyle w:val="Heading3"/>
      </w:pPr>
      <w:r w:rsidRPr="00617032">
        <w:t>Diffusing</w:t>
      </w:r>
      <w:r>
        <w:t xml:space="preserve"> the Commission’s case studies more w</w:t>
      </w:r>
      <w:r w:rsidR="00044A04">
        <w:t>idely</w:t>
      </w:r>
    </w:p>
    <w:p w14:paraId="434B2811" w14:textId="263C02EC" w:rsidR="00297FAF" w:rsidRDefault="00297FAF" w:rsidP="00297FAF">
      <w:pPr>
        <w:pStyle w:val="BodyText"/>
      </w:pPr>
      <w:r>
        <w:t xml:space="preserve">A range of considerations arise when contemplating the broader implementation of case studies </w:t>
      </w:r>
      <w:r w:rsidR="00EC5B96">
        <w:t xml:space="preserve">included in the Commission’s report </w:t>
      </w:r>
      <w:r>
        <w:t xml:space="preserve">(summarised in table 1). Taking all of the considerations together, the case studies fall into </w:t>
      </w:r>
      <w:r w:rsidR="00C42A11">
        <w:t>two</w:t>
      </w:r>
      <w:r w:rsidR="00C42A11" w:rsidRPr="003A2AF4">
        <w:t xml:space="preserve"> </w:t>
      </w:r>
      <w:r>
        <w:t>categories:</w:t>
      </w:r>
    </w:p>
    <w:p w14:paraId="354CF535" w14:textId="49BAD894" w:rsidR="00297FAF" w:rsidRDefault="00673CD9" w:rsidP="00297FAF">
      <w:pPr>
        <w:pStyle w:val="ListNumber"/>
      </w:pPr>
      <w:r>
        <w:t>I</w:t>
      </w:r>
      <w:r w:rsidR="00297FAF" w:rsidRPr="009E151F">
        <w:t xml:space="preserve">nitiatives </w:t>
      </w:r>
      <w:r w:rsidR="00297FAF">
        <w:t xml:space="preserve">that can be </w:t>
      </w:r>
      <w:r w:rsidR="00201839">
        <w:t xml:space="preserve">adopted relatively quickly or where they can support a pathway to more substantive reform </w:t>
      </w:r>
    </w:p>
    <w:p w14:paraId="7E581784" w14:textId="20138214" w:rsidR="00297FAF" w:rsidRDefault="00673CD9" w:rsidP="00297FAF">
      <w:pPr>
        <w:pStyle w:val="ListNumber"/>
      </w:pPr>
      <w:r>
        <w:t>P</w:t>
      </w:r>
      <w:r w:rsidR="00297FAF">
        <w:t xml:space="preserve">rojects that </w:t>
      </w:r>
      <w:r w:rsidR="00D96FA1">
        <w:t>address the needs of smaller groups or solve spe</w:t>
      </w:r>
      <w:r w:rsidR="00BB6CDC">
        <w:t xml:space="preserve">cific problems. </w:t>
      </w:r>
    </w:p>
    <w:p w14:paraId="0BAE1B50" w14:textId="520130E4" w:rsidR="00FC6628" w:rsidRDefault="00A43BD4" w:rsidP="00FC6628">
      <w:pPr>
        <w:pStyle w:val="BodyText"/>
      </w:pPr>
      <w:r>
        <w:t xml:space="preserve">Some of </w:t>
      </w:r>
      <w:r w:rsidR="00FC6628">
        <w:t xml:space="preserve">the initiatives </w:t>
      </w:r>
      <w:r w:rsidR="00297FAF">
        <w:t>mentioned in the report</w:t>
      </w:r>
      <w:r w:rsidR="00FC6628">
        <w:t xml:space="preserve"> are excellent examples of improvements in care, </w:t>
      </w:r>
      <w:r>
        <w:t xml:space="preserve">but </w:t>
      </w:r>
      <w:r w:rsidR="00FC6628">
        <w:t xml:space="preserve">there is limited need to replicate them across Australia. For example, </w:t>
      </w:r>
      <w:r w:rsidR="00FC6628" w:rsidRPr="00BD2E8D">
        <w:t>Western Sydney’s COVID</w:t>
      </w:r>
      <w:r w:rsidR="005B190E">
        <w:noBreakHyphen/>
      </w:r>
      <w:r w:rsidR="00FC6628" w:rsidRPr="00BD2E8D">
        <w:t>19 response</w:t>
      </w:r>
      <w:r w:rsidR="00FC6628">
        <w:t xml:space="preserve"> (case study 8) addressed the unique circumstances of the start of the </w:t>
      </w:r>
      <w:r w:rsidR="00FC6628" w:rsidRPr="00BD2E8D">
        <w:t>COVID</w:t>
      </w:r>
      <w:r w:rsidR="005B190E">
        <w:noBreakHyphen/>
      </w:r>
      <w:r w:rsidR="00FC6628" w:rsidRPr="00BD2E8D">
        <w:t>19</w:t>
      </w:r>
      <w:r w:rsidR="00FC6628">
        <w:t xml:space="preserve"> pandemic, which are </w:t>
      </w:r>
      <w:r w:rsidR="00A409DF">
        <w:t xml:space="preserve">unlikely to </w:t>
      </w:r>
      <w:r w:rsidR="00297FAF">
        <w:t>occur again</w:t>
      </w:r>
      <w:r w:rsidR="00A409DF">
        <w:t xml:space="preserve"> in quite the same way</w:t>
      </w:r>
      <w:r w:rsidR="00FC6628">
        <w:t xml:space="preserve">. </w:t>
      </w:r>
      <w:r w:rsidR="00FC6628">
        <w:rPr>
          <w:noProof/>
        </w:rPr>
        <w:t xml:space="preserve">Similarly, </w:t>
      </w:r>
      <w:r w:rsidR="00FC6628" w:rsidRPr="00EC3C55">
        <w:t>the</w:t>
      </w:r>
      <w:r w:rsidR="00FC6628">
        <w:t xml:space="preserve"> Chronic Conditions Management Model</w:t>
      </w:r>
      <w:r w:rsidR="00FC6628" w:rsidRPr="00EC3C55">
        <w:t xml:space="preserve"> in the Northern</w:t>
      </w:r>
      <w:r w:rsidR="00D53C3C">
        <w:t xml:space="preserve"> </w:t>
      </w:r>
      <w:r w:rsidR="00FC6628" w:rsidRPr="00EC3C55">
        <w:t>Territory</w:t>
      </w:r>
      <w:r w:rsidR="00FC6628">
        <w:t xml:space="preserve"> (case study</w:t>
      </w:r>
      <w:r w:rsidR="00D53C3C">
        <w:t> </w:t>
      </w:r>
      <w:r w:rsidR="00FC6628">
        <w:t>12) arose at a time when electronic health records were less well developed, and its spreadsheet</w:t>
      </w:r>
      <w:r w:rsidR="005B190E">
        <w:noBreakHyphen/>
      </w:r>
      <w:r w:rsidR="00FC6628">
        <w:t xml:space="preserve">based methods are unlikely to be an ideal solution for future projects. The </w:t>
      </w:r>
      <w:r w:rsidR="00FC6628" w:rsidRPr="00DF17EC">
        <w:t>Institute for Urban Indigenous Health</w:t>
      </w:r>
      <w:r w:rsidR="00FC6628">
        <w:t xml:space="preserve"> (IUIH) (case study</w:t>
      </w:r>
      <w:r w:rsidR="00D53C3C">
        <w:t> </w:t>
      </w:r>
      <w:r w:rsidR="00FC6628">
        <w:t xml:space="preserve">15) developed its model in response to, and through the efforts of, the </w:t>
      </w:r>
      <w:r w:rsidR="00FC6628" w:rsidRPr="002407D0">
        <w:t xml:space="preserve">Aboriginal and Torres Strait Islander </w:t>
      </w:r>
      <w:r w:rsidR="00FC6628">
        <w:t xml:space="preserve">community </w:t>
      </w:r>
      <w:r w:rsidR="00FC6628" w:rsidRPr="002407D0">
        <w:t>of South East Queensland</w:t>
      </w:r>
      <w:r w:rsidR="00FC6628">
        <w:t>. Local community control is an essential component of the model</w:t>
      </w:r>
      <w:r w:rsidR="006B6C12">
        <w:t>. A</w:t>
      </w:r>
      <w:r w:rsidR="00FC6628">
        <w:t xml:space="preserve">ttempts to replicate it more broadly could jeopardise this key feature. </w:t>
      </w:r>
    </w:p>
    <w:p w14:paraId="26BA9E17" w14:textId="56D1E00D" w:rsidR="00FC6628" w:rsidRDefault="00FC6628" w:rsidP="00FC662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6628" w14:paraId="6B18297B" w14:textId="77777777" w:rsidTr="00B702F8">
        <w:trPr>
          <w:tblHeader/>
        </w:trPr>
        <w:tc>
          <w:tcPr>
            <w:tcW w:w="5000" w:type="pct"/>
            <w:tcBorders>
              <w:top w:val="single" w:sz="4" w:space="0" w:color="2D9AC2" w:themeColor="text2" w:themeShade="BF"/>
              <w:left w:val="nil"/>
              <w:bottom w:val="nil"/>
              <w:right w:val="nil"/>
            </w:tcBorders>
            <w:shd w:val="clear" w:color="auto" w:fill="auto"/>
          </w:tcPr>
          <w:p w14:paraId="604FA920" w14:textId="28E2F179" w:rsidR="00FC6628" w:rsidRPr="00784A05" w:rsidRDefault="00FC6628" w:rsidP="00D3668D">
            <w:pPr>
              <w:pStyle w:val="TableTitle"/>
            </w:pPr>
            <w:r>
              <w:rPr>
                <w:b w:val="0"/>
              </w:rPr>
              <w:t>Table 1</w:t>
            </w:r>
            <w:r>
              <w:tab/>
              <w:t xml:space="preserve">Case study implementation considerations </w:t>
            </w:r>
          </w:p>
        </w:tc>
      </w:tr>
      <w:tr w:rsidR="00FC6628" w14:paraId="08EDE79A" w14:textId="77777777" w:rsidTr="00B702F8">
        <w:tc>
          <w:tcPr>
            <w:tcW w:w="5000" w:type="pct"/>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1426"/>
              <w:gridCol w:w="1557"/>
              <w:gridCol w:w="1845"/>
              <w:gridCol w:w="1836"/>
              <w:gridCol w:w="1841"/>
            </w:tblGrid>
            <w:tr w:rsidR="00D96D34" w14:paraId="039861B8" w14:textId="77777777" w:rsidTr="00875863">
              <w:trPr>
                <w:tblHeader/>
              </w:trPr>
              <w:tc>
                <w:tcPr>
                  <w:tcW w:w="1426" w:type="dxa"/>
                  <w:tcBorders>
                    <w:top w:val="single" w:sz="6" w:space="0" w:color="BFBFBF"/>
                    <w:bottom w:val="single" w:sz="6" w:space="0" w:color="BFBFBF"/>
                  </w:tcBorders>
                  <w:shd w:val="clear" w:color="auto" w:fill="F2F2F2" w:themeFill="background1" w:themeFillShade="F2"/>
                  <w:tcMar>
                    <w:top w:w="28" w:type="dxa"/>
                  </w:tcMar>
                </w:tcPr>
                <w:p w14:paraId="18FC535D" w14:textId="77777777" w:rsidR="00FC6628" w:rsidRPr="00EC5B96" w:rsidRDefault="00FC6628" w:rsidP="000E0129">
                  <w:pPr>
                    <w:pStyle w:val="TableColumnHeading"/>
                    <w:jc w:val="left"/>
                    <w:rPr>
                      <w:b/>
                    </w:rPr>
                  </w:pPr>
                  <w:r w:rsidRPr="00EC5B96">
                    <w:rPr>
                      <w:b/>
                    </w:rPr>
                    <w:t>Case study</w:t>
                  </w:r>
                </w:p>
              </w:tc>
              <w:tc>
                <w:tcPr>
                  <w:tcW w:w="1557" w:type="dxa"/>
                  <w:tcBorders>
                    <w:top w:val="single" w:sz="6" w:space="0" w:color="BFBFBF"/>
                    <w:bottom w:val="single" w:sz="6" w:space="0" w:color="BFBFBF"/>
                  </w:tcBorders>
                  <w:shd w:val="clear" w:color="auto" w:fill="F2F2F2" w:themeFill="background1" w:themeFillShade="F2"/>
                </w:tcPr>
                <w:p w14:paraId="2316DE0B" w14:textId="77777777" w:rsidR="00FC6628" w:rsidRPr="00875863" w:rsidRDefault="00FC6628" w:rsidP="000E0129">
                  <w:pPr>
                    <w:pStyle w:val="TableColumnHeading"/>
                    <w:jc w:val="left"/>
                    <w:rPr>
                      <w:rFonts w:ascii="Arial Bold" w:hAnsi="Arial Bold"/>
                      <w:b/>
                      <w:spacing w:val="-2"/>
                    </w:rPr>
                  </w:pPr>
                  <w:r w:rsidRPr="00875863">
                    <w:rPr>
                      <w:rFonts w:ascii="Arial Bold" w:hAnsi="Arial Bold"/>
                      <w:b/>
                      <w:spacing w:val="-2"/>
                    </w:rPr>
                    <w:t xml:space="preserve">Would be implemented by </w:t>
                  </w:r>
                </w:p>
              </w:tc>
              <w:tc>
                <w:tcPr>
                  <w:tcW w:w="1845" w:type="dxa"/>
                  <w:tcBorders>
                    <w:top w:val="single" w:sz="6" w:space="0" w:color="BFBFBF"/>
                    <w:bottom w:val="single" w:sz="6" w:space="0" w:color="BFBFBF"/>
                  </w:tcBorders>
                  <w:shd w:val="clear" w:color="auto" w:fill="F2F2F2" w:themeFill="background1" w:themeFillShade="F2"/>
                  <w:tcMar>
                    <w:top w:w="28" w:type="dxa"/>
                  </w:tcMar>
                </w:tcPr>
                <w:p w14:paraId="3F511BDF" w14:textId="5AA12E35" w:rsidR="00FC6628" w:rsidRPr="00EC5B96" w:rsidRDefault="00FC6628" w:rsidP="00003A7B">
                  <w:pPr>
                    <w:pStyle w:val="TableColumnHeading"/>
                    <w:spacing w:line="200" w:lineRule="exact"/>
                    <w:jc w:val="left"/>
                    <w:rPr>
                      <w:b/>
                    </w:rPr>
                  </w:pPr>
                  <w:r w:rsidRPr="00EC5B96">
                    <w:rPr>
                      <w:b/>
                    </w:rPr>
                    <w:t xml:space="preserve">Needs </w:t>
                  </w:r>
                  <w:r w:rsidR="00A12D73">
                    <w:rPr>
                      <w:b/>
                    </w:rPr>
                    <w:br/>
                  </w:r>
                  <w:r w:rsidRPr="00EC5B96">
                    <w:rPr>
                      <w:b/>
                    </w:rPr>
                    <w:t>funding from</w:t>
                  </w:r>
                  <w:r w:rsidR="00F2365D" w:rsidRPr="00980BC5">
                    <w:rPr>
                      <w:rStyle w:val="NoteLabel"/>
                      <w:bCs/>
                      <w:i w:val="0"/>
                    </w:rPr>
                    <w:t>a</w:t>
                  </w:r>
                </w:p>
              </w:tc>
              <w:tc>
                <w:tcPr>
                  <w:tcW w:w="1836" w:type="dxa"/>
                  <w:tcBorders>
                    <w:top w:val="single" w:sz="6" w:space="0" w:color="BFBFBF"/>
                    <w:bottom w:val="single" w:sz="6" w:space="0" w:color="BFBFBF"/>
                  </w:tcBorders>
                  <w:shd w:val="clear" w:color="auto" w:fill="F2F2F2" w:themeFill="background1" w:themeFillShade="F2"/>
                  <w:tcMar>
                    <w:top w:w="28" w:type="dxa"/>
                  </w:tcMar>
                </w:tcPr>
                <w:p w14:paraId="25A7059E" w14:textId="4D086F55" w:rsidR="00FC6628" w:rsidRPr="00EC5B96" w:rsidRDefault="004B628F" w:rsidP="000E0129">
                  <w:pPr>
                    <w:pStyle w:val="TableColumnHeading"/>
                    <w:ind w:right="28"/>
                    <w:jc w:val="left"/>
                    <w:rPr>
                      <w:b/>
                    </w:rPr>
                  </w:pPr>
                  <w:r w:rsidRPr="00EC5B96">
                    <w:rPr>
                      <w:b/>
                    </w:rPr>
                    <w:t xml:space="preserve">Indicative </w:t>
                  </w:r>
                  <w:r w:rsidR="00FC6628" w:rsidRPr="00EC5B96">
                    <w:rPr>
                      <w:b/>
                    </w:rPr>
                    <w:t>timing</w:t>
                  </w:r>
                </w:p>
              </w:tc>
              <w:tc>
                <w:tcPr>
                  <w:tcW w:w="1841" w:type="dxa"/>
                  <w:tcBorders>
                    <w:top w:val="single" w:sz="6" w:space="0" w:color="BFBFBF"/>
                    <w:bottom w:val="single" w:sz="6" w:space="0" w:color="BFBFBF"/>
                  </w:tcBorders>
                  <w:shd w:val="clear" w:color="auto" w:fill="F2F2F2" w:themeFill="background1" w:themeFillShade="F2"/>
                </w:tcPr>
                <w:p w14:paraId="138F3C71" w14:textId="77777777" w:rsidR="00FC6628" w:rsidRPr="00980BC5" w:rsidRDefault="00FC6628" w:rsidP="006336D9">
                  <w:pPr>
                    <w:pStyle w:val="TableColumnHeading"/>
                    <w:ind w:left="57" w:right="28"/>
                    <w:jc w:val="left"/>
                    <w:rPr>
                      <w:b/>
                      <w:spacing w:val="-4"/>
                    </w:rPr>
                  </w:pPr>
                  <w:r w:rsidRPr="00980BC5">
                    <w:rPr>
                      <w:b/>
                      <w:spacing w:val="-4"/>
                    </w:rPr>
                    <w:t>Already implemented elsewhere</w:t>
                  </w:r>
                </w:p>
              </w:tc>
            </w:tr>
            <w:tr w:rsidR="00B74EAC" w14:paraId="7355E261" w14:textId="77777777" w:rsidTr="00835097">
              <w:tc>
                <w:tcPr>
                  <w:tcW w:w="8505" w:type="dxa"/>
                  <w:gridSpan w:val="5"/>
                  <w:tcBorders>
                    <w:top w:val="single" w:sz="6" w:space="0" w:color="BFBFBF"/>
                  </w:tcBorders>
                  <w:shd w:val="clear" w:color="auto" w:fill="E0F1F7" w:themeFill="text2" w:themeFillTint="33"/>
                </w:tcPr>
                <w:p w14:paraId="585FEEB8" w14:textId="336DE576" w:rsidR="00B74EAC" w:rsidRPr="00EC5B96" w:rsidRDefault="00B74EAC" w:rsidP="00FA6DEE">
                  <w:pPr>
                    <w:pStyle w:val="TableUnitsRow"/>
                    <w:spacing w:before="80" w:after="80"/>
                    <w:ind w:right="28"/>
                    <w:jc w:val="left"/>
                    <w:rPr>
                      <w:b/>
                    </w:rPr>
                  </w:pPr>
                  <w:r w:rsidRPr="00EC5B96">
                    <w:rPr>
                      <w:b/>
                    </w:rPr>
                    <w:t>Innovations that could be implemented in all jurisdictions</w:t>
                  </w:r>
                </w:p>
              </w:tc>
            </w:tr>
            <w:tr w:rsidR="008B4E1D" w14:paraId="45458BEB" w14:textId="77777777" w:rsidTr="00875863">
              <w:tc>
                <w:tcPr>
                  <w:tcW w:w="1426" w:type="dxa"/>
                  <w:shd w:val="clear" w:color="auto" w:fill="E0F1F7" w:themeFill="text2" w:themeFillTint="33"/>
                </w:tcPr>
                <w:p w14:paraId="07E98559" w14:textId="77777777" w:rsidR="00FC6628" w:rsidRDefault="00FC6628" w:rsidP="000E0129">
                  <w:pPr>
                    <w:pStyle w:val="TableUnitsRow"/>
                    <w:jc w:val="left"/>
                  </w:pPr>
                  <w:r>
                    <w:t>Nellie</w:t>
                  </w:r>
                </w:p>
              </w:tc>
              <w:tc>
                <w:tcPr>
                  <w:tcW w:w="1557" w:type="dxa"/>
                  <w:shd w:val="clear" w:color="auto" w:fill="E0F1F7" w:themeFill="text2" w:themeFillTint="33"/>
                </w:tcPr>
                <w:p w14:paraId="24AD4EF9" w14:textId="77777777" w:rsidR="00FC6628" w:rsidRDefault="00FC6628" w:rsidP="000E0129">
                  <w:pPr>
                    <w:pStyle w:val="TableUnitsRow"/>
                    <w:jc w:val="left"/>
                  </w:pPr>
                  <w:r>
                    <w:t>PHNs</w:t>
                  </w:r>
                </w:p>
              </w:tc>
              <w:tc>
                <w:tcPr>
                  <w:tcW w:w="1845" w:type="dxa"/>
                  <w:shd w:val="clear" w:color="auto" w:fill="E0F1F7" w:themeFill="text2" w:themeFillTint="33"/>
                </w:tcPr>
                <w:p w14:paraId="27BB5D4E" w14:textId="77777777" w:rsidR="00FC6628" w:rsidRDefault="00FC6628" w:rsidP="000E0129">
                  <w:pPr>
                    <w:pStyle w:val="TableUnitsRow"/>
                    <w:jc w:val="left"/>
                  </w:pPr>
                  <w:r>
                    <w:t>Aust Govt</w:t>
                  </w:r>
                </w:p>
              </w:tc>
              <w:tc>
                <w:tcPr>
                  <w:tcW w:w="1836" w:type="dxa"/>
                  <w:shd w:val="clear" w:color="auto" w:fill="E0F1F7" w:themeFill="text2" w:themeFillTint="33"/>
                </w:tcPr>
                <w:p w14:paraId="59F751AD" w14:textId="13F4DABB" w:rsidR="00FC6628" w:rsidRDefault="00FC6628" w:rsidP="000E0129">
                  <w:pPr>
                    <w:pStyle w:val="TableUnitsRow"/>
                    <w:ind w:right="28"/>
                    <w:jc w:val="left"/>
                  </w:pPr>
                  <w:r>
                    <w:t>Could operate Australia</w:t>
                  </w:r>
                  <w:r w:rsidR="005B190E">
                    <w:noBreakHyphen/>
                  </w:r>
                  <w:r>
                    <w:t>wide within</w:t>
                  </w:r>
                  <w:r w:rsidR="00980BC5">
                    <w:t> </w:t>
                  </w:r>
                  <w:r w:rsidR="006E44E3">
                    <w:t>2</w:t>
                  </w:r>
                  <w:r w:rsidR="00496BCA">
                    <w:t> </w:t>
                  </w:r>
                  <w:r>
                    <w:t>year</w:t>
                  </w:r>
                  <w:r w:rsidR="009E46AE">
                    <w:t>s</w:t>
                  </w:r>
                </w:p>
              </w:tc>
              <w:tc>
                <w:tcPr>
                  <w:tcW w:w="1841" w:type="dxa"/>
                  <w:shd w:val="clear" w:color="auto" w:fill="E0F1F7" w:themeFill="text2" w:themeFillTint="33"/>
                </w:tcPr>
                <w:p w14:paraId="0005399C" w14:textId="77777777" w:rsidR="00FC6628" w:rsidRDefault="00FC6628" w:rsidP="006336D9">
                  <w:pPr>
                    <w:pStyle w:val="TableUnitsRow"/>
                    <w:ind w:left="57" w:right="28"/>
                    <w:jc w:val="left"/>
                  </w:pPr>
                  <w:r>
                    <w:t>UK and USA</w:t>
                  </w:r>
                </w:p>
              </w:tc>
            </w:tr>
            <w:tr w:rsidR="00773498" w14:paraId="1D94EBB0" w14:textId="77777777" w:rsidTr="00875863">
              <w:tc>
                <w:tcPr>
                  <w:tcW w:w="1426" w:type="dxa"/>
                  <w:shd w:val="clear" w:color="auto" w:fill="E0F1F7" w:themeFill="text2" w:themeFillTint="33"/>
                </w:tcPr>
                <w:p w14:paraId="440AF041" w14:textId="1264849C" w:rsidR="00773498" w:rsidRDefault="00773498" w:rsidP="000E0129">
                  <w:pPr>
                    <w:pStyle w:val="TableBodyText"/>
                    <w:jc w:val="left"/>
                  </w:pPr>
                  <w:r>
                    <w:t xml:space="preserve">Monash Watch </w:t>
                  </w:r>
                </w:p>
              </w:tc>
              <w:tc>
                <w:tcPr>
                  <w:tcW w:w="1557" w:type="dxa"/>
                  <w:shd w:val="clear" w:color="auto" w:fill="E0F1F7" w:themeFill="text2" w:themeFillTint="33"/>
                </w:tcPr>
                <w:p w14:paraId="72AFCABF" w14:textId="3540000E" w:rsidR="00773498" w:rsidRDefault="00773498" w:rsidP="000E0129">
                  <w:pPr>
                    <w:pStyle w:val="TableBodyText"/>
                    <w:jc w:val="left"/>
                  </w:pPr>
                  <w:r>
                    <w:t>LHNs</w:t>
                  </w:r>
                </w:p>
              </w:tc>
              <w:tc>
                <w:tcPr>
                  <w:tcW w:w="1845" w:type="dxa"/>
                  <w:shd w:val="clear" w:color="auto" w:fill="E0F1F7" w:themeFill="text2" w:themeFillTint="33"/>
                </w:tcPr>
                <w:p w14:paraId="5D01F91F" w14:textId="734EF971" w:rsidR="00773498" w:rsidRDefault="00773498" w:rsidP="000E0129">
                  <w:pPr>
                    <w:pStyle w:val="TableBodyText"/>
                    <w:jc w:val="left"/>
                  </w:pPr>
                  <w:r>
                    <w:t>State Govt</w:t>
                  </w:r>
                </w:p>
              </w:tc>
              <w:tc>
                <w:tcPr>
                  <w:tcW w:w="1836" w:type="dxa"/>
                  <w:shd w:val="clear" w:color="auto" w:fill="E0F1F7" w:themeFill="text2" w:themeFillTint="33"/>
                </w:tcPr>
                <w:p w14:paraId="2FBEFE4B" w14:textId="22B8E6A5" w:rsidR="00773498" w:rsidRPr="00980BC5" w:rsidRDefault="00773498" w:rsidP="000E0129">
                  <w:pPr>
                    <w:pStyle w:val="TableBodyText"/>
                    <w:ind w:right="28"/>
                    <w:jc w:val="left"/>
                    <w:rPr>
                      <w:spacing w:val="-4"/>
                    </w:rPr>
                  </w:pPr>
                  <w:r w:rsidRPr="00980BC5">
                    <w:rPr>
                      <w:spacing w:val="-4"/>
                    </w:rPr>
                    <w:t>Could operate Australia</w:t>
                  </w:r>
                  <w:r w:rsidR="005B190E" w:rsidRPr="00980BC5">
                    <w:rPr>
                      <w:spacing w:val="-4"/>
                    </w:rPr>
                    <w:noBreakHyphen/>
                  </w:r>
                  <w:r w:rsidRPr="00980BC5">
                    <w:rPr>
                      <w:spacing w:val="-4"/>
                    </w:rPr>
                    <w:t xml:space="preserve">wide in </w:t>
                  </w:r>
                  <w:r w:rsidR="00875863">
                    <w:rPr>
                      <w:spacing w:val="-4"/>
                    </w:rPr>
                    <w:br/>
                  </w:r>
                  <w:r w:rsidRPr="00980BC5">
                    <w:rPr>
                      <w:spacing w:val="-4"/>
                    </w:rPr>
                    <w:t>2–5 years</w:t>
                  </w:r>
                </w:p>
              </w:tc>
              <w:tc>
                <w:tcPr>
                  <w:tcW w:w="1841" w:type="dxa"/>
                  <w:shd w:val="clear" w:color="auto" w:fill="E0F1F7" w:themeFill="text2" w:themeFillTint="33"/>
                </w:tcPr>
                <w:p w14:paraId="4D2E4987" w14:textId="01EB3E86" w:rsidR="00773498" w:rsidRDefault="00773498" w:rsidP="006336D9">
                  <w:pPr>
                    <w:pStyle w:val="TableBodyText"/>
                    <w:ind w:left="57" w:right="28"/>
                    <w:jc w:val="left"/>
                  </w:pPr>
                  <w:r>
                    <w:t xml:space="preserve">Other LHNs in Victoria </w:t>
                  </w:r>
                </w:p>
              </w:tc>
            </w:tr>
            <w:tr w:rsidR="00472574" w14:paraId="52018E49" w14:textId="77777777" w:rsidTr="00875863">
              <w:tc>
                <w:tcPr>
                  <w:tcW w:w="1426" w:type="dxa"/>
                  <w:shd w:val="clear" w:color="auto" w:fill="E0F1F7" w:themeFill="text2" w:themeFillTint="33"/>
                </w:tcPr>
                <w:p w14:paraId="18158F9D" w14:textId="77777777" w:rsidR="00FC6628" w:rsidRDefault="00FC6628" w:rsidP="000E0129">
                  <w:pPr>
                    <w:pStyle w:val="TableBodyText"/>
                    <w:jc w:val="left"/>
                  </w:pPr>
                  <w:r>
                    <w:t>Primary Sense</w:t>
                  </w:r>
                </w:p>
              </w:tc>
              <w:tc>
                <w:tcPr>
                  <w:tcW w:w="1557" w:type="dxa"/>
                  <w:shd w:val="clear" w:color="auto" w:fill="E0F1F7" w:themeFill="text2" w:themeFillTint="33"/>
                </w:tcPr>
                <w:p w14:paraId="0E333A54" w14:textId="77777777" w:rsidR="00FC6628" w:rsidRDefault="00FC6628" w:rsidP="000E0129">
                  <w:pPr>
                    <w:pStyle w:val="TableBodyText"/>
                    <w:jc w:val="left"/>
                  </w:pPr>
                  <w:r>
                    <w:t>PHNs</w:t>
                  </w:r>
                </w:p>
              </w:tc>
              <w:tc>
                <w:tcPr>
                  <w:tcW w:w="1845" w:type="dxa"/>
                  <w:shd w:val="clear" w:color="auto" w:fill="E0F1F7" w:themeFill="text2" w:themeFillTint="33"/>
                </w:tcPr>
                <w:p w14:paraId="5E515625" w14:textId="77777777" w:rsidR="00FC6628" w:rsidRDefault="00FC6628" w:rsidP="000E0129">
                  <w:pPr>
                    <w:pStyle w:val="TableBodyText"/>
                    <w:jc w:val="left"/>
                  </w:pPr>
                  <w:r>
                    <w:t>Aust Govt</w:t>
                  </w:r>
                </w:p>
              </w:tc>
              <w:tc>
                <w:tcPr>
                  <w:tcW w:w="1836" w:type="dxa"/>
                  <w:shd w:val="clear" w:color="auto" w:fill="E0F1F7" w:themeFill="text2" w:themeFillTint="33"/>
                </w:tcPr>
                <w:p w14:paraId="7162BB08" w14:textId="0359EF77" w:rsidR="00FC6628" w:rsidRDefault="00FC6628" w:rsidP="000E0129">
                  <w:pPr>
                    <w:pStyle w:val="TableBodyText"/>
                    <w:ind w:right="28"/>
                    <w:jc w:val="left"/>
                  </w:pPr>
                  <w:r>
                    <w:t>Could operate Australia</w:t>
                  </w:r>
                  <w:r w:rsidR="005B190E">
                    <w:noBreakHyphen/>
                  </w:r>
                  <w:r>
                    <w:t>wide within</w:t>
                  </w:r>
                  <w:r w:rsidR="004267AC">
                    <w:t> </w:t>
                  </w:r>
                  <w:r w:rsidR="009E46AE">
                    <w:t>2</w:t>
                  </w:r>
                  <w:r w:rsidR="001E0B30">
                    <w:t> </w:t>
                  </w:r>
                  <w:r>
                    <w:t>year</w:t>
                  </w:r>
                  <w:r w:rsidR="009E46AE">
                    <w:t>s</w:t>
                  </w:r>
                </w:p>
              </w:tc>
              <w:tc>
                <w:tcPr>
                  <w:tcW w:w="1841" w:type="dxa"/>
                  <w:shd w:val="clear" w:color="auto" w:fill="E0F1F7" w:themeFill="text2" w:themeFillTint="33"/>
                </w:tcPr>
                <w:p w14:paraId="73AE09D4" w14:textId="77777777" w:rsidR="00FC6628" w:rsidRDefault="00FC6628" w:rsidP="006336D9">
                  <w:pPr>
                    <w:pStyle w:val="TableBodyText"/>
                    <w:ind w:left="57" w:right="28"/>
                    <w:jc w:val="left"/>
                  </w:pPr>
                  <w:r>
                    <w:t>Other PHNs</w:t>
                  </w:r>
                </w:p>
              </w:tc>
            </w:tr>
            <w:tr w:rsidR="00EC2A07" w14:paraId="41A6B35A" w14:textId="77777777" w:rsidTr="00875863">
              <w:tc>
                <w:tcPr>
                  <w:tcW w:w="1426" w:type="dxa"/>
                  <w:shd w:val="clear" w:color="auto" w:fill="E0F1F7" w:themeFill="text2" w:themeFillTint="33"/>
                </w:tcPr>
                <w:p w14:paraId="03903F78" w14:textId="308E392E" w:rsidR="00EC2A07" w:rsidRDefault="00EC2A07" w:rsidP="000E0129">
                  <w:pPr>
                    <w:pStyle w:val="TableBodyText"/>
                    <w:jc w:val="left"/>
                  </w:pPr>
                  <w:r>
                    <w:t xml:space="preserve">Smart Referrals </w:t>
                  </w:r>
                </w:p>
              </w:tc>
              <w:tc>
                <w:tcPr>
                  <w:tcW w:w="1557" w:type="dxa"/>
                  <w:shd w:val="clear" w:color="auto" w:fill="E0F1F7" w:themeFill="text2" w:themeFillTint="33"/>
                </w:tcPr>
                <w:p w14:paraId="4FDF90B8" w14:textId="5B346443" w:rsidR="00EC2A07" w:rsidRDefault="00EC2A07" w:rsidP="000E0129">
                  <w:pPr>
                    <w:pStyle w:val="TableBodyText"/>
                    <w:jc w:val="left"/>
                  </w:pPr>
                  <w:r>
                    <w:t>State Govt</w:t>
                  </w:r>
                </w:p>
              </w:tc>
              <w:tc>
                <w:tcPr>
                  <w:tcW w:w="1845" w:type="dxa"/>
                  <w:shd w:val="clear" w:color="auto" w:fill="E0F1F7" w:themeFill="text2" w:themeFillTint="33"/>
                </w:tcPr>
                <w:p w14:paraId="4EBFD08A" w14:textId="03F75448" w:rsidR="00EC2A07" w:rsidRDefault="00EC2A07" w:rsidP="000E0129">
                  <w:pPr>
                    <w:pStyle w:val="TableBodyText"/>
                    <w:jc w:val="left"/>
                  </w:pPr>
                  <w:r>
                    <w:t>State Govt</w:t>
                  </w:r>
                </w:p>
              </w:tc>
              <w:tc>
                <w:tcPr>
                  <w:tcW w:w="1836" w:type="dxa"/>
                  <w:shd w:val="clear" w:color="auto" w:fill="E0F1F7" w:themeFill="text2" w:themeFillTint="33"/>
                </w:tcPr>
                <w:p w14:paraId="2FB014FA" w14:textId="2344521A" w:rsidR="00EC2A07" w:rsidRPr="00980BC5" w:rsidRDefault="00EC2A07" w:rsidP="000E0129">
                  <w:pPr>
                    <w:pStyle w:val="TableBodyText"/>
                    <w:ind w:right="28"/>
                    <w:jc w:val="left"/>
                    <w:rPr>
                      <w:spacing w:val="-4"/>
                    </w:rPr>
                  </w:pPr>
                  <w:r w:rsidRPr="00980BC5">
                    <w:rPr>
                      <w:spacing w:val="-4"/>
                    </w:rPr>
                    <w:t>Could operate Australia</w:t>
                  </w:r>
                  <w:r w:rsidR="005B190E" w:rsidRPr="00980BC5">
                    <w:rPr>
                      <w:spacing w:val="-4"/>
                    </w:rPr>
                    <w:noBreakHyphen/>
                  </w:r>
                  <w:r w:rsidRPr="00980BC5">
                    <w:rPr>
                      <w:spacing w:val="-4"/>
                    </w:rPr>
                    <w:t xml:space="preserve">wide in </w:t>
                  </w:r>
                  <w:r w:rsidR="00742D5F">
                    <w:rPr>
                      <w:spacing w:val="-4"/>
                    </w:rPr>
                    <w:br/>
                  </w:r>
                  <w:r w:rsidRPr="00980BC5">
                    <w:rPr>
                      <w:spacing w:val="-4"/>
                    </w:rPr>
                    <w:t>2–5 years</w:t>
                  </w:r>
                </w:p>
              </w:tc>
              <w:tc>
                <w:tcPr>
                  <w:tcW w:w="1841" w:type="dxa"/>
                  <w:shd w:val="clear" w:color="auto" w:fill="E0F1F7" w:themeFill="text2" w:themeFillTint="33"/>
                </w:tcPr>
                <w:p w14:paraId="1121824E" w14:textId="50E0BBFD" w:rsidR="00EC2A07" w:rsidRDefault="00EC2A07" w:rsidP="006336D9">
                  <w:pPr>
                    <w:pStyle w:val="TableBodyText"/>
                    <w:ind w:left="57" w:right="28"/>
                    <w:jc w:val="left"/>
                  </w:pPr>
                  <w:r>
                    <w:t>No</w:t>
                  </w:r>
                </w:p>
              </w:tc>
            </w:tr>
            <w:tr w:rsidR="006624A0" w14:paraId="38328781" w14:textId="77777777" w:rsidTr="00875863">
              <w:tc>
                <w:tcPr>
                  <w:tcW w:w="1426" w:type="dxa"/>
                  <w:shd w:val="clear" w:color="auto" w:fill="E0F1F7" w:themeFill="text2" w:themeFillTint="33"/>
                </w:tcPr>
                <w:p w14:paraId="6D577608" w14:textId="38EF9DEC" w:rsidR="006624A0" w:rsidRDefault="006624A0" w:rsidP="000E0129">
                  <w:pPr>
                    <w:pStyle w:val="TableBodyText"/>
                    <w:jc w:val="left"/>
                  </w:pPr>
                  <w:r>
                    <w:t>Lumos</w:t>
                  </w:r>
                </w:p>
              </w:tc>
              <w:tc>
                <w:tcPr>
                  <w:tcW w:w="1557" w:type="dxa"/>
                  <w:shd w:val="clear" w:color="auto" w:fill="E0F1F7" w:themeFill="text2" w:themeFillTint="33"/>
                </w:tcPr>
                <w:p w14:paraId="4F580425" w14:textId="5B8A431F" w:rsidR="006624A0" w:rsidRDefault="006624A0" w:rsidP="000E0129">
                  <w:pPr>
                    <w:pStyle w:val="TableBodyText"/>
                    <w:jc w:val="left"/>
                  </w:pPr>
                  <w:r>
                    <w:t>State Govt</w:t>
                  </w:r>
                </w:p>
              </w:tc>
              <w:tc>
                <w:tcPr>
                  <w:tcW w:w="1845" w:type="dxa"/>
                  <w:shd w:val="clear" w:color="auto" w:fill="E0F1F7" w:themeFill="text2" w:themeFillTint="33"/>
                </w:tcPr>
                <w:p w14:paraId="7EA3E75D" w14:textId="623DD4AD" w:rsidR="006624A0" w:rsidRDefault="006624A0" w:rsidP="000E0129">
                  <w:pPr>
                    <w:pStyle w:val="TableBodyText"/>
                    <w:jc w:val="left"/>
                  </w:pPr>
                  <w:r>
                    <w:t>State Govt</w:t>
                  </w:r>
                </w:p>
              </w:tc>
              <w:tc>
                <w:tcPr>
                  <w:tcW w:w="1836" w:type="dxa"/>
                  <w:shd w:val="clear" w:color="auto" w:fill="E0F1F7" w:themeFill="text2" w:themeFillTint="33"/>
                </w:tcPr>
                <w:p w14:paraId="70EFD883" w14:textId="499A977B" w:rsidR="006624A0" w:rsidRDefault="006624A0" w:rsidP="000E0129">
                  <w:pPr>
                    <w:pStyle w:val="TableBodyText"/>
                    <w:ind w:right="28"/>
                    <w:jc w:val="left"/>
                  </w:pPr>
                  <w:r>
                    <w:t>Could operate Australia</w:t>
                  </w:r>
                  <w:r w:rsidR="005B190E">
                    <w:noBreakHyphen/>
                  </w:r>
                  <w:r>
                    <w:t>wide in 5 years</w:t>
                  </w:r>
                </w:p>
              </w:tc>
              <w:tc>
                <w:tcPr>
                  <w:tcW w:w="1841" w:type="dxa"/>
                  <w:shd w:val="clear" w:color="auto" w:fill="E0F1F7" w:themeFill="text2" w:themeFillTint="33"/>
                </w:tcPr>
                <w:p w14:paraId="3C521200" w14:textId="2F9EFD5E" w:rsidR="006624A0" w:rsidRDefault="006624A0" w:rsidP="006336D9">
                  <w:pPr>
                    <w:pStyle w:val="TableBodyText"/>
                    <w:ind w:left="57" w:right="28"/>
                    <w:jc w:val="left"/>
                  </w:pPr>
                  <w:r>
                    <w:t>No</w:t>
                  </w:r>
                </w:p>
              </w:tc>
            </w:tr>
            <w:tr w:rsidR="0064279D" w14:paraId="5B10526B" w14:textId="77777777" w:rsidTr="00875863">
              <w:tc>
                <w:tcPr>
                  <w:tcW w:w="1426" w:type="dxa"/>
                  <w:shd w:val="clear" w:color="auto" w:fill="E0F1F7" w:themeFill="text2" w:themeFillTint="33"/>
                </w:tcPr>
                <w:p w14:paraId="284E2AC7" w14:textId="482941F9" w:rsidR="0064279D" w:rsidRDefault="00B045ED" w:rsidP="000E0129">
                  <w:pPr>
                    <w:pStyle w:val="TableBodyText"/>
                    <w:jc w:val="left"/>
                  </w:pPr>
                  <w:proofErr w:type="spellStart"/>
                  <w:r>
                    <w:t>HealthLinks</w:t>
                  </w:r>
                  <w:proofErr w:type="spellEnd"/>
                </w:p>
              </w:tc>
              <w:tc>
                <w:tcPr>
                  <w:tcW w:w="1557" w:type="dxa"/>
                  <w:shd w:val="clear" w:color="auto" w:fill="E0F1F7" w:themeFill="text2" w:themeFillTint="33"/>
                </w:tcPr>
                <w:p w14:paraId="59CBE7B0" w14:textId="71D4BB61" w:rsidR="0064279D" w:rsidRDefault="0064279D" w:rsidP="000E0129">
                  <w:pPr>
                    <w:pStyle w:val="TableBodyText"/>
                    <w:jc w:val="left"/>
                  </w:pPr>
                  <w:r>
                    <w:t>LHNs</w:t>
                  </w:r>
                </w:p>
              </w:tc>
              <w:tc>
                <w:tcPr>
                  <w:tcW w:w="1845" w:type="dxa"/>
                  <w:shd w:val="clear" w:color="auto" w:fill="E0F1F7" w:themeFill="text2" w:themeFillTint="33"/>
                </w:tcPr>
                <w:p w14:paraId="7E842B24" w14:textId="092574D9" w:rsidR="0064279D" w:rsidRDefault="0064279D" w:rsidP="000E0129">
                  <w:pPr>
                    <w:pStyle w:val="TableBodyText"/>
                    <w:jc w:val="left"/>
                  </w:pPr>
                  <w:r>
                    <w:t>State Govt</w:t>
                  </w:r>
                </w:p>
              </w:tc>
              <w:tc>
                <w:tcPr>
                  <w:tcW w:w="1836" w:type="dxa"/>
                  <w:shd w:val="clear" w:color="auto" w:fill="E0F1F7" w:themeFill="text2" w:themeFillTint="33"/>
                </w:tcPr>
                <w:p w14:paraId="2F780CF9" w14:textId="2FF272E1" w:rsidR="0064279D" w:rsidRDefault="0064279D" w:rsidP="000E0129">
                  <w:pPr>
                    <w:pStyle w:val="TableBodyText"/>
                    <w:ind w:right="28"/>
                    <w:jc w:val="left"/>
                  </w:pPr>
                  <w:r>
                    <w:t>Could operate Australia</w:t>
                  </w:r>
                  <w:r w:rsidR="005B190E">
                    <w:noBreakHyphen/>
                  </w:r>
                  <w:r>
                    <w:t>wide in 5</w:t>
                  </w:r>
                  <w:r w:rsidR="00B045ED">
                    <w:t> </w:t>
                  </w:r>
                  <w:r>
                    <w:t>years</w:t>
                  </w:r>
                </w:p>
              </w:tc>
              <w:tc>
                <w:tcPr>
                  <w:tcW w:w="1841" w:type="dxa"/>
                  <w:shd w:val="clear" w:color="auto" w:fill="E0F1F7" w:themeFill="text2" w:themeFillTint="33"/>
                </w:tcPr>
                <w:p w14:paraId="2B9680E7" w14:textId="12498FB8" w:rsidR="0064279D" w:rsidRDefault="00B045ED" w:rsidP="006336D9">
                  <w:pPr>
                    <w:pStyle w:val="TableBodyText"/>
                    <w:ind w:left="57" w:right="28"/>
                    <w:jc w:val="left"/>
                  </w:pPr>
                  <w:r>
                    <w:t>No</w:t>
                  </w:r>
                </w:p>
              </w:tc>
            </w:tr>
            <w:tr w:rsidR="00B045ED" w14:paraId="45F8CCD6" w14:textId="77777777" w:rsidTr="00875863">
              <w:tc>
                <w:tcPr>
                  <w:tcW w:w="1426" w:type="dxa"/>
                  <w:shd w:val="clear" w:color="auto" w:fill="E0F1F7" w:themeFill="text2" w:themeFillTint="33"/>
                </w:tcPr>
                <w:p w14:paraId="418E85EA" w14:textId="4F2AC82F" w:rsidR="00B045ED" w:rsidRDefault="00B045ED" w:rsidP="000E0129">
                  <w:pPr>
                    <w:pStyle w:val="TableBodyText"/>
                    <w:jc w:val="left"/>
                  </w:pPr>
                  <w:r>
                    <w:t>Collaborative Commissioning</w:t>
                  </w:r>
                </w:p>
              </w:tc>
              <w:tc>
                <w:tcPr>
                  <w:tcW w:w="1557" w:type="dxa"/>
                  <w:shd w:val="clear" w:color="auto" w:fill="E0F1F7" w:themeFill="text2" w:themeFillTint="33"/>
                </w:tcPr>
                <w:p w14:paraId="13B447EA" w14:textId="374E9143" w:rsidR="00B045ED" w:rsidRDefault="00B045ED" w:rsidP="000E0129">
                  <w:pPr>
                    <w:pStyle w:val="TableBodyText"/>
                    <w:jc w:val="left"/>
                  </w:pPr>
                  <w:r>
                    <w:t>LHNs and PHNs</w:t>
                  </w:r>
                </w:p>
              </w:tc>
              <w:tc>
                <w:tcPr>
                  <w:tcW w:w="1845" w:type="dxa"/>
                  <w:shd w:val="clear" w:color="auto" w:fill="E0F1F7" w:themeFill="text2" w:themeFillTint="33"/>
                </w:tcPr>
                <w:p w14:paraId="063790B0" w14:textId="5C27772D" w:rsidR="00B045ED" w:rsidRDefault="00B045ED" w:rsidP="000E0129">
                  <w:pPr>
                    <w:pStyle w:val="TableBodyText"/>
                    <w:jc w:val="left"/>
                  </w:pPr>
                  <w:r>
                    <w:t>Aust and State Govts</w:t>
                  </w:r>
                </w:p>
              </w:tc>
              <w:tc>
                <w:tcPr>
                  <w:tcW w:w="1836" w:type="dxa"/>
                  <w:shd w:val="clear" w:color="auto" w:fill="E0F1F7" w:themeFill="text2" w:themeFillTint="33"/>
                </w:tcPr>
                <w:p w14:paraId="1CB657A7" w14:textId="7113F042" w:rsidR="00B045ED" w:rsidRDefault="00B045ED" w:rsidP="000E0129">
                  <w:pPr>
                    <w:pStyle w:val="TableBodyText"/>
                    <w:ind w:right="28"/>
                    <w:jc w:val="left"/>
                  </w:pPr>
                  <w:r>
                    <w:t>Could operate more widely in 5 years</w:t>
                  </w:r>
                </w:p>
              </w:tc>
              <w:tc>
                <w:tcPr>
                  <w:tcW w:w="1841" w:type="dxa"/>
                  <w:shd w:val="clear" w:color="auto" w:fill="E0F1F7" w:themeFill="text2" w:themeFillTint="33"/>
                </w:tcPr>
                <w:p w14:paraId="1A4D5F7D" w14:textId="24F4F7EF" w:rsidR="00B045ED" w:rsidRDefault="00B045ED" w:rsidP="006336D9">
                  <w:pPr>
                    <w:pStyle w:val="TableBodyText"/>
                    <w:ind w:left="57" w:right="28"/>
                    <w:jc w:val="left"/>
                  </w:pPr>
                  <w:r>
                    <w:t>No</w:t>
                  </w:r>
                </w:p>
              </w:tc>
            </w:tr>
            <w:tr w:rsidR="004362F4" w14:paraId="19313F70" w14:textId="77777777" w:rsidTr="00875863">
              <w:tc>
                <w:tcPr>
                  <w:tcW w:w="1426" w:type="dxa"/>
                  <w:tcBorders>
                    <w:bottom w:val="single" w:sz="4" w:space="0" w:color="D9D9D9" w:themeColor="background1" w:themeShade="D9"/>
                  </w:tcBorders>
                  <w:shd w:val="clear" w:color="auto" w:fill="E0F1F7" w:themeFill="text2" w:themeFillTint="33"/>
                </w:tcPr>
                <w:p w14:paraId="2BF1A7F8" w14:textId="380BC175" w:rsidR="004362F4" w:rsidRDefault="004362F4" w:rsidP="000E0129">
                  <w:pPr>
                    <w:pStyle w:val="TableBodyText"/>
                    <w:jc w:val="left"/>
                  </w:pPr>
                  <w:r>
                    <w:t>The Collaborative</w:t>
                  </w:r>
                  <w:r w:rsidR="00B74EAC">
                    <w:t xml:space="preserve"> </w:t>
                  </w:r>
                </w:p>
              </w:tc>
              <w:tc>
                <w:tcPr>
                  <w:tcW w:w="1557" w:type="dxa"/>
                  <w:tcBorders>
                    <w:bottom w:val="single" w:sz="4" w:space="0" w:color="D9D9D9" w:themeColor="background1" w:themeShade="D9"/>
                  </w:tcBorders>
                  <w:shd w:val="clear" w:color="auto" w:fill="E0F1F7" w:themeFill="text2" w:themeFillTint="33"/>
                </w:tcPr>
                <w:p w14:paraId="70C5AD5B" w14:textId="53FE7B93" w:rsidR="004362F4" w:rsidRDefault="004362F4" w:rsidP="000E0129">
                  <w:pPr>
                    <w:pStyle w:val="TableBodyText"/>
                    <w:jc w:val="left"/>
                  </w:pPr>
                  <w:r>
                    <w:t>LHNs and PHNs</w:t>
                  </w:r>
                </w:p>
              </w:tc>
              <w:tc>
                <w:tcPr>
                  <w:tcW w:w="1845" w:type="dxa"/>
                  <w:tcBorders>
                    <w:bottom w:val="single" w:sz="4" w:space="0" w:color="D9D9D9" w:themeColor="background1" w:themeShade="D9"/>
                  </w:tcBorders>
                  <w:shd w:val="clear" w:color="auto" w:fill="E0F1F7" w:themeFill="text2" w:themeFillTint="33"/>
                </w:tcPr>
                <w:p w14:paraId="6A987B36" w14:textId="64D7AB37" w:rsidR="004362F4" w:rsidRDefault="004362F4" w:rsidP="000E0129">
                  <w:pPr>
                    <w:pStyle w:val="TableBodyText"/>
                    <w:jc w:val="left"/>
                  </w:pPr>
                  <w:r>
                    <w:t>Aust and State Govts</w:t>
                  </w:r>
                </w:p>
              </w:tc>
              <w:tc>
                <w:tcPr>
                  <w:tcW w:w="1836" w:type="dxa"/>
                  <w:tcBorders>
                    <w:bottom w:val="single" w:sz="4" w:space="0" w:color="D9D9D9" w:themeColor="background1" w:themeShade="D9"/>
                  </w:tcBorders>
                  <w:shd w:val="clear" w:color="auto" w:fill="E0F1F7" w:themeFill="text2" w:themeFillTint="33"/>
                </w:tcPr>
                <w:p w14:paraId="76BBA9E5" w14:textId="40D03DA3" w:rsidR="004362F4" w:rsidRDefault="004362F4" w:rsidP="000E0129">
                  <w:pPr>
                    <w:pStyle w:val="TableBodyText"/>
                    <w:ind w:right="28"/>
                    <w:jc w:val="left"/>
                  </w:pPr>
                  <w:r>
                    <w:t>Consider alongside Collaborative Commissioning</w:t>
                  </w:r>
                </w:p>
              </w:tc>
              <w:tc>
                <w:tcPr>
                  <w:tcW w:w="1841" w:type="dxa"/>
                  <w:tcBorders>
                    <w:bottom w:val="single" w:sz="4" w:space="0" w:color="D9D9D9" w:themeColor="background1" w:themeShade="D9"/>
                  </w:tcBorders>
                  <w:shd w:val="clear" w:color="auto" w:fill="E0F1F7" w:themeFill="text2" w:themeFillTint="33"/>
                </w:tcPr>
                <w:p w14:paraId="1871A9E2" w14:textId="0FD97C32" w:rsidR="004362F4" w:rsidRDefault="004362F4" w:rsidP="006336D9">
                  <w:pPr>
                    <w:pStyle w:val="TableBodyText"/>
                    <w:ind w:left="57" w:right="28"/>
                    <w:jc w:val="left"/>
                  </w:pPr>
                  <w:r>
                    <w:t>No</w:t>
                  </w:r>
                </w:p>
              </w:tc>
            </w:tr>
            <w:tr w:rsidR="00B74EAC" w14:paraId="1153ABB1" w14:textId="77777777" w:rsidTr="00835097">
              <w:tc>
                <w:tcPr>
                  <w:tcW w:w="8505" w:type="dxa"/>
                  <w:gridSpan w:val="5"/>
                  <w:tcBorders>
                    <w:top w:val="single" w:sz="4" w:space="0" w:color="D9D9D9" w:themeColor="background1" w:themeShade="D9"/>
                  </w:tcBorders>
                  <w:shd w:val="clear" w:color="auto" w:fill="auto"/>
                </w:tcPr>
                <w:p w14:paraId="414864E6" w14:textId="5D608292" w:rsidR="00B74EAC" w:rsidRPr="00EC5B96" w:rsidRDefault="00B74EAC" w:rsidP="00FA6DEE">
                  <w:pPr>
                    <w:pStyle w:val="TableBodyText"/>
                    <w:spacing w:before="80" w:after="80"/>
                    <w:ind w:right="28"/>
                    <w:jc w:val="left"/>
                    <w:rPr>
                      <w:b/>
                    </w:rPr>
                  </w:pPr>
                  <w:r w:rsidRPr="00EC5B96">
                    <w:rPr>
                      <w:b/>
                    </w:rPr>
                    <w:t>Innovations that could be considered in specific circumstances</w:t>
                  </w:r>
                </w:p>
              </w:tc>
            </w:tr>
            <w:tr w:rsidR="00C01D83" w14:paraId="15DC0D07" w14:textId="77777777" w:rsidTr="00875863">
              <w:tc>
                <w:tcPr>
                  <w:tcW w:w="1426" w:type="dxa"/>
                  <w:shd w:val="clear" w:color="auto" w:fill="auto"/>
                </w:tcPr>
                <w:p w14:paraId="1814EE08" w14:textId="1DEE7C79" w:rsidR="00FC6628" w:rsidRPr="00980BC5" w:rsidRDefault="00FC6628" w:rsidP="000E0129">
                  <w:pPr>
                    <w:pStyle w:val="TableBodyText"/>
                    <w:jc w:val="left"/>
                    <w:rPr>
                      <w:spacing w:val="-4"/>
                    </w:rPr>
                  </w:pPr>
                  <w:r w:rsidRPr="00980BC5">
                    <w:rPr>
                      <w:spacing w:val="-4"/>
                    </w:rPr>
                    <w:t xml:space="preserve">Royal Perth Hospital (RPH) Homeless </w:t>
                  </w:r>
                  <w:r w:rsidR="00157F8B" w:rsidRPr="00980BC5">
                    <w:rPr>
                      <w:spacing w:val="-4"/>
                    </w:rPr>
                    <w:t>Team</w:t>
                  </w:r>
                </w:p>
              </w:tc>
              <w:tc>
                <w:tcPr>
                  <w:tcW w:w="1557" w:type="dxa"/>
                  <w:shd w:val="clear" w:color="auto" w:fill="auto"/>
                </w:tcPr>
                <w:p w14:paraId="75FC630C" w14:textId="77777777" w:rsidR="00FC6628" w:rsidRDefault="00FC6628" w:rsidP="000E0129">
                  <w:pPr>
                    <w:pStyle w:val="TableBodyText"/>
                    <w:jc w:val="left"/>
                  </w:pPr>
                  <w:r>
                    <w:t>LHNs</w:t>
                  </w:r>
                </w:p>
              </w:tc>
              <w:tc>
                <w:tcPr>
                  <w:tcW w:w="1845" w:type="dxa"/>
                  <w:shd w:val="clear" w:color="auto" w:fill="auto"/>
                </w:tcPr>
                <w:p w14:paraId="6E70C1C3" w14:textId="3EC4A002" w:rsidR="00FC6628" w:rsidRDefault="00FC6628" w:rsidP="000E0129">
                  <w:pPr>
                    <w:pStyle w:val="TableBodyText"/>
                    <w:jc w:val="left"/>
                  </w:pPr>
                  <w:r>
                    <w:t>State Govt</w:t>
                  </w:r>
                </w:p>
              </w:tc>
              <w:tc>
                <w:tcPr>
                  <w:tcW w:w="1836" w:type="dxa"/>
                  <w:shd w:val="clear" w:color="auto" w:fill="auto"/>
                </w:tcPr>
                <w:p w14:paraId="76C64029" w14:textId="0F0E6BEA" w:rsidR="00FC6628" w:rsidRPr="00980BC5" w:rsidRDefault="0016338D" w:rsidP="000E0129">
                  <w:pPr>
                    <w:pStyle w:val="TableBodyText"/>
                    <w:ind w:right="28"/>
                    <w:jc w:val="left"/>
                    <w:rPr>
                      <w:spacing w:val="-4"/>
                    </w:rPr>
                  </w:pPr>
                  <w:r w:rsidRPr="00980BC5">
                    <w:rPr>
                      <w:spacing w:val="-4"/>
                    </w:rPr>
                    <w:t>Could operate Australia</w:t>
                  </w:r>
                  <w:r w:rsidR="005B190E" w:rsidRPr="00980BC5">
                    <w:rPr>
                      <w:spacing w:val="-4"/>
                    </w:rPr>
                    <w:noBreakHyphen/>
                  </w:r>
                  <w:r w:rsidRPr="00980BC5">
                    <w:rPr>
                      <w:spacing w:val="-4"/>
                    </w:rPr>
                    <w:t xml:space="preserve">wide in </w:t>
                  </w:r>
                  <w:r w:rsidR="00742D5F">
                    <w:rPr>
                      <w:spacing w:val="-4"/>
                    </w:rPr>
                    <w:br/>
                  </w:r>
                  <w:r w:rsidRPr="00980BC5">
                    <w:rPr>
                      <w:spacing w:val="-4"/>
                    </w:rPr>
                    <w:t>2–5</w:t>
                  </w:r>
                  <w:r w:rsidR="00980BC5" w:rsidRPr="00980BC5">
                    <w:rPr>
                      <w:spacing w:val="-4"/>
                    </w:rPr>
                    <w:t> </w:t>
                  </w:r>
                  <w:r w:rsidRPr="00980BC5">
                    <w:rPr>
                      <w:spacing w:val="-4"/>
                    </w:rPr>
                    <w:t>years</w:t>
                  </w:r>
                </w:p>
              </w:tc>
              <w:tc>
                <w:tcPr>
                  <w:tcW w:w="1841" w:type="dxa"/>
                  <w:shd w:val="clear" w:color="auto" w:fill="auto"/>
                </w:tcPr>
                <w:p w14:paraId="2E985B82" w14:textId="76F524B1" w:rsidR="00FC6628" w:rsidRDefault="00A61914" w:rsidP="006336D9">
                  <w:pPr>
                    <w:pStyle w:val="TableBodyText"/>
                    <w:ind w:left="57" w:right="28"/>
                    <w:jc w:val="left"/>
                  </w:pPr>
                  <w:r>
                    <w:t xml:space="preserve">UK </w:t>
                  </w:r>
                  <w:r w:rsidR="00FB4498">
                    <w:t xml:space="preserve">and </w:t>
                  </w:r>
                  <w:r w:rsidR="00157F8B">
                    <w:t>US</w:t>
                  </w:r>
                  <w:r w:rsidR="00C479AB">
                    <w:t>A</w:t>
                  </w:r>
                </w:p>
              </w:tc>
            </w:tr>
            <w:tr w:rsidR="00C01D83" w14:paraId="7E7D6B5B" w14:textId="77777777" w:rsidTr="00875863">
              <w:tc>
                <w:tcPr>
                  <w:tcW w:w="1426" w:type="dxa"/>
                  <w:shd w:val="clear" w:color="auto" w:fill="auto"/>
                </w:tcPr>
                <w:p w14:paraId="35EC8815" w14:textId="77777777" w:rsidR="00FC6628" w:rsidRDefault="00FC6628" w:rsidP="000E0129">
                  <w:pPr>
                    <w:pStyle w:val="TableBodyText"/>
                    <w:jc w:val="left"/>
                  </w:pPr>
                  <w:r>
                    <w:t>Choices</w:t>
                  </w:r>
                </w:p>
              </w:tc>
              <w:tc>
                <w:tcPr>
                  <w:tcW w:w="1557" w:type="dxa"/>
                  <w:shd w:val="clear" w:color="auto" w:fill="auto"/>
                </w:tcPr>
                <w:p w14:paraId="4E2D4C7E" w14:textId="77777777" w:rsidR="00FC6628" w:rsidRDefault="00FC6628" w:rsidP="000E0129">
                  <w:pPr>
                    <w:pStyle w:val="TableBodyText"/>
                    <w:jc w:val="left"/>
                  </w:pPr>
                  <w:r>
                    <w:t>PHNs</w:t>
                  </w:r>
                </w:p>
              </w:tc>
              <w:tc>
                <w:tcPr>
                  <w:tcW w:w="1845" w:type="dxa"/>
                  <w:shd w:val="clear" w:color="auto" w:fill="auto"/>
                </w:tcPr>
                <w:p w14:paraId="3ADC66D3" w14:textId="1D63E519" w:rsidR="00FC6628" w:rsidRDefault="00FC6628" w:rsidP="000E0129">
                  <w:pPr>
                    <w:pStyle w:val="TableBodyText"/>
                    <w:jc w:val="left"/>
                  </w:pPr>
                  <w:r>
                    <w:t>State Govt</w:t>
                  </w:r>
                </w:p>
              </w:tc>
              <w:tc>
                <w:tcPr>
                  <w:tcW w:w="1836" w:type="dxa"/>
                  <w:shd w:val="clear" w:color="auto" w:fill="auto"/>
                </w:tcPr>
                <w:p w14:paraId="34617974" w14:textId="11A2AA66" w:rsidR="00FC6628" w:rsidRDefault="00456880" w:rsidP="000E0129">
                  <w:pPr>
                    <w:pStyle w:val="TableBodyText"/>
                    <w:ind w:right="28"/>
                    <w:jc w:val="left"/>
                  </w:pPr>
                  <w:r>
                    <w:t>Consider alongside RPH Homeless Team</w:t>
                  </w:r>
                </w:p>
              </w:tc>
              <w:tc>
                <w:tcPr>
                  <w:tcW w:w="1841" w:type="dxa"/>
                  <w:shd w:val="clear" w:color="auto" w:fill="auto"/>
                </w:tcPr>
                <w:p w14:paraId="1A7D37F3" w14:textId="2A6EC3CC" w:rsidR="00FC6628" w:rsidRDefault="00BF3C0E" w:rsidP="006336D9">
                  <w:pPr>
                    <w:pStyle w:val="TableBodyText"/>
                    <w:ind w:left="57" w:right="28"/>
                    <w:jc w:val="left"/>
                  </w:pPr>
                  <w:r>
                    <w:t>No</w:t>
                  </w:r>
                </w:p>
              </w:tc>
            </w:tr>
            <w:tr w:rsidR="00C01D83" w14:paraId="1338AA82" w14:textId="77777777" w:rsidTr="00875863">
              <w:tc>
                <w:tcPr>
                  <w:tcW w:w="1426" w:type="dxa"/>
                  <w:shd w:val="clear" w:color="auto" w:fill="auto"/>
                </w:tcPr>
                <w:p w14:paraId="7EAA9E8B" w14:textId="4059F6B6" w:rsidR="00FC6628" w:rsidRDefault="00C5017A" w:rsidP="000E0129">
                  <w:pPr>
                    <w:pStyle w:val="TableBodyText"/>
                    <w:jc w:val="left"/>
                  </w:pPr>
                  <w:r>
                    <w:t>Turning Pain into Gain</w:t>
                  </w:r>
                </w:p>
              </w:tc>
              <w:tc>
                <w:tcPr>
                  <w:tcW w:w="1557" w:type="dxa"/>
                  <w:shd w:val="clear" w:color="auto" w:fill="auto"/>
                </w:tcPr>
                <w:p w14:paraId="72912AE3" w14:textId="565A7676" w:rsidR="00FC6628" w:rsidRDefault="00C5017A" w:rsidP="000E0129">
                  <w:pPr>
                    <w:pStyle w:val="TableBodyText"/>
                    <w:jc w:val="left"/>
                  </w:pPr>
                  <w:r>
                    <w:t>PHNs</w:t>
                  </w:r>
                </w:p>
              </w:tc>
              <w:tc>
                <w:tcPr>
                  <w:tcW w:w="1845" w:type="dxa"/>
                  <w:shd w:val="clear" w:color="auto" w:fill="auto"/>
                </w:tcPr>
                <w:p w14:paraId="462731FD" w14:textId="677F7E9B" w:rsidR="00FC6628" w:rsidRDefault="00C5017A" w:rsidP="000E0129">
                  <w:pPr>
                    <w:pStyle w:val="TableBodyText"/>
                    <w:jc w:val="left"/>
                  </w:pPr>
                  <w:r>
                    <w:t>Aust</w:t>
                  </w:r>
                  <w:r w:rsidR="005B2C66">
                    <w:t xml:space="preserve"> Govt</w:t>
                  </w:r>
                </w:p>
              </w:tc>
              <w:tc>
                <w:tcPr>
                  <w:tcW w:w="1836" w:type="dxa"/>
                  <w:shd w:val="clear" w:color="auto" w:fill="auto"/>
                </w:tcPr>
                <w:p w14:paraId="68B5838F" w14:textId="69CC827B" w:rsidR="00FC6628" w:rsidRDefault="00FF0CA1" w:rsidP="000E0129">
                  <w:pPr>
                    <w:pStyle w:val="TableBodyText"/>
                    <w:ind w:right="28"/>
                    <w:jc w:val="left"/>
                  </w:pPr>
                  <w:r>
                    <w:t>Could operate Australia</w:t>
                  </w:r>
                  <w:r w:rsidR="005B190E">
                    <w:noBreakHyphen/>
                  </w:r>
                  <w:r>
                    <w:t xml:space="preserve">wide </w:t>
                  </w:r>
                  <w:r w:rsidR="00C5017A">
                    <w:t>within </w:t>
                  </w:r>
                  <w:r w:rsidR="0074219B">
                    <w:t>3 </w:t>
                  </w:r>
                  <w:r>
                    <w:t>years</w:t>
                  </w:r>
                </w:p>
              </w:tc>
              <w:tc>
                <w:tcPr>
                  <w:tcW w:w="1841" w:type="dxa"/>
                  <w:shd w:val="clear" w:color="auto" w:fill="auto"/>
                </w:tcPr>
                <w:p w14:paraId="1684FE30" w14:textId="3B78C51C" w:rsidR="00FC6628" w:rsidRDefault="00C5017A" w:rsidP="006336D9">
                  <w:pPr>
                    <w:pStyle w:val="TableBodyText"/>
                    <w:ind w:left="57" w:right="28"/>
                    <w:jc w:val="left"/>
                  </w:pPr>
                  <w:r>
                    <w:t>Other PHNs</w:t>
                  </w:r>
                </w:p>
              </w:tc>
            </w:tr>
            <w:tr w:rsidR="00C01D83" w14:paraId="76B2BEB0" w14:textId="77777777" w:rsidTr="00875863">
              <w:tc>
                <w:tcPr>
                  <w:tcW w:w="1426" w:type="dxa"/>
                  <w:shd w:val="clear" w:color="auto" w:fill="auto"/>
                </w:tcPr>
                <w:p w14:paraId="7FF1F738" w14:textId="4D365A2D" w:rsidR="00FC6628" w:rsidRDefault="00FC6628" w:rsidP="000E0129">
                  <w:pPr>
                    <w:pStyle w:val="TableBodyText"/>
                    <w:jc w:val="left"/>
                  </w:pPr>
                  <w:r>
                    <w:t xml:space="preserve">GP with Special </w:t>
                  </w:r>
                  <w:r w:rsidR="00C5017A">
                    <w:t>Interest</w:t>
                  </w:r>
                </w:p>
              </w:tc>
              <w:tc>
                <w:tcPr>
                  <w:tcW w:w="1557" w:type="dxa"/>
                  <w:shd w:val="clear" w:color="auto" w:fill="auto"/>
                </w:tcPr>
                <w:p w14:paraId="00A60FD1" w14:textId="2A8E45E3" w:rsidR="00FC6628" w:rsidRDefault="005B2C66" w:rsidP="000E0129">
                  <w:pPr>
                    <w:pStyle w:val="TableBodyText"/>
                    <w:jc w:val="left"/>
                  </w:pPr>
                  <w:r>
                    <w:t>LHNs</w:t>
                  </w:r>
                </w:p>
              </w:tc>
              <w:tc>
                <w:tcPr>
                  <w:tcW w:w="1845" w:type="dxa"/>
                  <w:shd w:val="clear" w:color="auto" w:fill="auto"/>
                </w:tcPr>
                <w:p w14:paraId="7DB96AC3" w14:textId="145CFD36" w:rsidR="00FC6628" w:rsidRDefault="005B2C66" w:rsidP="000E0129">
                  <w:pPr>
                    <w:pStyle w:val="TableBodyText"/>
                    <w:jc w:val="left"/>
                  </w:pPr>
                  <w:r>
                    <w:t>State Govt</w:t>
                  </w:r>
                </w:p>
              </w:tc>
              <w:tc>
                <w:tcPr>
                  <w:tcW w:w="1836" w:type="dxa"/>
                  <w:shd w:val="clear" w:color="auto" w:fill="auto"/>
                </w:tcPr>
                <w:p w14:paraId="4D41B0A1" w14:textId="49394903" w:rsidR="00FC6628" w:rsidRDefault="00456880" w:rsidP="000E0129">
                  <w:pPr>
                    <w:pStyle w:val="TableBodyText"/>
                    <w:ind w:right="28"/>
                    <w:jc w:val="left"/>
                  </w:pPr>
                  <w:r>
                    <w:t>Consider alongside Smart Referrals</w:t>
                  </w:r>
                </w:p>
              </w:tc>
              <w:tc>
                <w:tcPr>
                  <w:tcW w:w="1841" w:type="dxa"/>
                  <w:shd w:val="clear" w:color="auto" w:fill="auto"/>
                </w:tcPr>
                <w:p w14:paraId="6C21E42E" w14:textId="14CEBAD8" w:rsidR="00FC6628" w:rsidRDefault="00593A95" w:rsidP="006336D9">
                  <w:pPr>
                    <w:pStyle w:val="TableBodyText"/>
                    <w:ind w:left="57" w:right="28"/>
                    <w:jc w:val="left"/>
                  </w:pPr>
                  <w:r>
                    <w:t>UK</w:t>
                  </w:r>
                  <w:r w:rsidR="0090522C">
                    <w:t xml:space="preserve"> and other LHNs in Q</w:t>
                  </w:r>
                  <w:r w:rsidR="0002729B">
                    <w:t>ueensland</w:t>
                  </w:r>
                </w:p>
              </w:tc>
            </w:tr>
            <w:tr w:rsidR="00C01D83" w14:paraId="0F5DC4A2" w14:textId="77777777" w:rsidTr="00875863">
              <w:tc>
                <w:tcPr>
                  <w:tcW w:w="1426" w:type="dxa"/>
                  <w:shd w:val="clear" w:color="auto" w:fill="auto"/>
                </w:tcPr>
                <w:p w14:paraId="424A4CF7" w14:textId="7801E547" w:rsidR="00FC6628" w:rsidRDefault="001B641D" w:rsidP="000E0129">
                  <w:pPr>
                    <w:pStyle w:val="TableBodyText"/>
                    <w:jc w:val="left"/>
                  </w:pPr>
                  <w:r>
                    <w:t>One Stop Liver Shop</w:t>
                  </w:r>
                </w:p>
              </w:tc>
              <w:tc>
                <w:tcPr>
                  <w:tcW w:w="1557" w:type="dxa"/>
                  <w:shd w:val="clear" w:color="auto" w:fill="auto"/>
                </w:tcPr>
                <w:p w14:paraId="37777047" w14:textId="6FB42A84" w:rsidR="00FC6628" w:rsidRDefault="001B641D" w:rsidP="000E0129">
                  <w:pPr>
                    <w:pStyle w:val="TableBodyText"/>
                    <w:jc w:val="left"/>
                  </w:pPr>
                  <w:r>
                    <w:t>LHNs</w:t>
                  </w:r>
                </w:p>
              </w:tc>
              <w:tc>
                <w:tcPr>
                  <w:tcW w:w="1845" w:type="dxa"/>
                  <w:shd w:val="clear" w:color="auto" w:fill="auto"/>
                </w:tcPr>
                <w:p w14:paraId="7C1B37BE" w14:textId="5FA70359" w:rsidR="00FC6628" w:rsidRDefault="001B641D" w:rsidP="000E0129">
                  <w:pPr>
                    <w:pStyle w:val="TableBodyText"/>
                    <w:jc w:val="left"/>
                  </w:pPr>
                  <w:r>
                    <w:t>State</w:t>
                  </w:r>
                  <w:r w:rsidR="00D422DB">
                    <w:t xml:space="preserve"> Govt</w:t>
                  </w:r>
                </w:p>
              </w:tc>
              <w:tc>
                <w:tcPr>
                  <w:tcW w:w="1836" w:type="dxa"/>
                  <w:shd w:val="clear" w:color="auto" w:fill="auto"/>
                </w:tcPr>
                <w:p w14:paraId="3B368011" w14:textId="38BC75A3" w:rsidR="00FC6628" w:rsidRPr="00742D5F" w:rsidRDefault="001B641D" w:rsidP="000E0129">
                  <w:pPr>
                    <w:pStyle w:val="TableBodyText"/>
                    <w:ind w:right="28"/>
                    <w:jc w:val="left"/>
                    <w:rPr>
                      <w:spacing w:val="-4"/>
                    </w:rPr>
                  </w:pPr>
                  <w:r w:rsidRPr="00742D5F">
                    <w:rPr>
                      <w:spacing w:val="-4"/>
                    </w:rPr>
                    <w:t xml:space="preserve">Could operate in other remote areas </w:t>
                  </w:r>
                  <w:r w:rsidR="00092919" w:rsidRPr="00742D5F">
                    <w:rPr>
                      <w:spacing w:val="-4"/>
                    </w:rPr>
                    <w:t xml:space="preserve">within 2 years </w:t>
                  </w:r>
                  <w:r w:rsidRPr="00742D5F">
                    <w:rPr>
                      <w:spacing w:val="-4"/>
                    </w:rPr>
                    <w:t xml:space="preserve">and for other diseases within </w:t>
                  </w:r>
                  <w:r w:rsidR="00092919" w:rsidRPr="00742D5F">
                    <w:rPr>
                      <w:spacing w:val="-4"/>
                    </w:rPr>
                    <w:t>5</w:t>
                  </w:r>
                  <w:r w:rsidRPr="00742D5F">
                    <w:rPr>
                      <w:spacing w:val="-4"/>
                    </w:rPr>
                    <w:t> years</w:t>
                  </w:r>
                </w:p>
              </w:tc>
              <w:tc>
                <w:tcPr>
                  <w:tcW w:w="1841" w:type="dxa"/>
                  <w:shd w:val="clear" w:color="auto" w:fill="auto"/>
                </w:tcPr>
                <w:p w14:paraId="34DBD262" w14:textId="12CD6409" w:rsidR="00FC6628" w:rsidRDefault="001B641D" w:rsidP="006336D9">
                  <w:pPr>
                    <w:pStyle w:val="TableBodyText"/>
                    <w:ind w:left="57" w:right="28"/>
                    <w:jc w:val="left"/>
                  </w:pPr>
                  <w:r>
                    <w:t>No</w:t>
                  </w:r>
                </w:p>
              </w:tc>
            </w:tr>
            <w:tr w:rsidR="00F31980" w14:paraId="6B93533D" w14:textId="77777777" w:rsidTr="00875863">
              <w:tc>
                <w:tcPr>
                  <w:tcW w:w="1426" w:type="dxa"/>
                  <w:tcBorders>
                    <w:bottom w:val="single" w:sz="4" w:space="0" w:color="BFBFBF" w:themeColor="background1" w:themeShade="BF"/>
                  </w:tcBorders>
                  <w:shd w:val="clear" w:color="auto" w:fill="auto"/>
                </w:tcPr>
                <w:p w14:paraId="2EE21D91" w14:textId="3EFFF40E" w:rsidR="00F31980" w:rsidRPr="00980BC5" w:rsidRDefault="00F31980" w:rsidP="000E0129">
                  <w:pPr>
                    <w:pStyle w:val="TableBodyText"/>
                    <w:jc w:val="left"/>
                    <w:rPr>
                      <w:spacing w:val="-4"/>
                    </w:rPr>
                  </w:pPr>
                  <w:r w:rsidRPr="00980BC5">
                    <w:rPr>
                      <w:spacing w:val="-4"/>
                    </w:rPr>
                    <w:t xml:space="preserve">General Practice Pharmacist </w:t>
                  </w:r>
                  <w:r w:rsidR="00E77378" w:rsidRPr="00980BC5">
                    <w:rPr>
                      <w:spacing w:val="-4"/>
                    </w:rPr>
                    <w:t>Program</w:t>
                  </w:r>
                </w:p>
              </w:tc>
              <w:tc>
                <w:tcPr>
                  <w:tcW w:w="1557" w:type="dxa"/>
                  <w:tcBorders>
                    <w:bottom w:val="single" w:sz="4" w:space="0" w:color="BFBFBF" w:themeColor="background1" w:themeShade="BF"/>
                  </w:tcBorders>
                  <w:shd w:val="clear" w:color="auto" w:fill="auto"/>
                </w:tcPr>
                <w:p w14:paraId="33950577" w14:textId="0617F9E2" w:rsidR="00F31980" w:rsidRDefault="00E77378" w:rsidP="000E0129">
                  <w:pPr>
                    <w:pStyle w:val="TableBodyText"/>
                    <w:jc w:val="left"/>
                  </w:pPr>
                  <w:r>
                    <w:t>PHNs</w:t>
                  </w:r>
                </w:p>
              </w:tc>
              <w:tc>
                <w:tcPr>
                  <w:tcW w:w="1845" w:type="dxa"/>
                  <w:tcBorders>
                    <w:bottom w:val="single" w:sz="4" w:space="0" w:color="BFBFBF" w:themeColor="background1" w:themeShade="BF"/>
                  </w:tcBorders>
                  <w:shd w:val="clear" w:color="auto" w:fill="auto"/>
                </w:tcPr>
                <w:p w14:paraId="76FF6C23" w14:textId="197B0B3F" w:rsidR="00F31980" w:rsidRDefault="00E77378" w:rsidP="000E0129">
                  <w:pPr>
                    <w:pStyle w:val="TableBodyText"/>
                    <w:jc w:val="left"/>
                  </w:pPr>
                  <w:r>
                    <w:t>Aust Govt</w:t>
                  </w:r>
                </w:p>
              </w:tc>
              <w:tc>
                <w:tcPr>
                  <w:tcW w:w="1836" w:type="dxa"/>
                  <w:tcBorders>
                    <w:bottom w:val="single" w:sz="4" w:space="0" w:color="BFBFBF" w:themeColor="background1" w:themeShade="BF"/>
                  </w:tcBorders>
                  <w:shd w:val="clear" w:color="auto" w:fill="auto"/>
                </w:tcPr>
                <w:p w14:paraId="3FE4669D" w14:textId="060BB7BA" w:rsidR="00F31980" w:rsidRDefault="00E77378" w:rsidP="000E0129">
                  <w:pPr>
                    <w:pStyle w:val="TableBodyText"/>
                    <w:ind w:right="28"/>
                    <w:jc w:val="left"/>
                  </w:pPr>
                  <w:r>
                    <w:t xml:space="preserve">Could operate </w:t>
                  </w:r>
                  <w:r w:rsidR="00D20419">
                    <w:t xml:space="preserve">more widely </w:t>
                  </w:r>
                  <w:r>
                    <w:t>in 2–5 years</w:t>
                  </w:r>
                </w:p>
              </w:tc>
              <w:tc>
                <w:tcPr>
                  <w:tcW w:w="1841" w:type="dxa"/>
                  <w:tcBorders>
                    <w:bottom w:val="single" w:sz="4" w:space="0" w:color="BFBFBF" w:themeColor="background1" w:themeShade="BF"/>
                  </w:tcBorders>
                  <w:shd w:val="clear" w:color="auto" w:fill="auto"/>
                </w:tcPr>
                <w:p w14:paraId="38415E17" w14:textId="14F1230C" w:rsidR="00F31980" w:rsidRDefault="005E0CCE" w:rsidP="006336D9">
                  <w:pPr>
                    <w:pStyle w:val="TableBodyText"/>
                    <w:ind w:left="57" w:right="28"/>
                    <w:jc w:val="left"/>
                  </w:pPr>
                  <w:r>
                    <w:t>UK</w:t>
                  </w:r>
                </w:p>
              </w:tc>
            </w:tr>
          </w:tbl>
          <w:p w14:paraId="445EEE6F" w14:textId="77777777" w:rsidR="00FC6628" w:rsidRDefault="00FC6628" w:rsidP="000E0129">
            <w:pPr>
              <w:pStyle w:val="Box"/>
              <w:jc w:val="left"/>
            </w:pPr>
          </w:p>
        </w:tc>
      </w:tr>
      <w:tr w:rsidR="00686CDE" w14:paraId="5F7171C9" w14:textId="77777777" w:rsidTr="00686CDE">
        <w:tc>
          <w:tcPr>
            <w:tcW w:w="5000" w:type="pct"/>
            <w:tcBorders>
              <w:top w:val="nil"/>
              <w:left w:val="nil"/>
              <w:bottom w:val="nil"/>
              <w:right w:val="nil"/>
            </w:tcBorders>
            <w:shd w:val="clear" w:color="auto" w:fill="auto"/>
          </w:tcPr>
          <w:p w14:paraId="11D625B6" w14:textId="5610A078" w:rsidR="00686CDE" w:rsidRDefault="00686CDE" w:rsidP="00DC2970">
            <w:pPr>
              <w:pStyle w:val="Note"/>
            </w:pPr>
            <w:r w:rsidRPr="008E77FE">
              <w:rPr>
                <w:rStyle w:val="NoteLabel"/>
              </w:rPr>
              <w:t>a</w:t>
            </w:r>
            <w:r w:rsidRPr="00DC2970">
              <w:rPr>
                <w:rStyle w:val="NoteLabel"/>
              </w:rPr>
              <w:t xml:space="preserve"> </w:t>
            </w:r>
            <w:r w:rsidR="007B0D30">
              <w:t>State Govt = State and Territory Governments</w:t>
            </w:r>
            <w:r w:rsidR="00DC2970">
              <w:t>.</w:t>
            </w:r>
          </w:p>
        </w:tc>
      </w:tr>
      <w:tr w:rsidR="00FC6628" w14:paraId="46FE5F44" w14:textId="77777777" w:rsidTr="00B702F8">
        <w:tc>
          <w:tcPr>
            <w:tcW w:w="5000" w:type="pct"/>
            <w:tcBorders>
              <w:top w:val="nil"/>
              <w:left w:val="nil"/>
              <w:bottom w:val="single" w:sz="4" w:space="0" w:color="2D9AC2" w:themeColor="text2" w:themeShade="BF"/>
              <w:right w:val="nil"/>
            </w:tcBorders>
            <w:shd w:val="clear" w:color="auto" w:fill="auto"/>
          </w:tcPr>
          <w:p w14:paraId="29DAB92B" w14:textId="77777777" w:rsidR="00FC6628" w:rsidRDefault="00FC6628" w:rsidP="00D3668D">
            <w:pPr>
              <w:pStyle w:val="Box"/>
              <w:spacing w:before="0" w:line="120" w:lineRule="exact"/>
            </w:pPr>
          </w:p>
        </w:tc>
      </w:tr>
      <w:tr w:rsidR="00FC6628" w:rsidRPr="000863A5" w14:paraId="4AAF49F5" w14:textId="77777777" w:rsidTr="00B702F8">
        <w:tc>
          <w:tcPr>
            <w:tcW w:w="5000" w:type="pct"/>
            <w:tcBorders>
              <w:top w:val="single" w:sz="4" w:space="0" w:color="2D9AC2" w:themeColor="text2" w:themeShade="BF"/>
              <w:left w:val="nil"/>
              <w:bottom w:val="nil"/>
              <w:right w:val="nil"/>
            </w:tcBorders>
          </w:tcPr>
          <w:p w14:paraId="279999D5" w14:textId="616CDBFC" w:rsidR="00FC6628" w:rsidRPr="00626D32" w:rsidRDefault="00FC6628" w:rsidP="00D3668D">
            <w:pPr>
              <w:pStyle w:val="BoxSpaceBelow"/>
            </w:pPr>
          </w:p>
        </w:tc>
      </w:tr>
    </w:tbl>
    <w:p w14:paraId="617ECBCC" w14:textId="12C11839" w:rsidR="00A23A17" w:rsidRDefault="00FC6628" w:rsidP="00FC6628">
      <w:pPr>
        <w:pStyle w:val="Heading3"/>
      </w:pPr>
      <w:r>
        <w:lastRenderedPageBreak/>
        <w:t xml:space="preserve">Initiatives that </w:t>
      </w:r>
      <w:r w:rsidR="002A55C6">
        <w:t>c</w:t>
      </w:r>
      <w:r w:rsidR="008920D1">
        <w:t xml:space="preserve">ould be considered for immediate rollout </w:t>
      </w:r>
    </w:p>
    <w:p w14:paraId="41B52414" w14:textId="1C2696AF" w:rsidR="00FC6628" w:rsidRDefault="00FC604A" w:rsidP="00EC5B96">
      <w:pPr>
        <w:pStyle w:val="BodyText"/>
      </w:pPr>
      <w:r>
        <w:t>The initiatives described below should be considered for rollout in all jurisdiction</w:t>
      </w:r>
      <w:r w:rsidR="00EC5B96">
        <w:t>s</w:t>
      </w:r>
      <w:r>
        <w:t xml:space="preserve">. Specific health </w:t>
      </w:r>
      <w:r w:rsidR="00D853B1">
        <w:t xml:space="preserve">service </w:t>
      </w:r>
      <w:r>
        <w:t>organisations</w:t>
      </w:r>
      <w:r w:rsidR="008B7263">
        <w:t xml:space="preserve"> may choose equivalent programs if they </w:t>
      </w:r>
      <w:r>
        <w:t>believe these would be better suited for their circumstances</w:t>
      </w:r>
      <w:r w:rsidR="00E4104F">
        <w:t>. However,</w:t>
      </w:r>
      <w:r w:rsidR="008B7263">
        <w:t xml:space="preserve"> the </w:t>
      </w:r>
      <w:r w:rsidR="00E4104F">
        <w:t xml:space="preserve">programs included here offer the benefit of being ready for adoption and adaptation in other places. </w:t>
      </w:r>
      <w:r w:rsidR="00DC7F98">
        <w:t xml:space="preserve">In some instances, </w:t>
      </w:r>
      <w:r w:rsidR="00E12C53">
        <w:t>particularly</w:t>
      </w:r>
      <w:r w:rsidR="0094398F">
        <w:t xml:space="preserve"> </w:t>
      </w:r>
      <w:r w:rsidR="00E12C53">
        <w:t xml:space="preserve">Collaborative Commissioning and </w:t>
      </w:r>
      <w:proofErr w:type="spellStart"/>
      <w:r w:rsidR="00E12C53">
        <w:t>HealthLinks</w:t>
      </w:r>
      <w:proofErr w:type="spellEnd"/>
      <w:r w:rsidR="00E12C53">
        <w:t xml:space="preserve">, </w:t>
      </w:r>
      <w:r w:rsidR="0094398F">
        <w:t xml:space="preserve">the desirable pace of </w:t>
      </w:r>
      <w:r w:rsidR="00DC7F98">
        <w:t>rollout</w:t>
      </w:r>
      <w:r w:rsidR="0094398F">
        <w:t xml:space="preserve"> may be affected by </w:t>
      </w:r>
      <w:r w:rsidR="00E12C53">
        <w:t xml:space="preserve">reforms to funding </w:t>
      </w:r>
      <w:r w:rsidR="00282750">
        <w:t>design</w:t>
      </w:r>
      <w:r w:rsidR="0094398F">
        <w:t xml:space="preserve"> at the national level</w:t>
      </w:r>
      <w:r w:rsidR="00282750">
        <w:t>.</w:t>
      </w:r>
    </w:p>
    <w:p w14:paraId="5D35F891" w14:textId="7358B2D7" w:rsidR="00FC6628" w:rsidRDefault="00FC6628" w:rsidP="00EC5B96">
      <w:pPr>
        <w:pStyle w:val="Heading4"/>
      </w:pPr>
      <w:r>
        <w:t>Nellie</w:t>
      </w:r>
      <w:r w:rsidR="00851D63">
        <w:t xml:space="preserve"> </w:t>
      </w:r>
      <w:r w:rsidR="00E33331">
        <w:t>(Case study 1</w:t>
      </w:r>
      <w:r w:rsidR="00D64791">
        <w:t>, pp.</w:t>
      </w:r>
      <w:r w:rsidR="00923D2C">
        <w:t> </w:t>
      </w:r>
      <w:r w:rsidR="00D64791">
        <w:t xml:space="preserve">50–1 of </w:t>
      </w:r>
      <w:r w:rsidR="00D43FCB">
        <w:t xml:space="preserve">the </w:t>
      </w:r>
      <w:r w:rsidR="00D64791">
        <w:t>main report)</w:t>
      </w:r>
    </w:p>
    <w:p w14:paraId="7203F05C" w14:textId="77777777" w:rsidR="004612E1" w:rsidRDefault="004612E1" w:rsidP="004612E1">
      <w:pPr>
        <w:pStyle w:val="BodyText"/>
      </w:pPr>
      <w:r>
        <w:t>Nellie involves relatively simple technology that can be obtained ‘off the shelf’. It provides friendly text messages with reminders about daily actions to support people to manage their chronic conditions. These text messages are tailored to specific circumstances, after a consultation between the consumer and their GP. The system offers the capacity for information to be relayed back to a health professional.</w:t>
      </w:r>
    </w:p>
    <w:p w14:paraId="1C28EDDD" w14:textId="6907721E" w:rsidR="004612E1" w:rsidRDefault="004612E1" w:rsidP="004612E1">
      <w:pPr>
        <w:pStyle w:val="BodyText"/>
      </w:pPr>
      <w:r>
        <w:t xml:space="preserve">Nellie has been adapted for use in Australia and rolled out by the South Eastern Melbourne Primary Health Network (SEMPHN). Initially trialled in 2016, by 2020 it </w:t>
      </w:r>
      <w:r w:rsidR="001F140B">
        <w:t xml:space="preserve">was being used in </w:t>
      </w:r>
      <w:r>
        <w:t>about 50</w:t>
      </w:r>
      <w:r w:rsidR="006C3E69">
        <w:t> </w:t>
      </w:r>
      <w:r>
        <w:t>general practices.</w:t>
      </w:r>
    </w:p>
    <w:p w14:paraId="6939F540" w14:textId="2AEA249B" w:rsidR="004612E1" w:rsidRDefault="004612E1" w:rsidP="004612E1">
      <w:pPr>
        <w:pStyle w:val="BodyText"/>
      </w:pPr>
      <w:r>
        <w:t>The demonstrated benefits of Nellie include better patient outcomes and experiences, and reduced use of high</w:t>
      </w:r>
      <w:r w:rsidR="005B190E">
        <w:noBreakHyphen/>
      </w:r>
      <w:r>
        <w:t xml:space="preserve">cost healthcare services. Consumers have responded positively to Nellie and patient acceptance rates are high. Health professionals also benefit from using Nellie, as it enables them to provide personalised care without increasing their workload. GPs maintain control over the ways they use Nellie, and are able to focus on specific consumer groups or different aspects of health management (such as blood pressure monitoring, medication reminders, and exercise prompts). </w:t>
      </w:r>
    </w:p>
    <w:p w14:paraId="6F827A67" w14:textId="3F8FC780" w:rsidR="004612E1" w:rsidRDefault="004612E1" w:rsidP="004612E1">
      <w:pPr>
        <w:pStyle w:val="BodyText"/>
      </w:pPr>
      <w:r>
        <w:t>The capacity for the scaling up Nellie has already been proven. The system was initially developed by the UK National Health Service</w:t>
      </w:r>
      <w:r w:rsidR="005B070E">
        <w:t xml:space="preserve"> (NHS)</w:t>
      </w:r>
      <w:r>
        <w:t>, and later adopted by the US</w:t>
      </w:r>
      <w:r w:rsidR="000D01C1">
        <w:t> </w:t>
      </w:r>
      <w:r>
        <w:t>Department of Veterans</w:t>
      </w:r>
      <w:r w:rsidR="000D01C1">
        <w:t xml:space="preserve"> Affairs</w:t>
      </w:r>
      <w:r>
        <w:t>. In the UK, Nellie’s equivalent has been assessed as one of the few successfully scaled innovations throughout the</w:t>
      </w:r>
      <w:r w:rsidR="00755948">
        <w:t xml:space="preserve"> NHS</w:t>
      </w:r>
      <w:r>
        <w:t xml:space="preserve"> and is still rapidly growing. </w:t>
      </w:r>
    </w:p>
    <w:p w14:paraId="7B9EBFAB" w14:textId="31A91B79" w:rsidR="004612E1" w:rsidRDefault="004612E1" w:rsidP="004612E1">
      <w:pPr>
        <w:pStyle w:val="BodyText"/>
      </w:pPr>
      <w:r>
        <w:t xml:space="preserve">Broader diffusion of Nellie would see more GP practices using the software, to tailor goals for consumers and generate reminders. Evidence from Scotland suggests that diffusion is low cost and that adoption rates among general practices can be as high as 60%. </w:t>
      </w:r>
      <w:r w:rsidR="00561D2C">
        <w:t xml:space="preserve">If </w:t>
      </w:r>
      <w:r w:rsidR="00B70D72">
        <w:t xml:space="preserve">similar adoption rates were achieved for </w:t>
      </w:r>
      <w:r>
        <w:t>Nellie</w:t>
      </w:r>
      <w:r w:rsidR="00B70D72">
        <w:t xml:space="preserve">, it </w:t>
      </w:r>
      <w:r>
        <w:t>could ultimately be</w:t>
      </w:r>
      <w:r w:rsidDel="00B70D72">
        <w:t xml:space="preserve"> </w:t>
      </w:r>
      <w:r w:rsidR="00B70D72">
        <w:t xml:space="preserve">used </w:t>
      </w:r>
      <w:r>
        <w:t>by about 4000 Australian general practices, although this goal would likely be achieved over more than a decade, given the pace of diffusion seen in the UK. Currently, Nellie reaches a few hundred people, but t</w:t>
      </w:r>
      <w:r w:rsidRPr="003A23AE">
        <w:t xml:space="preserve">he potential population covered could be </w:t>
      </w:r>
      <w:r w:rsidR="00CA3A59">
        <w:t>over</w:t>
      </w:r>
      <w:r w:rsidRPr="003A23AE">
        <w:t xml:space="preserve"> </w:t>
      </w:r>
      <w:r w:rsidR="00677CB4" w:rsidRPr="00C91DD3">
        <w:t>1</w:t>
      </w:r>
      <w:r w:rsidR="00677CB4">
        <w:t>2</w:t>
      </w:r>
      <w:r w:rsidR="00677CB4" w:rsidRPr="005C4E8E">
        <w:t>0 </w:t>
      </w:r>
      <w:r w:rsidR="00FC1B6A" w:rsidRPr="005C4E8E">
        <w:t>000 per year</w:t>
      </w:r>
      <w:r>
        <w:t>.</w:t>
      </w:r>
      <w:r w:rsidR="007B4104">
        <w:t xml:space="preserve"> Nellie </w:t>
      </w:r>
      <w:r w:rsidR="00F07311">
        <w:t>is</w:t>
      </w:r>
      <w:r w:rsidR="007B4104">
        <w:t xml:space="preserve"> best suited for geographical areas with reliable mobile phone coverage.</w:t>
      </w:r>
    </w:p>
    <w:p w14:paraId="142C05E0" w14:textId="2FB70EB7" w:rsidR="004612E1" w:rsidRDefault="004612E1" w:rsidP="004612E1">
      <w:pPr>
        <w:pStyle w:val="BodyText"/>
      </w:pPr>
      <w:r>
        <w:t xml:space="preserve">PHNs can lead implementation of Nellie given their close ties with GP practices. The Australian Government would </w:t>
      </w:r>
      <w:r w:rsidR="00210874">
        <w:t>probably</w:t>
      </w:r>
      <w:r w:rsidR="006C55F1">
        <w:t xml:space="preserve"> </w:t>
      </w:r>
      <w:r>
        <w:t xml:space="preserve">need to provide some additional funding for this, as </w:t>
      </w:r>
      <w:r>
        <w:lastRenderedPageBreak/>
        <w:t xml:space="preserve">the amount of flexible funding available to PHNs is unlikely to be sufficient to cover new programs without </w:t>
      </w:r>
      <w:r w:rsidR="00CE460D">
        <w:t>compromising</w:t>
      </w:r>
      <w:r>
        <w:t xml:space="preserve"> other successful projects</w:t>
      </w:r>
      <w:r w:rsidR="00441AB4">
        <w:t xml:space="preserve">. </w:t>
      </w:r>
    </w:p>
    <w:p w14:paraId="77EA1480" w14:textId="5BAB55A2" w:rsidR="004612E1" w:rsidRDefault="004612E1" w:rsidP="004612E1">
      <w:pPr>
        <w:pStyle w:val="BodyText"/>
      </w:pPr>
      <w:r>
        <w:t xml:space="preserve">Diffusion would best commence by using the Nellie messaging protocols developed by SEMPHN in all PHNs, and then expanding its use to people with a wider range of chronic health conditions and preventative health activities (such as </w:t>
      </w:r>
      <w:r w:rsidR="00911A02">
        <w:t>blood pressure monitoring for pregnant women</w:t>
      </w:r>
      <w:r>
        <w:t>). There is already practical guidance for clinicians and consumers about how to use it, the types of preventive health areas where it can be used effectively, and its benefits, developed by SEMPHN and the NHS.</w:t>
      </w:r>
    </w:p>
    <w:p w14:paraId="771BE564" w14:textId="06A53356" w:rsidR="00EB3BF3" w:rsidRPr="00A913D4" w:rsidRDefault="00EB3BF3" w:rsidP="00EB3BF3">
      <w:pPr>
        <w:pStyle w:val="Heading4"/>
      </w:pPr>
      <w:r>
        <w:t>Monash Watch (Case study 4, pp.</w:t>
      </w:r>
      <w:r w:rsidR="00923D2C">
        <w:t> </w:t>
      </w:r>
      <w:r>
        <w:t>61–2 of the main report)</w:t>
      </w:r>
    </w:p>
    <w:p w14:paraId="043C3627" w14:textId="77777777" w:rsidR="00EB3BF3" w:rsidRPr="00C35828" w:rsidRDefault="00EB3BF3" w:rsidP="00EB3BF3">
      <w:pPr>
        <w:pStyle w:val="BodyText"/>
      </w:pPr>
      <w:r w:rsidRPr="005459EE">
        <w:t>Monash Watch is a telephone outreach service designed to reduce avoidable hospital admissions.</w:t>
      </w:r>
      <w:r>
        <w:t xml:space="preserve"> The service </w:t>
      </w:r>
      <w:r w:rsidRPr="005459EE">
        <w:t>employs ‘</w:t>
      </w:r>
      <w:r>
        <w:t>Care Guides</w:t>
      </w:r>
      <w:r w:rsidRPr="005459EE">
        <w:t xml:space="preserve">’ who phone participants regularly to monitor their health and wellbeing and encourage them to make healthier choices in their daily life. Using a decision support system, the </w:t>
      </w:r>
      <w:r>
        <w:t>C</w:t>
      </w:r>
      <w:r w:rsidRPr="005459EE">
        <w:t xml:space="preserve">are </w:t>
      </w:r>
      <w:r>
        <w:t>G</w:t>
      </w:r>
      <w:r w:rsidRPr="005459EE">
        <w:t xml:space="preserve">uides refer people to nurses and other health professionals when they need additional help. Interim evaluation results show that Monash Watch is achieving a 20–25% reduction in hospital acute emergency bed days compared </w:t>
      </w:r>
      <w:r>
        <w:t>with</w:t>
      </w:r>
      <w:r w:rsidRPr="005459EE">
        <w:t xml:space="preserve"> usual care, well in excess of the 10% reduction it set out to achieve.</w:t>
      </w:r>
    </w:p>
    <w:p w14:paraId="14F61D5C" w14:textId="64938EAB" w:rsidR="00EB3BF3" w:rsidRPr="00980BC5" w:rsidRDefault="00EB3BF3" w:rsidP="00EB3BF3">
      <w:pPr>
        <w:pStyle w:val="BodyText"/>
        <w:rPr>
          <w:spacing w:val="-2"/>
        </w:rPr>
      </w:pPr>
      <w:r w:rsidRPr="00980BC5">
        <w:rPr>
          <w:spacing w:val="-2"/>
        </w:rPr>
        <w:t xml:space="preserve">The Monash Watch model focuses on the 2% of patients who are at the highest risk of multiple attendances and admissions to hospital. Because these patients account for about 25% of direct health care costs, reducing hospital admissions in this cohort leads to reduced costs. </w:t>
      </w:r>
    </w:p>
    <w:p w14:paraId="40D105D3" w14:textId="62E41F59" w:rsidR="00EB3BF3" w:rsidRPr="002454F9" w:rsidRDefault="00EB3BF3" w:rsidP="00EB3BF3">
      <w:pPr>
        <w:pStyle w:val="BodyText"/>
        <w:rPr>
          <w:lang w:eastAsia="en-US"/>
        </w:rPr>
      </w:pPr>
      <w:r>
        <w:t xml:space="preserve">The model </w:t>
      </w:r>
      <w:r w:rsidRPr="005459EE">
        <w:t>has expanded from its original team and location in Dandenong. Similar programs are now being implemented in other health services across Victoria, including ‘Patient Watch’ at Northern Health.</w:t>
      </w:r>
      <w:r>
        <w:t xml:space="preserve"> It is anticipated that several thousand patients will eventually be enrolled in Patient Watch</w:t>
      </w:r>
      <w:r w:rsidRPr="002454F9">
        <w:rPr>
          <w:lang w:eastAsia="en-US"/>
        </w:rPr>
        <w:t>.</w:t>
      </w:r>
    </w:p>
    <w:p w14:paraId="2DD93A5B" w14:textId="77777777" w:rsidR="00EB3BF3" w:rsidRDefault="00EB3BF3" w:rsidP="00EB3BF3">
      <w:pPr>
        <w:pStyle w:val="BodyText"/>
      </w:pPr>
      <w:r>
        <w:t xml:space="preserve">Consumer feedback on the program has been very positive. The model can be tailored to the different needs of different communities. In particular, because Care Guides are not clinical staff, Care Guides from the same cultural backgrounds as program participants can be hired and trained in a matter of months. </w:t>
      </w:r>
    </w:p>
    <w:p w14:paraId="01A09293" w14:textId="36B3D5E0" w:rsidR="00EB3BF3" w:rsidRDefault="00EB3BF3" w:rsidP="00EB3BF3">
      <w:pPr>
        <w:pStyle w:val="BodyText"/>
      </w:pPr>
      <w:r>
        <w:t xml:space="preserve">The Monash Watch model could easily be replicated in hospitals similar to those in which it is already successfully operating. However, some initial actions are needed to underpin the </w:t>
      </w:r>
      <w:r w:rsidR="00261D0B">
        <w:t>wider rollout of the Monash Watch model</w:t>
      </w:r>
      <w:r>
        <w:t>. Initial steps are:</w:t>
      </w:r>
    </w:p>
    <w:p w14:paraId="0823B8E5" w14:textId="77777777" w:rsidR="00EB3BF3" w:rsidRDefault="00EB3BF3" w:rsidP="00D96F48">
      <w:pPr>
        <w:pStyle w:val="ListBullet"/>
      </w:pPr>
      <w:r>
        <w:t xml:space="preserve">recruiting and training Care Guides, and </w:t>
      </w:r>
    </w:p>
    <w:p w14:paraId="5D78D21A" w14:textId="387D5ABD" w:rsidR="00EB3BF3" w:rsidRDefault="00EB3BF3" w:rsidP="00D96F48">
      <w:pPr>
        <w:pStyle w:val="ListBullet"/>
      </w:pPr>
      <w:r>
        <w:t>identifying the people who would benefit most from the program.</w:t>
      </w:r>
    </w:p>
    <w:p w14:paraId="7F211B87" w14:textId="3B54AC0F" w:rsidR="00EB3BF3" w:rsidRDefault="00EB3BF3" w:rsidP="00EB3BF3">
      <w:pPr>
        <w:pStyle w:val="BodyText"/>
      </w:pPr>
      <w:r>
        <w:t xml:space="preserve">In Victoria, the identification of relevant program participants is done using the </w:t>
      </w:r>
      <w:proofErr w:type="spellStart"/>
      <w:r>
        <w:t>HealthLinks</w:t>
      </w:r>
      <w:proofErr w:type="spellEnd"/>
      <w:r>
        <w:t xml:space="preserve"> algorithm</w:t>
      </w:r>
      <w:r w:rsidR="00D96F48">
        <w:t xml:space="preserve"> (see below)</w:t>
      </w:r>
      <w:r>
        <w:t xml:space="preserve">. All jurisdictions have the data required for similar algorithms (as this data is collected routinely in all hospitals), and have the potential to link and analyse the data in ways that identify possible participants. </w:t>
      </w:r>
    </w:p>
    <w:p w14:paraId="3429F7BD" w14:textId="38E135E5" w:rsidR="00EB3BF3" w:rsidRDefault="00EB3BF3" w:rsidP="00EB3BF3">
      <w:pPr>
        <w:pStyle w:val="BodyText"/>
      </w:pPr>
      <w:r>
        <w:lastRenderedPageBreak/>
        <w:t xml:space="preserve">Funding may also present a barrier to the broader adoption of the Monash Watch initiative in the short term. </w:t>
      </w:r>
      <w:r w:rsidR="006C3653">
        <w:t xml:space="preserve">As </w:t>
      </w:r>
      <w:r>
        <w:t>it is a hospital</w:t>
      </w:r>
      <w:r w:rsidR="005B190E">
        <w:noBreakHyphen/>
      </w:r>
      <w:r>
        <w:t xml:space="preserve">based program, the wider adoption of the Monash Watch model would involve LHNs and State and Territory Governments. The current model is funded using capitation payments under the </w:t>
      </w:r>
      <w:proofErr w:type="spellStart"/>
      <w:r>
        <w:t>HealthLinks</w:t>
      </w:r>
      <w:proofErr w:type="spellEnd"/>
      <w:r>
        <w:t xml:space="preserve"> initiative. While this requires a change in how funding is allocated, there is no increase in costs associated with the service. The Commission is recommending that other jurisdictions </w:t>
      </w:r>
      <w:r w:rsidR="006C3653">
        <w:t xml:space="preserve">consider </w:t>
      </w:r>
      <w:r>
        <w:t>trials of capitation payments (recommendation 2).</w:t>
      </w:r>
    </w:p>
    <w:p w14:paraId="675127B0" w14:textId="79C95C63" w:rsidR="00FC6628" w:rsidRDefault="00FC6628" w:rsidP="00FC6628">
      <w:pPr>
        <w:pStyle w:val="Heading4"/>
      </w:pPr>
      <w:r>
        <w:t>Primary Sense</w:t>
      </w:r>
      <w:r w:rsidR="00600383">
        <w:t xml:space="preserve"> (</w:t>
      </w:r>
      <w:r w:rsidR="00B62611">
        <w:t xml:space="preserve">Case study </w:t>
      </w:r>
      <w:r w:rsidR="00C71779">
        <w:t>11</w:t>
      </w:r>
      <w:r w:rsidR="00B62611">
        <w:t>, pp.</w:t>
      </w:r>
      <w:r w:rsidR="00923D2C">
        <w:t> </w:t>
      </w:r>
      <w:r w:rsidR="00C71779">
        <w:t>121</w:t>
      </w:r>
      <w:r w:rsidR="00B62611">
        <w:t>–</w:t>
      </w:r>
      <w:r w:rsidR="00391C37">
        <w:t>2</w:t>
      </w:r>
      <w:r w:rsidR="00B62611">
        <w:t xml:space="preserve"> of </w:t>
      </w:r>
      <w:r w:rsidR="00D43FCB">
        <w:t xml:space="preserve">the </w:t>
      </w:r>
      <w:r w:rsidR="00B62611">
        <w:t>main report)</w:t>
      </w:r>
    </w:p>
    <w:p w14:paraId="75A4AA22" w14:textId="012BBC25" w:rsidR="00EF4B30" w:rsidRPr="00A41014" w:rsidRDefault="00A41014" w:rsidP="00A41014">
      <w:pPr>
        <w:pStyle w:val="BodyText"/>
      </w:pPr>
      <w:r w:rsidRPr="00A41014">
        <w:t xml:space="preserve">Primary Sense is data extraction and analysis software developed by Gold Coast PHN that does not require GPs to enter additional information or change their workflows. The software provides alerts to GPs about </w:t>
      </w:r>
      <w:r w:rsidR="00EF4B30" w:rsidRPr="00A41014">
        <w:t xml:space="preserve">people at risk of </w:t>
      </w:r>
      <w:r w:rsidRPr="00A41014">
        <w:t xml:space="preserve">developing </w:t>
      </w:r>
      <w:r w:rsidR="00EF4B30" w:rsidRPr="00A41014">
        <w:t xml:space="preserve">cardiovascular disease, diabetes </w:t>
      </w:r>
      <w:r w:rsidRPr="00A41014">
        <w:t>or being admitted to hospital</w:t>
      </w:r>
      <w:r w:rsidR="00EF4B30" w:rsidRPr="00A41014">
        <w:t xml:space="preserve"> within the next 12</w:t>
      </w:r>
      <w:r w:rsidR="00ED1F14">
        <w:t> </w:t>
      </w:r>
      <w:r w:rsidR="00EF4B30" w:rsidRPr="00A41014">
        <w:t>months</w:t>
      </w:r>
      <w:r w:rsidRPr="00A41014">
        <w:t xml:space="preserve">; </w:t>
      </w:r>
      <w:r w:rsidR="00EF4B30" w:rsidRPr="00A41014">
        <w:t>people with high frailty scores</w:t>
      </w:r>
      <w:r w:rsidRPr="00A41014">
        <w:t>; and those</w:t>
      </w:r>
      <w:r w:rsidR="00EF4B30" w:rsidRPr="00A41014">
        <w:t xml:space="preserve"> who use a large proportion of health resources</w:t>
      </w:r>
      <w:r w:rsidRPr="00A41014">
        <w:t xml:space="preserve">. It also provides </w:t>
      </w:r>
      <w:r w:rsidR="00EF4B30" w:rsidRPr="00A41014">
        <w:t>real</w:t>
      </w:r>
      <w:r w:rsidR="00C30C26">
        <w:noBreakHyphen/>
      </w:r>
      <w:r w:rsidR="00EF4B30" w:rsidRPr="00A41014">
        <w:t>time medication safety alerts and optimal care prompts.</w:t>
      </w:r>
    </w:p>
    <w:p w14:paraId="669A8CCB" w14:textId="4A81B5B7" w:rsidR="004D42AA" w:rsidRPr="005949BD" w:rsidRDefault="004D42AA" w:rsidP="004D42AA">
      <w:pPr>
        <w:pStyle w:val="BodyText"/>
        <w:rPr>
          <w:spacing w:val="-2"/>
        </w:rPr>
      </w:pPr>
      <w:r w:rsidRPr="005949BD">
        <w:rPr>
          <w:spacing w:val="-2"/>
        </w:rPr>
        <w:t>General practice staff find Primary Sense easy and intuitive to use. GPs like that messages are tailored to risk level and that</w:t>
      </w:r>
      <w:r w:rsidR="009A68D1" w:rsidRPr="005949BD">
        <w:rPr>
          <w:spacing w:val="-2"/>
        </w:rPr>
        <w:t>,</w:t>
      </w:r>
      <w:r w:rsidRPr="005949BD">
        <w:rPr>
          <w:spacing w:val="-2"/>
        </w:rPr>
        <w:t xml:space="preserve"> in higher</w:t>
      </w:r>
      <w:r w:rsidR="00C51C0E" w:rsidRPr="005949BD">
        <w:rPr>
          <w:spacing w:val="-2"/>
        </w:rPr>
        <w:noBreakHyphen/>
      </w:r>
      <w:r w:rsidRPr="005949BD">
        <w:rPr>
          <w:spacing w:val="-2"/>
        </w:rPr>
        <w:t xml:space="preserve">risk scenarios, they receive messages in their inbox for processing in the same way </w:t>
      </w:r>
      <w:r w:rsidR="009A68D1" w:rsidRPr="005949BD">
        <w:rPr>
          <w:spacing w:val="-2"/>
        </w:rPr>
        <w:t xml:space="preserve">as </w:t>
      </w:r>
      <w:r w:rsidRPr="005949BD">
        <w:rPr>
          <w:spacing w:val="-2"/>
        </w:rPr>
        <w:t>they already receive pathology results. Practice managers and nurses like that it provides reports showing activities that should occur at patients’ next visit, and reminders to recall patients based on missing interventions. Patients benefit from the reminders, and from more timely preventive care. Uptake in the Gold Coast is high — it is now being used in 83</w:t>
      </w:r>
      <w:r w:rsidR="00626F0F" w:rsidRPr="005949BD">
        <w:rPr>
          <w:spacing w:val="-2"/>
        </w:rPr>
        <w:t> </w:t>
      </w:r>
      <w:r w:rsidRPr="005949BD">
        <w:rPr>
          <w:spacing w:val="-2"/>
        </w:rPr>
        <w:t>general practices, serving 90% of the region’s population.</w:t>
      </w:r>
    </w:p>
    <w:p w14:paraId="491FDC6D" w14:textId="74D3B193" w:rsidR="00EF4B30" w:rsidRPr="009C12B2" w:rsidRDefault="004D42AA" w:rsidP="00994691">
      <w:pPr>
        <w:pStyle w:val="BodyText"/>
        <w:rPr>
          <w:spacing w:val="-2"/>
        </w:rPr>
      </w:pPr>
      <w:r w:rsidRPr="00A41014">
        <w:t xml:space="preserve">Gold Coast PHN </w:t>
      </w:r>
      <w:r>
        <w:t xml:space="preserve">has already funded the development </w:t>
      </w:r>
      <w:r w:rsidR="009560D0">
        <w:t>of</w:t>
      </w:r>
      <w:r>
        <w:t xml:space="preserve"> Primary Sense, and is now looking to make it available to other PHNs on a </w:t>
      </w:r>
      <w:r w:rsidR="002A6B10">
        <w:t>cost</w:t>
      </w:r>
      <w:r w:rsidR="005B190E">
        <w:noBreakHyphen/>
      </w:r>
      <w:r w:rsidR="002A6B10">
        <w:t xml:space="preserve">recovery basis. </w:t>
      </w:r>
      <w:r w:rsidR="00A00C9B">
        <w:t xml:space="preserve">This means that </w:t>
      </w:r>
      <w:r w:rsidR="007C1300">
        <w:t>Primary Sense</w:t>
      </w:r>
      <w:r w:rsidR="007C1300">
        <w:rPr>
          <w:spacing w:val="-2"/>
        </w:rPr>
        <w:t xml:space="preserve"> can be implemented by additional PHNs within a relatively short time frame</w:t>
      </w:r>
      <w:r w:rsidR="009A757B">
        <w:rPr>
          <w:spacing w:val="-2"/>
        </w:rPr>
        <w:t xml:space="preserve"> if they are willing to </w:t>
      </w:r>
      <w:r w:rsidR="007810B2">
        <w:rPr>
          <w:spacing w:val="-2"/>
        </w:rPr>
        <w:t>purchase the software and train staff to support GPs using it. H</w:t>
      </w:r>
      <w:r w:rsidR="00C16A03">
        <w:rPr>
          <w:spacing w:val="-2"/>
        </w:rPr>
        <w:t xml:space="preserve">owever, there are similar </w:t>
      </w:r>
      <w:r w:rsidR="00E6100C">
        <w:rPr>
          <w:spacing w:val="-2"/>
        </w:rPr>
        <w:t>software packages on the market</w:t>
      </w:r>
      <w:r w:rsidR="00812EF3">
        <w:rPr>
          <w:spacing w:val="-2"/>
        </w:rPr>
        <w:t xml:space="preserve">, which Primary Sense will </w:t>
      </w:r>
      <w:r w:rsidR="00F9325E">
        <w:rPr>
          <w:spacing w:val="-2"/>
        </w:rPr>
        <w:t xml:space="preserve">have to </w:t>
      </w:r>
      <w:r w:rsidR="00812EF3">
        <w:rPr>
          <w:spacing w:val="-2"/>
        </w:rPr>
        <w:t>compete with</w:t>
      </w:r>
      <w:r w:rsidR="00925DF8">
        <w:rPr>
          <w:spacing w:val="-2"/>
        </w:rPr>
        <w:t xml:space="preserve"> and PHNs will have to determine whether this solution is commercially viable in their area</w:t>
      </w:r>
      <w:r w:rsidR="00994691">
        <w:rPr>
          <w:spacing w:val="-2"/>
        </w:rPr>
        <w:t xml:space="preserve">. </w:t>
      </w:r>
    </w:p>
    <w:p w14:paraId="0C5B7225" w14:textId="7E308906" w:rsidR="00A23A17" w:rsidRDefault="00A23A17" w:rsidP="00A23A17">
      <w:pPr>
        <w:pStyle w:val="Heading4"/>
      </w:pPr>
      <w:r>
        <w:t>Smart Referrals (Case study 13, p.</w:t>
      </w:r>
      <w:r w:rsidR="00923D2C">
        <w:t> </w:t>
      </w:r>
      <w:r>
        <w:t>130 of the main report)</w:t>
      </w:r>
    </w:p>
    <w:p w14:paraId="2B36B655" w14:textId="2CA3B1D5" w:rsidR="00A23A17" w:rsidRDefault="00A23A17" w:rsidP="00A23A17">
      <w:pPr>
        <w:pStyle w:val="BodyText"/>
      </w:pPr>
      <w:r w:rsidRPr="005C4E8E">
        <w:t>Queensland Health’s Smart Referrals uses software to streamline referrals between general practice and specialist services and improve wait times for outpatient services.</w:t>
      </w:r>
      <w:r w:rsidRPr="00D34AA5">
        <w:t xml:space="preserve"> </w:t>
      </w:r>
      <w:r>
        <w:t>Smart Referrals</w:t>
      </w:r>
      <w:r w:rsidRPr="00297ADC">
        <w:t xml:space="preserve"> allows GPs to create and submit electronic referrals from existing practice software and pre</w:t>
      </w:r>
      <w:r>
        <w:noBreakHyphen/>
      </w:r>
      <w:r w:rsidRPr="00297ADC">
        <w:t>fills</w:t>
      </w:r>
      <w:r>
        <w:t xml:space="preserve"> basic client information. The software is scalable — once </w:t>
      </w:r>
      <w:r w:rsidR="00C73854">
        <w:t xml:space="preserve">it was </w:t>
      </w:r>
      <w:r>
        <w:t xml:space="preserve">developed and shown to work </w:t>
      </w:r>
      <w:r w:rsidR="006B48BA">
        <w:t>in</w:t>
      </w:r>
      <w:r>
        <w:t xml:space="preserve"> the pilot phase</w:t>
      </w:r>
      <w:r w:rsidR="00C73854">
        <w:t xml:space="preserve"> in Queensland</w:t>
      </w:r>
      <w:r>
        <w:t xml:space="preserve">, the main expansion costs </w:t>
      </w:r>
      <w:r w:rsidR="00C73854">
        <w:t xml:space="preserve">were </w:t>
      </w:r>
      <w:r w:rsidR="006B48BA">
        <w:t>incurred to</w:t>
      </w:r>
      <w:r w:rsidR="00C73854">
        <w:t xml:space="preserve"> </w:t>
      </w:r>
      <w:r>
        <w:t>familiaris</w:t>
      </w:r>
      <w:r w:rsidR="006B48BA">
        <w:t>e</w:t>
      </w:r>
      <w:r>
        <w:t xml:space="preserve"> clinicians with the software. Indeed, Smart Referrals </w:t>
      </w:r>
      <w:r w:rsidR="00872614">
        <w:t>was</w:t>
      </w:r>
      <w:r>
        <w:t xml:space="preserve"> scaled up </w:t>
      </w:r>
      <w:proofErr w:type="spellStart"/>
      <w:r>
        <w:t>statewide</w:t>
      </w:r>
      <w:proofErr w:type="spellEnd"/>
      <w:r>
        <w:t xml:space="preserve"> by Queensland Health over two years following a successful trial in Brisbane in 2018, an indication of the speed of adoption of some innovative initiatives.</w:t>
      </w:r>
    </w:p>
    <w:p w14:paraId="24C6F95E" w14:textId="77777777" w:rsidR="006B48BA" w:rsidRDefault="0012734D" w:rsidP="00A23A17">
      <w:pPr>
        <w:pStyle w:val="BodyText"/>
      </w:pPr>
      <w:r>
        <w:lastRenderedPageBreak/>
        <w:t xml:space="preserve">Other jurisdictions </w:t>
      </w:r>
      <w:r w:rsidR="00AB3801">
        <w:t>are considering</w:t>
      </w:r>
      <w:r w:rsidR="00094665">
        <w:t xml:space="preserve"> or working towards</w:t>
      </w:r>
      <w:r w:rsidR="00AB3801">
        <w:t xml:space="preserve"> introducing systems that will streamline referral processes. </w:t>
      </w:r>
      <w:r w:rsidR="00094665">
        <w:t xml:space="preserve">The Smart Referral system, or the principles upon which it operates, can shed light on important features that need to be incorporated, such as giving consumers information about expected wait times for their specialist appointment. </w:t>
      </w:r>
    </w:p>
    <w:p w14:paraId="0BE9005D" w14:textId="4605935D" w:rsidR="0012734D" w:rsidRDefault="006B48BA" w:rsidP="00A23A17">
      <w:pPr>
        <w:pStyle w:val="BodyText"/>
      </w:pPr>
      <w:r>
        <w:t xml:space="preserve">Smart Referrals is part of a broader strategy </w:t>
      </w:r>
      <w:r w:rsidR="00AD324F">
        <w:t xml:space="preserve">to address long </w:t>
      </w:r>
      <w:r w:rsidR="008D04A8">
        <w:t xml:space="preserve">waiting times for specialists. </w:t>
      </w:r>
      <w:r w:rsidR="008F0DD4">
        <w:t xml:space="preserve">LHNs </w:t>
      </w:r>
      <w:r w:rsidR="00723651">
        <w:t>could also</w:t>
      </w:r>
      <w:r w:rsidR="008F0DD4">
        <w:t xml:space="preserve"> </w:t>
      </w:r>
      <w:r w:rsidR="00FC1AFF">
        <w:t xml:space="preserve">tackle waiting lists </w:t>
      </w:r>
      <w:r w:rsidR="00D87A98">
        <w:t>by</w:t>
      </w:r>
      <w:r w:rsidR="007937DE">
        <w:t xml:space="preserve"> employing specially trained GPs</w:t>
      </w:r>
      <w:r w:rsidR="00B37BCE">
        <w:t xml:space="preserve"> (known as GPs with special interest)</w:t>
      </w:r>
      <w:r w:rsidR="007937DE">
        <w:t>, who can provide care for some people</w:t>
      </w:r>
      <w:r w:rsidR="00EB479D">
        <w:t xml:space="preserve"> </w:t>
      </w:r>
      <w:r w:rsidR="009D73B5">
        <w:t xml:space="preserve">who would otherwise </w:t>
      </w:r>
      <w:r w:rsidR="00EB479D">
        <w:t xml:space="preserve">need </w:t>
      </w:r>
      <w:r w:rsidR="009D73B5">
        <w:t>to see</w:t>
      </w:r>
      <w:r w:rsidR="00EB479D">
        <w:t xml:space="preserve"> specialists. This </w:t>
      </w:r>
      <w:r w:rsidR="00FC1AFF">
        <w:t>approach</w:t>
      </w:r>
      <w:r w:rsidR="00EB479D">
        <w:t xml:space="preserve"> has been used successfully in Australia and overseas, and could be beneficial in</w:t>
      </w:r>
      <w:r w:rsidR="00CE460D">
        <w:t xml:space="preserve"> regions</w:t>
      </w:r>
      <w:r w:rsidR="00EB479D">
        <w:t xml:space="preserve"> where there are sufficient numbers of GPs</w:t>
      </w:r>
      <w:r w:rsidR="00CE460D">
        <w:t xml:space="preserve"> to fill hospital positions</w:t>
      </w:r>
      <w:r w:rsidR="00EB479D">
        <w:t xml:space="preserve">. </w:t>
      </w:r>
      <w:r w:rsidR="00B37BCE">
        <w:t xml:space="preserve">GPs with special interest are discussed further </w:t>
      </w:r>
      <w:r w:rsidR="00974B70">
        <w:t>below</w:t>
      </w:r>
      <w:r w:rsidR="00094665">
        <w:t xml:space="preserve">. </w:t>
      </w:r>
    </w:p>
    <w:p w14:paraId="19388899" w14:textId="1CFA5E0B" w:rsidR="00A23A17" w:rsidRDefault="00A23A17" w:rsidP="00A23A17">
      <w:pPr>
        <w:pStyle w:val="Heading4"/>
      </w:pPr>
      <w:r w:rsidRPr="00B971E8">
        <w:t>Lumos</w:t>
      </w:r>
      <w:r>
        <w:t xml:space="preserve"> (Case study 14, pp.</w:t>
      </w:r>
      <w:r w:rsidR="00923D2C">
        <w:t> </w:t>
      </w:r>
      <w:r>
        <w:t>133–4 of the main report)</w:t>
      </w:r>
    </w:p>
    <w:p w14:paraId="28DD0D2E" w14:textId="3A12EF5A" w:rsidR="00A23A17" w:rsidRPr="00BD6413" w:rsidRDefault="00A23A17" w:rsidP="00A23A17">
      <w:pPr>
        <w:pStyle w:val="BodyText"/>
      </w:pPr>
      <w:r>
        <w:t>Lumos is a large</w:t>
      </w:r>
      <w:r w:rsidR="005B190E">
        <w:noBreakHyphen/>
      </w:r>
      <w:r>
        <w:t>scale data linkage project. It brings together consumer data across primary, ambulance, acute care, cancer registry, death registry and notifiable conditions registries to enhance understanding of the consumer journey through the healthcare system and inform policy and planning. It is the largest collaboration between NSW Health and PHNs in New South Wales, and has information about two million consumer journeys. The data has been used in many ways, from identifying how specific GP practices can change their service delivery to match the</w:t>
      </w:r>
      <w:r w:rsidR="00D34DC0">
        <w:t xml:space="preserve"> needs of</w:t>
      </w:r>
      <w:r>
        <w:t xml:space="preserve"> their community, to running complex modelling.</w:t>
      </w:r>
    </w:p>
    <w:p w14:paraId="434F6F02" w14:textId="13D68C1D" w:rsidR="00A23A17" w:rsidRDefault="00A23A17" w:rsidP="00A23A17">
      <w:pPr>
        <w:pStyle w:val="BodyText"/>
      </w:pPr>
      <w:r>
        <w:t xml:space="preserve">There are health data linkage projects in other jurisdictions (such as the WA Data Linkage system), as well as a national initiative to enhance data linkage infrastructure, as part of the </w:t>
      </w:r>
      <w:r w:rsidRPr="000A0414">
        <w:t>Population Health Research Network</w:t>
      </w:r>
      <w:r>
        <w:t>. PHNs are also working to support better use of data and analytics in primary care.</w:t>
      </w:r>
    </w:p>
    <w:p w14:paraId="59627CA3" w14:textId="77777777" w:rsidR="00A23A17" w:rsidRDefault="00A23A17" w:rsidP="00A23A17">
      <w:pPr>
        <w:pStyle w:val="BodyText"/>
      </w:pPr>
      <w:r>
        <w:t>What sets Lumos apart is its success in engaging a wide range of system users and building a case for ongoing use of linked data, both in the routine operation of health services and the broader planning of system reform. To achieve this, the Lumos project team had to overcome common barriers to improving the use of health data. In particular, they have addressed privacy concerns by undertaking comprehensive privacy assessments and consulting widely on the privacy protections built into the system. They have also gained and maintained the trust of data providers and users by demonstrating the value the data can deliver.</w:t>
      </w:r>
    </w:p>
    <w:p w14:paraId="32545C0C" w14:textId="77777777" w:rsidR="00A23A17" w:rsidRDefault="00A23A17" w:rsidP="00A23A17">
      <w:pPr>
        <w:pStyle w:val="BodyText"/>
      </w:pPr>
      <w:r>
        <w:t xml:space="preserve">The Lumos project started in 2016, with only </w:t>
      </w:r>
      <w:r w:rsidRPr="00EF0033">
        <w:rPr>
          <w:spacing w:val="-4"/>
        </w:rPr>
        <w:t>40 general practices across four PHNs.</w:t>
      </w:r>
      <w:r>
        <w:rPr>
          <w:spacing w:val="-4"/>
        </w:rPr>
        <w:t xml:space="preserve"> The PHNs that participated in the pilot phase were able to use their existing relationships with GPs to recruit them to the project. After further development of data systems, Lumos now collects data from over</w:t>
      </w:r>
      <w:r w:rsidRPr="00EF0033">
        <w:rPr>
          <w:spacing w:val="-4"/>
        </w:rPr>
        <w:t xml:space="preserve"> 300 practices (representing all 10 PHNs</w:t>
      </w:r>
      <w:r>
        <w:rPr>
          <w:spacing w:val="-4"/>
        </w:rPr>
        <w:t xml:space="preserve"> in New South Wales</w:t>
      </w:r>
      <w:r w:rsidRPr="00EF0033">
        <w:rPr>
          <w:spacing w:val="-4"/>
        </w:rPr>
        <w:t>) involved in the program.</w:t>
      </w:r>
      <w:r>
        <w:t xml:space="preserve"> In addition to maintaining collaborative relationships, the expansion of Lumos required ongoing funding commitments to be sustained over time. </w:t>
      </w:r>
    </w:p>
    <w:p w14:paraId="695C023D" w14:textId="6474761D" w:rsidR="00A23A17" w:rsidRPr="00980BC5" w:rsidRDefault="00A23A17" w:rsidP="00A23A17">
      <w:pPr>
        <w:pStyle w:val="BodyText"/>
        <w:rPr>
          <w:spacing w:val="-2"/>
        </w:rPr>
      </w:pPr>
      <w:r w:rsidRPr="005949BD">
        <w:rPr>
          <w:spacing w:val="-2"/>
        </w:rPr>
        <w:t xml:space="preserve">Departments of Health in all jurisdictions are progressing data projects, and these should continue, with the aim to reach the scale of Lumos. Data linkages involving multiple parts of the health system can yield insights and sustain further innovation (for instance, Lumos is used </w:t>
      </w:r>
      <w:r w:rsidRPr="005949BD">
        <w:rPr>
          <w:spacing w:val="-2"/>
        </w:rPr>
        <w:lastRenderedPageBreak/>
        <w:t xml:space="preserve">to develop and evaluate the Collaborative Commissioning initiative). In some cases, data linkage projects are impeded by concerns about privacy and compliance with legislative requirements. While the Lumos experience shows how these can be overcome, the Commission’s </w:t>
      </w:r>
      <w:r w:rsidRPr="005949BD">
        <w:rPr>
          <w:i/>
          <w:spacing w:val="-2"/>
        </w:rPr>
        <w:t>Data Availability and Use</w:t>
      </w:r>
      <w:r w:rsidRPr="005949BD">
        <w:rPr>
          <w:spacing w:val="-2"/>
        </w:rPr>
        <w:t xml:space="preserve"> inquiry made recommendations to create an environment that would promote further innovation. Some of these recommendations are being implemented by the Australian Government. The ongoing commitment of governments to facilitate greater use of health data (and use more data themselves) will cement </w:t>
      </w:r>
      <w:r w:rsidR="00E25A5D" w:rsidRPr="005949BD">
        <w:rPr>
          <w:spacing w:val="-2"/>
        </w:rPr>
        <w:t xml:space="preserve">community acceptance of </w:t>
      </w:r>
      <w:r w:rsidR="000C0F0D" w:rsidRPr="005949BD">
        <w:rPr>
          <w:spacing w:val="-2"/>
        </w:rPr>
        <w:t>providing and using data</w:t>
      </w:r>
      <w:r w:rsidRPr="005949BD">
        <w:rPr>
          <w:spacing w:val="-2"/>
        </w:rPr>
        <w:t xml:space="preserve"> required to make the most of data assets. </w:t>
      </w:r>
    </w:p>
    <w:p w14:paraId="51101C8B" w14:textId="4A3D39DD" w:rsidR="00A23A17" w:rsidRPr="006A08DF" w:rsidRDefault="00A23A17" w:rsidP="00D87A98">
      <w:pPr>
        <w:pStyle w:val="Heading4"/>
      </w:pPr>
      <w:proofErr w:type="spellStart"/>
      <w:r w:rsidRPr="009D73B5">
        <w:t>HealthLinks</w:t>
      </w:r>
      <w:proofErr w:type="spellEnd"/>
      <w:r w:rsidRPr="009D73B5">
        <w:t xml:space="preserve"> (Case study 17, pp.</w:t>
      </w:r>
      <w:r w:rsidR="00923D2C">
        <w:t> </w:t>
      </w:r>
      <w:r w:rsidRPr="009D73B5">
        <w:t>161–3 of the main report)</w:t>
      </w:r>
    </w:p>
    <w:p w14:paraId="7223D324" w14:textId="77777777" w:rsidR="00A23A17" w:rsidRDefault="00A23A17" w:rsidP="00A23A17">
      <w:pPr>
        <w:pStyle w:val="BodyText"/>
      </w:pPr>
      <w:proofErr w:type="spellStart"/>
      <w:r>
        <w:t>HealthLinks</w:t>
      </w:r>
      <w:proofErr w:type="spellEnd"/>
      <w:r>
        <w:t xml:space="preserve"> is a Victorian initiative that provides more flexible funding to hospitals to test whether it leads to the delivery of more integrated and innovative care. Such care may provide better experiences and outcomes for people with chronic conditions and by design, at no additional cost to the public health system. The initiative was trialled from 2016</w:t>
      </w:r>
      <w:r>
        <w:noBreakHyphen/>
        <w:t>17 to 2018</w:t>
      </w:r>
      <w:r>
        <w:noBreakHyphen/>
        <w:t>19. For the first two years, the Victorian Government fully funded the trial, with the Australian Government joining from 2018</w:t>
      </w:r>
      <w:r>
        <w:noBreakHyphen/>
        <w:t>19. Five hospitals were participating in the program in 2020</w:t>
      </w:r>
      <w:r>
        <w:noBreakHyphen/>
        <w:t>21.</w:t>
      </w:r>
    </w:p>
    <w:p w14:paraId="6367F354" w14:textId="77777777" w:rsidR="00A23A17" w:rsidRDefault="00A23A17" w:rsidP="00A23A17">
      <w:pPr>
        <w:pStyle w:val="BodyText"/>
      </w:pPr>
      <w:proofErr w:type="spellStart"/>
      <w:r>
        <w:t>HealthLinks</w:t>
      </w:r>
      <w:proofErr w:type="spellEnd"/>
      <w:r>
        <w:t xml:space="preserve"> focuses on people with chronic and complex health conditions who are at risk of three or more unplanned hospital admissions in a 12</w:t>
      </w:r>
      <w:r>
        <w:noBreakHyphen/>
        <w:t xml:space="preserve">month period. People are identified using an algorithm applied to the Department of Health’s hospitals datasets, and are enrolled in the program after an unplanned admission. </w:t>
      </w:r>
    </w:p>
    <w:p w14:paraId="25EEC30C" w14:textId="77777777" w:rsidR="00A23A17" w:rsidRDefault="00A23A17" w:rsidP="00A23A17">
      <w:pPr>
        <w:pStyle w:val="BodyText"/>
      </w:pPr>
      <w:r>
        <w:t xml:space="preserve">Under the </w:t>
      </w:r>
      <w:proofErr w:type="spellStart"/>
      <w:r>
        <w:t>HealthLinks</w:t>
      </w:r>
      <w:proofErr w:type="spellEnd"/>
      <w:r>
        <w:t xml:space="preserve"> model, participating hospitals receive funding for the enrolled cohort as a capitation grant, rather than the activity</w:t>
      </w:r>
      <w:r>
        <w:noBreakHyphen/>
        <w:t xml:space="preserve">based funding they would have received from the Australian and </w:t>
      </w:r>
      <w:r w:rsidRPr="00332EA4">
        <w:t xml:space="preserve">Victorian Governments. The capitation grant is </w:t>
      </w:r>
      <w:r>
        <w:t>calculated</w:t>
      </w:r>
      <w:r w:rsidRPr="00332EA4">
        <w:t xml:space="preserve"> on </w:t>
      </w:r>
      <w:r w:rsidRPr="00157609">
        <w:t xml:space="preserve">the expected </w:t>
      </w:r>
      <w:r>
        <w:t>use of inpatient activity</w:t>
      </w:r>
      <w:r>
        <w:noBreakHyphen/>
        <w:t>based funding units,</w:t>
      </w:r>
      <w:r w:rsidRPr="00157609">
        <w:t xml:space="preserve"> </w:t>
      </w:r>
      <w:r w:rsidRPr="00967D3C">
        <w:t xml:space="preserve">based on data from the previous </w:t>
      </w:r>
      <w:r>
        <w:t xml:space="preserve">five </w:t>
      </w:r>
      <w:r w:rsidRPr="00967D3C">
        <w:t>year</w:t>
      </w:r>
      <w:r>
        <w:t>s</w:t>
      </w:r>
      <w:r w:rsidRPr="00332EA4">
        <w:t>.</w:t>
      </w:r>
      <w:r>
        <w:t xml:space="preserve"> </w:t>
      </w:r>
    </w:p>
    <w:p w14:paraId="53BD5B8E" w14:textId="77777777" w:rsidR="00A23A17" w:rsidRDefault="00A23A17" w:rsidP="00A23A17">
      <w:pPr>
        <w:pStyle w:val="BodyText"/>
      </w:pPr>
      <w:r>
        <w:t xml:space="preserve">The funding allocation to </w:t>
      </w:r>
      <w:proofErr w:type="spellStart"/>
      <w:r>
        <w:t>HealthLinks</w:t>
      </w:r>
      <w:proofErr w:type="spellEnd"/>
      <w:r>
        <w:t xml:space="preserve"> remains relatively small.</w:t>
      </w:r>
      <w:r w:rsidRPr="00332EA4">
        <w:t xml:space="preserve"> </w:t>
      </w:r>
      <w:r>
        <w:t>In 2016</w:t>
      </w:r>
      <w:r>
        <w:noBreakHyphen/>
        <w:t xml:space="preserve">17, about $40 million was converted to capitation grants (about 0.25% of the $16 billion recurrent expenditure on Victorian public hospitals). </w:t>
      </w:r>
      <w:r w:rsidRPr="00157609">
        <w:t>Th</w:t>
      </w:r>
      <w:r>
        <w:t>e</w:t>
      </w:r>
      <w:r w:rsidRPr="00157609">
        <w:t xml:space="preserve"> capitation grant must be used to cover all services provided</w:t>
      </w:r>
      <w:r>
        <w:t xml:space="preserve"> to the cohort, including hospital inpatient admissions and the alternative </w:t>
      </w:r>
      <w:proofErr w:type="spellStart"/>
      <w:r>
        <w:t>HealthLinks</w:t>
      </w:r>
      <w:proofErr w:type="spellEnd"/>
      <w:r>
        <w:t xml:space="preserve"> services provided.</w:t>
      </w:r>
    </w:p>
    <w:p w14:paraId="226E3945" w14:textId="77777777" w:rsidR="00A23A17" w:rsidRDefault="00A23A17" w:rsidP="00A23A17">
      <w:pPr>
        <w:pStyle w:val="BodyText"/>
      </w:pPr>
      <w:r>
        <w:t>Capitation payments have long been suggested as a suitable mechanism to fund health services required by people with chronic conditions. There are several other options that have been trialled over time, included the bundled payment approach used to fund Health Care Homes and collaborative approaches (see below). These can be complementary given that Health Care Homes relate only to primary care services and are intended to move primary care to a ‘patient</w:t>
      </w:r>
      <w:r>
        <w:noBreakHyphen/>
        <w:t xml:space="preserve">centred medical home’, which is a proven model for improving consumer outcomes. </w:t>
      </w:r>
    </w:p>
    <w:p w14:paraId="7997C801" w14:textId="77777777" w:rsidR="00A23A17" w:rsidRDefault="00A23A17" w:rsidP="00A23A17">
      <w:pPr>
        <w:pStyle w:val="BodyText"/>
      </w:pPr>
      <w:r>
        <w:t xml:space="preserve">As part of the Addendum to the National Health Reform Agreement, all jurisdictions agreed to trial alternative payment mechanisms and advance funding reform. The Independent </w:t>
      </w:r>
      <w:r>
        <w:lastRenderedPageBreak/>
        <w:t xml:space="preserve">Hospital Pricing Authority is working on developing ways to implement such trials without penalising the participating jurisdictions. There are several practical barriers to the implementation of alternative funding models, including </w:t>
      </w:r>
      <w:r w:rsidRPr="0072618B">
        <w:t>incomplete data collections, data linkage issues and variations in service delivery models.</w:t>
      </w:r>
    </w:p>
    <w:p w14:paraId="4EE0DA8E" w14:textId="77777777" w:rsidR="00A23A17" w:rsidRDefault="00A23A17" w:rsidP="00A23A17">
      <w:pPr>
        <w:pStyle w:val="BodyText"/>
      </w:pPr>
      <w:r>
        <w:t xml:space="preserve">However, </w:t>
      </w:r>
      <w:proofErr w:type="spellStart"/>
      <w:r>
        <w:t>HealthLinks</w:t>
      </w:r>
      <w:proofErr w:type="spellEnd"/>
      <w:r>
        <w:t xml:space="preserve"> shows that such trials can take place, and that the risks involved can be managed. The hospitals involved in </w:t>
      </w:r>
      <w:proofErr w:type="spellStart"/>
      <w:r>
        <w:t>HealthLinks</w:t>
      </w:r>
      <w:proofErr w:type="spellEnd"/>
      <w:r>
        <w:t xml:space="preserve"> have each developed different approaches to preventing hospitalisations of people with chronic conditions (such as the Monash Watch model described above), but all have achieved improvements in the care delivered and consumer experience. </w:t>
      </w:r>
    </w:p>
    <w:p w14:paraId="232D4DBC" w14:textId="77777777" w:rsidR="00A23A17" w:rsidRPr="0072618B" w:rsidDel="00584D53" w:rsidRDefault="00A23A17" w:rsidP="00A23A17">
      <w:pPr>
        <w:pStyle w:val="BodyText"/>
      </w:pPr>
      <w:r w:rsidRPr="00C06684" w:rsidDel="00584D53">
        <w:t xml:space="preserve">All jurisdictions should consider the lessons of </w:t>
      </w:r>
      <w:proofErr w:type="spellStart"/>
      <w:r w:rsidRPr="00C06684" w:rsidDel="00584D53">
        <w:t>HealthLinks</w:t>
      </w:r>
      <w:proofErr w:type="spellEnd"/>
      <w:r w:rsidRPr="00C06684" w:rsidDel="00584D53">
        <w:t xml:space="preserve"> in designing their own innovative funding solutions</w:t>
      </w:r>
      <w:r w:rsidRPr="00C06684">
        <w:t xml:space="preserve"> (recommendation </w:t>
      </w:r>
      <w:r>
        <w:t>2</w:t>
      </w:r>
      <w:r w:rsidRPr="00C06684">
        <w:t>)</w:t>
      </w:r>
      <w:r>
        <w:t xml:space="preserve">. </w:t>
      </w:r>
    </w:p>
    <w:p w14:paraId="527A2948" w14:textId="016E4B5E" w:rsidR="00A23A17" w:rsidRDefault="00A23A17" w:rsidP="00A23A17">
      <w:pPr>
        <w:pStyle w:val="Heading4"/>
      </w:pPr>
      <w:r>
        <w:t>Collaborative Commissioning and The Collaborative (Case study 16, pp.</w:t>
      </w:r>
      <w:r w:rsidR="00923D2C">
        <w:t> </w:t>
      </w:r>
      <w:r>
        <w:t>159–160 of the main report, and case study 10, pp.</w:t>
      </w:r>
      <w:r w:rsidR="00923D2C">
        <w:t> </w:t>
      </w:r>
      <w:r>
        <w:t xml:space="preserve">105–6 of the main report) </w:t>
      </w:r>
    </w:p>
    <w:p w14:paraId="338E9DAD" w14:textId="4144DB1B" w:rsidR="00A23A17" w:rsidRDefault="00A23A17" w:rsidP="00A23A17">
      <w:pPr>
        <w:pStyle w:val="BodyText"/>
      </w:pPr>
      <w:r>
        <w:t>New South Wales has taken a different approach to health funding reform, by supporting LHD–PHN partnerships to address local health priorities. These partnerships, formalised through Patient Centred Co</w:t>
      </w:r>
      <w:r>
        <w:noBreakHyphen/>
        <w:t>Commissioning Groups, are responsible for co</w:t>
      </w:r>
      <w:r>
        <w:noBreakHyphen/>
        <w:t xml:space="preserve">designing, commissioning, implementing and overseeing the initiatives. Funding for the projects is achieved by pooling funds from PHNs and LHDs, and sharing any cost savings. NSW Health provides guidance, support and </w:t>
      </w:r>
      <w:r w:rsidRPr="00737939">
        <w:t>short</w:t>
      </w:r>
      <w:r w:rsidRPr="00737939">
        <w:noBreakHyphen/>
        <w:t xml:space="preserve">term </w:t>
      </w:r>
      <w:r>
        <w:t>investment</w:t>
      </w:r>
      <w:r w:rsidRPr="00737939">
        <w:t xml:space="preserve"> </w:t>
      </w:r>
      <w:r>
        <w:t xml:space="preserve">to assist in the establishment and development of the initiatives. </w:t>
      </w:r>
    </w:p>
    <w:p w14:paraId="0143CC9E" w14:textId="2C20CA0B" w:rsidR="00A23A17" w:rsidRPr="005949BD" w:rsidRDefault="00A23A17" w:rsidP="00A23A17">
      <w:pPr>
        <w:pStyle w:val="BodyText"/>
        <w:rPr>
          <w:spacing w:val="-2"/>
        </w:rPr>
      </w:pPr>
      <w:r w:rsidRPr="005949BD">
        <w:rPr>
          <w:spacing w:val="-2"/>
        </w:rPr>
        <w:t>This initiative is relatively new. Four PHN–LHD partnerships have entered the Joint Development Phase, which involves testing, modifying and refining project proposals with support from the NSW Ministry of Health. One partnership has completed the Joint Development Phase and entered the Feasibility phase and has begun implementing the project.</w:t>
      </w:r>
    </w:p>
    <w:p w14:paraId="210D89EA" w14:textId="77777777" w:rsidR="00A23A17" w:rsidRDefault="00A23A17" w:rsidP="00A23A17">
      <w:pPr>
        <w:pStyle w:val="BodyText"/>
      </w:pPr>
      <w:r>
        <w:t xml:space="preserve">The eventual aim is for all 10 PHN in </w:t>
      </w:r>
      <w:r w:rsidRPr="00737939">
        <w:t>New South Wales</w:t>
      </w:r>
      <w:r>
        <w:t xml:space="preserve"> to establish Collaborative Commissioning models.</w:t>
      </w:r>
      <w:r w:rsidDel="00E72547">
        <w:t xml:space="preserve"> </w:t>
      </w:r>
      <w:r>
        <w:t>The Lumos dataset (see below) has been used to build a dynamic simulation model to forecast the expected benefits and costs of care pathways, which will be used in the monitoring and evaluation of the initiative. All general practices participating in Collaborative Commissioning pathways are required to provide data to Lumos.</w:t>
      </w:r>
    </w:p>
    <w:p w14:paraId="1F70988C" w14:textId="77777777" w:rsidR="00A23A17" w:rsidRPr="006E767B" w:rsidRDefault="00A23A17" w:rsidP="00A23A17">
      <w:pPr>
        <w:pStyle w:val="BodyText"/>
      </w:pPr>
      <w:r w:rsidRPr="006E767B">
        <w:t>Collaboration</w:t>
      </w:r>
      <w:r w:rsidRPr="006C3E69">
        <w:t>s between different parts of the health system are already occurring in other parts of the country, with varying degrees of formality. For example, in Victoria</w:t>
      </w:r>
      <w:r w:rsidRPr="006E767B">
        <w:t>, The Collaborative is a partnership between North Western Melbourne PHN, Royal Melbourne Hospital and two community health service providers (</w:t>
      </w:r>
      <w:proofErr w:type="spellStart"/>
      <w:r w:rsidRPr="006E767B">
        <w:t>cohealth</w:t>
      </w:r>
      <w:proofErr w:type="spellEnd"/>
      <w:r w:rsidRPr="006E767B">
        <w:t xml:space="preserve"> and Merri Community Health Services). It was established to jointly address chronic disease in inner </w:t>
      </w:r>
      <w:r>
        <w:t>n</w:t>
      </w:r>
      <w:r w:rsidRPr="006E767B">
        <w:t xml:space="preserve">orth and </w:t>
      </w:r>
      <w:r>
        <w:t>w</w:t>
      </w:r>
      <w:r w:rsidRPr="006E767B">
        <w:t>est Melbourne. The Collaborative has been in operation for over 10 years, and includes comprehensive governance arrangements. In addition, each partner commits resources to collaborative projects, demonstrating their commitment to the partnership.</w:t>
      </w:r>
    </w:p>
    <w:p w14:paraId="3D98FD3A" w14:textId="1E9E5D7E" w:rsidR="00A23A17" w:rsidRPr="006C3E69" w:rsidRDefault="00A23A17" w:rsidP="00A23A17">
      <w:pPr>
        <w:pStyle w:val="BodyText"/>
      </w:pPr>
      <w:r w:rsidRPr="006E767B">
        <w:lastRenderedPageBreak/>
        <w:t>Collaborative Commissioning is designed to shift the NSW health system towards value</w:t>
      </w:r>
      <w:r>
        <w:noBreakHyphen/>
      </w:r>
      <w:r w:rsidRPr="006E767B">
        <w:t xml:space="preserve">based health care. Such an approach could be adapted in any other jurisdiction as part of their commitment to trialling alternative funding mechanisms under the </w:t>
      </w:r>
      <w:r>
        <w:t>Addendum to the National Health Reform Agreement</w:t>
      </w:r>
      <w:r w:rsidRPr="006E767B">
        <w:t>. Adaptions should take account not only of fundi</w:t>
      </w:r>
      <w:r w:rsidRPr="006C3E69">
        <w:t>ng mechanisms, but also of governance structures, use of data and modelling</w:t>
      </w:r>
      <w:r>
        <w:t xml:space="preserve">, and should involve commitments to </w:t>
      </w:r>
      <w:r w:rsidRPr="006C3E69">
        <w:t xml:space="preserve">evaluation. </w:t>
      </w:r>
    </w:p>
    <w:p w14:paraId="2FCB4A1F" w14:textId="58AF572F" w:rsidR="00FC6628" w:rsidRDefault="00FC6628" w:rsidP="00FC6628">
      <w:pPr>
        <w:pStyle w:val="Heading3"/>
      </w:pPr>
      <w:r>
        <w:t xml:space="preserve">Initiatives </w:t>
      </w:r>
      <w:r w:rsidR="008B7263">
        <w:t xml:space="preserve">that </w:t>
      </w:r>
      <w:r w:rsidR="002A55C6">
        <w:t>c</w:t>
      </w:r>
      <w:r w:rsidR="008920D1">
        <w:t>ould</w:t>
      </w:r>
      <w:r w:rsidR="008B7263">
        <w:t xml:space="preserve"> be considered </w:t>
      </w:r>
      <w:r w:rsidR="008920D1">
        <w:t xml:space="preserve">in </w:t>
      </w:r>
      <w:r w:rsidR="00DE5A30">
        <w:t>specific circumstances</w:t>
      </w:r>
    </w:p>
    <w:p w14:paraId="24E754E4" w14:textId="3BC1C9A2" w:rsidR="00FC6628" w:rsidRPr="009C3B35" w:rsidRDefault="00E4104F" w:rsidP="00FC6628">
      <w:pPr>
        <w:pStyle w:val="BodyText"/>
      </w:pPr>
      <w:r>
        <w:t>The programs listed below are all proven innovations, with strong track records of improving consumer outcomes</w:t>
      </w:r>
      <w:r w:rsidR="00C00618">
        <w:t xml:space="preserve"> in specific situations</w:t>
      </w:r>
      <w:r w:rsidR="00085DB3">
        <w:t>. The</w:t>
      </w:r>
      <w:r w:rsidR="00991CCE">
        <w:t>se programs, or their key elements of success</w:t>
      </w:r>
      <w:r w:rsidR="00085DB3">
        <w:t xml:space="preserve"> should be considered by all health or</w:t>
      </w:r>
      <w:r w:rsidR="00991CCE">
        <w:t xml:space="preserve">ganisations facing similar circumstances </w:t>
      </w:r>
      <w:r w:rsidR="00C11CBB">
        <w:t>—</w:t>
      </w:r>
      <w:r w:rsidR="00991CCE">
        <w:t xml:space="preserve"> either seeking to support a specific population or improve workflows. </w:t>
      </w:r>
    </w:p>
    <w:p w14:paraId="18C287A9" w14:textId="2863FEE7" w:rsidR="009B6FD4" w:rsidRDefault="00FC6628" w:rsidP="009B6FD4">
      <w:pPr>
        <w:pStyle w:val="Heading4"/>
      </w:pPr>
      <w:r>
        <w:t>Royal Perth Hospital Homeless</w:t>
      </w:r>
      <w:r w:rsidR="00EB2997">
        <w:t xml:space="preserve"> Team</w:t>
      </w:r>
      <w:r>
        <w:t xml:space="preserve"> and </w:t>
      </w:r>
      <w:r w:rsidR="009B6FD4">
        <w:t xml:space="preserve">Choices </w:t>
      </w:r>
      <w:r w:rsidR="00D114BF">
        <w:t>(Case stud</w:t>
      </w:r>
      <w:r w:rsidR="001005BA">
        <w:t>y 9, pp.</w:t>
      </w:r>
      <w:r w:rsidR="00923D2C">
        <w:t> </w:t>
      </w:r>
      <w:r w:rsidR="001005BA">
        <w:t>94</w:t>
      </w:r>
      <w:r w:rsidR="00FB4055">
        <w:t>–</w:t>
      </w:r>
      <w:r w:rsidR="004C35CD">
        <w:t>5 of the main report, and c</w:t>
      </w:r>
      <w:r w:rsidR="001005BA">
        <w:t xml:space="preserve">ase study </w:t>
      </w:r>
      <w:r w:rsidR="004C35CD">
        <w:t>7</w:t>
      </w:r>
      <w:r w:rsidR="001005BA">
        <w:t>, pp.</w:t>
      </w:r>
      <w:r w:rsidR="00923D2C">
        <w:t> </w:t>
      </w:r>
      <w:r w:rsidR="004C35CD">
        <w:t>84</w:t>
      </w:r>
      <w:r w:rsidR="001005BA">
        <w:t>–</w:t>
      </w:r>
      <w:r w:rsidR="0014547A">
        <w:t>5</w:t>
      </w:r>
      <w:r w:rsidR="001005BA">
        <w:t xml:space="preserve"> of</w:t>
      </w:r>
      <w:r w:rsidR="00D43FCB">
        <w:t xml:space="preserve"> the</w:t>
      </w:r>
      <w:r w:rsidR="001005BA">
        <w:t xml:space="preserve"> main report</w:t>
      </w:r>
      <w:r w:rsidR="0014547A">
        <w:t>)</w:t>
      </w:r>
    </w:p>
    <w:p w14:paraId="4AC089F3" w14:textId="54816156" w:rsidR="00F16B56" w:rsidRDefault="00C81406" w:rsidP="00E348A5">
      <w:pPr>
        <w:pStyle w:val="BodyText"/>
      </w:pPr>
      <w:r>
        <w:t xml:space="preserve">The Royal Perth Hospital </w:t>
      </w:r>
      <w:r w:rsidR="00C51002">
        <w:t>Homeless Team</w:t>
      </w:r>
      <w:r w:rsidR="001A6615">
        <w:t xml:space="preserve"> </w:t>
      </w:r>
      <w:r w:rsidR="00BF0713">
        <w:t xml:space="preserve">works with people experiencing homelessness </w:t>
      </w:r>
      <w:r w:rsidR="00031705">
        <w:t xml:space="preserve">to </w:t>
      </w:r>
      <w:r w:rsidR="0040714F">
        <w:t xml:space="preserve">improve health outcomes, </w:t>
      </w:r>
      <w:r w:rsidR="00090BFE">
        <w:t>reduce</w:t>
      </w:r>
      <w:r w:rsidR="0040714F">
        <w:t xml:space="preserve"> hospital admissions</w:t>
      </w:r>
      <w:r w:rsidR="00240D36">
        <w:t xml:space="preserve"> and </w:t>
      </w:r>
      <w:r w:rsidR="00B83B77">
        <w:t xml:space="preserve">get </w:t>
      </w:r>
      <w:r w:rsidR="00031705">
        <w:t xml:space="preserve">them access to housing. </w:t>
      </w:r>
      <w:r w:rsidR="00283B4D">
        <w:t>T</w:t>
      </w:r>
      <w:r w:rsidR="00A929AD">
        <w:t xml:space="preserve">he team </w:t>
      </w:r>
      <w:r w:rsidR="00F80E02">
        <w:t>develops treatment plans</w:t>
      </w:r>
      <w:r w:rsidR="00291240">
        <w:t xml:space="preserve"> —</w:t>
      </w:r>
      <w:r w:rsidR="00E114A6">
        <w:t xml:space="preserve"> </w:t>
      </w:r>
      <w:r w:rsidR="00E85947">
        <w:t>involv</w:t>
      </w:r>
      <w:r w:rsidR="00E114A6">
        <w:t>ing</w:t>
      </w:r>
      <w:r w:rsidR="00E85947">
        <w:t xml:space="preserve"> </w:t>
      </w:r>
      <w:r w:rsidR="00283B4D">
        <w:t xml:space="preserve">a mix of </w:t>
      </w:r>
      <w:r w:rsidR="00E85947">
        <w:t xml:space="preserve">hospital </w:t>
      </w:r>
      <w:r w:rsidR="00283B4D">
        <w:t>and</w:t>
      </w:r>
      <w:r w:rsidR="00E85947">
        <w:t xml:space="preserve"> primary care</w:t>
      </w:r>
      <w:r w:rsidR="00291240">
        <w:t xml:space="preserve"> —</w:t>
      </w:r>
      <w:r w:rsidR="00283B4D">
        <w:t xml:space="preserve"> </w:t>
      </w:r>
      <w:r w:rsidR="003A50D6">
        <w:t xml:space="preserve">and </w:t>
      </w:r>
      <w:r w:rsidR="00291240">
        <w:t>organise</w:t>
      </w:r>
      <w:r w:rsidR="00F22B22">
        <w:t>s follow</w:t>
      </w:r>
      <w:r w:rsidR="006D7C61">
        <w:noBreakHyphen/>
      </w:r>
      <w:r w:rsidR="00F22B22">
        <w:t xml:space="preserve">up appointments </w:t>
      </w:r>
      <w:r w:rsidR="00921738">
        <w:t xml:space="preserve">with clients at </w:t>
      </w:r>
      <w:r w:rsidR="00B21842">
        <w:t>the GP’s</w:t>
      </w:r>
      <w:r w:rsidR="00921738">
        <w:t xml:space="preserve"> </w:t>
      </w:r>
      <w:r w:rsidR="00B21842">
        <w:t>practice</w:t>
      </w:r>
      <w:r w:rsidR="00480E74">
        <w:t xml:space="preserve"> or via its</w:t>
      </w:r>
      <w:r w:rsidR="003A50D6">
        <w:t xml:space="preserve"> mobile clinics</w:t>
      </w:r>
      <w:r w:rsidR="000D47A9">
        <w:t>.</w:t>
      </w:r>
      <w:r w:rsidR="00107456">
        <w:t xml:space="preserve"> </w:t>
      </w:r>
      <w:r w:rsidR="00F16B56">
        <w:t xml:space="preserve">The team also works closely with Choices peer workers who </w:t>
      </w:r>
      <w:r w:rsidR="004B1D67">
        <w:t xml:space="preserve">provide support </w:t>
      </w:r>
      <w:r w:rsidR="002657B7">
        <w:t xml:space="preserve">and case management </w:t>
      </w:r>
      <w:r w:rsidR="004B1D67">
        <w:t xml:space="preserve">to </w:t>
      </w:r>
      <w:r w:rsidR="007E704D">
        <w:t xml:space="preserve">people </w:t>
      </w:r>
      <w:r w:rsidR="00913B4C">
        <w:t xml:space="preserve">with complex health and social needs </w:t>
      </w:r>
      <w:r w:rsidR="007E704D">
        <w:t xml:space="preserve">who are disengaged or wary </w:t>
      </w:r>
      <w:r w:rsidR="00B568A8">
        <w:t>of healthcare providers</w:t>
      </w:r>
      <w:r w:rsidR="00F16B56" w:rsidRPr="00F67B6D">
        <w:t xml:space="preserve">. </w:t>
      </w:r>
    </w:p>
    <w:p w14:paraId="1F6BB77D" w14:textId="41BE7352" w:rsidR="00660A90" w:rsidRDefault="00660A90" w:rsidP="00660A90">
      <w:pPr>
        <w:pStyle w:val="BodyText"/>
      </w:pPr>
      <w:r>
        <w:t>There are different models of hospital</w:t>
      </w:r>
      <w:r w:rsidR="005B190E">
        <w:noBreakHyphen/>
      </w:r>
      <w:r>
        <w:t xml:space="preserve">based homeless teams — comprising different types of team members — that seek to make primary care and social supports more accessible for people experiencing homelessness. Some teams such as the Royal Perth Hospital Homeless Team include GPs, hospital doctors, </w:t>
      </w:r>
      <w:r w:rsidRPr="00296017">
        <w:t>practice nurse</w:t>
      </w:r>
      <w:r>
        <w:t>s and</w:t>
      </w:r>
      <w:r w:rsidRPr="00296017">
        <w:t xml:space="preserve"> caseworkers</w:t>
      </w:r>
      <w:r>
        <w:t xml:space="preserve">; while others in Melbourne and Sydney include allied health professionals. While there is no definitive evidence on the team mix that delivers the best results for people experiencing homelessness, some studies suggest that teams that include GPs — like the Royal Perth Hospital Homeless Team — are likely associated with better health outcomes for clients than other models because they focus on prevention and early intervention. </w:t>
      </w:r>
    </w:p>
    <w:p w14:paraId="04FF4B5A" w14:textId="337804B7" w:rsidR="00DC3436" w:rsidRDefault="00DC3436" w:rsidP="00DC3436">
      <w:pPr>
        <w:pStyle w:val="BodyText"/>
      </w:pPr>
      <w:r>
        <w:t>In adopting hospital</w:t>
      </w:r>
      <w:r w:rsidR="005B190E">
        <w:noBreakHyphen/>
      </w:r>
      <w:r>
        <w:t>based homeless teams, jurisdictions should consider the level of demand for these services in particular areas (which may be higher in cities with large rough sleeping populations), capacity of primary care settings to treat people experiencing homelessness and the strength of the relationships between local primary care, acute care and community services. Implementation decisions should be made in consultation with State health departments, LHNs, PHNs and community services. Further, if jurisdictions determine that GPs, peer workers and caseworkers should be part of hospital</w:t>
      </w:r>
      <w:r>
        <w:noBreakHyphen/>
        <w:t>based teams, LHNs will require more flexibility to fund these roles in hospitals (recommendation 2).</w:t>
      </w:r>
    </w:p>
    <w:p w14:paraId="1E952831" w14:textId="79AA3B0D" w:rsidR="001D0DAA" w:rsidRPr="00A02B3B" w:rsidRDefault="009B6FD4" w:rsidP="00EA55C2">
      <w:pPr>
        <w:pStyle w:val="BodyText"/>
        <w:rPr>
          <w:spacing w:val="-2"/>
        </w:rPr>
      </w:pPr>
      <w:r w:rsidRPr="00A02B3B">
        <w:rPr>
          <w:spacing w:val="-2"/>
        </w:rPr>
        <w:lastRenderedPageBreak/>
        <w:t xml:space="preserve">Extending </w:t>
      </w:r>
      <w:r w:rsidR="00065776" w:rsidRPr="00A02B3B">
        <w:rPr>
          <w:spacing w:val="-2"/>
        </w:rPr>
        <w:t xml:space="preserve">the </w:t>
      </w:r>
      <w:r w:rsidR="00884A20" w:rsidRPr="00A02B3B">
        <w:rPr>
          <w:spacing w:val="-2"/>
        </w:rPr>
        <w:t xml:space="preserve">Royal Perth Hospital </w:t>
      </w:r>
      <w:r w:rsidR="00065776" w:rsidRPr="00A02B3B">
        <w:rPr>
          <w:spacing w:val="-2"/>
        </w:rPr>
        <w:t xml:space="preserve">Homeless Team </w:t>
      </w:r>
      <w:r w:rsidRPr="00A02B3B">
        <w:rPr>
          <w:spacing w:val="-2"/>
        </w:rPr>
        <w:t>model to all principal referral hospitals and large public acute hospitals (group A and group B hospitals) would cost about $68</w:t>
      </w:r>
      <w:r w:rsidR="001D45FB" w:rsidRPr="00A02B3B">
        <w:rPr>
          <w:spacing w:val="-2"/>
        </w:rPr>
        <w:t> </w:t>
      </w:r>
      <w:r w:rsidRPr="00A02B3B">
        <w:rPr>
          <w:spacing w:val="-2"/>
        </w:rPr>
        <w:t>million</w:t>
      </w:r>
      <w:r w:rsidR="00C03E99" w:rsidRPr="00A02B3B">
        <w:rPr>
          <w:spacing w:val="-2"/>
        </w:rPr>
        <w:t xml:space="preserve"> and would </w:t>
      </w:r>
      <w:r w:rsidR="00780E3A" w:rsidRPr="00A02B3B">
        <w:rPr>
          <w:spacing w:val="-2"/>
        </w:rPr>
        <w:t>predominately</w:t>
      </w:r>
      <w:r w:rsidR="00C03E99" w:rsidRPr="00A02B3B">
        <w:rPr>
          <w:spacing w:val="-2"/>
        </w:rPr>
        <w:t xml:space="preserve"> benefit </w:t>
      </w:r>
      <w:r w:rsidR="00D31665" w:rsidRPr="00A02B3B">
        <w:rPr>
          <w:spacing w:val="-2"/>
        </w:rPr>
        <w:t xml:space="preserve">Australia’s </w:t>
      </w:r>
      <w:r w:rsidR="00EA55C2" w:rsidRPr="00A02B3B">
        <w:rPr>
          <w:spacing w:val="-2"/>
        </w:rPr>
        <w:t>population of rough sleepers</w:t>
      </w:r>
      <w:r w:rsidR="00B113BD" w:rsidRPr="00A02B3B">
        <w:rPr>
          <w:spacing w:val="-2"/>
        </w:rPr>
        <w:t xml:space="preserve"> </w:t>
      </w:r>
      <w:r w:rsidR="00EA57F9">
        <w:rPr>
          <w:spacing w:val="-2"/>
        </w:rPr>
        <w:t>(</w:t>
      </w:r>
      <w:r w:rsidR="00525B00" w:rsidRPr="00A02B3B">
        <w:rPr>
          <w:spacing w:val="-2"/>
        </w:rPr>
        <w:t xml:space="preserve">comprising </w:t>
      </w:r>
      <w:r w:rsidR="00523109" w:rsidRPr="00A02B3B">
        <w:rPr>
          <w:spacing w:val="-2"/>
        </w:rPr>
        <w:t>746</w:t>
      </w:r>
      <w:r w:rsidR="005D5E00" w:rsidRPr="00A02B3B">
        <w:rPr>
          <w:spacing w:val="-2"/>
        </w:rPr>
        <w:t> </w:t>
      </w:r>
      <w:r w:rsidR="00523109" w:rsidRPr="00A02B3B">
        <w:rPr>
          <w:spacing w:val="-2"/>
        </w:rPr>
        <w:t xml:space="preserve">000 people </w:t>
      </w:r>
      <w:r w:rsidR="00C1109D" w:rsidRPr="00A02B3B">
        <w:rPr>
          <w:spacing w:val="-2"/>
        </w:rPr>
        <w:t xml:space="preserve">aged 15 years and over </w:t>
      </w:r>
      <w:r w:rsidR="003238ED">
        <w:rPr>
          <w:spacing w:val="-2"/>
        </w:rPr>
        <w:t xml:space="preserve">who </w:t>
      </w:r>
      <w:r w:rsidR="00472574" w:rsidRPr="00A02B3B">
        <w:rPr>
          <w:spacing w:val="-2"/>
        </w:rPr>
        <w:t xml:space="preserve">have </w:t>
      </w:r>
      <w:r w:rsidR="00A735B0" w:rsidRPr="00A02B3B">
        <w:rPr>
          <w:spacing w:val="-2"/>
        </w:rPr>
        <w:t xml:space="preserve">experienced </w:t>
      </w:r>
      <w:r w:rsidR="00523109" w:rsidRPr="00A02B3B">
        <w:rPr>
          <w:spacing w:val="-2"/>
        </w:rPr>
        <w:t>rough sleeping</w:t>
      </w:r>
      <w:r w:rsidR="00C1109D" w:rsidRPr="00A02B3B">
        <w:rPr>
          <w:spacing w:val="-2"/>
        </w:rPr>
        <w:t xml:space="preserve"> at some point in their lives</w:t>
      </w:r>
      <w:r w:rsidR="00EA57F9">
        <w:rPr>
          <w:spacing w:val="-2"/>
        </w:rPr>
        <w:t>)</w:t>
      </w:r>
      <w:r w:rsidR="00B113BD" w:rsidRPr="00A02B3B" w:rsidDel="00EA57F9">
        <w:rPr>
          <w:spacing w:val="-2"/>
        </w:rPr>
        <w:t xml:space="preserve"> </w:t>
      </w:r>
      <w:r w:rsidR="00B113BD" w:rsidRPr="00A02B3B">
        <w:rPr>
          <w:spacing w:val="-2"/>
        </w:rPr>
        <w:t xml:space="preserve">who </w:t>
      </w:r>
      <w:r w:rsidR="00BA66ED" w:rsidRPr="00A02B3B">
        <w:rPr>
          <w:spacing w:val="-2"/>
        </w:rPr>
        <w:t>are frequent users of hospitals</w:t>
      </w:r>
      <w:r w:rsidR="00C00618" w:rsidRPr="00A02B3B">
        <w:rPr>
          <w:spacing w:val="-2"/>
        </w:rPr>
        <w:t>, and in particular emergency departments</w:t>
      </w:r>
      <w:r w:rsidR="00393B1E" w:rsidRPr="00A02B3B">
        <w:rPr>
          <w:spacing w:val="-2"/>
        </w:rPr>
        <w:t>.</w:t>
      </w:r>
      <w:r w:rsidR="00371532" w:rsidRPr="00A02B3B">
        <w:rPr>
          <w:spacing w:val="-2"/>
        </w:rPr>
        <w:t xml:space="preserve"> </w:t>
      </w:r>
    </w:p>
    <w:p w14:paraId="2F628A09" w14:textId="1193733B" w:rsidR="00A23A17" w:rsidRPr="004D1D42" w:rsidRDefault="00A23A17" w:rsidP="00A23A17">
      <w:pPr>
        <w:pStyle w:val="Heading4"/>
        <w:rPr>
          <w:lang w:val="en-US"/>
        </w:rPr>
      </w:pPr>
      <w:r>
        <w:t>Turning Pain into Gain (Case study 2, pp.</w:t>
      </w:r>
      <w:r w:rsidR="00923D2C">
        <w:t> </w:t>
      </w:r>
      <w:r>
        <w:t>53–4 of the main report)</w:t>
      </w:r>
    </w:p>
    <w:p w14:paraId="72563915" w14:textId="77777777" w:rsidR="00A23A17" w:rsidRDefault="00A23A17" w:rsidP="00A23A17">
      <w:pPr>
        <w:pStyle w:val="BodyText"/>
      </w:pPr>
      <w:r w:rsidRPr="00E84BFA">
        <w:t xml:space="preserve">Turning Pain into Gain is a </w:t>
      </w:r>
      <w:r>
        <w:t>12</w:t>
      </w:r>
      <w:r>
        <w:noBreakHyphen/>
        <w:t xml:space="preserve">month </w:t>
      </w:r>
      <w:r w:rsidRPr="00E84BFA">
        <w:t>program for people with persistent pain</w:t>
      </w:r>
      <w:r>
        <w:t>, operated by the Gold Coast</w:t>
      </w:r>
      <w:r w:rsidRPr="00146A76">
        <w:t xml:space="preserve"> </w:t>
      </w:r>
      <w:r>
        <w:t>PHN</w:t>
      </w:r>
      <w:r w:rsidRPr="00E84BFA">
        <w:t>. It combines one</w:t>
      </w:r>
      <w:r>
        <w:noBreakHyphen/>
      </w:r>
      <w:r w:rsidRPr="00E84BFA">
        <w:t>on</w:t>
      </w:r>
      <w:r>
        <w:noBreakHyphen/>
      </w:r>
      <w:r w:rsidRPr="00E84BFA">
        <w:t>one clinical assessments, a six</w:t>
      </w:r>
      <w:r>
        <w:noBreakHyphen/>
      </w:r>
      <w:r w:rsidRPr="00E84BFA">
        <w:t xml:space="preserve">session education program, allied health services and goal setting. </w:t>
      </w:r>
      <w:r w:rsidRPr="00E60C76">
        <w:t>More than 600 people with persistent pain have participated in Turning Pain into Gain since 2013.</w:t>
      </w:r>
      <w:r>
        <w:t xml:space="preserve"> Its evaluation found that p</w:t>
      </w:r>
      <w:r w:rsidRPr="000B4C70">
        <w:t>articipants improved their ability to undertake various day</w:t>
      </w:r>
      <w:r>
        <w:noBreakHyphen/>
      </w:r>
      <w:r w:rsidRPr="000B4C70">
        <w:t>to</w:t>
      </w:r>
      <w:r>
        <w:noBreakHyphen/>
      </w:r>
      <w:r w:rsidRPr="000B4C70">
        <w:t>day activities, including exercise, household chores, and leisure activities</w:t>
      </w:r>
      <w:r>
        <w:t>; and re</w:t>
      </w:r>
      <w:r w:rsidRPr="000B4C70">
        <w:t>ported a 78% reduction in hospitalisation</w:t>
      </w:r>
      <w:r>
        <w:t xml:space="preserve">s. </w:t>
      </w:r>
    </w:p>
    <w:p w14:paraId="70D8D535" w14:textId="77777777" w:rsidR="00A23A17" w:rsidRPr="005949BD" w:rsidRDefault="00A23A17" w:rsidP="00A23A17">
      <w:pPr>
        <w:pStyle w:val="BodyText"/>
        <w:rPr>
          <w:spacing w:val="-2"/>
        </w:rPr>
      </w:pPr>
      <w:r w:rsidRPr="0021157A">
        <w:rPr>
          <w:spacing w:val="-2"/>
        </w:rPr>
        <w:t xml:space="preserve">Following its success </w:t>
      </w:r>
      <w:r>
        <w:rPr>
          <w:spacing w:val="-2"/>
        </w:rPr>
        <w:t>o</w:t>
      </w:r>
      <w:r w:rsidRPr="0021157A">
        <w:rPr>
          <w:spacing w:val="-2"/>
        </w:rPr>
        <w:t>n the Gold Coast, the Turning Pain into Gain program is now being implemented by the Adelaide PHN and by the WA Primary Health Alliance at four sites in Western Australia</w:t>
      </w:r>
      <w:r>
        <w:rPr>
          <w:spacing w:val="-2"/>
        </w:rPr>
        <w:t xml:space="preserve">. Participants access </w:t>
      </w:r>
      <w:r w:rsidRPr="005949BD">
        <w:rPr>
          <w:spacing w:val="-2"/>
        </w:rPr>
        <w:t xml:space="preserve">allied health services funded by the Australian Government through the Medicare chronic disease management items, but the PHN may cover additional allied health services for people who have exhausted their Medicare allocation. </w:t>
      </w:r>
    </w:p>
    <w:p w14:paraId="497858C0" w14:textId="79B7FEEF" w:rsidR="00A23A17" w:rsidRDefault="00A23A17" w:rsidP="00A23A17">
      <w:pPr>
        <w:pStyle w:val="BodyText"/>
      </w:pPr>
      <w:r>
        <w:t>Almost 1 in 5 people aged over 45 years live with chronic pain, experiencing persistent pain most days of the week. Many of them could benefit from participation in this program. This would produce several benefits as people with chronic pain have longer hospital stays and report limitations to daily activities more than others. There are large effects on employment and productivity of those affected (with one estimate suggesting the economic costs were as high as $48.3 billion in 2018). They are three times more likely to be dispensed opioids compared with the general population, which raises concerns about drug dependence and the long</w:t>
      </w:r>
      <w:r>
        <w:noBreakHyphen/>
        <w:t xml:space="preserve">run impacts of such medications. </w:t>
      </w:r>
    </w:p>
    <w:p w14:paraId="28F19964" w14:textId="71CC7ECA" w:rsidR="00A23A17" w:rsidRPr="005949BD" w:rsidRDefault="00A23A17" w:rsidP="00A23A17">
      <w:pPr>
        <w:pStyle w:val="BodyText"/>
        <w:rPr>
          <w:spacing w:val="-2"/>
        </w:rPr>
      </w:pPr>
      <w:r w:rsidRPr="005949BD">
        <w:rPr>
          <w:spacing w:val="-2"/>
        </w:rPr>
        <w:t>The program can also shorten waiting lists for specialist pain clinics so that people who need them would be able to access treatment earlier, and may also ultimately reduce the required resources for such (costly) clinics. Turning Pain into Gain has gained the trust of other health professionals; participants are referred to the program by local general practices, as well as hospital rheumatology, persistent pain, emergency and neurosurgery departments. This demonstrates the potential scale of demand. A large</w:t>
      </w:r>
      <w:r w:rsidR="005B190E">
        <w:rPr>
          <w:spacing w:val="-2"/>
        </w:rPr>
        <w:noBreakHyphen/>
      </w:r>
      <w:r w:rsidRPr="005949BD">
        <w:rPr>
          <w:spacing w:val="-2"/>
        </w:rPr>
        <w:t>scale rollout will require careful planning to ensure services are available for those who need them within a reasonable time frame.</w:t>
      </w:r>
    </w:p>
    <w:p w14:paraId="57964A6C" w14:textId="5586606A" w:rsidR="00A23A17" w:rsidRDefault="00A23A17" w:rsidP="00A23A17">
      <w:pPr>
        <w:pStyle w:val="BodyText"/>
      </w:pPr>
      <w:r>
        <w:rPr>
          <w:spacing w:val="-2"/>
        </w:rPr>
        <w:t xml:space="preserve">Turning Pain into Gain can be implemented by further PHNs relatively quickly using resources that have already been developed. Funding for the program would come from the flexible funding pool of PHNs. In principle, it could also be used by LHNs, but planning processes may be more complex and take more time, assuming funding continues to be provided by the Australian Government. This barrier could be overcome if LHNs decide to invest their own resources. Another advantage of the program is that its workforce requirements are flexible; although developed by a pharmacist, it can be delivered by a range of health professionals. </w:t>
      </w:r>
      <w:r>
        <w:t xml:space="preserve"> </w:t>
      </w:r>
    </w:p>
    <w:p w14:paraId="0542A278" w14:textId="1A61C6DD" w:rsidR="00A23A17" w:rsidRDefault="00A23A17" w:rsidP="00A23A17">
      <w:pPr>
        <w:pStyle w:val="Heading4"/>
      </w:pPr>
      <w:r>
        <w:lastRenderedPageBreak/>
        <w:t>One Stop Liver Shop (Case study 3, pp.</w:t>
      </w:r>
      <w:r w:rsidR="00923D2C">
        <w:t> </w:t>
      </w:r>
      <w:r>
        <w:t>57–8 of the main report)</w:t>
      </w:r>
    </w:p>
    <w:p w14:paraId="685F7AFB" w14:textId="77777777" w:rsidR="00A23A17" w:rsidRDefault="00A23A17" w:rsidP="00A23A17">
      <w:pPr>
        <w:pStyle w:val="BodyText"/>
      </w:pPr>
      <w:r w:rsidRPr="00946102">
        <w:t>The One Stop Liver Shop is a mobile care delivery model for people with chronic hepatitis</w:t>
      </w:r>
      <w:r>
        <w:t> </w:t>
      </w:r>
      <w:r w:rsidRPr="00946102">
        <w:t>B (CHB) in a remote community in the Northern Territory. It provides all the care needed by people with CHB, where they live, in their language</w:t>
      </w:r>
      <w:r>
        <w:t xml:space="preserve">, and has been successful in preventing the need for hospital visits. </w:t>
      </w:r>
    </w:p>
    <w:p w14:paraId="31FDE186" w14:textId="77777777" w:rsidR="00A23A17" w:rsidRDefault="00A23A17" w:rsidP="00A23A17">
      <w:pPr>
        <w:pStyle w:val="BodyText"/>
      </w:pPr>
      <w:r>
        <w:t>I</w:t>
      </w:r>
      <w:r w:rsidRPr="002E41E3">
        <w:t xml:space="preserve">n 2018, the </w:t>
      </w:r>
      <w:r>
        <w:t>project</w:t>
      </w:r>
      <w:r w:rsidRPr="002E41E3">
        <w:t xml:space="preserve"> received funding from the </w:t>
      </w:r>
      <w:r>
        <w:t>NHMRC</w:t>
      </w:r>
      <w:r w:rsidRPr="002E41E3">
        <w:t xml:space="preserve"> to translate the Hep</w:t>
      </w:r>
      <w:r>
        <w:t> </w:t>
      </w:r>
      <w:r w:rsidRPr="002E41E3">
        <w:t xml:space="preserve">B Story app into an additional 10 Aboriginal languages. This will mean that 70% of Aboriginal people in the Northern Territory will have access to information about </w:t>
      </w:r>
      <w:r>
        <w:t xml:space="preserve">CHB </w:t>
      </w:r>
      <w:r w:rsidRPr="002E41E3">
        <w:t>in their first language</w:t>
      </w:r>
      <w:r>
        <w:t xml:space="preserve">. </w:t>
      </w:r>
    </w:p>
    <w:p w14:paraId="73C1B28F" w14:textId="4FDBC5D2" w:rsidR="00A23A17" w:rsidRDefault="00A23A17" w:rsidP="00A23A17">
      <w:pPr>
        <w:pStyle w:val="BodyText"/>
      </w:pPr>
      <w:r>
        <w:t xml:space="preserve">While there are a variety of mobile health services that aim to reach remote communities, the unique aspect of the One Stop Liver Shop is in its comprehensive model of care (including bringing specialised equipment to the local community) that is also responsive to cultural needs. Such an approach can be extended to people with CHB in other remote communities, and considered for adaptation to other diseases, such as rheumatic heart disease. Extending the One Stop Liver Shop model would require diverting resources from local health services, or securing new funding from either State and Territory Governments or the Australian Government (or both). However, the health benefits of culturally responsive outreach are likely to be significant, as the people who would attend are currently accessing very limited health services.  </w:t>
      </w:r>
    </w:p>
    <w:p w14:paraId="3D40D664" w14:textId="1A7ECCDF" w:rsidR="00A7135B" w:rsidRDefault="00A7135B" w:rsidP="00A23A17">
      <w:pPr>
        <w:pStyle w:val="BodyText"/>
      </w:pPr>
      <w:r>
        <w:t>There may be</w:t>
      </w:r>
      <w:r w:rsidR="00144B35">
        <w:t xml:space="preserve"> </w:t>
      </w:r>
      <w:r>
        <w:t>other disease</w:t>
      </w:r>
      <w:r>
        <w:noBreakHyphen/>
        <w:t xml:space="preserve">specific programs that target </w:t>
      </w:r>
      <w:r w:rsidR="00144B35">
        <w:t>particular</w:t>
      </w:r>
      <w:r>
        <w:t xml:space="preserve"> communities. They could draw on the lessons of One Stop Liver Shop, but would require </w:t>
      </w:r>
      <w:r w:rsidR="00144B35">
        <w:t>additional effort to ensure they were culturally appropriate for the relevant condition, its treatment forms and location.</w:t>
      </w:r>
    </w:p>
    <w:p w14:paraId="336752ED" w14:textId="6779D100" w:rsidR="009024FA" w:rsidRDefault="009024FA" w:rsidP="009024FA">
      <w:pPr>
        <w:pStyle w:val="Heading4"/>
      </w:pPr>
      <w:r>
        <w:t>GPs with Special Interest</w:t>
      </w:r>
      <w:r w:rsidR="00D43FCB">
        <w:t xml:space="preserve"> (Case study </w:t>
      </w:r>
      <w:r w:rsidR="004F315F">
        <w:t>6</w:t>
      </w:r>
      <w:r w:rsidR="00D43FCB">
        <w:t>, pp.</w:t>
      </w:r>
      <w:r w:rsidR="00923D2C">
        <w:t> </w:t>
      </w:r>
      <w:r w:rsidR="00D75FE5">
        <w:t>79</w:t>
      </w:r>
      <w:r w:rsidR="00D43FCB">
        <w:t>–8</w:t>
      </w:r>
      <w:r w:rsidR="00D75FE5">
        <w:t>0</w:t>
      </w:r>
      <w:r w:rsidR="00D43FCB">
        <w:t xml:space="preserve"> of the main report)</w:t>
      </w:r>
    </w:p>
    <w:p w14:paraId="02AFBEF2" w14:textId="3CCAA89C" w:rsidR="004C23DC" w:rsidRDefault="00AD776E" w:rsidP="00F015CB">
      <w:pPr>
        <w:pStyle w:val="BodyText"/>
        <w:rPr>
          <w:rStyle w:val="normaltextrun"/>
          <w:rFonts w:asciiTheme="minorHAnsi" w:eastAsiaTheme="minorHAnsi" w:hAnsiTheme="minorHAnsi" w:cstheme="minorBidi"/>
          <w:color w:val="000000" w:themeColor="text1"/>
          <w:sz w:val="22"/>
          <w:szCs w:val="22"/>
          <w:lang w:eastAsia="en-US"/>
        </w:rPr>
      </w:pPr>
      <w:r w:rsidRPr="003602E7">
        <w:t>GPs with special interest (</w:t>
      </w:r>
      <w:proofErr w:type="spellStart"/>
      <w:r w:rsidRPr="003602E7">
        <w:t>GPwSIs</w:t>
      </w:r>
      <w:proofErr w:type="spellEnd"/>
      <w:r w:rsidRPr="003602E7">
        <w:t>)</w:t>
      </w:r>
      <w:r w:rsidR="006713FD">
        <w:t xml:space="preserve"> </w:t>
      </w:r>
      <w:r w:rsidR="00C96631">
        <w:t xml:space="preserve">provide </w:t>
      </w:r>
      <w:r w:rsidR="001429FE">
        <w:t xml:space="preserve">care to </w:t>
      </w:r>
      <w:r w:rsidR="001429FE">
        <w:rPr>
          <w:rStyle w:val="normaltextrun"/>
          <w:color w:val="000000" w:themeColor="text1"/>
        </w:rPr>
        <w:t>people</w:t>
      </w:r>
      <w:r w:rsidR="001429FE" w:rsidRPr="001C7D45">
        <w:rPr>
          <w:rStyle w:val="normaltextrun"/>
          <w:color w:val="000000" w:themeColor="text1"/>
        </w:rPr>
        <w:t xml:space="preserve"> </w:t>
      </w:r>
      <w:r w:rsidR="001429FE">
        <w:rPr>
          <w:rStyle w:val="normaltextrun"/>
          <w:color w:val="000000" w:themeColor="text1"/>
        </w:rPr>
        <w:t>who would otherwise need to be seen by specialists</w:t>
      </w:r>
      <w:r w:rsidR="001429FE" w:rsidRPr="001C7D45">
        <w:rPr>
          <w:rStyle w:val="normaltextrun"/>
          <w:color w:val="000000" w:themeColor="text1"/>
        </w:rPr>
        <w:t>.</w:t>
      </w:r>
      <w:r w:rsidR="003262FE">
        <w:rPr>
          <w:rStyle w:val="normaltextrun"/>
          <w:color w:val="000000" w:themeColor="text1"/>
        </w:rPr>
        <w:t xml:space="preserve"> </w:t>
      </w:r>
      <w:r w:rsidR="004C23DC">
        <w:rPr>
          <w:rStyle w:val="normaltextrun"/>
          <w:color w:val="000000" w:themeColor="text1"/>
        </w:rPr>
        <w:t>This can:</w:t>
      </w:r>
    </w:p>
    <w:p w14:paraId="5B2DCB8C" w14:textId="77777777" w:rsidR="00C246A8" w:rsidRPr="005C4E8E" w:rsidRDefault="00C246A8" w:rsidP="00C246A8">
      <w:pPr>
        <w:pStyle w:val="ListBullet"/>
      </w:pPr>
      <w:r w:rsidRPr="005C4E8E">
        <w:t>reduce specialist waiting lists</w:t>
      </w:r>
    </w:p>
    <w:p w14:paraId="06E69EB7" w14:textId="77777777" w:rsidR="00C246A8" w:rsidRPr="005C4E8E" w:rsidRDefault="00C246A8" w:rsidP="00C246A8">
      <w:pPr>
        <w:pStyle w:val="ListBullet"/>
      </w:pPr>
      <w:r w:rsidRPr="005C4E8E">
        <w:t>facilitate better communication between primary care and hospitals</w:t>
      </w:r>
    </w:p>
    <w:p w14:paraId="586398B0" w14:textId="77777777" w:rsidR="00C246A8" w:rsidRPr="005C4E8E" w:rsidRDefault="00C246A8" w:rsidP="00C246A8">
      <w:pPr>
        <w:pStyle w:val="ListBullet"/>
      </w:pPr>
      <w:r w:rsidRPr="005C4E8E">
        <w:t>improve discharge of consumers back to their GP.</w:t>
      </w:r>
    </w:p>
    <w:p w14:paraId="66692670" w14:textId="0081416F" w:rsidR="004C23DC" w:rsidRPr="008D65C7" w:rsidRDefault="004C23DC" w:rsidP="004C23DC">
      <w:pPr>
        <w:pStyle w:val="BodyText"/>
      </w:pPr>
      <w:r>
        <w:t xml:space="preserve">The </w:t>
      </w:r>
      <w:proofErr w:type="spellStart"/>
      <w:r>
        <w:t>GPwSI</w:t>
      </w:r>
      <w:proofErr w:type="spellEnd"/>
      <w:r>
        <w:t xml:space="preserve"> model is used in multiple locations </w:t>
      </w:r>
      <w:r w:rsidR="00D1569E">
        <w:t>in Queensland, as well as in the UK, Netherlands, Canada and New Zealand</w:t>
      </w:r>
      <w:r>
        <w:t xml:space="preserve">. </w:t>
      </w:r>
      <w:r w:rsidR="00660A90">
        <w:t>T</w:t>
      </w:r>
      <w:r w:rsidR="001D5974">
        <w:t>he</w:t>
      </w:r>
      <w:r>
        <w:t xml:space="preserve"> </w:t>
      </w:r>
      <w:r w:rsidRPr="00B833EC">
        <w:rPr>
          <w:rStyle w:val="normaltextrun"/>
          <w:color w:val="000000" w:themeColor="text1"/>
        </w:rPr>
        <w:t xml:space="preserve">Sunshine Coast Hospital and Health Service </w:t>
      </w:r>
      <w:r>
        <w:rPr>
          <w:rStyle w:val="normaltextrun"/>
          <w:color w:val="000000" w:themeColor="text1"/>
        </w:rPr>
        <w:t>uses</w:t>
      </w:r>
      <w:r w:rsidRPr="00B833EC">
        <w:rPr>
          <w:rStyle w:val="normaltextrun"/>
          <w:color w:val="000000" w:themeColor="text1"/>
        </w:rPr>
        <w:t xml:space="preserve"> </w:t>
      </w:r>
      <w:proofErr w:type="spellStart"/>
      <w:r w:rsidRPr="00B833EC">
        <w:rPr>
          <w:rStyle w:val="normaltextrun"/>
          <w:color w:val="000000" w:themeColor="text1"/>
        </w:rPr>
        <w:t>GPwSIs</w:t>
      </w:r>
      <w:proofErr w:type="spellEnd"/>
      <w:r>
        <w:rPr>
          <w:rStyle w:val="normaltextrun"/>
          <w:color w:val="000000" w:themeColor="text1"/>
        </w:rPr>
        <w:t xml:space="preserve"> to </w:t>
      </w:r>
      <w:r w:rsidRPr="00B833EC">
        <w:rPr>
          <w:rStyle w:val="normaltextrun"/>
          <w:color w:val="000000" w:themeColor="text1"/>
        </w:rPr>
        <w:t xml:space="preserve">take referrals for </w:t>
      </w:r>
      <w:r>
        <w:rPr>
          <w:rStyle w:val="normaltextrun"/>
          <w:color w:val="000000" w:themeColor="text1"/>
        </w:rPr>
        <w:t xml:space="preserve">people who would otherwise have been on waiting lists for </w:t>
      </w:r>
      <w:r w:rsidR="003739F5">
        <w:rPr>
          <w:rStyle w:val="normaltextrun"/>
          <w:color w:val="000000" w:themeColor="text1"/>
        </w:rPr>
        <w:t xml:space="preserve">general surgery, </w:t>
      </w:r>
      <w:r w:rsidR="00160728">
        <w:rPr>
          <w:rStyle w:val="normaltextrun"/>
          <w:color w:val="000000" w:themeColor="text1"/>
        </w:rPr>
        <w:t xml:space="preserve">dermatology, gastroenterology, </w:t>
      </w:r>
      <w:r w:rsidR="003472D8">
        <w:rPr>
          <w:rStyle w:val="normaltextrun"/>
          <w:color w:val="000000" w:themeColor="text1"/>
        </w:rPr>
        <w:t>gyna</w:t>
      </w:r>
      <w:r w:rsidR="00B93CC3">
        <w:rPr>
          <w:rStyle w:val="normaltextrun"/>
          <w:color w:val="000000" w:themeColor="text1"/>
        </w:rPr>
        <w:t>e</w:t>
      </w:r>
      <w:r w:rsidR="003472D8">
        <w:rPr>
          <w:rStyle w:val="normaltextrun"/>
          <w:color w:val="000000" w:themeColor="text1"/>
        </w:rPr>
        <w:t>cology</w:t>
      </w:r>
      <w:r w:rsidR="00B956B6">
        <w:rPr>
          <w:rStyle w:val="normaltextrun"/>
          <w:color w:val="000000" w:themeColor="text1"/>
        </w:rPr>
        <w:t xml:space="preserve">, immunology, </w:t>
      </w:r>
      <w:r w:rsidR="00AF1E73">
        <w:rPr>
          <w:rStyle w:val="normaltextrun"/>
          <w:color w:val="000000" w:themeColor="text1"/>
        </w:rPr>
        <w:t xml:space="preserve">mental health, </w:t>
      </w:r>
      <w:r w:rsidR="00926071">
        <w:rPr>
          <w:rStyle w:val="normaltextrun"/>
          <w:color w:val="000000" w:themeColor="text1"/>
        </w:rPr>
        <w:t xml:space="preserve">neurology, </w:t>
      </w:r>
      <w:r w:rsidR="004F791F">
        <w:rPr>
          <w:rStyle w:val="normaltextrun"/>
          <w:color w:val="000000" w:themeColor="text1"/>
        </w:rPr>
        <w:t>orthopaedics</w:t>
      </w:r>
      <w:r w:rsidR="00C20302">
        <w:rPr>
          <w:rStyle w:val="normaltextrun"/>
          <w:color w:val="000000" w:themeColor="text1"/>
        </w:rPr>
        <w:t>, paediatrics</w:t>
      </w:r>
      <w:r w:rsidR="00FA02B8">
        <w:rPr>
          <w:rStyle w:val="normaltextrun"/>
          <w:color w:val="000000" w:themeColor="text1"/>
        </w:rPr>
        <w:t>, persistent pain</w:t>
      </w:r>
      <w:r w:rsidR="007863D1">
        <w:rPr>
          <w:rStyle w:val="normaltextrun"/>
          <w:color w:val="000000" w:themeColor="text1"/>
        </w:rPr>
        <w:t>,</w:t>
      </w:r>
      <w:r w:rsidR="00C20302">
        <w:rPr>
          <w:rStyle w:val="normaltextrun"/>
          <w:color w:val="000000" w:themeColor="text1"/>
        </w:rPr>
        <w:t xml:space="preserve"> </w:t>
      </w:r>
      <w:r w:rsidR="007863D1">
        <w:rPr>
          <w:rStyle w:val="normaltextrun"/>
          <w:color w:val="000000" w:themeColor="text1"/>
        </w:rPr>
        <w:t>respiratory</w:t>
      </w:r>
      <w:r w:rsidR="00DC295D">
        <w:rPr>
          <w:rStyle w:val="normaltextrun"/>
          <w:color w:val="000000" w:themeColor="text1"/>
        </w:rPr>
        <w:t xml:space="preserve"> medicine and urology</w:t>
      </w:r>
      <w:r>
        <w:rPr>
          <w:rStyle w:val="normaltextrun"/>
          <w:color w:val="000000" w:themeColor="text1"/>
        </w:rPr>
        <w:t xml:space="preserve">. </w:t>
      </w:r>
      <w:r w:rsidR="008F459E">
        <w:rPr>
          <w:rStyle w:val="normaltextrun"/>
          <w:color w:val="000000" w:themeColor="text1"/>
        </w:rPr>
        <w:t xml:space="preserve">Similarly, </w:t>
      </w:r>
      <w:r>
        <w:t xml:space="preserve">Brisbane North PHN has had success supporting </w:t>
      </w:r>
      <w:proofErr w:type="spellStart"/>
      <w:r>
        <w:t>GPwSIs</w:t>
      </w:r>
      <w:proofErr w:type="spellEnd"/>
      <w:r>
        <w:t xml:space="preserve"> to work alongside physiotherapists to take the pressure off the hospital pain unit. Providers work under the supervision of the pain specialist and receive referrals from GPs using the Smart Referral system</w:t>
      </w:r>
      <w:r w:rsidR="008F459E">
        <w:t xml:space="preserve"> (case study</w:t>
      </w:r>
      <w:r w:rsidR="009D1703">
        <w:t> </w:t>
      </w:r>
      <w:r w:rsidR="008F459E">
        <w:t>13)</w:t>
      </w:r>
      <w:r>
        <w:t xml:space="preserve">. </w:t>
      </w:r>
    </w:p>
    <w:p w14:paraId="6AF4716C" w14:textId="15B10EE9" w:rsidR="00F352AD" w:rsidRPr="00F352AD" w:rsidRDefault="004C23DC" w:rsidP="00F352AD">
      <w:pPr>
        <w:pStyle w:val="BodyText"/>
      </w:pPr>
      <w:r>
        <w:lastRenderedPageBreak/>
        <w:t xml:space="preserve">Experience from Australia and overseas suggests that </w:t>
      </w:r>
      <w:proofErr w:type="spellStart"/>
      <w:r w:rsidRPr="00FD1C73">
        <w:t>GPwSIs</w:t>
      </w:r>
      <w:proofErr w:type="spellEnd"/>
      <w:r w:rsidRPr="00FD1C73">
        <w:t xml:space="preserve"> </w:t>
      </w:r>
      <w:r>
        <w:t xml:space="preserve">can improve access to care </w:t>
      </w:r>
      <w:r w:rsidRPr="00FD1C73">
        <w:t>while achieving comparable outcomes</w:t>
      </w:r>
      <w:r>
        <w:t xml:space="preserve"> to those achieved by specialists</w:t>
      </w:r>
      <w:r w:rsidRPr="00FD1C73">
        <w:t xml:space="preserve">. </w:t>
      </w:r>
      <w:r>
        <w:t xml:space="preserve">There is also the potential for </w:t>
      </w:r>
      <w:proofErr w:type="spellStart"/>
      <w:r w:rsidRPr="00FD1C73">
        <w:t>GPwSI</w:t>
      </w:r>
      <w:r>
        <w:t>s</w:t>
      </w:r>
      <w:proofErr w:type="spellEnd"/>
      <w:r>
        <w:t xml:space="preserve"> to reduce costs, although the most likely outcome is that more patients can be seen for the same cost. </w:t>
      </w:r>
    </w:p>
    <w:p w14:paraId="0B41FC40" w14:textId="0E500F31" w:rsidR="00C63A7D" w:rsidRDefault="00E702F7" w:rsidP="004C23DC">
      <w:pPr>
        <w:pStyle w:val="BodyText"/>
      </w:pPr>
      <w:proofErr w:type="spellStart"/>
      <w:r>
        <w:t>GPwSIs</w:t>
      </w:r>
      <w:proofErr w:type="spellEnd"/>
      <w:r>
        <w:t xml:space="preserve"> involve a mix of State and Commonwealth funding. </w:t>
      </w:r>
      <w:r w:rsidR="004220E6">
        <w:t xml:space="preserve">In the case of the Sunshine Coast program, the LHN covers about half of </w:t>
      </w:r>
      <w:r w:rsidR="00C17338">
        <w:t xml:space="preserve">program costs (which are primarily staff costs) </w:t>
      </w:r>
      <w:r w:rsidR="004F4222">
        <w:t xml:space="preserve">and </w:t>
      </w:r>
      <w:r w:rsidR="00E85132">
        <w:t xml:space="preserve">the remaining costs are </w:t>
      </w:r>
      <w:r w:rsidR="006D742D">
        <w:t xml:space="preserve">offset through the occasions of service that </w:t>
      </w:r>
      <w:proofErr w:type="spellStart"/>
      <w:r w:rsidR="006D742D">
        <w:t>GPwSIs</w:t>
      </w:r>
      <w:proofErr w:type="spellEnd"/>
      <w:r w:rsidR="006D742D">
        <w:t xml:space="preserve"> provide or </w:t>
      </w:r>
      <w:r w:rsidR="00227DFA">
        <w:t>via Medicare billing</w:t>
      </w:r>
      <w:r w:rsidR="004F4222">
        <w:t xml:space="preserve"> </w:t>
      </w:r>
      <w:r w:rsidR="00083228">
        <w:t xml:space="preserve">where appropriate. </w:t>
      </w:r>
      <w:r w:rsidR="000B0CAD">
        <w:t xml:space="preserve">Mental health </w:t>
      </w:r>
      <w:proofErr w:type="spellStart"/>
      <w:r w:rsidR="000B0CAD">
        <w:t>GPwSIs</w:t>
      </w:r>
      <w:proofErr w:type="spellEnd"/>
      <w:r w:rsidR="000B0CAD">
        <w:t xml:space="preserve"> are also </w:t>
      </w:r>
      <w:r w:rsidR="00700F79">
        <w:t xml:space="preserve">partly </w:t>
      </w:r>
      <w:r w:rsidR="000B0CAD">
        <w:t>funded through the local PHN</w:t>
      </w:r>
      <w:r w:rsidR="00700F79">
        <w:t>.</w:t>
      </w:r>
      <w:r w:rsidR="00510963">
        <w:t xml:space="preserve"> </w:t>
      </w:r>
    </w:p>
    <w:p w14:paraId="299CD10D" w14:textId="791BDCEE" w:rsidR="006426FB" w:rsidRDefault="006426FB" w:rsidP="0047433D">
      <w:pPr>
        <w:pStyle w:val="Heading4"/>
      </w:pPr>
      <w:r w:rsidRPr="006426FB">
        <w:t xml:space="preserve">General Practice Pharmacist program </w:t>
      </w:r>
      <w:r w:rsidR="00346E9B">
        <w:t xml:space="preserve">(Case study </w:t>
      </w:r>
      <w:r w:rsidR="000D4C51">
        <w:t>5</w:t>
      </w:r>
      <w:r w:rsidR="00346E9B">
        <w:t>, pp.</w:t>
      </w:r>
      <w:r w:rsidR="00923D2C">
        <w:t> </w:t>
      </w:r>
      <w:r w:rsidR="000D4C51">
        <w:t>7</w:t>
      </w:r>
      <w:r w:rsidR="00346E9B">
        <w:t>4–5 of the main report)</w:t>
      </w:r>
    </w:p>
    <w:p w14:paraId="16D15EB6" w14:textId="211B2666" w:rsidR="00C614F8" w:rsidRDefault="00C614F8" w:rsidP="00C614F8">
      <w:pPr>
        <w:pStyle w:val="BodyText"/>
      </w:pPr>
      <w:r w:rsidRPr="00F572E9">
        <w:t xml:space="preserve">In the General Practice Pharmacist program, pharmacists work in general practice care teams to deliver clinical </w:t>
      </w:r>
      <w:r>
        <w:t xml:space="preserve">services </w:t>
      </w:r>
      <w:r w:rsidRPr="00F572E9">
        <w:t xml:space="preserve">and education. </w:t>
      </w:r>
      <w:r>
        <w:t>Pharmacists’</w:t>
      </w:r>
      <w:r w:rsidRPr="00F572E9">
        <w:t xml:space="preserve"> responsibilities can include performing medication reviews, providing medication advice to consumers, conducting clinical audits and providing education to GPs and other practice staff.</w:t>
      </w:r>
      <w:r>
        <w:t xml:space="preserve"> </w:t>
      </w:r>
    </w:p>
    <w:p w14:paraId="57B11FA1" w14:textId="4FF18B7E" w:rsidR="00572606" w:rsidRDefault="00C614F8" w:rsidP="00572606">
      <w:pPr>
        <w:pStyle w:val="BodyText"/>
      </w:pPr>
      <w:r w:rsidRPr="00075500">
        <w:t>The</w:t>
      </w:r>
      <w:r>
        <w:t xml:space="preserve"> program was initially </w:t>
      </w:r>
      <w:r w:rsidR="00462BB1">
        <w:t xml:space="preserve">developed </w:t>
      </w:r>
      <w:r>
        <w:t xml:space="preserve">by </w:t>
      </w:r>
      <w:proofErr w:type="spellStart"/>
      <w:r>
        <w:t>WentWest</w:t>
      </w:r>
      <w:proofErr w:type="spellEnd"/>
      <w:r>
        <w:t>, the Western Sydney PHN</w:t>
      </w:r>
      <w:r w:rsidRPr="00075500">
        <w:t xml:space="preserve"> </w:t>
      </w:r>
      <w:r>
        <w:t xml:space="preserve">in 2016 and </w:t>
      </w:r>
      <w:r w:rsidRPr="00075500">
        <w:t xml:space="preserve">has grown to include seven </w:t>
      </w:r>
      <w:r>
        <w:t>p</w:t>
      </w:r>
      <w:r w:rsidRPr="00F123FC">
        <w:t>harmacist</w:t>
      </w:r>
      <w:r>
        <w:t>s</w:t>
      </w:r>
      <w:r w:rsidRPr="00F123FC">
        <w:t xml:space="preserve"> </w:t>
      </w:r>
      <w:r w:rsidRPr="00075500">
        <w:t>in 24 practices, with several more about to come on board.</w:t>
      </w:r>
      <w:r>
        <w:t xml:space="preserve"> </w:t>
      </w:r>
      <w:r w:rsidR="00A54E13">
        <w:t>When this occurs, pha</w:t>
      </w:r>
      <w:r w:rsidR="00F41C81">
        <w:t>r</w:t>
      </w:r>
      <w:r w:rsidR="00A54E13">
        <w:t>macists will wo</w:t>
      </w:r>
      <w:r w:rsidR="00F41C81">
        <w:t>rk in about 10% of</w:t>
      </w:r>
      <w:r w:rsidR="00A54E13">
        <w:t xml:space="preserve"> </w:t>
      </w:r>
      <w:r w:rsidR="00CC7A74">
        <w:t>general practices in Western Sydney.</w:t>
      </w:r>
      <w:r w:rsidR="00572606" w:rsidRPr="00572606">
        <w:t xml:space="preserve"> </w:t>
      </w:r>
      <w:r w:rsidR="00572606">
        <w:t>International evidence suggests that</w:t>
      </w:r>
      <w:r w:rsidR="008A7BC0">
        <w:t xml:space="preserve"> up</w:t>
      </w:r>
      <w:r w:rsidR="00625EC8">
        <w:t>take</w:t>
      </w:r>
      <w:r w:rsidR="008A7BC0">
        <w:t xml:space="preserve"> may continue </w:t>
      </w:r>
      <w:r w:rsidR="00106B0F">
        <w:t xml:space="preserve">to increase — </w:t>
      </w:r>
      <w:r w:rsidR="00572606">
        <w:t xml:space="preserve">in England </w:t>
      </w:r>
      <w:r w:rsidR="00106B0F">
        <w:t xml:space="preserve">the NHS </w:t>
      </w:r>
      <w:r w:rsidR="000E745B">
        <w:t>is aiming</w:t>
      </w:r>
      <w:r w:rsidR="00572606">
        <w:t xml:space="preserve"> to have pharmacists working in 40% of general practices</w:t>
      </w:r>
      <w:r w:rsidR="00106B0F">
        <w:t xml:space="preserve"> by </w:t>
      </w:r>
      <w:r w:rsidR="000B2884">
        <w:t>202</w:t>
      </w:r>
      <w:r w:rsidR="00CC46A1">
        <w:t>1</w:t>
      </w:r>
      <w:r w:rsidR="00572606">
        <w:t xml:space="preserve">. </w:t>
      </w:r>
    </w:p>
    <w:p w14:paraId="792B27AF" w14:textId="381A3C33" w:rsidR="00D05494" w:rsidRPr="00D05494" w:rsidRDefault="00C614F8" w:rsidP="00D05494">
      <w:pPr>
        <w:pStyle w:val="BodyText"/>
      </w:pPr>
      <w:r>
        <w:t xml:space="preserve">The program has substantial benefits for consumers, as many of the medication reviews resulted in people taking fewer medications or lower doses. It was also well received by GPs, who accepted close to 90% of the recommendations made by the pharmacists. </w:t>
      </w:r>
    </w:p>
    <w:p w14:paraId="23264870" w14:textId="2C0A5A58" w:rsidR="004355E2" w:rsidRPr="005949BD" w:rsidRDefault="004E4B36" w:rsidP="00C614F8">
      <w:pPr>
        <w:pStyle w:val="BodyText"/>
        <w:rPr>
          <w:spacing w:val="-2"/>
        </w:rPr>
      </w:pPr>
      <w:r w:rsidRPr="005949BD">
        <w:rPr>
          <w:spacing w:val="-2"/>
        </w:rPr>
        <w:t xml:space="preserve">The costs of wider implementation will depend on program uptake. If pharmacists worked at 10% of general practices, this would cost in the order of </w:t>
      </w:r>
      <w:r w:rsidR="00111843" w:rsidRPr="005949BD">
        <w:rPr>
          <w:spacing w:val="-2"/>
        </w:rPr>
        <w:t>$16 million</w:t>
      </w:r>
      <w:r w:rsidR="00F81D1E" w:rsidRPr="005949BD">
        <w:rPr>
          <w:spacing w:val="-2"/>
        </w:rPr>
        <w:t xml:space="preserve"> per year. </w:t>
      </w:r>
      <w:r w:rsidR="00111843" w:rsidRPr="005949BD">
        <w:rPr>
          <w:spacing w:val="-2"/>
        </w:rPr>
        <w:t>There could, however, be offsetting savings in GP</w:t>
      </w:r>
      <w:r w:rsidR="0082739B" w:rsidRPr="005949BD">
        <w:rPr>
          <w:spacing w:val="-2"/>
        </w:rPr>
        <w:t>s’</w:t>
      </w:r>
      <w:r w:rsidR="00111843" w:rsidRPr="005949BD">
        <w:rPr>
          <w:spacing w:val="-2"/>
        </w:rPr>
        <w:t xml:space="preserve"> time</w:t>
      </w:r>
      <w:r w:rsidR="00E769E5" w:rsidRPr="005949BD">
        <w:rPr>
          <w:spacing w:val="-2"/>
        </w:rPr>
        <w:t>. O</w:t>
      </w:r>
      <w:r w:rsidR="0082739B" w:rsidRPr="005949BD">
        <w:rPr>
          <w:spacing w:val="-2"/>
        </w:rPr>
        <w:t>ne</w:t>
      </w:r>
      <w:r w:rsidR="0082739B" w:rsidRPr="005949BD" w:rsidDel="0066639E">
        <w:rPr>
          <w:spacing w:val="-2"/>
        </w:rPr>
        <w:t xml:space="preserve"> </w:t>
      </w:r>
      <w:r w:rsidR="0082739B" w:rsidRPr="005949BD">
        <w:rPr>
          <w:spacing w:val="-2"/>
        </w:rPr>
        <w:t>study conducted in Scotland found the inclusion of a GP</w:t>
      </w:r>
      <w:r w:rsidR="0082739B" w:rsidRPr="005949BD">
        <w:rPr>
          <w:spacing w:val="-2"/>
        </w:rPr>
        <w:noBreakHyphen/>
        <w:t xml:space="preserve">based pharmacist reduced the time GPs spent on key prescribing activities by 51%, which freed up 5 hours of GP time per week, per practice. </w:t>
      </w:r>
      <w:r w:rsidR="00250B92" w:rsidRPr="005949BD">
        <w:rPr>
          <w:spacing w:val="-2"/>
        </w:rPr>
        <w:t xml:space="preserve">There are also potential savings </w:t>
      </w:r>
      <w:r w:rsidR="001205D3" w:rsidRPr="005949BD">
        <w:rPr>
          <w:spacing w:val="-2"/>
        </w:rPr>
        <w:t>from</w:t>
      </w:r>
      <w:r w:rsidR="00250B92" w:rsidRPr="005949BD">
        <w:rPr>
          <w:spacing w:val="-2"/>
        </w:rPr>
        <w:t xml:space="preserve"> </w:t>
      </w:r>
      <w:r w:rsidR="001205D3" w:rsidRPr="005949BD">
        <w:rPr>
          <w:spacing w:val="-2"/>
        </w:rPr>
        <w:t>reduced expenditure on medications, fewer medication</w:t>
      </w:r>
      <w:r w:rsidR="001205D3" w:rsidRPr="005949BD">
        <w:rPr>
          <w:spacing w:val="-2"/>
        </w:rPr>
        <w:noBreakHyphen/>
        <w:t>related preventable hospital admissions, and better health outcomes.</w:t>
      </w:r>
      <w:r w:rsidR="00805216" w:rsidRPr="005949BD">
        <w:rPr>
          <w:spacing w:val="-2"/>
        </w:rPr>
        <w:t xml:space="preserve"> Despite these savings, a</w:t>
      </w:r>
      <w:r w:rsidR="00C614F8" w:rsidRPr="005949BD">
        <w:rPr>
          <w:spacing w:val="-2"/>
        </w:rPr>
        <w:t xml:space="preserve"> larger rollout of the program would require </w:t>
      </w:r>
      <w:r w:rsidR="00805216" w:rsidRPr="005949BD">
        <w:rPr>
          <w:spacing w:val="-2"/>
        </w:rPr>
        <w:t xml:space="preserve">some </w:t>
      </w:r>
      <w:r w:rsidR="00C614F8" w:rsidRPr="005949BD">
        <w:rPr>
          <w:spacing w:val="-2"/>
        </w:rPr>
        <w:t xml:space="preserve">additional </w:t>
      </w:r>
      <w:r w:rsidR="00852F5D" w:rsidRPr="005949BD">
        <w:rPr>
          <w:spacing w:val="-2"/>
        </w:rPr>
        <w:t xml:space="preserve">upfront </w:t>
      </w:r>
      <w:r w:rsidR="00C614F8" w:rsidRPr="005949BD">
        <w:rPr>
          <w:spacing w:val="-2"/>
        </w:rPr>
        <w:t>funding from the Australian Government</w:t>
      </w:r>
      <w:r w:rsidR="00805216" w:rsidRPr="005949BD">
        <w:rPr>
          <w:spacing w:val="-2"/>
        </w:rPr>
        <w:t>, so that</w:t>
      </w:r>
      <w:r w:rsidR="00C614F8" w:rsidRPr="005949BD">
        <w:rPr>
          <w:spacing w:val="-2"/>
        </w:rPr>
        <w:t xml:space="preserve"> PHNs </w:t>
      </w:r>
      <w:r w:rsidR="00011C6B" w:rsidRPr="005949BD">
        <w:rPr>
          <w:spacing w:val="-2"/>
        </w:rPr>
        <w:t xml:space="preserve">have sufficient funding certainty to </w:t>
      </w:r>
      <w:r w:rsidR="00C614F8" w:rsidRPr="005949BD">
        <w:rPr>
          <w:spacing w:val="-2"/>
        </w:rPr>
        <w:t xml:space="preserve">employ additional pharmacists. </w:t>
      </w:r>
    </w:p>
    <w:p w14:paraId="7C15E3F1" w14:textId="16ED58CC" w:rsidR="006A6A79" w:rsidRPr="004D3EE1" w:rsidRDefault="00F41BA0" w:rsidP="006A6A79">
      <w:pPr>
        <w:pStyle w:val="BodyText"/>
        <w:rPr>
          <w:spacing w:val="-2"/>
        </w:rPr>
      </w:pPr>
      <w:r>
        <w:t xml:space="preserve">Because it is run by PHNs, the </w:t>
      </w:r>
      <w:r w:rsidR="00DA227A">
        <w:t xml:space="preserve">General Practice Pharmacist program </w:t>
      </w:r>
      <w:r w:rsidR="008105BF">
        <w:t>sidesteps</w:t>
      </w:r>
      <w:r w:rsidR="00DA4FF1">
        <w:t xml:space="preserve"> </w:t>
      </w:r>
      <w:r>
        <w:t xml:space="preserve">concerns raised in </w:t>
      </w:r>
      <w:r w:rsidR="00C614F8">
        <w:t xml:space="preserve">past debates </w:t>
      </w:r>
      <w:r w:rsidR="002207AC">
        <w:t>about</w:t>
      </w:r>
      <w:r w:rsidR="00C614F8">
        <w:t xml:space="preserve"> the </w:t>
      </w:r>
      <w:r w:rsidR="002207AC">
        <w:t xml:space="preserve">desirability of GPs directly employing </w:t>
      </w:r>
      <w:r w:rsidR="00C614F8">
        <w:t>pharmacist</w:t>
      </w:r>
      <w:r w:rsidR="00091FDD">
        <w:t>s</w:t>
      </w:r>
      <w:r w:rsidR="00C614F8">
        <w:t>.</w:t>
      </w:r>
      <w:r w:rsidR="00782440">
        <w:rPr>
          <w:rStyle w:val="FootnoteReference"/>
        </w:rPr>
        <w:footnoteReference w:id="9"/>
      </w:r>
      <w:r w:rsidR="00C614F8" w:rsidRPr="00980BC5">
        <w:rPr>
          <w:spacing w:val="-2"/>
        </w:rPr>
        <w:t xml:space="preserve"> </w:t>
      </w:r>
    </w:p>
    <w:sectPr w:rsidR="006A6A79" w:rsidRPr="004D3EE1" w:rsidSect="00F559A1">
      <w:headerReference w:type="even" r:id="rId20"/>
      <w:headerReference w:type="default" r:id="rId21"/>
      <w:footerReference w:type="even" r:id="rId22"/>
      <w:footerReference w:type="default" r:id="rId23"/>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8C747" w14:textId="77777777" w:rsidR="00F96FB6" w:rsidRDefault="00F96FB6">
      <w:r>
        <w:separator/>
      </w:r>
    </w:p>
  </w:endnote>
  <w:endnote w:type="continuationSeparator" w:id="0">
    <w:p w14:paraId="3A5E37BB" w14:textId="77777777" w:rsidR="00F96FB6" w:rsidRDefault="00F96FB6">
      <w:r>
        <w:continuationSeparator/>
      </w:r>
    </w:p>
  </w:endnote>
  <w:endnote w:type="continuationNotice" w:id="1">
    <w:p w14:paraId="73E0048D" w14:textId="77777777" w:rsidR="00F96FB6" w:rsidRDefault="00F96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3F497C3E" w14:textId="77777777" w:rsidTr="005F48ED">
      <w:trPr>
        <w:trHeight w:hRule="exact" w:val="567"/>
      </w:trPr>
      <w:tc>
        <w:tcPr>
          <w:tcW w:w="510" w:type="dxa"/>
        </w:tcPr>
        <w:p w14:paraId="592FF88B" w14:textId="77777777" w:rsidR="00772909" w:rsidRDefault="00772909">
          <w:pPr>
            <w:pStyle w:val="Footer"/>
            <w:ind w:right="360" w:firstLine="360"/>
          </w:pPr>
        </w:p>
      </w:tc>
      <w:tc>
        <w:tcPr>
          <w:tcW w:w="7767" w:type="dxa"/>
        </w:tcPr>
        <w:p w14:paraId="205EC92F" w14:textId="5AD694E0" w:rsidR="00772909" w:rsidRPr="00BA5B14" w:rsidRDefault="00E84AEE" w:rsidP="0013739A">
          <w:pPr>
            <w:pStyle w:val="Footer"/>
            <w:jc w:val="right"/>
            <w:rPr>
              <w:rFonts w:cs="Arial"/>
            </w:rPr>
          </w:pPr>
          <w:r w:rsidRPr="00E84AEE">
            <w:rPr>
              <w:rFonts w:cs="Arial"/>
            </w:rPr>
            <w:t>Implementing innovation across the health system</w:t>
          </w:r>
        </w:p>
      </w:tc>
      <w:tc>
        <w:tcPr>
          <w:tcW w:w="510" w:type="dxa"/>
        </w:tcPr>
        <w:p w14:paraId="6F58DDFF"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01303310" w14:textId="77777777" w:rsidR="00772909" w:rsidRDefault="00772909">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79AB" w14:paraId="6C74EFD3" w14:textId="77777777" w:rsidTr="005F48ED">
      <w:trPr>
        <w:trHeight w:hRule="exact" w:val="567"/>
      </w:trPr>
      <w:tc>
        <w:tcPr>
          <w:tcW w:w="510" w:type="dxa"/>
        </w:tcPr>
        <w:p w14:paraId="5EFF6A21" w14:textId="77777777" w:rsidR="00CA79AB" w:rsidRPr="00A24443" w:rsidRDefault="00CA79A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07974B6F" w14:textId="77777777" w:rsidR="00CA79AB" w:rsidRPr="0013739A" w:rsidRDefault="00CA79AB" w:rsidP="0013739A">
          <w:pPr>
            <w:pStyle w:val="Footer"/>
            <w:rPr>
              <w:rFonts w:cs="Arial"/>
            </w:rPr>
          </w:pPr>
          <w:r>
            <w:rPr>
              <w:rFonts w:cs="Arial"/>
            </w:rPr>
            <w:t>information paper</w:t>
          </w:r>
        </w:p>
      </w:tc>
      <w:tc>
        <w:tcPr>
          <w:tcW w:w="510" w:type="dxa"/>
        </w:tcPr>
        <w:p w14:paraId="523593D3" w14:textId="77777777" w:rsidR="00CA79AB" w:rsidRDefault="00CA79AB" w:rsidP="0019293B">
          <w:pPr>
            <w:pStyle w:val="Footer"/>
          </w:pPr>
        </w:p>
      </w:tc>
    </w:tr>
  </w:tbl>
  <w:p w14:paraId="5D215A40" w14:textId="77777777" w:rsidR="00CA79AB" w:rsidRDefault="00CA79AB"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79AB" w14:paraId="394759BA" w14:textId="77777777" w:rsidTr="005F48ED">
      <w:trPr>
        <w:trHeight w:hRule="exact" w:val="567"/>
      </w:trPr>
      <w:tc>
        <w:tcPr>
          <w:tcW w:w="510" w:type="dxa"/>
        </w:tcPr>
        <w:p w14:paraId="74075297" w14:textId="77777777" w:rsidR="00CA79AB" w:rsidRDefault="00CA79AB">
          <w:pPr>
            <w:pStyle w:val="Footer"/>
            <w:ind w:right="360" w:firstLine="360"/>
          </w:pPr>
        </w:p>
      </w:tc>
      <w:tc>
        <w:tcPr>
          <w:tcW w:w="7767" w:type="dxa"/>
        </w:tcPr>
        <w:p w14:paraId="57F864D6" w14:textId="77777777" w:rsidR="00CA79AB" w:rsidRPr="00BA5B14" w:rsidRDefault="00CA79AB" w:rsidP="0013739A">
          <w:pPr>
            <w:pStyle w:val="Footer"/>
            <w:jc w:val="right"/>
            <w:rPr>
              <w:rFonts w:cs="Arial"/>
            </w:rPr>
          </w:pPr>
          <w:r w:rsidRPr="00E84AEE">
            <w:rPr>
              <w:rFonts w:cs="Arial"/>
            </w:rPr>
            <w:t>Implementing innovation across the health system</w:t>
          </w:r>
        </w:p>
      </w:tc>
      <w:tc>
        <w:tcPr>
          <w:tcW w:w="510" w:type="dxa"/>
        </w:tcPr>
        <w:p w14:paraId="6F415ADA" w14:textId="77777777" w:rsidR="00CA79AB" w:rsidRPr="00A24443" w:rsidRDefault="00CA79A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014A0A38" w14:textId="77777777" w:rsidR="00CA79AB" w:rsidRDefault="00CA79AB">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2A968" w14:textId="77777777" w:rsidR="00F96FB6" w:rsidRDefault="00F96FB6">
      <w:r>
        <w:separator/>
      </w:r>
    </w:p>
  </w:footnote>
  <w:footnote w:type="continuationSeparator" w:id="0">
    <w:p w14:paraId="227E0BF3" w14:textId="77777777" w:rsidR="00F96FB6" w:rsidRDefault="00F96FB6" w:rsidP="000E0129">
      <w:pPr>
        <w:pStyle w:val="Footer"/>
      </w:pPr>
      <w:r>
        <w:continuationSeparator/>
      </w:r>
    </w:p>
  </w:footnote>
  <w:footnote w:type="continuationNotice" w:id="1">
    <w:p w14:paraId="2144C8AE" w14:textId="77777777" w:rsidR="00F96FB6" w:rsidRPr="000E0129" w:rsidRDefault="00F96FB6" w:rsidP="000E0129">
      <w:pPr>
        <w:pStyle w:val="Footer"/>
      </w:pPr>
    </w:p>
  </w:footnote>
  <w:footnote w:id="2">
    <w:p w14:paraId="306E8CD2" w14:textId="567F7133" w:rsidR="00F21301" w:rsidRDefault="00F21301" w:rsidP="00545D2A">
      <w:pPr>
        <w:pStyle w:val="FootnoteText"/>
        <w:spacing w:before="0"/>
      </w:pPr>
      <w:r>
        <w:rPr>
          <w:rStyle w:val="FootnoteReference"/>
        </w:rPr>
        <w:footnoteRef/>
      </w:r>
      <w:r>
        <w:tab/>
        <w:t>This paper uses LHN to refer collectively to organisations that manage public hospitals. These include local hospital networks, local health districts, hospital and health services, local health networks, health service providers and Tasmanian health organisations.</w:t>
      </w:r>
    </w:p>
  </w:footnote>
  <w:footnote w:id="3">
    <w:p w14:paraId="7A452A1B" w14:textId="60F7D82D" w:rsidR="00B246E0" w:rsidRPr="00740907" w:rsidRDefault="00B246E0">
      <w:pPr>
        <w:pStyle w:val="FootnoteText"/>
        <w:rPr>
          <w:spacing w:val="-6"/>
        </w:rPr>
      </w:pPr>
      <w:r>
        <w:rPr>
          <w:rStyle w:val="FootnoteReference"/>
        </w:rPr>
        <w:footnoteRef/>
      </w:r>
      <w:r>
        <w:tab/>
      </w:r>
      <w:r w:rsidR="00A86BD0" w:rsidRPr="00740907">
        <w:rPr>
          <w:spacing w:val="-6"/>
        </w:rPr>
        <w:t xml:space="preserve">Duckett, S., Beaumont, M., Bell, G., Gunn, J., Murphy, A., Wilson, R. and Crowley, T. 2015, </w:t>
      </w:r>
      <w:r w:rsidR="00A86BD0" w:rsidRPr="00740907">
        <w:rPr>
          <w:i/>
          <w:iCs/>
          <w:spacing w:val="-6"/>
        </w:rPr>
        <w:t>Leading Change in Primary Care: Boards of Primary Health Networks can help improve the Australian health care system</w:t>
      </w:r>
      <w:r w:rsidR="00A86BD0" w:rsidRPr="00740907">
        <w:rPr>
          <w:spacing w:val="-6"/>
        </w:rPr>
        <w:t>, p. 16.</w:t>
      </w:r>
    </w:p>
  </w:footnote>
  <w:footnote w:id="4">
    <w:p w14:paraId="50B8C42E" w14:textId="08C4C606" w:rsidR="0053507F" w:rsidRPr="000E0129" w:rsidRDefault="0053507F">
      <w:pPr>
        <w:pStyle w:val="FootnoteText"/>
        <w:rPr>
          <w:spacing w:val="-4"/>
        </w:rPr>
      </w:pPr>
      <w:r w:rsidRPr="000E0129">
        <w:rPr>
          <w:rStyle w:val="FootnoteReference"/>
          <w:spacing w:val="-4"/>
        </w:rPr>
        <w:footnoteRef/>
      </w:r>
      <w:r w:rsidRPr="000E0129">
        <w:rPr>
          <w:spacing w:val="-4"/>
        </w:rPr>
        <w:tab/>
        <w:t>The role of activity</w:t>
      </w:r>
      <w:r w:rsidRPr="000E0129">
        <w:rPr>
          <w:spacing w:val="-4"/>
        </w:rPr>
        <w:noBreakHyphen/>
        <w:t xml:space="preserve">based funding (ABF) in supporting preventive care is mostly limited to </w:t>
      </w:r>
      <w:r w:rsidR="00037A47" w:rsidRPr="000E0129">
        <w:rPr>
          <w:spacing w:val="-4"/>
        </w:rPr>
        <w:t xml:space="preserve">the </w:t>
      </w:r>
      <w:r w:rsidRPr="000E0129">
        <w:rPr>
          <w:spacing w:val="-4"/>
        </w:rPr>
        <w:t>hospital avoidance activities</w:t>
      </w:r>
      <w:r w:rsidR="00037A47" w:rsidRPr="000E0129">
        <w:rPr>
          <w:spacing w:val="-4"/>
        </w:rPr>
        <w:t xml:space="preserve"> specified </w:t>
      </w:r>
      <w:r w:rsidR="00A44EDF" w:rsidRPr="000E0129">
        <w:rPr>
          <w:spacing w:val="-4"/>
        </w:rPr>
        <w:t>in</w:t>
      </w:r>
      <w:r w:rsidR="00037A47" w:rsidRPr="000E0129">
        <w:rPr>
          <w:spacing w:val="-4"/>
        </w:rPr>
        <w:t xml:space="preserve"> </w:t>
      </w:r>
      <w:r w:rsidR="006E71F3" w:rsidRPr="000E0129">
        <w:rPr>
          <w:spacing w:val="-4"/>
        </w:rPr>
        <w:t>the</w:t>
      </w:r>
      <w:r w:rsidR="00A44EDF" w:rsidRPr="000E0129">
        <w:rPr>
          <w:spacing w:val="-4"/>
        </w:rPr>
        <w:t xml:space="preserve"> </w:t>
      </w:r>
      <w:r w:rsidR="00EC387D" w:rsidRPr="000E0129">
        <w:rPr>
          <w:spacing w:val="-4"/>
        </w:rPr>
        <w:t xml:space="preserve">Independent Hospital Pricing Authority’s </w:t>
      </w:r>
      <w:r w:rsidR="00A44EDF" w:rsidRPr="000E0129">
        <w:rPr>
          <w:spacing w:val="-4"/>
        </w:rPr>
        <w:t>General List</w:t>
      </w:r>
      <w:r w:rsidR="006E71F3" w:rsidRPr="000E0129">
        <w:rPr>
          <w:spacing w:val="-4"/>
        </w:rPr>
        <w:t xml:space="preserve"> </w:t>
      </w:r>
      <w:r w:rsidR="009F7E42" w:rsidRPr="000E0129">
        <w:rPr>
          <w:spacing w:val="-4"/>
        </w:rPr>
        <w:t>of in</w:t>
      </w:r>
      <w:r w:rsidR="00425A64" w:rsidRPr="000E0129">
        <w:rPr>
          <w:spacing w:val="-4"/>
        </w:rPr>
        <w:noBreakHyphen/>
      </w:r>
      <w:r w:rsidR="009F7E42" w:rsidRPr="000E0129">
        <w:rPr>
          <w:spacing w:val="-4"/>
        </w:rPr>
        <w:t xml:space="preserve">scope </w:t>
      </w:r>
      <w:r w:rsidR="00425A64" w:rsidRPr="000E0129">
        <w:rPr>
          <w:spacing w:val="-4"/>
        </w:rPr>
        <w:t>public hospital services</w:t>
      </w:r>
      <w:r w:rsidRPr="000E0129">
        <w:rPr>
          <w:spacing w:val="-4"/>
        </w:rPr>
        <w:t>. Funding these can be complex and there is limited flexibility in what activities can qualify</w:t>
      </w:r>
      <w:r w:rsidR="00C81CA6" w:rsidRPr="000E0129">
        <w:rPr>
          <w:spacing w:val="-4"/>
        </w:rPr>
        <w:t xml:space="preserve"> under the hospital avoidance program</w:t>
      </w:r>
      <w:r w:rsidRPr="000E0129">
        <w:rPr>
          <w:spacing w:val="-4"/>
        </w:rPr>
        <w:t xml:space="preserve">. Outside ABF, hospitals receive minimal funding for preventive health. </w:t>
      </w:r>
    </w:p>
  </w:footnote>
  <w:footnote w:id="5">
    <w:p w14:paraId="267A8A06" w14:textId="4F673A9C" w:rsidR="005349C9" w:rsidRDefault="005349C9">
      <w:pPr>
        <w:pStyle w:val="FootnoteText"/>
      </w:pPr>
      <w:r>
        <w:rPr>
          <w:rStyle w:val="FootnoteReference"/>
        </w:rPr>
        <w:footnoteRef/>
      </w:r>
      <w:r>
        <w:tab/>
      </w:r>
      <w:r w:rsidRPr="005349C9">
        <w:t xml:space="preserve">Brisbane Diamantina Health Partners 2019, </w:t>
      </w:r>
      <w:r w:rsidRPr="005349C9">
        <w:rPr>
          <w:i/>
          <w:iCs/>
        </w:rPr>
        <w:t xml:space="preserve">Brisbane Diamantina Health Partners </w:t>
      </w:r>
      <w:r w:rsidRPr="005349C9">
        <w:rPr>
          <w:i/>
          <w:iCs/>
        </w:rPr>
        <w:t>NHMRC Progress Report</w:t>
      </w:r>
      <w:r w:rsidRPr="005349C9">
        <w:t>, June</w:t>
      </w:r>
      <w:r>
        <w:t>, p. 7</w:t>
      </w:r>
      <w:r w:rsidRPr="005349C9">
        <w:t>.</w:t>
      </w:r>
    </w:p>
  </w:footnote>
  <w:footnote w:id="6">
    <w:p w14:paraId="6B2A3B64" w14:textId="5F0D6AEF" w:rsidR="00F9778C" w:rsidRDefault="00F9778C">
      <w:pPr>
        <w:pStyle w:val="FootnoteText"/>
      </w:pPr>
      <w:r w:rsidRPr="00030838">
        <w:rPr>
          <w:rStyle w:val="FootnoteReference"/>
        </w:rPr>
        <w:footnoteRef/>
      </w:r>
      <w:r>
        <w:tab/>
        <w:t xml:space="preserve">The </w:t>
      </w:r>
      <w:r>
        <w:t xml:space="preserve">ACSQHC also promotes the diffusion of innovations and good practices by publishing reports related to each of its streams of work. </w:t>
      </w:r>
      <w:r w:rsidR="00A02B3B">
        <w:t>A</w:t>
      </w:r>
      <w:r>
        <w:t xml:space="preserve">s part of its work in promoting person-centred health care, it published a </w:t>
      </w:r>
      <w:r w:rsidRPr="00A51609">
        <w:rPr>
          <w:i/>
          <w:iCs/>
        </w:rPr>
        <w:t>Review of key attributes of high</w:t>
      </w:r>
      <w:r>
        <w:rPr>
          <w:i/>
          <w:iCs/>
        </w:rPr>
        <w:noBreakHyphen/>
      </w:r>
      <w:r w:rsidRPr="00A51609">
        <w:rPr>
          <w:i/>
          <w:iCs/>
        </w:rPr>
        <w:t>performing person-centred healthcare organisations</w:t>
      </w:r>
      <w:r w:rsidR="00FA6D2F">
        <w:t>.</w:t>
      </w:r>
      <w:r>
        <w:t xml:space="preserve"> This </w:t>
      </w:r>
      <w:r w:rsidR="00757A49">
        <w:t>review</w:t>
      </w:r>
      <w:r>
        <w:t xml:space="preserve"> featured </w:t>
      </w:r>
      <w:r w:rsidR="00A02B3B">
        <w:t>eight</w:t>
      </w:r>
      <w:r>
        <w:t xml:space="preserve"> case studies that offer further detail on the ways in which a diverse range of Australian and international health services are delivering person</w:t>
      </w:r>
      <w:r>
        <w:noBreakHyphen/>
        <w:t>centred care.</w:t>
      </w:r>
    </w:p>
  </w:footnote>
  <w:footnote w:id="7">
    <w:p w14:paraId="6B40EBF6" w14:textId="562CBD4A" w:rsidR="00DD760D" w:rsidRDefault="00DD760D">
      <w:pPr>
        <w:pStyle w:val="FootnoteText"/>
      </w:pPr>
      <w:r>
        <w:rPr>
          <w:rStyle w:val="FootnoteReference"/>
        </w:rPr>
        <w:footnoteRef/>
      </w:r>
      <w:r>
        <w:tab/>
      </w:r>
      <w:r w:rsidR="00D8151B" w:rsidRPr="00D8151B">
        <w:t xml:space="preserve">ACSQHC (Australian Commission on Safety and Quality in Health Care) 2019, </w:t>
      </w:r>
      <w:r w:rsidR="00D8151B" w:rsidRPr="00D8151B">
        <w:rPr>
          <w:i/>
          <w:iCs/>
        </w:rPr>
        <w:t>Fact sheet 5: Recognising exemplar practice in health service organisations</w:t>
      </w:r>
      <w:r w:rsidR="00D8151B" w:rsidRPr="00D8151B">
        <w:t>, Sydney</w:t>
      </w:r>
      <w:r w:rsidR="00D8151B">
        <w:t>, p. 1</w:t>
      </w:r>
      <w:r w:rsidR="00D8151B" w:rsidRPr="00D8151B">
        <w:t>.</w:t>
      </w:r>
    </w:p>
  </w:footnote>
  <w:footnote w:id="8">
    <w:p w14:paraId="4D96EBDA" w14:textId="2F72A415" w:rsidR="00A86BD0" w:rsidRDefault="00A86BD0">
      <w:pPr>
        <w:pStyle w:val="FootnoteText"/>
      </w:pPr>
      <w:r>
        <w:rPr>
          <w:rStyle w:val="FootnoteReference"/>
        </w:rPr>
        <w:footnoteRef/>
      </w:r>
      <w:r>
        <w:tab/>
      </w:r>
      <w:r w:rsidR="00F86F14" w:rsidRPr="00F86F14">
        <w:t xml:space="preserve">Macfarlane, S. and Cunningham, C. 2021, ‘Limiting antipsychotic drugs in dementia’, </w:t>
      </w:r>
      <w:r w:rsidR="00F86F14" w:rsidRPr="00F86F14">
        <w:rPr>
          <w:i/>
          <w:iCs/>
        </w:rPr>
        <w:t>Australian Prescriber</w:t>
      </w:r>
      <w:r w:rsidR="00F86F14" w:rsidRPr="00F86F14">
        <w:t>, February, https://www.nps.org.au/australian-prescriber/articles/limiting-antipsychotic-drugs-in-dementia (accessed 11 May 2021).</w:t>
      </w:r>
    </w:p>
  </w:footnote>
  <w:footnote w:id="9">
    <w:p w14:paraId="672E5244" w14:textId="12BD8D66" w:rsidR="00782440" w:rsidRDefault="00782440">
      <w:pPr>
        <w:pStyle w:val="FootnoteText"/>
      </w:pPr>
      <w:r>
        <w:rPr>
          <w:rStyle w:val="FootnoteReference"/>
        </w:rPr>
        <w:footnoteRef/>
      </w:r>
      <w:r>
        <w:tab/>
      </w:r>
      <w:r w:rsidRPr="00782440">
        <w:t xml:space="preserve">In 2015, the AMA suggested that the Australian Government </w:t>
      </w:r>
      <w:r w:rsidR="007E4C85">
        <w:t>provide</w:t>
      </w:r>
      <w:r w:rsidRPr="00782440">
        <w:t xml:space="preserve"> an incentive payment to GPs to employ a pharmacist (as they currently </w:t>
      </w:r>
      <w:r w:rsidR="00ED04BF">
        <w:t>do for</w:t>
      </w:r>
      <w:r w:rsidRPr="00782440">
        <w:t xml:space="preserve"> practice nurses). </w:t>
      </w:r>
      <w:r w:rsidR="00ED04BF">
        <w:t>T</w:t>
      </w:r>
      <w:r w:rsidRPr="00782440">
        <w:t xml:space="preserve">he Pharmacy Guild </w:t>
      </w:r>
      <w:r w:rsidR="00ED04BF">
        <w:t>opposed this,</w:t>
      </w:r>
      <w:r w:rsidRPr="00782440">
        <w:t xml:space="preserve"> claim</w:t>
      </w:r>
      <w:r w:rsidR="00ED04BF">
        <w:t>ing</w:t>
      </w:r>
      <w:r w:rsidRPr="00782440">
        <w:t xml:space="preserve"> that this would reduce pharmacists’ professional independence, and exacerbate pressures on workforce availability and the sustainability of community pharmacies.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CA79AB" w14:paraId="44E8A7DF" w14:textId="77777777">
      <w:tc>
        <w:tcPr>
          <w:tcW w:w="2155" w:type="dxa"/>
          <w:tcBorders>
            <w:top w:val="single" w:sz="24" w:space="0" w:color="auto"/>
          </w:tcBorders>
        </w:tcPr>
        <w:p w14:paraId="2A5849F7" w14:textId="77777777" w:rsidR="00CA79AB" w:rsidRDefault="00CA79AB" w:rsidP="0019293B">
          <w:pPr>
            <w:pStyle w:val="HeaderEven"/>
          </w:pPr>
        </w:p>
      </w:tc>
      <w:tc>
        <w:tcPr>
          <w:tcW w:w="6634" w:type="dxa"/>
          <w:tcBorders>
            <w:top w:val="single" w:sz="6" w:space="0" w:color="auto"/>
          </w:tcBorders>
        </w:tcPr>
        <w:p w14:paraId="181A52D6" w14:textId="77777777" w:rsidR="00CA79AB" w:rsidRDefault="00CA79AB" w:rsidP="0019293B">
          <w:pPr>
            <w:pStyle w:val="HeaderEven"/>
          </w:pPr>
        </w:p>
      </w:tc>
    </w:tr>
  </w:tbl>
  <w:p w14:paraId="2C7CDE78" w14:textId="77777777" w:rsidR="00CA79AB" w:rsidRDefault="00CA79AB"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76C21" w14:paraId="648BBA11" w14:textId="77777777">
      <w:tc>
        <w:tcPr>
          <w:tcW w:w="6634" w:type="dxa"/>
          <w:tcBorders>
            <w:top w:val="single" w:sz="6" w:space="0" w:color="auto"/>
          </w:tcBorders>
        </w:tcPr>
        <w:p w14:paraId="6928D04A" w14:textId="6BC5585B" w:rsidR="00276C21" w:rsidRDefault="00276C21" w:rsidP="00E669E2">
          <w:pPr>
            <w:pStyle w:val="HeaderOdd"/>
          </w:pPr>
        </w:p>
      </w:tc>
      <w:tc>
        <w:tcPr>
          <w:tcW w:w="2155" w:type="dxa"/>
          <w:tcBorders>
            <w:top w:val="single" w:sz="24" w:space="0" w:color="auto"/>
          </w:tcBorders>
        </w:tcPr>
        <w:p w14:paraId="5DCB8A76" w14:textId="77777777" w:rsidR="00276C21" w:rsidRDefault="00276C21" w:rsidP="00E669E2">
          <w:pPr>
            <w:pStyle w:val="HeaderOdd"/>
          </w:pPr>
        </w:p>
      </w:tc>
    </w:tr>
  </w:tbl>
  <w:p w14:paraId="5F6DF8EA" w14:textId="77777777" w:rsidR="00276C21" w:rsidRDefault="00276C21"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F26198D"/>
    <w:multiLevelType w:val="hybridMultilevel"/>
    <w:tmpl w:val="C67C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84145D0"/>
    <w:multiLevelType w:val="hybridMultilevel"/>
    <w:tmpl w:val="34805ECE"/>
    <w:lvl w:ilvl="0" w:tplc="05F0334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A60D9"/>
    <w:multiLevelType w:val="hybridMultilevel"/>
    <w:tmpl w:val="11EE1710"/>
    <w:lvl w:ilvl="0" w:tplc="BFF2591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681EC2"/>
    <w:multiLevelType w:val="hybridMultilevel"/>
    <w:tmpl w:val="67AE0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2D140C"/>
    <w:multiLevelType w:val="hybridMultilevel"/>
    <w:tmpl w:val="EECE0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381F96"/>
    <w:multiLevelType w:val="hybridMultilevel"/>
    <w:tmpl w:val="2D184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15:restartNumberingAfterBreak="0">
    <w:nsid w:val="75062569"/>
    <w:multiLevelType w:val="hybridMultilevel"/>
    <w:tmpl w:val="F1C84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20"/>
  </w:num>
  <w:num w:numId="4">
    <w:abstractNumId w:val="4"/>
  </w:num>
  <w:num w:numId="5">
    <w:abstractNumId w:val="26"/>
  </w:num>
  <w:num w:numId="6">
    <w:abstractNumId w:val="22"/>
  </w:num>
  <w:num w:numId="7">
    <w:abstractNumId w:val="8"/>
  </w:num>
  <w:num w:numId="8">
    <w:abstractNumId w:val="21"/>
  </w:num>
  <w:num w:numId="9">
    <w:abstractNumId w:val="7"/>
  </w:num>
  <w:num w:numId="10">
    <w:abstractNumId w:val="6"/>
  </w:num>
  <w:num w:numId="11">
    <w:abstractNumId w:val="11"/>
  </w:num>
  <w:num w:numId="12">
    <w:abstractNumId w:val="12"/>
  </w:num>
  <w:num w:numId="13">
    <w:abstractNumId w:val="5"/>
  </w:num>
  <w:num w:numId="14">
    <w:abstractNumId w:val="23"/>
  </w:num>
  <w:num w:numId="15">
    <w:abstractNumId w:val="28"/>
  </w:num>
  <w:num w:numId="16">
    <w:abstractNumId w:val="18"/>
  </w:num>
  <w:num w:numId="17">
    <w:abstractNumId w:val="29"/>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4"/>
  </w:num>
  <w:num w:numId="21">
    <w:abstractNumId w:val="9"/>
  </w:num>
  <w:num w:numId="22">
    <w:abstractNumId w:val="19"/>
  </w:num>
  <w:num w:numId="23">
    <w:abstractNumId w:val="20"/>
  </w:num>
  <w:num w:numId="24">
    <w:abstractNumId w:val="1"/>
  </w:num>
  <w:num w:numId="25">
    <w:abstractNumId w:val="25"/>
  </w:num>
  <w:num w:numId="26">
    <w:abstractNumId w:val="20"/>
  </w:num>
  <w:num w:numId="27">
    <w:abstractNumId w:val="20"/>
  </w:num>
  <w:num w:numId="28">
    <w:abstractNumId w:val="20"/>
  </w:num>
  <w:num w:numId="29">
    <w:abstractNumId w:val="13"/>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14"/>
  </w:num>
  <w:num w:numId="37">
    <w:abstractNumId w:val="27"/>
  </w:num>
  <w:num w:numId="38">
    <w:abstractNumId w:val="13"/>
  </w:num>
  <w:num w:numId="39">
    <w:abstractNumId w:val="5"/>
  </w:num>
  <w:num w:numId="40">
    <w:abstractNumId w:val="5"/>
  </w:num>
  <w:num w:numId="41">
    <w:abstractNumId w:val="10"/>
  </w:num>
  <w:num w:numId="42">
    <w:abstractNumId w:val="16"/>
  </w:num>
  <w:num w:numId="43">
    <w:abstractNumId w:val="15"/>
  </w:num>
  <w:num w:numId="44">
    <w:abstractNumId w:val="16"/>
  </w:num>
  <w:num w:numId="45">
    <w:abstractNumId w:val="21"/>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21"/>
  </w:num>
  <w:num w:numId="53">
    <w:abstractNumId w:val="21"/>
  </w:num>
  <w:num w:numId="54">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Implementing innovation across the health system"/>
    <w:docVar w:name="ShortReportTitle" w:val="Implementing innovation across the health system"/>
  </w:docVars>
  <w:rsids>
    <w:rsidRoot w:val="00AC1F5D"/>
    <w:rsid w:val="00000BA6"/>
    <w:rsid w:val="00001281"/>
    <w:rsid w:val="00001311"/>
    <w:rsid w:val="00001B69"/>
    <w:rsid w:val="000023E2"/>
    <w:rsid w:val="00002416"/>
    <w:rsid w:val="00002BC0"/>
    <w:rsid w:val="00003013"/>
    <w:rsid w:val="00003048"/>
    <w:rsid w:val="00003271"/>
    <w:rsid w:val="00003510"/>
    <w:rsid w:val="0000366F"/>
    <w:rsid w:val="000038CE"/>
    <w:rsid w:val="00003A44"/>
    <w:rsid w:val="00003A7B"/>
    <w:rsid w:val="00003AC9"/>
    <w:rsid w:val="00003FD8"/>
    <w:rsid w:val="000042CC"/>
    <w:rsid w:val="0000443A"/>
    <w:rsid w:val="0000492D"/>
    <w:rsid w:val="0000497B"/>
    <w:rsid w:val="00004E3D"/>
    <w:rsid w:val="00004EF4"/>
    <w:rsid w:val="0000504C"/>
    <w:rsid w:val="00005AE6"/>
    <w:rsid w:val="00005B98"/>
    <w:rsid w:val="00006073"/>
    <w:rsid w:val="00006449"/>
    <w:rsid w:val="00006F5F"/>
    <w:rsid w:val="00006F63"/>
    <w:rsid w:val="00006F6F"/>
    <w:rsid w:val="00007094"/>
    <w:rsid w:val="000070F7"/>
    <w:rsid w:val="00007477"/>
    <w:rsid w:val="00007846"/>
    <w:rsid w:val="00007873"/>
    <w:rsid w:val="0000799E"/>
    <w:rsid w:val="00007A56"/>
    <w:rsid w:val="00007A5B"/>
    <w:rsid w:val="00007B9E"/>
    <w:rsid w:val="00007EF3"/>
    <w:rsid w:val="00010397"/>
    <w:rsid w:val="0001042A"/>
    <w:rsid w:val="00010567"/>
    <w:rsid w:val="0001062D"/>
    <w:rsid w:val="00010711"/>
    <w:rsid w:val="00010842"/>
    <w:rsid w:val="0001094D"/>
    <w:rsid w:val="000109EF"/>
    <w:rsid w:val="00010E9A"/>
    <w:rsid w:val="00010F57"/>
    <w:rsid w:val="000110DE"/>
    <w:rsid w:val="000111B5"/>
    <w:rsid w:val="000111E6"/>
    <w:rsid w:val="00011490"/>
    <w:rsid w:val="00011522"/>
    <w:rsid w:val="00011B44"/>
    <w:rsid w:val="00011B6D"/>
    <w:rsid w:val="00011C6B"/>
    <w:rsid w:val="00011D4A"/>
    <w:rsid w:val="00011E58"/>
    <w:rsid w:val="0001231F"/>
    <w:rsid w:val="0001237F"/>
    <w:rsid w:val="0001246B"/>
    <w:rsid w:val="00012A42"/>
    <w:rsid w:val="00012D5E"/>
    <w:rsid w:val="00013339"/>
    <w:rsid w:val="00013498"/>
    <w:rsid w:val="0001354B"/>
    <w:rsid w:val="00013AEE"/>
    <w:rsid w:val="00013B61"/>
    <w:rsid w:val="00013CE4"/>
    <w:rsid w:val="00014758"/>
    <w:rsid w:val="00014917"/>
    <w:rsid w:val="00014D14"/>
    <w:rsid w:val="000151FF"/>
    <w:rsid w:val="00015295"/>
    <w:rsid w:val="00015626"/>
    <w:rsid w:val="00015A1F"/>
    <w:rsid w:val="00015CD8"/>
    <w:rsid w:val="00015F13"/>
    <w:rsid w:val="00016252"/>
    <w:rsid w:val="00016345"/>
    <w:rsid w:val="00016542"/>
    <w:rsid w:val="00016559"/>
    <w:rsid w:val="000167D2"/>
    <w:rsid w:val="00016CD6"/>
    <w:rsid w:val="00016EC8"/>
    <w:rsid w:val="000175F8"/>
    <w:rsid w:val="00017779"/>
    <w:rsid w:val="00017919"/>
    <w:rsid w:val="00017D86"/>
    <w:rsid w:val="000202A6"/>
    <w:rsid w:val="00020376"/>
    <w:rsid w:val="000203E2"/>
    <w:rsid w:val="00020499"/>
    <w:rsid w:val="00020817"/>
    <w:rsid w:val="000208C9"/>
    <w:rsid w:val="00020B3A"/>
    <w:rsid w:val="00020EC4"/>
    <w:rsid w:val="00021013"/>
    <w:rsid w:val="00021104"/>
    <w:rsid w:val="0002113F"/>
    <w:rsid w:val="0002172C"/>
    <w:rsid w:val="00021B32"/>
    <w:rsid w:val="0002223F"/>
    <w:rsid w:val="000222C3"/>
    <w:rsid w:val="000226F3"/>
    <w:rsid w:val="000227D5"/>
    <w:rsid w:val="000229B4"/>
    <w:rsid w:val="00022C79"/>
    <w:rsid w:val="00022E07"/>
    <w:rsid w:val="00023362"/>
    <w:rsid w:val="000233A3"/>
    <w:rsid w:val="00023517"/>
    <w:rsid w:val="0002370B"/>
    <w:rsid w:val="00023816"/>
    <w:rsid w:val="00023F61"/>
    <w:rsid w:val="000245AA"/>
    <w:rsid w:val="00024EB5"/>
    <w:rsid w:val="00024FEE"/>
    <w:rsid w:val="000253D1"/>
    <w:rsid w:val="000253F6"/>
    <w:rsid w:val="00025FC6"/>
    <w:rsid w:val="000263BE"/>
    <w:rsid w:val="000266AE"/>
    <w:rsid w:val="000268AE"/>
    <w:rsid w:val="00026A9C"/>
    <w:rsid w:val="00026CAF"/>
    <w:rsid w:val="00026D47"/>
    <w:rsid w:val="00026E7A"/>
    <w:rsid w:val="0002729B"/>
    <w:rsid w:val="0002735F"/>
    <w:rsid w:val="000273CB"/>
    <w:rsid w:val="000274C7"/>
    <w:rsid w:val="00027871"/>
    <w:rsid w:val="0002792A"/>
    <w:rsid w:val="00027A09"/>
    <w:rsid w:val="00027AE3"/>
    <w:rsid w:val="00027D77"/>
    <w:rsid w:val="00027E4A"/>
    <w:rsid w:val="000305E1"/>
    <w:rsid w:val="00030838"/>
    <w:rsid w:val="00031705"/>
    <w:rsid w:val="000318C4"/>
    <w:rsid w:val="00031A6B"/>
    <w:rsid w:val="00031B7A"/>
    <w:rsid w:val="00031C0D"/>
    <w:rsid w:val="00031DF6"/>
    <w:rsid w:val="00032180"/>
    <w:rsid w:val="000326BF"/>
    <w:rsid w:val="0003299E"/>
    <w:rsid w:val="00032C9B"/>
    <w:rsid w:val="00032F8F"/>
    <w:rsid w:val="00033102"/>
    <w:rsid w:val="00033180"/>
    <w:rsid w:val="000331BD"/>
    <w:rsid w:val="0003378B"/>
    <w:rsid w:val="00033AD8"/>
    <w:rsid w:val="00033E15"/>
    <w:rsid w:val="00034359"/>
    <w:rsid w:val="000344A7"/>
    <w:rsid w:val="000346D4"/>
    <w:rsid w:val="00034A56"/>
    <w:rsid w:val="00034A73"/>
    <w:rsid w:val="00034AF3"/>
    <w:rsid w:val="00034C44"/>
    <w:rsid w:val="0003556E"/>
    <w:rsid w:val="000355CF"/>
    <w:rsid w:val="000356C9"/>
    <w:rsid w:val="00035868"/>
    <w:rsid w:val="00035E29"/>
    <w:rsid w:val="00036276"/>
    <w:rsid w:val="0003664B"/>
    <w:rsid w:val="000368C5"/>
    <w:rsid w:val="00036A4D"/>
    <w:rsid w:val="000371B5"/>
    <w:rsid w:val="00037655"/>
    <w:rsid w:val="0003765B"/>
    <w:rsid w:val="00037760"/>
    <w:rsid w:val="000377D8"/>
    <w:rsid w:val="00037A47"/>
    <w:rsid w:val="00040AAB"/>
    <w:rsid w:val="00040C1F"/>
    <w:rsid w:val="00040CFC"/>
    <w:rsid w:val="00040DFC"/>
    <w:rsid w:val="00040DFE"/>
    <w:rsid w:val="00040E35"/>
    <w:rsid w:val="00040E77"/>
    <w:rsid w:val="000410CB"/>
    <w:rsid w:val="0004111F"/>
    <w:rsid w:val="000413F8"/>
    <w:rsid w:val="0004151B"/>
    <w:rsid w:val="000415F8"/>
    <w:rsid w:val="00041A0D"/>
    <w:rsid w:val="00041A18"/>
    <w:rsid w:val="00041A2E"/>
    <w:rsid w:val="00041A61"/>
    <w:rsid w:val="00041CBF"/>
    <w:rsid w:val="00041D0F"/>
    <w:rsid w:val="00041FE9"/>
    <w:rsid w:val="000422F9"/>
    <w:rsid w:val="0004234C"/>
    <w:rsid w:val="000424C8"/>
    <w:rsid w:val="00042614"/>
    <w:rsid w:val="000429BC"/>
    <w:rsid w:val="00042D89"/>
    <w:rsid w:val="000435A1"/>
    <w:rsid w:val="0004361A"/>
    <w:rsid w:val="000437C0"/>
    <w:rsid w:val="00043D3E"/>
    <w:rsid w:val="00044155"/>
    <w:rsid w:val="000446C1"/>
    <w:rsid w:val="00044961"/>
    <w:rsid w:val="00044A04"/>
    <w:rsid w:val="00044E1E"/>
    <w:rsid w:val="00044E81"/>
    <w:rsid w:val="00044ED1"/>
    <w:rsid w:val="00045456"/>
    <w:rsid w:val="000457C6"/>
    <w:rsid w:val="00045BD1"/>
    <w:rsid w:val="00045E91"/>
    <w:rsid w:val="00045FC2"/>
    <w:rsid w:val="00046282"/>
    <w:rsid w:val="000464B1"/>
    <w:rsid w:val="00046533"/>
    <w:rsid w:val="000465A0"/>
    <w:rsid w:val="000466CC"/>
    <w:rsid w:val="00046797"/>
    <w:rsid w:val="00046D07"/>
    <w:rsid w:val="00046E04"/>
    <w:rsid w:val="0004708D"/>
    <w:rsid w:val="00047256"/>
    <w:rsid w:val="000473B4"/>
    <w:rsid w:val="000474CA"/>
    <w:rsid w:val="0004771F"/>
    <w:rsid w:val="00050037"/>
    <w:rsid w:val="000502C6"/>
    <w:rsid w:val="00050365"/>
    <w:rsid w:val="000503A4"/>
    <w:rsid w:val="0005098B"/>
    <w:rsid w:val="00050C97"/>
    <w:rsid w:val="00050CDE"/>
    <w:rsid w:val="00050E5F"/>
    <w:rsid w:val="00050E65"/>
    <w:rsid w:val="000512C7"/>
    <w:rsid w:val="000514C7"/>
    <w:rsid w:val="00051726"/>
    <w:rsid w:val="00051E20"/>
    <w:rsid w:val="000522E4"/>
    <w:rsid w:val="0005257E"/>
    <w:rsid w:val="00052965"/>
    <w:rsid w:val="000534E8"/>
    <w:rsid w:val="000536EF"/>
    <w:rsid w:val="0005372A"/>
    <w:rsid w:val="00053B3E"/>
    <w:rsid w:val="00053C28"/>
    <w:rsid w:val="00053EAE"/>
    <w:rsid w:val="00053EE0"/>
    <w:rsid w:val="000540D3"/>
    <w:rsid w:val="000541A5"/>
    <w:rsid w:val="000548B1"/>
    <w:rsid w:val="00054C58"/>
    <w:rsid w:val="00054CB6"/>
    <w:rsid w:val="00055077"/>
    <w:rsid w:val="00055264"/>
    <w:rsid w:val="0005532D"/>
    <w:rsid w:val="00055C24"/>
    <w:rsid w:val="00055D53"/>
    <w:rsid w:val="00055DA1"/>
    <w:rsid w:val="00055DE6"/>
    <w:rsid w:val="00055E01"/>
    <w:rsid w:val="0005626A"/>
    <w:rsid w:val="000565B3"/>
    <w:rsid w:val="00056D30"/>
    <w:rsid w:val="000571C4"/>
    <w:rsid w:val="000572DA"/>
    <w:rsid w:val="00057376"/>
    <w:rsid w:val="000573F7"/>
    <w:rsid w:val="00057570"/>
    <w:rsid w:val="00057602"/>
    <w:rsid w:val="00057F53"/>
    <w:rsid w:val="00057F99"/>
    <w:rsid w:val="00060080"/>
    <w:rsid w:val="0006009F"/>
    <w:rsid w:val="00060256"/>
    <w:rsid w:val="00060682"/>
    <w:rsid w:val="000606F5"/>
    <w:rsid w:val="00060790"/>
    <w:rsid w:val="00060C9C"/>
    <w:rsid w:val="00060EFB"/>
    <w:rsid w:val="00060FDE"/>
    <w:rsid w:val="00061131"/>
    <w:rsid w:val="0006124F"/>
    <w:rsid w:val="00061259"/>
    <w:rsid w:val="00061645"/>
    <w:rsid w:val="00061841"/>
    <w:rsid w:val="00061A78"/>
    <w:rsid w:val="00061B03"/>
    <w:rsid w:val="00061B3C"/>
    <w:rsid w:val="00061F6E"/>
    <w:rsid w:val="0006222D"/>
    <w:rsid w:val="000624EF"/>
    <w:rsid w:val="0006281D"/>
    <w:rsid w:val="00062DE2"/>
    <w:rsid w:val="0006315F"/>
    <w:rsid w:val="000632F4"/>
    <w:rsid w:val="00063315"/>
    <w:rsid w:val="00063371"/>
    <w:rsid w:val="000636F8"/>
    <w:rsid w:val="00063B38"/>
    <w:rsid w:val="00063B8A"/>
    <w:rsid w:val="00063CD1"/>
    <w:rsid w:val="00063F7B"/>
    <w:rsid w:val="00064B35"/>
    <w:rsid w:val="00064E6F"/>
    <w:rsid w:val="00065210"/>
    <w:rsid w:val="000654A0"/>
    <w:rsid w:val="00065658"/>
    <w:rsid w:val="0006570D"/>
    <w:rsid w:val="00065776"/>
    <w:rsid w:val="00065A9B"/>
    <w:rsid w:val="00065FBC"/>
    <w:rsid w:val="00066531"/>
    <w:rsid w:val="000665F6"/>
    <w:rsid w:val="0006661B"/>
    <w:rsid w:val="000667CE"/>
    <w:rsid w:val="000667DD"/>
    <w:rsid w:val="00066829"/>
    <w:rsid w:val="0006687B"/>
    <w:rsid w:val="000669C0"/>
    <w:rsid w:val="00066CEF"/>
    <w:rsid w:val="00067167"/>
    <w:rsid w:val="00067555"/>
    <w:rsid w:val="00067633"/>
    <w:rsid w:val="000677A7"/>
    <w:rsid w:val="000677FA"/>
    <w:rsid w:val="00067902"/>
    <w:rsid w:val="00070294"/>
    <w:rsid w:val="00070578"/>
    <w:rsid w:val="00070636"/>
    <w:rsid w:val="00070754"/>
    <w:rsid w:val="00070807"/>
    <w:rsid w:val="00071055"/>
    <w:rsid w:val="000713F2"/>
    <w:rsid w:val="0007150B"/>
    <w:rsid w:val="00071D0E"/>
    <w:rsid w:val="00071FE0"/>
    <w:rsid w:val="00072282"/>
    <w:rsid w:val="000724CE"/>
    <w:rsid w:val="00072A28"/>
    <w:rsid w:val="000735B8"/>
    <w:rsid w:val="00073A67"/>
    <w:rsid w:val="00073D3C"/>
    <w:rsid w:val="0007436A"/>
    <w:rsid w:val="000745E9"/>
    <w:rsid w:val="00074615"/>
    <w:rsid w:val="000748FF"/>
    <w:rsid w:val="00074B75"/>
    <w:rsid w:val="00074B94"/>
    <w:rsid w:val="00074C20"/>
    <w:rsid w:val="00074D81"/>
    <w:rsid w:val="00075194"/>
    <w:rsid w:val="000754A4"/>
    <w:rsid w:val="0007551C"/>
    <w:rsid w:val="0007593D"/>
    <w:rsid w:val="0007594B"/>
    <w:rsid w:val="000759F1"/>
    <w:rsid w:val="00075BAC"/>
    <w:rsid w:val="00075F38"/>
    <w:rsid w:val="000761D7"/>
    <w:rsid w:val="000764CD"/>
    <w:rsid w:val="00076676"/>
    <w:rsid w:val="00076736"/>
    <w:rsid w:val="000771A5"/>
    <w:rsid w:val="00077347"/>
    <w:rsid w:val="00077509"/>
    <w:rsid w:val="00077CF0"/>
    <w:rsid w:val="00077CF7"/>
    <w:rsid w:val="00077FF4"/>
    <w:rsid w:val="000801D4"/>
    <w:rsid w:val="00080572"/>
    <w:rsid w:val="00080790"/>
    <w:rsid w:val="00080B6C"/>
    <w:rsid w:val="00080D4F"/>
    <w:rsid w:val="0008104A"/>
    <w:rsid w:val="00081165"/>
    <w:rsid w:val="000811F1"/>
    <w:rsid w:val="000813E0"/>
    <w:rsid w:val="00081D0C"/>
    <w:rsid w:val="00081D4C"/>
    <w:rsid w:val="00081D4E"/>
    <w:rsid w:val="00082307"/>
    <w:rsid w:val="000823C4"/>
    <w:rsid w:val="00082418"/>
    <w:rsid w:val="000825FF"/>
    <w:rsid w:val="000828A1"/>
    <w:rsid w:val="00082D8B"/>
    <w:rsid w:val="00082EB8"/>
    <w:rsid w:val="00083228"/>
    <w:rsid w:val="0008324A"/>
    <w:rsid w:val="000836B1"/>
    <w:rsid w:val="00083F7A"/>
    <w:rsid w:val="00084017"/>
    <w:rsid w:val="000843EC"/>
    <w:rsid w:val="00084673"/>
    <w:rsid w:val="000846AA"/>
    <w:rsid w:val="00084A3E"/>
    <w:rsid w:val="00084A40"/>
    <w:rsid w:val="00084D34"/>
    <w:rsid w:val="00084D3D"/>
    <w:rsid w:val="00084E4A"/>
    <w:rsid w:val="00084EE0"/>
    <w:rsid w:val="00085BCD"/>
    <w:rsid w:val="00085DAE"/>
    <w:rsid w:val="00085DB3"/>
    <w:rsid w:val="00085DF0"/>
    <w:rsid w:val="00086556"/>
    <w:rsid w:val="00086609"/>
    <w:rsid w:val="00086744"/>
    <w:rsid w:val="00086AB2"/>
    <w:rsid w:val="00086D40"/>
    <w:rsid w:val="00086FE6"/>
    <w:rsid w:val="000870EC"/>
    <w:rsid w:val="00087100"/>
    <w:rsid w:val="0008747A"/>
    <w:rsid w:val="000878F5"/>
    <w:rsid w:val="00087C41"/>
    <w:rsid w:val="00087E79"/>
    <w:rsid w:val="00087F50"/>
    <w:rsid w:val="00090589"/>
    <w:rsid w:val="000907D7"/>
    <w:rsid w:val="000907F1"/>
    <w:rsid w:val="00090814"/>
    <w:rsid w:val="00090B23"/>
    <w:rsid w:val="00090BFE"/>
    <w:rsid w:val="00090D0B"/>
    <w:rsid w:val="0009109D"/>
    <w:rsid w:val="00091103"/>
    <w:rsid w:val="00091203"/>
    <w:rsid w:val="0009124F"/>
    <w:rsid w:val="00091628"/>
    <w:rsid w:val="00091743"/>
    <w:rsid w:val="0009192D"/>
    <w:rsid w:val="00091B83"/>
    <w:rsid w:val="00091C97"/>
    <w:rsid w:val="00091D34"/>
    <w:rsid w:val="00091F7F"/>
    <w:rsid w:val="00091FDD"/>
    <w:rsid w:val="00092576"/>
    <w:rsid w:val="000927DF"/>
    <w:rsid w:val="00092919"/>
    <w:rsid w:val="0009293D"/>
    <w:rsid w:val="000929CD"/>
    <w:rsid w:val="00092B58"/>
    <w:rsid w:val="00092ED7"/>
    <w:rsid w:val="00092FE5"/>
    <w:rsid w:val="000930F7"/>
    <w:rsid w:val="00093474"/>
    <w:rsid w:val="000938F5"/>
    <w:rsid w:val="00093E9D"/>
    <w:rsid w:val="000940D9"/>
    <w:rsid w:val="00094264"/>
    <w:rsid w:val="00094321"/>
    <w:rsid w:val="00094665"/>
    <w:rsid w:val="00094837"/>
    <w:rsid w:val="0009498A"/>
    <w:rsid w:val="00094991"/>
    <w:rsid w:val="00094B5F"/>
    <w:rsid w:val="00094BFB"/>
    <w:rsid w:val="00094EF1"/>
    <w:rsid w:val="00094FA7"/>
    <w:rsid w:val="00095663"/>
    <w:rsid w:val="0009575F"/>
    <w:rsid w:val="00095B12"/>
    <w:rsid w:val="00096402"/>
    <w:rsid w:val="00096421"/>
    <w:rsid w:val="00096566"/>
    <w:rsid w:val="00096727"/>
    <w:rsid w:val="00096E55"/>
    <w:rsid w:val="00097008"/>
    <w:rsid w:val="00097074"/>
    <w:rsid w:val="000972D4"/>
    <w:rsid w:val="00097464"/>
    <w:rsid w:val="000976D8"/>
    <w:rsid w:val="000977B9"/>
    <w:rsid w:val="0009783E"/>
    <w:rsid w:val="00097D9C"/>
    <w:rsid w:val="000A002D"/>
    <w:rsid w:val="000A0202"/>
    <w:rsid w:val="000A0310"/>
    <w:rsid w:val="000A0414"/>
    <w:rsid w:val="000A059E"/>
    <w:rsid w:val="000A0816"/>
    <w:rsid w:val="000A0844"/>
    <w:rsid w:val="000A0A60"/>
    <w:rsid w:val="000A0C84"/>
    <w:rsid w:val="000A0CA4"/>
    <w:rsid w:val="000A0EB0"/>
    <w:rsid w:val="000A1000"/>
    <w:rsid w:val="000A1396"/>
    <w:rsid w:val="000A170E"/>
    <w:rsid w:val="000A1720"/>
    <w:rsid w:val="000A17E9"/>
    <w:rsid w:val="000A1C0D"/>
    <w:rsid w:val="000A1E53"/>
    <w:rsid w:val="000A2422"/>
    <w:rsid w:val="000A255B"/>
    <w:rsid w:val="000A2792"/>
    <w:rsid w:val="000A289F"/>
    <w:rsid w:val="000A28E4"/>
    <w:rsid w:val="000A2D2D"/>
    <w:rsid w:val="000A2F44"/>
    <w:rsid w:val="000A2FFD"/>
    <w:rsid w:val="000A35B6"/>
    <w:rsid w:val="000A35C5"/>
    <w:rsid w:val="000A36B7"/>
    <w:rsid w:val="000A399F"/>
    <w:rsid w:val="000A3A69"/>
    <w:rsid w:val="000A42B0"/>
    <w:rsid w:val="000A43AC"/>
    <w:rsid w:val="000A468B"/>
    <w:rsid w:val="000A49E5"/>
    <w:rsid w:val="000A4D1B"/>
    <w:rsid w:val="000A50E8"/>
    <w:rsid w:val="000A549B"/>
    <w:rsid w:val="000A56DB"/>
    <w:rsid w:val="000A5AD6"/>
    <w:rsid w:val="000A5B60"/>
    <w:rsid w:val="000A5E9E"/>
    <w:rsid w:val="000A68FD"/>
    <w:rsid w:val="000A6A51"/>
    <w:rsid w:val="000A6DD4"/>
    <w:rsid w:val="000A6E25"/>
    <w:rsid w:val="000A6F66"/>
    <w:rsid w:val="000A7082"/>
    <w:rsid w:val="000A744E"/>
    <w:rsid w:val="000A79C0"/>
    <w:rsid w:val="000A7AEB"/>
    <w:rsid w:val="000A7D7A"/>
    <w:rsid w:val="000A7F38"/>
    <w:rsid w:val="000A7F88"/>
    <w:rsid w:val="000B0077"/>
    <w:rsid w:val="000B00C3"/>
    <w:rsid w:val="000B030D"/>
    <w:rsid w:val="000B03E0"/>
    <w:rsid w:val="000B0876"/>
    <w:rsid w:val="000B0A2A"/>
    <w:rsid w:val="000B0C99"/>
    <w:rsid w:val="000B0CAD"/>
    <w:rsid w:val="000B0D9A"/>
    <w:rsid w:val="000B0DF9"/>
    <w:rsid w:val="000B1000"/>
    <w:rsid w:val="000B1022"/>
    <w:rsid w:val="000B103F"/>
    <w:rsid w:val="000B1238"/>
    <w:rsid w:val="000B12AE"/>
    <w:rsid w:val="000B15AB"/>
    <w:rsid w:val="000B16E9"/>
    <w:rsid w:val="000B1C96"/>
    <w:rsid w:val="000B1EB6"/>
    <w:rsid w:val="000B2238"/>
    <w:rsid w:val="000B2884"/>
    <w:rsid w:val="000B2DD4"/>
    <w:rsid w:val="000B2E62"/>
    <w:rsid w:val="000B3512"/>
    <w:rsid w:val="000B36B3"/>
    <w:rsid w:val="000B389E"/>
    <w:rsid w:val="000B3926"/>
    <w:rsid w:val="000B3B40"/>
    <w:rsid w:val="000B3BED"/>
    <w:rsid w:val="000B3C97"/>
    <w:rsid w:val="000B4121"/>
    <w:rsid w:val="000B438C"/>
    <w:rsid w:val="000B4812"/>
    <w:rsid w:val="000B4838"/>
    <w:rsid w:val="000B486A"/>
    <w:rsid w:val="000B48D9"/>
    <w:rsid w:val="000B49CA"/>
    <w:rsid w:val="000B4A17"/>
    <w:rsid w:val="000B4A3C"/>
    <w:rsid w:val="000B4E54"/>
    <w:rsid w:val="000B5134"/>
    <w:rsid w:val="000B56B4"/>
    <w:rsid w:val="000B58D4"/>
    <w:rsid w:val="000B5992"/>
    <w:rsid w:val="000B601B"/>
    <w:rsid w:val="000B60D6"/>
    <w:rsid w:val="000B646E"/>
    <w:rsid w:val="000B6543"/>
    <w:rsid w:val="000B656E"/>
    <w:rsid w:val="000B671C"/>
    <w:rsid w:val="000B699D"/>
    <w:rsid w:val="000B6ABE"/>
    <w:rsid w:val="000B6BC8"/>
    <w:rsid w:val="000B6CC4"/>
    <w:rsid w:val="000B6FD2"/>
    <w:rsid w:val="000B71A1"/>
    <w:rsid w:val="000B76E3"/>
    <w:rsid w:val="000B7C8C"/>
    <w:rsid w:val="000C0540"/>
    <w:rsid w:val="000C054D"/>
    <w:rsid w:val="000C0B62"/>
    <w:rsid w:val="000C0F0D"/>
    <w:rsid w:val="000C1022"/>
    <w:rsid w:val="000C159F"/>
    <w:rsid w:val="000C1645"/>
    <w:rsid w:val="000C180B"/>
    <w:rsid w:val="000C1BA3"/>
    <w:rsid w:val="000C207E"/>
    <w:rsid w:val="000C21EF"/>
    <w:rsid w:val="000C23CD"/>
    <w:rsid w:val="000C260D"/>
    <w:rsid w:val="000C2A87"/>
    <w:rsid w:val="000C2BD3"/>
    <w:rsid w:val="000C2F56"/>
    <w:rsid w:val="000C2FF8"/>
    <w:rsid w:val="000C30C2"/>
    <w:rsid w:val="000C3B70"/>
    <w:rsid w:val="000C3E53"/>
    <w:rsid w:val="000C3E6F"/>
    <w:rsid w:val="000C4091"/>
    <w:rsid w:val="000C44AB"/>
    <w:rsid w:val="000C4D17"/>
    <w:rsid w:val="000C4D95"/>
    <w:rsid w:val="000C4F37"/>
    <w:rsid w:val="000C55DC"/>
    <w:rsid w:val="000C575B"/>
    <w:rsid w:val="000C6534"/>
    <w:rsid w:val="000C728C"/>
    <w:rsid w:val="000C72A7"/>
    <w:rsid w:val="000C73A6"/>
    <w:rsid w:val="000C7753"/>
    <w:rsid w:val="000C7B85"/>
    <w:rsid w:val="000C7F22"/>
    <w:rsid w:val="000C7FBA"/>
    <w:rsid w:val="000D01C1"/>
    <w:rsid w:val="000D0606"/>
    <w:rsid w:val="000D096F"/>
    <w:rsid w:val="000D09B9"/>
    <w:rsid w:val="000D0C44"/>
    <w:rsid w:val="000D0EED"/>
    <w:rsid w:val="000D0FE7"/>
    <w:rsid w:val="000D1381"/>
    <w:rsid w:val="000D1386"/>
    <w:rsid w:val="000D1402"/>
    <w:rsid w:val="000D1422"/>
    <w:rsid w:val="000D19F2"/>
    <w:rsid w:val="000D1BD3"/>
    <w:rsid w:val="000D23B0"/>
    <w:rsid w:val="000D23E1"/>
    <w:rsid w:val="000D24ED"/>
    <w:rsid w:val="000D2D58"/>
    <w:rsid w:val="000D2F69"/>
    <w:rsid w:val="000D2F80"/>
    <w:rsid w:val="000D2FD8"/>
    <w:rsid w:val="000D331F"/>
    <w:rsid w:val="000D3A55"/>
    <w:rsid w:val="000D41D7"/>
    <w:rsid w:val="000D41E9"/>
    <w:rsid w:val="000D42D0"/>
    <w:rsid w:val="000D4563"/>
    <w:rsid w:val="000D47A9"/>
    <w:rsid w:val="000D4C51"/>
    <w:rsid w:val="000D4D06"/>
    <w:rsid w:val="000D53DA"/>
    <w:rsid w:val="000D5529"/>
    <w:rsid w:val="000D5607"/>
    <w:rsid w:val="000D5DCE"/>
    <w:rsid w:val="000D5E09"/>
    <w:rsid w:val="000D624B"/>
    <w:rsid w:val="000D664E"/>
    <w:rsid w:val="000D673D"/>
    <w:rsid w:val="000D6A66"/>
    <w:rsid w:val="000D6EAC"/>
    <w:rsid w:val="000D7150"/>
    <w:rsid w:val="000D749E"/>
    <w:rsid w:val="000D770A"/>
    <w:rsid w:val="000D7749"/>
    <w:rsid w:val="000E0129"/>
    <w:rsid w:val="000E0146"/>
    <w:rsid w:val="000E051D"/>
    <w:rsid w:val="000E058A"/>
    <w:rsid w:val="000E0904"/>
    <w:rsid w:val="000E0BE5"/>
    <w:rsid w:val="000E0CB1"/>
    <w:rsid w:val="000E117D"/>
    <w:rsid w:val="000E125E"/>
    <w:rsid w:val="000E14A8"/>
    <w:rsid w:val="000E19EB"/>
    <w:rsid w:val="000E1A66"/>
    <w:rsid w:val="000E1B60"/>
    <w:rsid w:val="000E1D60"/>
    <w:rsid w:val="000E1DF7"/>
    <w:rsid w:val="000E1F1B"/>
    <w:rsid w:val="000E2308"/>
    <w:rsid w:val="000E270A"/>
    <w:rsid w:val="000E275C"/>
    <w:rsid w:val="000E2F1C"/>
    <w:rsid w:val="000E30F5"/>
    <w:rsid w:val="000E34B7"/>
    <w:rsid w:val="000E39C8"/>
    <w:rsid w:val="000E3B67"/>
    <w:rsid w:val="000E3F70"/>
    <w:rsid w:val="000E42BD"/>
    <w:rsid w:val="000E42D3"/>
    <w:rsid w:val="000E54BB"/>
    <w:rsid w:val="000E5687"/>
    <w:rsid w:val="000E584A"/>
    <w:rsid w:val="000E58E3"/>
    <w:rsid w:val="000E5F9C"/>
    <w:rsid w:val="000E5FEC"/>
    <w:rsid w:val="000E65FA"/>
    <w:rsid w:val="000E678C"/>
    <w:rsid w:val="000E6947"/>
    <w:rsid w:val="000E6AAA"/>
    <w:rsid w:val="000E6B15"/>
    <w:rsid w:val="000E6D45"/>
    <w:rsid w:val="000E6DDB"/>
    <w:rsid w:val="000E6EA2"/>
    <w:rsid w:val="000E6ED1"/>
    <w:rsid w:val="000E6F21"/>
    <w:rsid w:val="000E745B"/>
    <w:rsid w:val="000E76B1"/>
    <w:rsid w:val="000E76E5"/>
    <w:rsid w:val="000E7729"/>
    <w:rsid w:val="000E7730"/>
    <w:rsid w:val="000E7A92"/>
    <w:rsid w:val="000F0035"/>
    <w:rsid w:val="000F011D"/>
    <w:rsid w:val="000F0235"/>
    <w:rsid w:val="000F02B6"/>
    <w:rsid w:val="000F04E3"/>
    <w:rsid w:val="000F04E7"/>
    <w:rsid w:val="000F060A"/>
    <w:rsid w:val="000F07A5"/>
    <w:rsid w:val="000F0A62"/>
    <w:rsid w:val="000F0ADD"/>
    <w:rsid w:val="000F0CCB"/>
    <w:rsid w:val="000F0D41"/>
    <w:rsid w:val="000F0F29"/>
    <w:rsid w:val="000F0F66"/>
    <w:rsid w:val="000F1142"/>
    <w:rsid w:val="000F1267"/>
    <w:rsid w:val="000F1431"/>
    <w:rsid w:val="000F1696"/>
    <w:rsid w:val="000F170B"/>
    <w:rsid w:val="000F17E9"/>
    <w:rsid w:val="000F1837"/>
    <w:rsid w:val="000F1C3D"/>
    <w:rsid w:val="000F1D51"/>
    <w:rsid w:val="000F1E92"/>
    <w:rsid w:val="000F1FC7"/>
    <w:rsid w:val="000F2461"/>
    <w:rsid w:val="000F29CD"/>
    <w:rsid w:val="000F2A20"/>
    <w:rsid w:val="000F2B7F"/>
    <w:rsid w:val="000F2DD2"/>
    <w:rsid w:val="000F2EEB"/>
    <w:rsid w:val="000F346E"/>
    <w:rsid w:val="000F355D"/>
    <w:rsid w:val="000F35E5"/>
    <w:rsid w:val="000F3918"/>
    <w:rsid w:val="000F3958"/>
    <w:rsid w:val="000F39F9"/>
    <w:rsid w:val="000F3B2C"/>
    <w:rsid w:val="000F3C8B"/>
    <w:rsid w:val="000F4024"/>
    <w:rsid w:val="000F420B"/>
    <w:rsid w:val="000F4869"/>
    <w:rsid w:val="000F49FC"/>
    <w:rsid w:val="000F539C"/>
    <w:rsid w:val="000F554C"/>
    <w:rsid w:val="000F6135"/>
    <w:rsid w:val="000F675D"/>
    <w:rsid w:val="000F67AB"/>
    <w:rsid w:val="000F6BE7"/>
    <w:rsid w:val="000F724C"/>
    <w:rsid w:val="000F72F0"/>
    <w:rsid w:val="000F7456"/>
    <w:rsid w:val="000F7683"/>
    <w:rsid w:val="000F76C4"/>
    <w:rsid w:val="000F77B8"/>
    <w:rsid w:val="000F7B5F"/>
    <w:rsid w:val="000F7BDB"/>
    <w:rsid w:val="000F7C46"/>
    <w:rsid w:val="000F7F1B"/>
    <w:rsid w:val="001005BA"/>
    <w:rsid w:val="0010078A"/>
    <w:rsid w:val="0010090B"/>
    <w:rsid w:val="00100A20"/>
    <w:rsid w:val="00100A6F"/>
    <w:rsid w:val="00100B6E"/>
    <w:rsid w:val="00100E0C"/>
    <w:rsid w:val="00100EA8"/>
    <w:rsid w:val="00101075"/>
    <w:rsid w:val="00101126"/>
    <w:rsid w:val="00101465"/>
    <w:rsid w:val="00101996"/>
    <w:rsid w:val="001019BC"/>
    <w:rsid w:val="00101F74"/>
    <w:rsid w:val="001024D4"/>
    <w:rsid w:val="00102FAF"/>
    <w:rsid w:val="0010301E"/>
    <w:rsid w:val="00103294"/>
    <w:rsid w:val="001036D9"/>
    <w:rsid w:val="00103836"/>
    <w:rsid w:val="00103944"/>
    <w:rsid w:val="00103B44"/>
    <w:rsid w:val="00103BE1"/>
    <w:rsid w:val="00103C06"/>
    <w:rsid w:val="00104207"/>
    <w:rsid w:val="0010432A"/>
    <w:rsid w:val="00104355"/>
    <w:rsid w:val="001045BE"/>
    <w:rsid w:val="0010462B"/>
    <w:rsid w:val="00104935"/>
    <w:rsid w:val="00104977"/>
    <w:rsid w:val="00104EE1"/>
    <w:rsid w:val="00105173"/>
    <w:rsid w:val="001059BC"/>
    <w:rsid w:val="00105B01"/>
    <w:rsid w:val="00105D6E"/>
    <w:rsid w:val="001060AE"/>
    <w:rsid w:val="00106269"/>
    <w:rsid w:val="0010638B"/>
    <w:rsid w:val="0010649C"/>
    <w:rsid w:val="00106B0F"/>
    <w:rsid w:val="00106C15"/>
    <w:rsid w:val="00106CA4"/>
    <w:rsid w:val="00106E19"/>
    <w:rsid w:val="00107456"/>
    <w:rsid w:val="00107541"/>
    <w:rsid w:val="00107848"/>
    <w:rsid w:val="001079E7"/>
    <w:rsid w:val="00107B2E"/>
    <w:rsid w:val="00107C2D"/>
    <w:rsid w:val="00107C46"/>
    <w:rsid w:val="00107E03"/>
    <w:rsid w:val="00110116"/>
    <w:rsid w:val="00110128"/>
    <w:rsid w:val="00110334"/>
    <w:rsid w:val="001103C6"/>
    <w:rsid w:val="001103CE"/>
    <w:rsid w:val="001104B1"/>
    <w:rsid w:val="001105BA"/>
    <w:rsid w:val="0011073A"/>
    <w:rsid w:val="001109D3"/>
    <w:rsid w:val="00110C7B"/>
    <w:rsid w:val="00110D1B"/>
    <w:rsid w:val="00110FC0"/>
    <w:rsid w:val="00111542"/>
    <w:rsid w:val="00111843"/>
    <w:rsid w:val="001119D0"/>
    <w:rsid w:val="001119D6"/>
    <w:rsid w:val="00111AF6"/>
    <w:rsid w:val="00111D47"/>
    <w:rsid w:val="001122E3"/>
    <w:rsid w:val="001126F4"/>
    <w:rsid w:val="00112862"/>
    <w:rsid w:val="001128EE"/>
    <w:rsid w:val="00112A86"/>
    <w:rsid w:val="00113027"/>
    <w:rsid w:val="00113062"/>
    <w:rsid w:val="001134AD"/>
    <w:rsid w:val="00113B1B"/>
    <w:rsid w:val="001141F7"/>
    <w:rsid w:val="001144A2"/>
    <w:rsid w:val="00114701"/>
    <w:rsid w:val="00114A0D"/>
    <w:rsid w:val="00114B05"/>
    <w:rsid w:val="00114C36"/>
    <w:rsid w:val="00115222"/>
    <w:rsid w:val="0011523E"/>
    <w:rsid w:val="0011560E"/>
    <w:rsid w:val="00115886"/>
    <w:rsid w:val="0011595D"/>
    <w:rsid w:val="00115973"/>
    <w:rsid w:val="00115B31"/>
    <w:rsid w:val="0011622D"/>
    <w:rsid w:val="00116CCA"/>
    <w:rsid w:val="00116E84"/>
    <w:rsid w:val="00116EEA"/>
    <w:rsid w:val="00116F74"/>
    <w:rsid w:val="00117090"/>
    <w:rsid w:val="001173C9"/>
    <w:rsid w:val="001174BA"/>
    <w:rsid w:val="001174DD"/>
    <w:rsid w:val="001179C8"/>
    <w:rsid w:val="00117EDA"/>
    <w:rsid w:val="00120072"/>
    <w:rsid w:val="001200E3"/>
    <w:rsid w:val="001201B5"/>
    <w:rsid w:val="0012029A"/>
    <w:rsid w:val="00120423"/>
    <w:rsid w:val="0012049A"/>
    <w:rsid w:val="001205D3"/>
    <w:rsid w:val="001206DB"/>
    <w:rsid w:val="001207E7"/>
    <w:rsid w:val="00120837"/>
    <w:rsid w:val="00120A7D"/>
    <w:rsid w:val="00120E3D"/>
    <w:rsid w:val="00120EDC"/>
    <w:rsid w:val="00121370"/>
    <w:rsid w:val="001216A0"/>
    <w:rsid w:val="00121AD1"/>
    <w:rsid w:val="00122176"/>
    <w:rsid w:val="001223B3"/>
    <w:rsid w:val="00123054"/>
    <w:rsid w:val="001231B2"/>
    <w:rsid w:val="001235FA"/>
    <w:rsid w:val="0012372C"/>
    <w:rsid w:val="001239CF"/>
    <w:rsid w:val="00124046"/>
    <w:rsid w:val="001240DE"/>
    <w:rsid w:val="001240E7"/>
    <w:rsid w:val="00124213"/>
    <w:rsid w:val="00124301"/>
    <w:rsid w:val="0012435E"/>
    <w:rsid w:val="0012437D"/>
    <w:rsid w:val="0012461F"/>
    <w:rsid w:val="00125166"/>
    <w:rsid w:val="001255B9"/>
    <w:rsid w:val="001259A8"/>
    <w:rsid w:val="00125F1F"/>
    <w:rsid w:val="00126273"/>
    <w:rsid w:val="001264F1"/>
    <w:rsid w:val="001265CF"/>
    <w:rsid w:val="0012662E"/>
    <w:rsid w:val="00126680"/>
    <w:rsid w:val="001266DA"/>
    <w:rsid w:val="00126A38"/>
    <w:rsid w:val="00126E96"/>
    <w:rsid w:val="00126EB8"/>
    <w:rsid w:val="0012714A"/>
    <w:rsid w:val="0012734D"/>
    <w:rsid w:val="001274D4"/>
    <w:rsid w:val="00127504"/>
    <w:rsid w:val="00127726"/>
    <w:rsid w:val="00127735"/>
    <w:rsid w:val="00127ADC"/>
    <w:rsid w:val="00127C03"/>
    <w:rsid w:val="00127C14"/>
    <w:rsid w:val="00130486"/>
    <w:rsid w:val="00130738"/>
    <w:rsid w:val="00130BA1"/>
    <w:rsid w:val="00130C58"/>
    <w:rsid w:val="00130D91"/>
    <w:rsid w:val="00131220"/>
    <w:rsid w:val="0013143E"/>
    <w:rsid w:val="00131B7C"/>
    <w:rsid w:val="00132254"/>
    <w:rsid w:val="0013241C"/>
    <w:rsid w:val="0013277B"/>
    <w:rsid w:val="00132DD6"/>
    <w:rsid w:val="0013331D"/>
    <w:rsid w:val="0013341B"/>
    <w:rsid w:val="00133561"/>
    <w:rsid w:val="001337C7"/>
    <w:rsid w:val="00133ABF"/>
    <w:rsid w:val="00133E6A"/>
    <w:rsid w:val="00134184"/>
    <w:rsid w:val="00134310"/>
    <w:rsid w:val="00134392"/>
    <w:rsid w:val="00134444"/>
    <w:rsid w:val="001347E9"/>
    <w:rsid w:val="001348BB"/>
    <w:rsid w:val="00134C0C"/>
    <w:rsid w:val="00134C35"/>
    <w:rsid w:val="001350E8"/>
    <w:rsid w:val="0013569C"/>
    <w:rsid w:val="0013587C"/>
    <w:rsid w:val="00135ADD"/>
    <w:rsid w:val="00135B12"/>
    <w:rsid w:val="00135B91"/>
    <w:rsid w:val="00135EEC"/>
    <w:rsid w:val="00135FC2"/>
    <w:rsid w:val="001363AA"/>
    <w:rsid w:val="001364EA"/>
    <w:rsid w:val="00136530"/>
    <w:rsid w:val="00136575"/>
    <w:rsid w:val="001365A0"/>
    <w:rsid w:val="00136C8A"/>
    <w:rsid w:val="00136CCC"/>
    <w:rsid w:val="00136F0F"/>
    <w:rsid w:val="0013707D"/>
    <w:rsid w:val="0013739A"/>
    <w:rsid w:val="001375AD"/>
    <w:rsid w:val="00137990"/>
    <w:rsid w:val="00137C93"/>
    <w:rsid w:val="00137CFB"/>
    <w:rsid w:val="00140013"/>
    <w:rsid w:val="00140544"/>
    <w:rsid w:val="001409A4"/>
    <w:rsid w:val="00140A5C"/>
    <w:rsid w:val="00140FF3"/>
    <w:rsid w:val="00141404"/>
    <w:rsid w:val="001419A7"/>
    <w:rsid w:val="00141DE8"/>
    <w:rsid w:val="00142039"/>
    <w:rsid w:val="0014203C"/>
    <w:rsid w:val="00142165"/>
    <w:rsid w:val="001422F0"/>
    <w:rsid w:val="0014282F"/>
    <w:rsid w:val="00142961"/>
    <w:rsid w:val="001429A9"/>
    <w:rsid w:val="001429BF"/>
    <w:rsid w:val="001429FE"/>
    <w:rsid w:val="00142D9A"/>
    <w:rsid w:val="0014305A"/>
    <w:rsid w:val="001433A6"/>
    <w:rsid w:val="0014342B"/>
    <w:rsid w:val="001434BC"/>
    <w:rsid w:val="00143C92"/>
    <w:rsid w:val="00143EDE"/>
    <w:rsid w:val="00143FCA"/>
    <w:rsid w:val="0014418C"/>
    <w:rsid w:val="001441DE"/>
    <w:rsid w:val="001441E4"/>
    <w:rsid w:val="00144335"/>
    <w:rsid w:val="0014434C"/>
    <w:rsid w:val="001445DA"/>
    <w:rsid w:val="00144906"/>
    <w:rsid w:val="00144B35"/>
    <w:rsid w:val="00144E7C"/>
    <w:rsid w:val="00145033"/>
    <w:rsid w:val="0014547A"/>
    <w:rsid w:val="00145771"/>
    <w:rsid w:val="00145DAB"/>
    <w:rsid w:val="00146033"/>
    <w:rsid w:val="001462E0"/>
    <w:rsid w:val="00146318"/>
    <w:rsid w:val="001465C6"/>
    <w:rsid w:val="0014670E"/>
    <w:rsid w:val="00146B4F"/>
    <w:rsid w:val="00146C77"/>
    <w:rsid w:val="00146DB2"/>
    <w:rsid w:val="00146E91"/>
    <w:rsid w:val="00147081"/>
    <w:rsid w:val="0014745B"/>
    <w:rsid w:val="00147704"/>
    <w:rsid w:val="00147B1E"/>
    <w:rsid w:val="00147B61"/>
    <w:rsid w:val="00150251"/>
    <w:rsid w:val="00150B93"/>
    <w:rsid w:val="00150CBA"/>
    <w:rsid w:val="0015118E"/>
    <w:rsid w:val="00151216"/>
    <w:rsid w:val="00151D5F"/>
    <w:rsid w:val="00152053"/>
    <w:rsid w:val="00152897"/>
    <w:rsid w:val="001528E1"/>
    <w:rsid w:val="001530EF"/>
    <w:rsid w:val="00153189"/>
    <w:rsid w:val="0015332B"/>
    <w:rsid w:val="0015350A"/>
    <w:rsid w:val="001539C3"/>
    <w:rsid w:val="00153B3D"/>
    <w:rsid w:val="00153CCD"/>
    <w:rsid w:val="00153D21"/>
    <w:rsid w:val="00153E03"/>
    <w:rsid w:val="00153F9A"/>
    <w:rsid w:val="00154020"/>
    <w:rsid w:val="0015406C"/>
    <w:rsid w:val="00154085"/>
    <w:rsid w:val="00154A22"/>
    <w:rsid w:val="00154F2D"/>
    <w:rsid w:val="0015526C"/>
    <w:rsid w:val="001552BB"/>
    <w:rsid w:val="0015545A"/>
    <w:rsid w:val="001558FC"/>
    <w:rsid w:val="001562A5"/>
    <w:rsid w:val="00156378"/>
    <w:rsid w:val="001563A9"/>
    <w:rsid w:val="001564CE"/>
    <w:rsid w:val="0015662C"/>
    <w:rsid w:val="00156636"/>
    <w:rsid w:val="00156C55"/>
    <w:rsid w:val="00156CA9"/>
    <w:rsid w:val="00156CBE"/>
    <w:rsid w:val="00156CCD"/>
    <w:rsid w:val="00156DF2"/>
    <w:rsid w:val="0015719F"/>
    <w:rsid w:val="001572E2"/>
    <w:rsid w:val="001573BF"/>
    <w:rsid w:val="00157426"/>
    <w:rsid w:val="001578D2"/>
    <w:rsid w:val="00157A39"/>
    <w:rsid w:val="00157F31"/>
    <w:rsid w:val="00157F8B"/>
    <w:rsid w:val="00160135"/>
    <w:rsid w:val="0016057D"/>
    <w:rsid w:val="0016071D"/>
    <w:rsid w:val="00160723"/>
    <w:rsid w:val="00160728"/>
    <w:rsid w:val="00160C0E"/>
    <w:rsid w:val="00160C44"/>
    <w:rsid w:val="00161135"/>
    <w:rsid w:val="00161474"/>
    <w:rsid w:val="00161871"/>
    <w:rsid w:val="0016192B"/>
    <w:rsid w:val="00161B4A"/>
    <w:rsid w:val="0016217C"/>
    <w:rsid w:val="0016217F"/>
    <w:rsid w:val="00162332"/>
    <w:rsid w:val="00162434"/>
    <w:rsid w:val="00162C9A"/>
    <w:rsid w:val="0016329E"/>
    <w:rsid w:val="0016338D"/>
    <w:rsid w:val="00163797"/>
    <w:rsid w:val="001639BD"/>
    <w:rsid w:val="00163E94"/>
    <w:rsid w:val="00163FE7"/>
    <w:rsid w:val="001648A9"/>
    <w:rsid w:val="00164EA2"/>
    <w:rsid w:val="00164EB4"/>
    <w:rsid w:val="001650B4"/>
    <w:rsid w:val="001654E9"/>
    <w:rsid w:val="001656FD"/>
    <w:rsid w:val="00165FDD"/>
    <w:rsid w:val="00166677"/>
    <w:rsid w:val="001666EC"/>
    <w:rsid w:val="001669C2"/>
    <w:rsid w:val="00166BED"/>
    <w:rsid w:val="00166EE6"/>
    <w:rsid w:val="00167391"/>
    <w:rsid w:val="00167513"/>
    <w:rsid w:val="001679E4"/>
    <w:rsid w:val="00167CFF"/>
    <w:rsid w:val="00167D57"/>
    <w:rsid w:val="00167DCF"/>
    <w:rsid w:val="00167FB6"/>
    <w:rsid w:val="00170039"/>
    <w:rsid w:val="0017005A"/>
    <w:rsid w:val="00170246"/>
    <w:rsid w:val="0017028E"/>
    <w:rsid w:val="0017033D"/>
    <w:rsid w:val="0017064B"/>
    <w:rsid w:val="001706C2"/>
    <w:rsid w:val="00170943"/>
    <w:rsid w:val="00170D26"/>
    <w:rsid w:val="0017101F"/>
    <w:rsid w:val="00171473"/>
    <w:rsid w:val="001714C2"/>
    <w:rsid w:val="001714DF"/>
    <w:rsid w:val="00171564"/>
    <w:rsid w:val="0017158F"/>
    <w:rsid w:val="00171A9C"/>
    <w:rsid w:val="00171B91"/>
    <w:rsid w:val="00171EE9"/>
    <w:rsid w:val="00171FB1"/>
    <w:rsid w:val="00171FC5"/>
    <w:rsid w:val="001720FE"/>
    <w:rsid w:val="001721A4"/>
    <w:rsid w:val="00172267"/>
    <w:rsid w:val="001722BB"/>
    <w:rsid w:val="001725D7"/>
    <w:rsid w:val="00172604"/>
    <w:rsid w:val="00172684"/>
    <w:rsid w:val="00172A94"/>
    <w:rsid w:val="00172AB2"/>
    <w:rsid w:val="00172C40"/>
    <w:rsid w:val="001734AE"/>
    <w:rsid w:val="00173A4E"/>
    <w:rsid w:val="00173A60"/>
    <w:rsid w:val="00173DFC"/>
    <w:rsid w:val="0017414E"/>
    <w:rsid w:val="001742A8"/>
    <w:rsid w:val="00174A6A"/>
    <w:rsid w:val="00174D5C"/>
    <w:rsid w:val="00174F52"/>
    <w:rsid w:val="001751C7"/>
    <w:rsid w:val="00175272"/>
    <w:rsid w:val="001754DB"/>
    <w:rsid w:val="001757B4"/>
    <w:rsid w:val="00175BD3"/>
    <w:rsid w:val="00175BE7"/>
    <w:rsid w:val="00175C53"/>
    <w:rsid w:val="00175EC9"/>
    <w:rsid w:val="001767D6"/>
    <w:rsid w:val="001767F0"/>
    <w:rsid w:val="001768A1"/>
    <w:rsid w:val="0017693D"/>
    <w:rsid w:val="00176ACC"/>
    <w:rsid w:val="00176D41"/>
    <w:rsid w:val="00176E72"/>
    <w:rsid w:val="00176E8C"/>
    <w:rsid w:val="0017710C"/>
    <w:rsid w:val="001772BA"/>
    <w:rsid w:val="00177519"/>
    <w:rsid w:val="0017781C"/>
    <w:rsid w:val="00177967"/>
    <w:rsid w:val="00177F4B"/>
    <w:rsid w:val="00180530"/>
    <w:rsid w:val="001809DA"/>
    <w:rsid w:val="00180A4B"/>
    <w:rsid w:val="00180FE3"/>
    <w:rsid w:val="00181374"/>
    <w:rsid w:val="0018164F"/>
    <w:rsid w:val="00181FCB"/>
    <w:rsid w:val="00182552"/>
    <w:rsid w:val="00182767"/>
    <w:rsid w:val="001829C5"/>
    <w:rsid w:val="00182CCA"/>
    <w:rsid w:val="00182DFF"/>
    <w:rsid w:val="00183296"/>
    <w:rsid w:val="00183398"/>
    <w:rsid w:val="001833D7"/>
    <w:rsid w:val="00183DCC"/>
    <w:rsid w:val="00183E6B"/>
    <w:rsid w:val="00183E82"/>
    <w:rsid w:val="00183EAD"/>
    <w:rsid w:val="00184334"/>
    <w:rsid w:val="00184549"/>
    <w:rsid w:val="0018477D"/>
    <w:rsid w:val="001847B3"/>
    <w:rsid w:val="00184E18"/>
    <w:rsid w:val="00184E75"/>
    <w:rsid w:val="00185110"/>
    <w:rsid w:val="0018523B"/>
    <w:rsid w:val="001858CD"/>
    <w:rsid w:val="00186136"/>
    <w:rsid w:val="001865E7"/>
    <w:rsid w:val="00186727"/>
    <w:rsid w:val="00186DBE"/>
    <w:rsid w:val="00187034"/>
    <w:rsid w:val="00187120"/>
    <w:rsid w:val="001875FD"/>
    <w:rsid w:val="001876F3"/>
    <w:rsid w:val="001878BB"/>
    <w:rsid w:val="0018798F"/>
    <w:rsid w:val="00187E97"/>
    <w:rsid w:val="00187EC4"/>
    <w:rsid w:val="00190158"/>
    <w:rsid w:val="001903C0"/>
    <w:rsid w:val="0019044A"/>
    <w:rsid w:val="00190574"/>
    <w:rsid w:val="0019074A"/>
    <w:rsid w:val="00190C3E"/>
    <w:rsid w:val="00190D00"/>
    <w:rsid w:val="00190E13"/>
    <w:rsid w:val="00190FF0"/>
    <w:rsid w:val="001916C2"/>
    <w:rsid w:val="001917E9"/>
    <w:rsid w:val="00191AE0"/>
    <w:rsid w:val="00191BCD"/>
    <w:rsid w:val="00191D83"/>
    <w:rsid w:val="001924A5"/>
    <w:rsid w:val="001924FB"/>
    <w:rsid w:val="0019293B"/>
    <w:rsid w:val="00193721"/>
    <w:rsid w:val="001939D2"/>
    <w:rsid w:val="00193B3B"/>
    <w:rsid w:val="00193D36"/>
    <w:rsid w:val="00193E2D"/>
    <w:rsid w:val="0019426B"/>
    <w:rsid w:val="00194432"/>
    <w:rsid w:val="00194535"/>
    <w:rsid w:val="0019456C"/>
    <w:rsid w:val="00194690"/>
    <w:rsid w:val="00195446"/>
    <w:rsid w:val="00195605"/>
    <w:rsid w:val="00195708"/>
    <w:rsid w:val="00195A70"/>
    <w:rsid w:val="00195A8A"/>
    <w:rsid w:val="00195EB5"/>
    <w:rsid w:val="001961CF"/>
    <w:rsid w:val="001961D4"/>
    <w:rsid w:val="00196393"/>
    <w:rsid w:val="00196619"/>
    <w:rsid w:val="00196A5B"/>
    <w:rsid w:val="00196BAC"/>
    <w:rsid w:val="00196E53"/>
    <w:rsid w:val="00196EA2"/>
    <w:rsid w:val="00196EA9"/>
    <w:rsid w:val="00197009"/>
    <w:rsid w:val="0019711E"/>
    <w:rsid w:val="0019712E"/>
    <w:rsid w:val="0019753B"/>
    <w:rsid w:val="0019756F"/>
    <w:rsid w:val="00197D24"/>
    <w:rsid w:val="00197D8E"/>
    <w:rsid w:val="001A055A"/>
    <w:rsid w:val="001A062D"/>
    <w:rsid w:val="001A06F7"/>
    <w:rsid w:val="001A0FAB"/>
    <w:rsid w:val="001A154F"/>
    <w:rsid w:val="001A1B06"/>
    <w:rsid w:val="001A1BF6"/>
    <w:rsid w:val="001A1C21"/>
    <w:rsid w:val="001A1C3B"/>
    <w:rsid w:val="001A1E57"/>
    <w:rsid w:val="001A23F6"/>
    <w:rsid w:val="001A253B"/>
    <w:rsid w:val="001A2843"/>
    <w:rsid w:val="001A2A46"/>
    <w:rsid w:val="001A2A8C"/>
    <w:rsid w:val="001A2B38"/>
    <w:rsid w:val="001A2DBA"/>
    <w:rsid w:val="001A2DCD"/>
    <w:rsid w:val="001A30D1"/>
    <w:rsid w:val="001A327D"/>
    <w:rsid w:val="001A3529"/>
    <w:rsid w:val="001A35BF"/>
    <w:rsid w:val="001A38DF"/>
    <w:rsid w:val="001A3C8C"/>
    <w:rsid w:val="001A3F5C"/>
    <w:rsid w:val="001A3F61"/>
    <w:rsid w:val="001A3FD5"/>
    <w:rsid w:val="001A4192"/>
    <w:rsid w:val="001A489F"/>
    <w:rsid w:val="001A4A0A"/>
    <w:rsid w:val="001A4E0B"/>
    <w:rsid w:val="001A4FE5"/>
    <w:rsid w:val="001A526F"/>
    <w:rsid w:val="001A5299"/>
    <w:rsid w:val="001A5A3B"/>
    <w:rsid w:val="001A6039"/>
    <w:rsid w:val="001A6468"/>
    <w:rsid w:val="001A6615"/>
    <w:rsid w:val="001A68D3"/>
    <w:rsid w:val="001A6A4B"/>
    <w:rsid w:val="001A6E43"/>
    <w:rsid w:val="001A71FE"/>
    <w:rsid w:val="001A72AB"/>
    <w:rsid w:val="001A7335"/>
    <w:rsid w:val="001A73AA"/>
    <w:rsid w:val="001A7BF5"/>
    <w:rsid w:val="001B018C"/>
    <w:rsid w:val="001B01E2"/>
    <w:rsid w:val="001B0A01"/>
    <w:rsid w:val="001B0AFF"/>
    <w:rsid w:val="001B12D1"/>
    <w:rsid w:val="001B14CC"/>
    <w:rsid w:val="001B1948"/>
    <w:rsid w:val="001B1F62"/>
    <w:rsid w:val="001B1FDE"/>
    <w:rsid w:val="001B203C"/>
    <w:rsid w:val="001B21A7"/>
    <w:rsid w:val="001B241F"/>
    <w:rsid w:val="001B2631"/>
    <w:rsid w:val="001B26C8"/>
    <w:rsid w:val="001B279A"/>
    <w:rsid w:val="001B2C58"/>
    <w:rsid w:val="001B2D66"/>
    <w:rsid w:val="001B337B"/>
    <w:rsid w:val="001B33B8"/>
    <w:rsid w:val="001B359D"/>
    <w:rsid w:val="001B35E6"/>
    <w:rsid w:val="001B363E"/>
    <w:rsid w:val="001B374F"/>
    <w:rsid w:val="001B3B8B"/>
    <w:rsid w:val="001B4288"/>
    <w:rsid w:val="001B4293"/>
    <w:rsid w:val="001B437C"/>
    <w:rsid w:val="001B44AF"/>
    <w:rsid w:val="001B4536"/>
    <w:rsid w:val="001B4680"/>
    <w:rsid w:val="001B47EC"/>
    <w:rsid w:val="001B4864"/>
    <w:rsid w:val="001B48AB"/>
    <w:rsid w:val="001B4A79"/>
    <w:rsid w:val="001B4D3A"/>
    <w:rsid w:val="001B4DA2"/>
    <w:rsid w:val="001B4E88"/>
    <w:rsid w:val="001B4FEC"/>
    <w:rsid w:val="001B53E9"/>
    <w:rsid w:val="001B5624"/>
    <w:rsid w:val="001B5873"/>
    <w:rsid w:val="001B588D"/>
    <w:rsid w:val="001B58F7"/>
    <w:rsid w:val="001B5B70"/>
    <w:rsid w:val="001B5F64"/>
    <w:rsid w:val="001B6197"/>
    <w:rsid w:val="001B641D"/>
    <w:rsid w:val="001B65E5"/>
    <w:rsid w:val="001B6650"/>
    <w:rsid w:val="001B6843"/>
    <w:rsid w:val="001B69F5"/>
    <w:rsid w:val="001B6BD6"/>
    <w:rsid w:val="001B6F6A"/>
    <w:rsid w:val="001B706A"/>
    <w:rsid w:val="001B71E0"/>
    <w:rsid w:val="001B7BAA"/>
    <w:rsid w:val="001B7C85"/>
    <w:rsid w:val="001B7DC5"/>
    <w:rsid w:val="001B7FD6"/>
    <w:rsid w:val="001C02F7"/>
    <w:rsid w:val="001C05AB"/>
    <w:rsid w:val="001C0865"/>
    <w:rsid w:val="001C08B4"/>
    <w:rsid w:val="001C09CF"/>
    <w:rsid w:val="001C0AD6"/>
    <w:rsid w:val="001C0AED"/>
    <w:rsid w:val="001C0F65"/>
    <w:rsid w:val="001C1042"/>
    <w:rsid w:val="001C1300"/>
    <w:rsid w:val="001C1645"/>
    <w:rsid w:val="001C1921"/>
    <w:rsid w:val="001C19B9"/>
    <w:rsid w:val="001C1B83"/>
    <w:rsid w:val="001C1FC5"/>
    <w:rsid w:val="001C2A65"/>
    <w:rsid w:val="001C2B26"/>
    <w:rsid w:val="001C2C95"/>
    <w:rsid w:val="001C2F2E"/>
    <w:rsid w:val="001C3040"/>
    <w:rsid w:val="001C30DB"/>
    <w:rsid w:val="001C3677"/>
    <w:rsid w:val="001C3A47"/>
    <w:rsid w:val="001C3A5B"/>
    <w:rsid w:val="001C3ABA"/>
    <w:rsid w:val="001C3D16"/>
    <w:rsid w:val="001C3FE7"/>
    <w:rsid w:val="001C410D"/>
    <w:rsid w:val="001C419B"/>
    <w:rsid w:val="001C4283"/>
    <w:rsid w:val="001C462D"/>
    <w:rsid w:val="001C47A5"/>
    <w:rsid w:val="001C4825"/>
    <w:rsid w:val="001C486B"/>
    <w:rsid w:val="001C4959"/>
    <w:rsid w:val="001C495F"/>
    <w:rsid w:val="001C49DE"/>
    <w:rsid w:val="001C4DF7"/>
    <w:rsid w:val="001C4FB1"/>
    <w:rsid w:val="001C5111"/>
    <w:rsid w:val="001C51C1"/>
    <w:rsid w:val="001C51DD"/>
    <w:rsid w:val="001C544B"/>
    <w:rsid w:val="001C566E"/>
    <w:rsid w:val="001C56AB"/>
    <w:rsid w:val="001C59F8"/>
    <w:rsid w:val="001C5DFD"/>
    <w:rsid w:val="001C5ED7"/>
    <w:rsid w:val="001C6CB1"/>
    <w:rsid w:val="001C6DF9"/>
    <w:rsid w:val="001C6E79"/>
    <w:rsid w:val="001C7102"/>
    <w:rsid w:val="001C722A"/>
    <w:rsid w:val="001C7372"/>
    <w:rsid w:val="001C7555"/>
    <w:rsid w:val="001C755A"/>
    <w:rsid w:val="001C7575"/>
    <w:rsid w:val="001C7A42"/>
    <w:rsid w:val="001D0417"/>
    <w:rsid w:val="001D050B"/>
    <w:rsid w:val="001D0723"/>
    <w:rsid w:val="001D0CBD"/>
    <w:rsid w:val="001D0DAA"/>
    <w:rsid w:val="001D117C"/>
    <w:rsid w:val="001D118A"/>
    <w:rsid w:val="001D12C7"/>
    <w:rsid w:val="001D13CA"/>
    <w:rsid w:val="001D17A9"/>
    <w:rsid w:val="001D188A"/>
    <w:rsid w:val="001D1895"/>
    <w:rsid w:val="001D18F4"/>
    <w:rsid w:val="001D1A48"/>
    <w:rsid w:val="001D1B03"/>
    <w:rsid w:val="001D1B56"/>
    <w:rsid w:val="001D1B8B"/>
    <w:rsid w:val="001D2038"/>
    <w:rsid w:val="001D236B"/>
    <w:rsid w:val="001D2411"/>
    <w:rsid w:val="001D242B"/>
    <w:rsid w:val="001D2671"/>
    <w:rsid w:val="001D2795"/>
    <w:rsid w:val="001D27F2"/>
    <w:rsid w:val="001D29EC"/>
    <w:rsid w:val="001D29FB"/>
    <w:rsid w:val="001D2B33"/>
    <w:rsid w:val="001D2B4B"/>
    <w:rsid w:val="001D2E93"/>
    <w:rsid w:val="001D3723"/>
    <w:rsid w:val="001D3856"/>
    <w:rsid w:val="001D3888"/>
    <w:rsid w:val="001D3B3A"/>
    <w:rsid w:val="001D3B63"/>
    <w:rsid w:val="001D4158"/>
    <w:rsid w:val="001D416B"/>
    <w:rsid w:val="001D4433"/>
    <w:rsid w:val="001D45FB"/>
    <w:rsid w:val="001D4856"/>
    <w:rsid w:val="001D488F"/>
    <w:rsid w:val="001D4A3E"/>
    <w:rsid w:val="001D4F12"/>
    <w:rsid w:val="001D4F90"/>
    <w:rsid w:val="001D51C3"/>
    <w:rsid w:val="001D52D7"/>
    <w:rsid w:val="001D5392"/>
    <w:rsid w:val="001D5665"/>
    <w:rsid w:val="001D5959"/>
    <w:rsid w:val="001D5974"/>
    <w:rsid w:val="001D5C14"/>
    <w:rsid w:val="001D5C6F"/>
    <w:rsid w:val="001D5DA5"/>
    <w:rsid w:val="001D603F"/>
    <w:rsid w:val="001D6287"/>
    <w:rsid w:val="001D6329"/>
    <w:rsid w:val="001D66C1"/>
    <w:rsid w:val="001D6955"/>
    <w:rsid w:val="001D6B1B"/>
    <w:rsid w:val="001D6BE2"/>
    <w:rsid w:val="001D6C20"/>
    <w:rsid w:val="001D6CAC"/>
    <w:rsid w:val="001D780E"/>
    <w:rsid w:val="001D791E"/>
    <w:rsid w:val="001D7CF6"/>
    <w:rsid w:val="001D7D86"/>
    <w:rsid w:val="001E017C"/>
    <w:rsid w:val="001E03B7"/>
    <w:rsid w:val="001E0583"/>
    <w:rsid w:val="001E0762"/>
    <w:rsid w:val="001E08A5"/>
    <w:rsid w:val="001E0B30"/>
    <w:rsid w:val="001E12E7"/>
    <w:rsid w:val="001E1480"/>
    <w:rsid w:val="001E1F57"/>
    <w:rsid w:val="001E2600"/>
    <w:rsid w:val="001E2B9B"/>
    <w:rsid w:val="001E2BA6"/>
    <w:rsid w:val="001E308D"/>
    <w:rsid w:val="001E3482"/>
    <w:rsid w:val="001E3816"/>
    <w:rsid w:val="001E3883"/>
    <w:rsid w:val="001E3F0D"/>
    <w:rsid w:val="001E4641"/>
    <w:rsid w:val="001E46EA"/>
    <w:rsid w:val="001E4B2C"/>
    <w:rsid w:val="001E4C06"/>
    <w:rsid w:val="001E4E4B"/>
    <w:rsid w:val="001E4FDD"/>
    <w:rsid w:val="001E5889"/>
    <w:rsid w:val="001E5D89"/>
    <w:rsid w:val="001E67F9"/>
    <w:rsid w:val="001E6944"/>
    <w:rsid w:val="001E73B5"/>
    <w:rsid w:val="001E76AC"/>
    <w:rsid w:val="001E7A78"/>
    <w:rsid w:val="001E7BE8"/>
    <w:rsid w:val="001F00F9"/>
    <w:rsid w:val="001F013F"/>
    <w:rsid w:val="001F0248"/>
    <w:rsid w:val="001F073A"/>
    <w:rsid w:val="001F086B"/>
    <w:rsid w:val="001F09C3"/>
    <w:rsid w:val="001F09FF"/>
    <w:rsid w:val="001F0E2A"/>
    <w:rsid w:val="001F140B"/>
    <w:rsid w:val="001F162F"/>
    <w:rsid w:val="001F1D42"/>
    <w:rsid w:val="001F1FBB"/>
    <w:rsid w:val="001F23D5"/>
    <w:rsid w:val="001F2447"/>
    <w:rsid w:val="001F254E"/>
    <w:rsid w:val="001F2F26"/>
    <w:rsid w:val="001F2F2E"/>
    <w:rsid w:val="001F30EB"/>
    <w:rsid w:val="001F311A"/>
    <w:rsid w:val="001F357D"/>
    <w:rsid w:val="001F3CC8"/>
    <w:rsid w:val="001F3E2F"/>
    <w:rsid w:val="001F3EB3"/>
    <w:rsid w:val="001F3FB9"/>
    <w:rsid w:val="001F4DE3"/>
    <w:rsid w:val="001F4F86"/>
    <w:rsid w:val="001F52AA"/>
    <w:rsid w:val="001F55AB"/>
    <w:rsid w:val="001F5CBB"/>
    <w:rsid w:val="001F67BA"/>
    <w:rsid w:val="001F698C"/>
    <w:rsid w:val="001F6BEB"/>
    <w:rsid w:val="001F6E21"/>
    <w:rsid w:val="001F7280"/>
    <w:rsid w:val="001F78BC"/>
    <w:rsid w:val="001F7964"/>
    <w:rsid w:val="001F7FEE"/>
    <w:rsid w:val="002001F1"/>
    <w:rsid w:val="00200381"/>
    <w:rsid w:val="00200A20"/>
    <w:rsid w:val="00200D96"/>
    <w:rsid w:val="00200EF7"/>
    <w:rsid w:val="00201271"/>
    <w:rsid w:val="002015AB"/>
    <w:rsid w:val="00201618"/>
    <w:rsid w:val="0020176D"/>
    <w:rsid w:val="00201839"/>
    <w:rsid w:val="002018BC"/>
    <w:rsid w:val="002020A7"/>
    <w:rsid w:val="00202377"/>
    <w:rsid w:val="00202774"/>
    <w:rsid w:val="00202C2C"/>
    <w:rsid w:val="00202E2F"/>
    <w:rsid w:val="00202F61"/>
    <w:rsid w:val="00203050"/>
    <w:rsid w:val="0020348B"/>
    <w:rsid w:val="002041D7"/>
    <w:rsid w:val="00204438"/>
    <w:rsid w:val="0020476D"/>
    <w:rsid w:val="00204805"/>
    <w:rsid w:val="00204D67"/>
    <w:rsid w:val="00204DB4"/>
    <w:rsid w:val="00204EFB"/>
    <w:rsid w:val="00204FDD"/>
    <w:rsid w:val="00205071"/>
    <w:rsid w:val="002050D3"/>
    <w:rsid w:val="002052AC"/>
    <w:rsid w:val="00205324"/>
    <w:rsid w:val="00205CAC"/>
    <w:rsid w:val="00205D51"/>
    <w:rsid w:val="00205D85"/>
    <w:rsid w:val="00206185"/>
    <w:rsid w:val="0020634E"/>
    <w:rsid w:val="002063F0"/>
    <w:rsid w:val="002064F8"/>
    <w:rsid w:val="002067A6"/>
    <w:rsid w:val="00206A8C"/>
    <w:rsid w:val="00206C75"/>
    <w:rsid w:val="00206DFF"/>
    <w:rsid w:val="00206ED4"/>
    <w:rsid w:val="002077D2"/>
    <w:rsid w:val="00207A56"/>
    <w:rsid w:val="00207CC5"/>
    <w:rsid w:val="00207D2C"/>
    <w:rsid w:val="00207FF8"/>
    <w:rsid w:val="002103B5"/>
    <w:rsid w:val="00210517"/>
    <w:rsid w:val="00210545"/>
    <w:rsid w:val="00210874"/>
    <w:rsid w:val="00210C64"/>
    <w:rsid w:val="002117DE"/>
    <w:rsid w:val="002118B6"/>
    <w:rsid w:val="00211927"/>
    <w:rsid w:val="002119B3"/>
    <w:rsid w:val="00211A82"/>
    <w:rsid w:val="00211B44"/>
    <w:rsid w:val="00211CE6"/>
    <w:rsid w:val="00212021"/>
    <w:rsid w:val="002123A9"/>
    <w:rsid w:val="00212A05"/>
    <w:rsid w:val="00212A26"/>
    <w:rsid w:val="00212B22"/>
    <w:rsid w:val="00212DAA"/>
    <w:rsid w:val="00213146"/>
    <w:rsid w:val="002135AB"/>
    <w:rsid w:val="00213D49"/>
    <w:rsid w:val="00213D6E"/>
    <w:rsid w:val="002140D7"/>
    <w:rsid w:val="00214224"/>
    <w:rsid w:val="002142F2"/>
    <w:rsid w:val="002144BE"/>
    <w:rsid w:val="00214879"/>
    <w:rsid w:val="00214BFA"/>
    <w:rsid w:val="00214CA9"/>
    <w:rsid w:val="00214F41"/>
    <w:rsid w:val="002150E1"/>
    <w:rsid w:val="0021515C"/>
    <w:rsid w:val="00215392"/>
    <w:rsid w:val="0021541A"/>
    <w:rsid w:val="002154A7"/>
    <w:rsid w:val="00215772"/>
    <w:rsid w:val="00215BDB"/>
    <w:rsid w:val="00215C98"/>
    <w:rsid w:val="00215CD4"/>
    <w:rsid w:val="00215D50"/>
    <w:rsid w:val="002160A8"/>
    <w:rsid w:val="00216490"/>
    <w:rsid w:val="00216901"/>
    <w:rsid w:val="00216F8F"/>
    <w:rsid w:val="002170C8"/>
    <w:rsid w:val="00217151"/>
    <w:rsid w:val="00217276"/>
    <w:rsid w:val="0021735C"/>
    <w:rsid w:val="00217E34"/>
    <w:rsid w:val="00217E5A"/>
    <w:rsid w:val="002207AC"/>
    <w:rsid w:val="00220BDD"/>
    <w:rsid w:val="002210A4"/>
    <w:rsid w:val="002217E3"/>
    <w:rsid w:val="00221B9D"/>
    <w:rsid w:val="00221DA8"/>
    <w:rsid w:val="00221E48"/>
    <w:rsid w:val="002221C3"/>
    <w:rsid w:val="002222DB"/>
    <w:rsid w:val="00222352"/>
    <w:rsid w:val="0022249C"/>
    <w:rsid w:val="00222631"/>
    <w:rsid w:val="00222CB1"/>
    <w:rsid w:val="00223021"/>
    <w:rsid w:val="0022303E"/>
    <w:rsid w:val="0022315E"/>
    <w:rsid w:val="00223895"/>
    <w:rsid w:val="00223E31"/>
    <w:rsid w:val="00223E82"/>
    <w:rsid w:val="0022407C"/>
    <w:rsid w:val="0022425B"/>
    <w:rsid w:val="00224435"/>
    <w:rsid w:val="00224AFC"/>
    <w:rsid w:val="002253AD"/>
    <w:rsid w:val="002255B7"/>
    <w:rsid w:val="0022564A"/>
    <w:rsid w:val="00225820"/>
    <w:rsid w:val="00225A76"/>
    <w:rsid w:val="00225B52"/>
    <w:rsid w:val="00225C21"/>
    <w:rsid w:val="00225EEA"/>
    <w:rsid w:val="0022605E"/>
    <w:rsid w:val="002263D7"/>
    <w:rsid w:val="0022663A"/>
    <w:rsid w:val="00226973"/>
    <w:rsid w:val="00226C30"/>
    <w:rsid w:val="00226DD2"/>
    <w:rsid w:val="00226FBD"/>
    <w:rsid w:val="002275C4"/>
    <w:rsid w:val="00227A5E"/>
    <w:rsid w:val="00227BB9"/>
    <w:rsid w:val="00227DFA"/>
    <w:rsid w:val="00227F62"/>
    <w:rsid w:val="00230026"/>
    <w:rsid w:val="00230055"/>
    <w:rsid w:val="002302C3"/>
    <w:rsid w:val="00230DF7"/>
    <w:rsid w:val="00230E13"/>
    <w:rsid w:val="00231074"/>
    <w:rsid w:val="002310F0"/>
    <w:rsid w:val="00231F9F"/>
    <w:rsid w:val="002320B8"/>
    <w:rsid w:val="00232685"/>
    <w:rsid w:val="00232BEF"/>
    <w:rsid w:val="00232D22"/>
    <w:rsid w:val="00232F5E"/>
    <w:rsid w:val="00233254"/>
    <w:rsid w:val="002333B4"/>
    <w:rsid w:val="002333EB"/>
    <w:rsid w:val="00233463"/>
    <w:rsid w:val="002335AA"/>
    <w:rsid w:val="00233811"/>
    <w:rsid w:val="002338BD"/>
    <w:rsid w:val="00233A73"/>
    <w:rsid w:val="00233AF2"/>
    <w:rsid w:val="00234366"/>
    <w:rsid w:val="002344FB"/>
    <w:rsid w:val="002347AE"/>
    <w:rsid w:val="00234869"/>
    <w:rsid w:val="002348E0"/>
    <w:rsid w:val="00234900"/>
    <w:rsid w:val="00234BBB"/>
    <w:rsid w:val="00234BF8"/>
    <w:rsid w:val="00235153"/>
    <w:rsid w:val="00235199"/>
    <w:rsid w:val="00235464"/>
    <w:rsid w:val="00235691"/>
    <w:rsid w:val="00235A29"/>
    <w:rsid w:val="00235D0C"/>
    <w:rsid w:val="00235E02"/>
    <w:rsid w:val="00236622"/>
    <w:rsid w:val="00236691"/>
    <w:rsid w:val="002367B3"/>
    <w:rsid w:val="002369D0"/>
    <w:rsid w:val="00236B31"/>
    <w:rsid w:val="00236C7C"/>
    <w:rsid w:val="0023733B"/>
    <w:rsid w:val="002378AF"/>
    <w:rsid w:val="00237953"/>
    <w:rsid w:val="00237A2B"/>
    <w:rsid w:val="00240025"/>
    <w:rsid w:val="002403FD"/>
    <w:rsid w:val="00240679"/>
    <w:rsid w:val="002406F3"/>
    <w:rsid w:val="0024084D"/>
    <w:rsid w:val="00240CB3"/>
    <w:rsid w:val="00240D36"/>
    <w:rsid w:val="00241404"/>
    <w:rsid w:val="002415CE"/>
    <w:rsid w:val="0024190B"/>
    <w:rsid w:val="00241A8B"/>
    <w:rsid w:val="00241AB7"/>
    <w:rsid w:val="00242279"/>
    <w:rsid w:val="002422DF"/>
    <w:rsid w:val="00242717"/>
    <w:rsid w:val="0024350E"/>
    <w:rsid w:val="002438A8"/>
    <w:rsid w:val="00243997"/>
    <w:rsid w:val="00243A5A"/>
    <w:rsid w:val="00243ADC"/>
    <w:rsid w:val="00243DC2"/>
    <w:rsid w:val="00243F9A"/>
    <w:rsid w:val="00244213"/>
    <w:rsid w:val="00244752"/>
    <w:rsid w:val="00244A95"/>
    <w:rsid w:val="00244E2C"/>
    <w:rsid w:val="00244E72"/>
    <w:rsid w:val="00244E73"/>
    <w:rsid w:val="0024516C"/>
    <w:rsid w:val="002452C4"/>
    <w:rsid w:val="002454F9"/>
    <w:rsid w:val="00245C07"/>
    <w:rsid w:val="00245C82"/>
    <w:rsid w:val="00245D9A"/>
    <w:rsid w:val="00245F68"/>
    <w:rsid w:val="002464F9"/>
    <w:rsid w:val="002466F8"/>
    <w:rsid w:val="002467DF"/>
    <w:rsid w:val="002469DE"/>
    <w:rsid w:val="002469E5"/>
    <w:rsid w:val="002469FB"/>
    <w:rsid w:val="00246B9D"/>
    <w:rsid w:val="00246C20"/>
    <w:rsid w:val="00246F4A"/>
    <w:rsid w:val="00246F94"/>
    <w:rsid w:val="00247124"/>
    <w:rsid w:val="0024759C"/>
    <w:rsid w:val="002479B7"/>
    <w:rsid w:val="00247B74"/>
    <w:rsid w:val="002500EF"/>
    <w:rsid w:val="0025014E"/>
    <w:rsid w:val="002501D9"/>
    <w:rsid w:val="002506EC"/>
    <w:rsid w:val="00250849"/>
    <w:rsid w:val="00250871"/>
    <w:rsid w:val="00250B4F"/>
    <w:rsid w:val="00250B92"/>
    <w:rsid w:val="00251257"/>
    <w:rsid w:val="0025125F"/>
    <w:rsid w:val="002512BE"/>
    <w:rsid w:val="00251698"/>
    <w:rsid w:val="00251759"/>
    <w:rsid w:val="002519A8"/>
    <w:rsid w:val="00251A65"/>
    <w:rsid w:val="00251C6E"/>
    <w:rsid w:val="002520EF"/>
    <w:rsid w:val="00252414"/>
    <w:rsid w:val="0025242D"/>
    <w:rsid w:val="0025252C"/>
    <w:rsid w:val="002525BE"/>
    <w:rsid w:val="002525C0"/>
    <w:rsid w:val="002527FF"/>
    <w:rsid w:val="00252914"/>
    <w:rsid w:val="00252A2A"/>
    <w:rsid w:val="00252C3B"/>
    <w:rsid w:val="002530E5"/>
    <w:rsid w:val="0025356D"/>
    <w:rsid w:val="00253867"/>
    <w:rsid w:val="00253B29"/>
    <w:rsid w:val="00253ED1"/>
    <w:rsid w:val="002549AF"/>
    <w:rsid w:val="00254AF9"/>
    <w:rsid w:val="00254C0D"/>
    <w:rsid w:val="00255B34"/>
    <w:rsid w:val="00255DA3"/>
    <w:rsid w:val="00255F46"/>
    <w:rsid w:val="0025640B"/>
    <w:rsid w:val="0025645F"/>
    <w:rsid w:val="0025662A"/>
    <w:rsid w:val="002569C1"/>
    <w:rsid w:val="00256C79"/>
    <w:rsid w:val="00256CB6"/>
    <w:rsid w:val="002570F9"/>
    <w:rsid w:val="002574F6"/>
    <w:rsid w:val="002575B7"/>
    <w:rsid w:val="00257A0F"/>
    <w:rsid w:val="00257A8E"/>
    <w:rsid w:val="00257E53"/>
    <w:rsid w:val="00260109"/>
    <w:rsid w:val="00260229"/>
    <w:rsid w:val="0026038F"/>
    <w:rsid w:val="002603CA"/>
    <w:rsid w:val="00260799"/>
    <w:rsid w:val="00260E6B"/>
    <w:rsid w:val="002613F7"/>
    <w:rsid w:val="0026199C"/>
    <w:rsid w:val="00261D0B"/>
    <w:rsid w:val="002622D9"/>
    <w:rsid w:val="00262320"/>
    <w:rsid w:val="0026249A"/>
    <w:rsid w:val="00262FEF"/>
    <w:rsid w:val="002634DE"/>
    <w:rsid w:val="002634EF"/>
    <w:rsid w:val="002635D2"/>
    <w:rsid w:val="0026381B"/>
    <w:rsid w:val="0026397B"/>
    <w:rsid w:val="00263A52"/>
    <w:rsid w:val="00263A6E"/>
    <w:rsid w:val="00263EC8"/>
    <w:rsid w:val="00264127"/>
    <w:rsid w:val="0026444E"/>
    <w:rsid w:val="002645C6"/>
    <w:rsid w:val="0026479E"/>
    <w:rsid w:val="0026481B"/>
    <w:rsid w:val="002649C0"/>
    <w:rsid w:val="00264B33"/>
    <w:rsid w:val="00265728"/>
    <w:rsid w:val="002657B7"/>
    <w:rsid w:val="00265CE2"/>
    <w:rsid w:val="00265CED"/>
    <w:rsid w:val="00265E56"/>
    <w:rsid w:val="00266194"/>
    <w:rsid w:val="00266282"/>
    <w:rsid w:val="0026628E"/>
    <w:rsid w:val="0026631D"/>
    <w:rsid w:val="00266528"/>
    <w:rsid w:val="00266750"/>
    <w:rsid w:val="002669DD"/>
    <w:rsid w:val="002669F1"/>
    <w:rsid w:val="00267067"/>
    <w:rsid w:val="0026753E"/>
    <w:rsid w:val="0026755C"/>
    <w:rsid w:val="00267C3F"/>
    <w:rsid w:val="00267FBA"/>
    <w:rsid w:val="00270086"/>
    <w:rsid w:val="002702CD"/>
    <w:rsid w:val="002704B4"/>
    <w:rsid w:val="0027057E"/>
    <w:rsid w:val="00270860"/>
    <w:rsid w:val="002709B7"/>
    <w:rsid w:val="00270D18"/>
    <w:rsid w:val="002714DE"/>
    <w:rsid w:val="00271527"/>
    <w:rsid w:val="002718F6"/>
    <w:rsid w:val="00271B1D"/>
    <w:rsid w:val="00271B2A"/>
    <w:rsid w:val="00271F59"/>
    <w:rsid w:val="002724BA"/>
    <w:rsid w:val="00272582"/>
    <w:rsid w:val="002725AB"/>
    <w:rsid w:val="0027260F"/>
    <w:rsid w:val="00272C08"/>
    <w:rsid w:val="00272D61"/>
    <w:rsid w:val="002735C5"/>
    <w:rsid w:val="002737C0"/>
    <w:rsid w:val="00273A89"/>
    <w:rsid w:val="00273E15"/>
    <w:rsid w:val="00273FB6"/>
    <w:rsid w:val="00274C3E"/>
    <w:rsid w:val="002751B7"/>
    <w:rsid w:val="00275292"/>
    <w:rsid w:val="002753F6"/>
    <w:rsid w:val="00275415"/>
    <w:rsid w:val="002754AB"/>
    <w:rsid w:val="002755FD"/>
    <w:rsid w:val="00275644"/>
    <w:rsid w:val="00275884"/>
    <w:rsid w:val="00275B7D"/>
    <w:rsid w:val="002760E8"/>
    <w:rsid w:val="0027636E"/>
    <w:rsid w:val="0027648A"/>
    <w:rsid w:val="0027650C"/>
    <w:rsid w:val="00276AF9"/>
    <w:rsid w:val="00276C21"/>
    <w:rsid w:val="00276FC8"/>
    <w:rsid w:val="002774C7"/>
    <w:rsid w:val="00277610"/>
    <w:rsid w:val="00277731"/>
    <w:rsid w:val="00277AF6"/>
    <w:rsid w:val="00277FD0"/>
    <w:rsid w:val="00280420"/>
    <w:rsid w:val="002805CD"/>
    <w:rsid w:val="00280B7F"/>
    <w:rsid w:val="00280BA9"/>
    <w:rsid w:val="00280D34"/>
    <w:rsid w:val="00280E58"/>
    <w:rsid w:val="00280F85"/>
    <w:rsid w:val="002813A8"/>
    <w:rsid w:val="00281B0A"/>
    <w:rsid w:val="00281B9E"/>
    <w:rsid w:val="00281BBD"/>
    <w:rsid w:val="0028259F"/>
    <w:rsid w:val="00282654"/>
    <w:rsid w:val="00282750"/>
    <w:rsid w:val="00282959"/>
    <w:rsid w:val="00282AAD"/>
    <w:rsid w:val="00282B12"/>
    <w:rsid w:val="00282DAC"/>
    <w:rsid w:val="00282E9E"/>
    <w:rsid w:val="00282F0E"/>
    <w:rsid w:val="0028302C"/>
    <w:rsid w:val="00283382"/>
    <w:rsid w:val="0028387E"/>
    <w:rsid w:val="00283B4D"/>
    <w:rsid w:val="00283D4D"/>
    <w:rsid w:val="00283E42"/>
    <w:rsid w:val="00283EBA"/>
    <w:rsid w:val="0028444A"/>
    <w:rsid w:val="0028458C"/>
    <w:rsid w:val="00284687"/>
    <w:rsid w:val="00284B55"/>
    <w:rsid w:val="00284E29"/>
    <w:rsid w:val="00285444"/>
    <w:rsid w:val="00285469"/>
    <w:rsid w:val="0028579F"/>
    <w:rsid w:val="00285BD2"/>
    <w:rsid w:val="00285E3B"/>
    <w:rsid w:val="0028661E"/>
    <w:rsid w:val="00286ED3"/>
    <w:rsid w:val="00286F1F"/>
    <w:rsid w:val="002871AD"/>
    <w:rsid w:val="002873FA"/>
    <w:rsid w:val="00287674"/>
    <w:rsid w:val="00287725"/>
    <w:rsid w:val="002878D8"/>
    <w:rsid w:val="0028799A"/>
    <w:rsid w:val="00287C85"/>
    <w:rsid w:val="00287E42"/>
    <w:rsid w:val="00287F74"/>
    <w:rsid w:val="002906E3"/>
    <w:rsid w:val="00290D15"/>
    <w:rsid w:val="00290D7B"/>
    <w:rsid w:val="00290EDD"/>
    <w:rsid w:val="00290FFC"/>
    <w:rsid w:val="00291027"/>
    <w:rsid w:val="0029115D"/>
    <w:rsid w:val="00291240"/>
    <w:rsid w:val="0029159E"/>
    <w:rsid w:val="002919F5"/>
    <w:rsid w:val="00291B40"/>
    <w:rsid w:val="00291D0E"/>
    <w:rsid w:val="00291EC0"/>
    <w:rsid w:val="00292180"/>
    <w:rsid w:val="002923AE"/>
    <w:rsid w:val="00292483"/>
    <w:rsid w:val="002925BF"/>
    <w:rsid w:val="00292686"/>
    <w:rsid w:val="00292739"/>
    <w:rsid w:val="00292917"/>
    <w:rsid w:val="00292B4A"/>
    <w:rsid w:val="00293091"/>
    <w:rsid w:val="0029311C"/>
    <w:rsid w:val="00293295"/>
    <w:rsid w:val="002938A7"/>
    <w:rsid w:val="0029397D"/>
    <w:rsid w:val="00293C0C"/>
    <w:rsid w:val="00293EA5"/>
    <w:rsid w:val="00294266"/>
    <w:rsid w:val="00294303"/>
    <w:rsid w:val="002943A1"/>
    <w:rsid w:val="002948B2"/>
    <w:rsid w:val="00294977"/>
    <w:rsid w:val="00294D59"/>
    <w:rsid w:val="00294E1E"/>
    <w:rsid w:val="002954CC"/>
    <w:rsid w:val="0029553B"/>
    <w:rsid w:val="002955F1"/>
    <w:rsid w:val="00295857"/>
    <w:rsid w:val="00295E11"/>
    <w:rsid w:val="00295FE1"/>
    <w:rsid w:val="00296014"/>
    <w:rsid w:val="00296017"/>
    <w:rsid w:val="002967FE"/>
    <w:rsid w:val="0029681E"/>
    <w:rsid w:val="0029683F"/>
    <w:rsid w:val="0029687C"/>
    <w:rsid w:val="0029749C"/>
    <w:rsid w:val="00297785"/>
    <w:rsid w:val="002979A1"/>
    <w:rsid w:val="00297FAF"/>
    <w:rsid w:val="002A02EB"/>
    <w:rsid w:val="002A03EF"/>
    <w:rsid w:val="002A041E"/>
    <w:rsid w:val="002A068E"/>
    <w:rsid w:val="002A07EF"/>
    <w:rsid w:val="002A0C67"/>
    <w:rsid w:val="002A1068"/>
    <w:rsid w:val="002A164D"/>
    <w:rsid w:val="002A1A71"/>
    <w:rsid w:val="002A1D77"/>
    <w:rsid w:val="002A20B0"/>
    <w:rsid w:val="002A263D"/>
    <w:rsid w:val="002A26BF"/>
    <w:rsid w:val="002A272D"/>
    <w:rsid w:val="002A2882"/>
    <w:rsid w:val="002A3066"/>
    <w:rsid w:val="002A3AD9"/>
    <w:rsid w:val="002A3DF1"/>
    <w:rsid w:val="002A3FD2"/>
    <w:rsid w:val="002A4372"/>
    <w:rsid w:val="002A43B9"/>
    <w:rsid w:val="002A4586"/>
    <w:rsid w:val="002A459E"/>
    <w:rsid w:val="002A4B4F"/>
    <w:rsid w:val="002A4BE3"/>
    <w:rsid w:val="002A4CD9"/>
    <w:rsid w:val="002A4E7E"/>
    <w:rsid w:val="002A4FB7"/>
    <w:rsid w:val="002A5310"/>
    <w:rsid w:val="002A5430"/>
    <w:rsid w:val="002A55C6"/>
    <w:rsid w:val="002A562C"/>
    <w:rsid w:val="002A5AD8"/>
    <w:rsid w:val="002A5EB2"/>
    <w:rsid w:val="002A6178"/>
    <w:rsid w:val="002A63C0"/>
    <w:rsid w:val="002A6553"/>
    <w:rsid w:val="002A657A"/>
    <w:rsid w:val="002A663A"/>
    <w:rsid w:val="002A6757"/>
    <w:rsid w:val="002A6920"/>
    <w:rsid w:val="002A69F5"/>
    <w:rsid w:val="002A6B10"/>
    <w:rsid w:val="002A6C46"/>
    <w:rsid w:val="002A711B"/>
    <w:rsid w:val="002A737C"/>
    <w:rsid w:val="002A73C8"/>
    <w:rsid w:val="002A7603"/>
    <w:rsid w:val="002A7AA0"/>
    <w:rsid w:val="002A7AF8"/>
    <w:rsid w:val="002A7ECA"/>
    <w:rsid w:val="002B02F7"/>
    <w:rsid w:val="002B0723"/>
    <w:rsid w:val="002B0729"/>
    <w:rsid w:val="002B0820"/>
    <w:rsid w:val="002B08EF"/>
    <w:rsid w:val="002B0BBA"/>
    <w:rsid w:val="002B108A"/>
    <w:rsid w:val="002B16E7"/>
    <w:rsid w:val="002B211C"/>
    <w:rsid w:val="002B2F2F"/>
    <w:rsid w:val="002B3106"/>
    <w:rsid w:val="002B3811"/>
    <w:rsid w:val="002B395D"/>
    <w:rsid w:val="002B3C6C"/>
    <w:rsid w:val="002B3FCF"/>
    <w:rsid w:val="002B4008"/>
    <w:rsid w:val="002B49A7"/>
    <w:rsid w:val="002B49DF"/>
    <w:rsid w:val="002B4C16"/>
    <w:rsid w:val="002B4C55"/>
    <w:rsid w:val="002B5038"/>
    <w:rsid w:val="002B56B6"/>
    <w:rsid w:val="002B56EB"/>
    <w:rsid w:val="002B5E7D"/>
    <w:rsid w:val="002B6120"/>
    <w:rsid w:val="002B61E6"/>
    <w:rsid w:val="002B61FA"/>
    <w:rsid w:val="002B629C"/>
    <w:rsid w:val="002B6308"/>
    <w:rsid w:val="002B64F6"/>
    <w:rsid w:val="002B67FC"/>
    <w:rsid w:val="002B6AF9"/>
    <w:rsid w:val="002B6E00"/>
    <w:rsid w:val="002B6F7C"/>
    <w:rsid w:val="002B73CB"/>
    <w:rsid w:val="002B7580"/>
    <w:rsid w:val="002B75A6"/>
    <w:rsid w:val="002B763E"/>
    <w:rsid w:val="002B7855"/>
    <w:rsid w:val="002B7996"/>
    <w:rsid w:val="002B7B6F"/>
    <w:rsid w:val="002B7DA2"/>
    <w:rsid w:val="002C0158"/>
    <w:rsid w:val="002C0187"/>
    <w:rsid w:val="002C0231"/>
    <w:rsid w:val="002C02CB"/>
    <w:rsid w:val="002C03E2"/>
    <w:rsid w:val="002C06E3"/>
    <w:rsid w:val="002C0999"/>
    <w:rsid w:val="002C0CED"/>
    <w:rsid w:val="002C0F25"/>
    <w:rsid w:val="002C1793"/>
    <w:rsid w:val="002C17FE"/>
    <w:rsid w:val="002C1911"/>
    <w:rsid w:val="002C19B5"/>
    <w:rsid w:val="002C1DBA"/>
    <w:rsid w:val="002C209B"/>
    <w:rsid w:val="002C23B0"/>
    <w:rsid w:val="002C23F5"/>
    <w:rsid w:val="002C26ED"/>
    <w:rsid w:val="002C27BA"/>
    <w:rsid w:val="002C29DB"/>
    <w:rsid w:val="002C2A39"/>
    <w:rsid w:val="002C3053"/>
    <w:rsid w:val="002C36F9"/>
    <w:rsid w:val="002C3F14"/>
    <w:rsid w:val="002C3FDF"/>
    <w:rsid w:val="002C417C"/>
    <w:rsid w:val="002C439F"/>
    <w:rsid w:val="002C4529"/>
    <w:rsid w:val="002C491C"/>
    <w:rsid w:val="002C4B50"/>
    <w:rsid w:val="002C4D38"/>
    <w:rsid w:val="002C5043"/>
    <w:rsid w:val="002C555B"/>
    <w:rsid w:val="002C5693"/>
    <w:rsid w:val="002C5A8C"/>
    <w:rsid w:val="002C5AAB"/>
    <w:rsid w:val="002C5BB8"/>
    <w:rsid w:val="002C5F66"/>
    <w:rsid w:val="002C6044"/>
    <w:rsid w:val="002C613B"/>
    <w:rsid w:val="002C6381"/>
    <w:rsid w:val="002C63FF"/>
    <w:rsid w:val="002C67E2"/>
    <w:rsid w:val="002C6BBC"/>
    <w:rsid w:val="002C6E45"/>
    <w:rsid w:val="002C6F48"/>
    <w:rsid w:val="002C700B"/>
    <w:rsid w:val="002C724E"/>
    <w:rsid w:val="002C73EF"/>
    <w:rsid w:val="002C74C3"/>
    <w:rsid w:val="002C7548"/>
    <w:rsid w:val="002C77F4"/>
    <w:rsid w:val="002C79B3"/>
    <w:rsid w:val="002D0379"/>
    <w:rsid w:val="002D07AF"/>
    <w:rsid w:val="002D07EC"/>
    <w:rsid w:val="002D0C42"/>
    <w:rsid w:val="002D0E8E"/>
    <w:rsid w:val="002D17AA"/>
    <w:rsid w:val="002D1B49"/>
    <w:rsid w:val="002D24DC"/>
    <w:rsid w:val="002D25F6"/>
    <w:rsid w:val="002D2AFA"/>
    <w:rsid w:val="002D2DBA"/>
    <w:rsid w:val="002D3057"/>
    <w:rsid w:val="002D34B8"/>
    <w:rsid w:val="002D39DA"/>
    <w:rsid w:val="002D3E66"/>
    <w:rsid w:val="002D3EA0"/>
    <w:rsid w:val="002D3FEB"/>
    <w:rsid w:val="002D42E9"/>
    <w:rsid w:val="002D48B1"/>
    <w:rsid w:val="002D4D9E"/>
    <w:rsid w:val="002D4E08"/>
    <w:rsid w:val="002D4E57"/>
    <w:rsid w:val="002D5152"/>
    <w:rsid w:val="002D5238"/>
    <w:rsid w:val="002D52A1"/>
    <w:rsid w:val="002D5371"/>
    <w:rsid w:val="002D5902"/>
    <w:rsid w:val="002D598C"/>
    <w:rsid w:val="002D5DBD"/>
    <w:rsid w:val="002D5E53"/>
    <w:rsid w:val="002D675C"/>
    <w:rsid w:val="002D6B82"/>
    <w:rsid w:val="002D6E89"/>
    <w:rsid w:val="002D71C2"/>
    <w:rsid w:val="002D7247"/>
    <w:rsid w:val="002D76C0"/>
    <w:rsid w:val="002D7746"/>
    <w:rsid w:val="002D7C14"/>
    <w:rsid w:val="002D7F1B"/>
    <w:rsid w:val="002E0302"/>
    <w:rsid w:val="002E0306"/>
    <w:rsid w:val="002E06D8"/>
    <w:rsid w:val="002E0718"/>
    <w:rsid w:val="002E09D5"/>
    <w:rsid w:val="002E0A71"/>
    <w:rsid w:val="002E0B5C"/>
    <w:rsid w:val="002E0CDE"/>
    <w:rsid w:val="002E10F0"/>
    <w:rsid w:val="002E14EE"/>
    <w:rsid w:val="002E156A"/>
    <w:rsid w:val="002E177A"/>
    <w:rsid w:val="002E1A3A"/>
    <w:rsid w:val="002E1D9C"/>
    <w:rsid w:val="002E24B4"/>
    <w:rsid w:val="002E2C85"/>
    <w:rsid w:val="002E30A1"/>
    <w:rsid w:val="002E374B"/>
    <w:rsid w:val="002E37CC"/>
    <w:rsid w:val="002E3891"/>
    <w:rsid w:val="002E3E93"/>
    <w:rsid w:val="002E44AA"/>
    <w:rsid w:val="002E4552"/>
    <w:rsid w:val="002E4737"/>
    <w:rsid w:val="002E4D56"/>
    <w:rsid w:val="002E4ED9"/>
    <w:rsid w:val="002E50F4"/>
    <w:rsid w:val="002E52E1"/>
    <w:rsid w:val="002E5808"/>
    <w:rsid w:val="002E5B35"/>
    <w:rsid w:val="002E655A"/>
    <w:rsid w:val="002E6754"/>
    <w:rsid w:val="002E6888"/>
    <w:rsid w:val="002E6BD0"/>
    <w:rsid w:val="002E6DA7"/>
    <w:rsid w:val="002E72FA"/>
    <w:rsid w:val="002E7448"/>
    <w:rsid w:val="002E74D5"/>
    <w:rsid w:val="002E74E3"/>
    <w:rsid w:val="002E751D"/>
    <w:rsid w:val="002E75CB"/>
    <w:rsid w:val="002E7C3B"/>
    <w:rsid w:val="002F06D0"/>
    <w:rsid w:val="002F085A"/>
    <w:rsid w:val="002F0995"/>
    <w:rsid w:val="002F0A17"/>
    <w:rsid w:val="002F0DA1"/>
    <w:rsid w:val="002F0E1A"/>
    <w:rsid w:val="002F0F63"/>
    <w:rsid w:val="002F10C7"/>
    <w:rsid w:val="002F111E"/>
    <w:rsid w:val="002F12A7"/>
    <w:rsid w:val="002F1571"/>
    <w:rsid w:val="002F2084"/>
    <w:rsid w:val="002F20C9"/>
    <w:rsid w:val="002F216C"/>
    <w:rsid w:val="002F28F6"/>
    <w:rsid w:val="002F28FD"/>
    <w:rsid w:val="002F298D"/>
    <w:rsid w:val="002F2E14"/>
    <w:rsid w:val="002F313C"/>
    <w:rsid w:val="002F344E"/>
    <w:rsid w:val="002F378B"/>
    <w:rsid w:val="002F4B51"/>
    <w:rsid w:val="002F4D11"/>
    <w:rsid w:val="002F4D94"/>
    <w:rsid w:val="002F4DB1"/>
    <w:rsid w:val="002F52E1"/>
    <w:rsid w:val="002F54E4"/>
    <w:rsid w:val="002F5500"/>
    <w:rsid w:val="002F561E"/>
    <w:rsid w:val="002F5ADE"/>
    <w:rsid w:val="002F645F"/>
    <w:rsid w:val="002F6914"/>
    <w:rsid w:val="002F69E0"/>
    <w:rsid w:val="002F6E83"/>
    <w:rsid w:val="002F6EFD"/>
    <w:rsid w:val="002F6FBD"/>
    <w:rsid w:val="002F71A8"/>
    <w:rsid w:val="002F73BA"/>
    <w:rsid w:val="002F76F0"/>
    <w:rsid w:val="002F77AB"/>
    <w:rsid w:val="002F7DE4"/>
    <w:rsid w:val="002F7F6C"/>
    <w:rsid w:val="0030041F"/>
    <w:rsid w:val="00300756"/>
    <w:rsid w:val="00300822"/>
    <w:rsid w:val="00300A9E"/>
    <w:rsid w:val="00301161"/>
    <w:rsid w:val="00301189"/>
    <w:rsid w:val="00301323"/>
    <w:rsid w:val="003018FA"/>
    <w:rsid w:val="00301E4A"/>
    <w:rsid w:val="003023D5"/>
    <w:rsid w:val="00302659"/>
    <w:rsid w:val="003027DB"/>
    <w:rsid w:val="00302ABA"/>
    <w:rsid w:val="00302BBC"/>
    <w:rsid w:val="00302E2E"/>
    <w:rsid w:val="00303945"/>
    <w:rsid w:val="00303C7B"/>
    <w:rsid w:val="00303F88"/>
    <w:rsid w:val="00304561"/>
    <w:rsid w:val="003046B7"/>
    <w:rsid w:val="003047B1"/>
    <w:rsid w:val="00304CDE"/>
    <w:rsid w:val="00305416"/>
    <w:rsid w:val="0030571E"/>
    <w:rsid w:val="0030579B"/>
    <w:rsid w:val="00305E4B"/>
    <w:rsid w:val="00306304"/>
    <w:rsid w:val="003064D6"/>
    <w:rsid w:val="0030678B"/>
    <w:rsid w:val="00306ED7"/>
    <w:rsid w:val="00306EE3"/>
    <w:rsid w:val="003078DB"/>
    <w:rsid w:val="00307D7C"/>
    <w:rsid w:val="003102B2"/>
    <w:rsid w:val="0031090F"/>
    <w:rsid w:val="003109A5"/>
    <w:rsid w:val="00310A0C"/>
    <w:rsid w:val="00310FE2"/>
    <w:rsid w:val="003110F9"/>
    <w:rsid w:val="0031164D"/>
    <w:rsid w:val="00311678"/>
    <w:rsid w:val="003119F5"/>
    <w:rsid w:val="00311ECD"/>
    <w:rsid w:val="0031245B"/>
    <w:rsid w:val="00312576"/>
    <w:rsid w:val="003126F7"/>
    <w:rsid w:val="0031270B"/>
    <w:rsid w:val="00312783"/>
    <w:rsid w:val="00312C52"/>
    <w:rsid w:val="00312EB2"/>
    <w:rsid w:val="00312F5A"/>
    <w:rsid w:val="0031320A"/>
    <w:rsid w:val="003135DE"/>
    <w:rsid w:val="00313A5F"/>
    <w:rsid w:val="00313BDE"/>
    <w:rsid w:val="00313EC5"/>
    <w:rsid w:val="00313FC1"/>
    <w:rsid w:val="0031408B"/>
    <w:rsid w:val="00314458"/>
    <w:rsid w:val="00314490"/>
    <w:rsid w:val="00314585"/>
    <w:rsid w:val="00314969"/>
    <w:rsid w:val="003153AD"/>
    <w:rsid w:val="003153CC"/>
    <w:rsid w:val="00315605"/>
    <w:rsid w:val="00315F64"/>
    <w:rsid w:val="003160D1"/>
    <w:rsid w:val="00316160"/>
    <w:rsid w:val="00316672"/>
    <w:rsid w:val="003168B8"/>
    <w:rsid w:val="00316C54"/>
    <w:rsid w:val="00316C6F"/>
    <w:rsid w:val="00316CAD"/>
    <w:rsid w:val="003170DE"/>
    <w:rsid w:val="003173C6"/>
    <w:rsid w:val="00317773"/>
    <w:rsid w:val="003177B7"/>
    <w:rsid w:val="00317A2E"/>
    <w:rsid w:val="00317D3B"/>
    <w:rsid w:val="00317E35"/>
    <w:rsid w:val="003212E3"/>
    <w:rsid w:val="00321429"/>
    <w:rsid w:val="003219E7"/>
    <w:rsid w:val="00321A33"/>
    <w:rsid w:val="00321CDC"/>
    <w:rsid w:val="003220F2"/>
    <w:rsid w:val="00322323"/>
    <w:rsid w:val="003224B0"/>
    <w:rsid w:val="00322539"/>
    <w:rsid w:val="003225B4"/>
    <w:rsid w:val="0032278C"/>
    <w:rsid w:val="00322D36"/>
    <w:rsid w:val="00322D64"/>
    <w:rsid w:val="00322D9E"/>
    <w:rsid w:val="00322FFF"/>
    <w:rsid w:val="00323479"/>
    <w:rsid w:val="003237BF"/>
    <w:rsid w:val="003238ED"/>
    <w:rsid w:val="00323C21"/>
    <w:rsid w:val="00323E09"/>
    <w:rsid w:val="00323F69"/>
    <w:rsid w:val="0032407A"/>
    <w:rsid w:val="00324A7D"/>
    <w:rsid w:val="00324D71"/>
    <w:rsid w:val="00324DA2"/>
    <w:rsid w:val="00324F2F"/>
    <w:rsid w:val="003251ED"/>
    <w:rsid w:val="003255DA"/>
    <w:rsid w:val="00325613"/>
    <w:rsid w:val="00325733"/>
    <w:rsid w:val="0032628F"/>
    <w:rsid w:val="003262FE"/>
    <w:rsid w:val="003267AD"/>
    <w:rsid w:val="003267B8"/>
    <w:rsid w:val="00326AD3"/>
    <w:rsid w:val="00326B36"/>
    <w:rsid w:val="00326C0B"/>
    <w:rsid w:val="00326CC8"/>
    <w:rsid w:val="00326E76"/>
    <w:rsid w:val="00326EB1"/>
    <w:rsid w:val="0032714D"/>
    <w:rsid w:val="003276BE"/>
    <w:rsid w:val="0032778F"/>
    <w:rsid w:val="00327D0C"/>
    <w:rsid w:val="0033002A"/>
    <w:rsid w:val="00330478"/>
    <w:rsid w:val="00330696"/>
    <w:rsid w:val="003307F6"/>
    <w:rsid w:val="00330CE9"/>
    <w:rsid w:val="00331117"/>
    <w:rsid w:val="003312B0"/>
    <w:rsid w:val="003313D9"/>
    <w:rsid w:val="00331747"/>
    <w:rsid w:val="00331808"/>
    <w:rsid w:val="00331A4D"/>
    <w:rsid w:val="00331E36"/>
    <w:rsid w:val="00332757"/>
    <w:rsid w:val="00332FC3"/>
    <w:rsid w:val="00333035"/>
    <w:rsid w:val="00333048"/>
    <w:rsid w:val="00333304"/>
    <w:rsid w:val="00333840"/>
    <w:rsid w:val="00333932"/>
    <w:rsid w:val="00333936"/>
    <w:rsid w:val="00333CCD"/>
    <w:rsid w:val="003340E3"/>
    <w:rsid w:val="00334115"/>
    <w:rsid w:val="00334524"/>
    <w:rsid w:val="003345FA"/>
    <w:rsid w:val="00334834"/>
    <w:rsid w:val="00334952"/>
    <w:rsid w:val="00335260"/>
    <w:rsid w:val="003353D1"/>
    <w:rsid w:val="003353FE"/>
    <w:rsid w:val="003357E7"/>
    <w:rsid w:val="00335E35"/>
    <w:rsid w:val="00335F44"/>
    <w:rsid w:val="003361ED"/>
    <w:rsid w:val="00336221"/>
    <w:rsid w:val="00336245"/>
    <w:rsid w:val="003362D8"/>
    <w:rsid w:val="003365C2"/>
    <w:rsid w:val="003365CF"/>
    <w:rsid w:val="00336714"/>
    <w:rsid w:val="00336BCC"/>
    <w:rsid w:val="00336E6E"/>
    <w:rsid w:val="0033714D"/>
    <w:rsid w:val="00337A55"/>
    <w:rsid w:val="00337E1D"/>
    <w:rsid w:val="0034010E"/>
    <w:rsid w:val="0034043F"/>
    <w:rsid w:val="003405BA"/>
    <w:rsid w:val="00340765"/>
    <w:rsid w:val="00340C46"/>
    <w:rsid w:val="00340CB4"/>
    <w:rsid w:val="00340EF6"/>
    <w:rsid w:val="003410D2"/>
    <w:rsid w:val="003411FC"/>
    <w:rsid w:val="0034124D"/>
    <w:rsid w:val="00341441"/>
    <w:rsid w:val="00341673"/>
    <w:rsid w:val="003416A0"/>
    <w:rsid w:val="0034170D"/>
    <w:rsid w:val="0034186F"/>
    <w:rsid w:val="0034194C"/>
    <w:rsid w:val="00341EB4"/>
    <w:rsid w:val="00342476"/>
    <w:rsid w:val="00342571"/>
    <w:rsid w:val="003428FC"/>
    <w:rsid w:val="003429E2"/>
    <w:rsid w:val="003429ED"/>
    <w:rsid w:val="00342C54"/>
    <w:rsid w:val="00342CE0"/>
    <w:rsid w:val="00342DF7"/>
    <w:rsid w:val="0034373B"/>
    <w:rsid w:val="00344722"/>
    <w:rsid w:val="003447BF"/>
    <w:rsid w:val="0034496D"/>
    <w:rsid w:val="003449B8"/>
    <w:rsid w:val="00344A8A"/>
    <w:rsid w:val="00344AD8"/>
    <w:rsid w:val="00345178"/>
    <w:rsid w:val="00345210"/>
    <w:rsid w:val="003454F4"/>
    <w:rsid w:val="0034551A"/>
    <w:rsid w:val="003456ED"/>
    <w:rsid w:val="0034587E"/>
    <w:rsid w:val="00345991"/>
    <w:rsid w:val="00346496"/>
    <w:rsid w:val="0034658E"/>
    <w:rsid w:val="003467D1"/>
    <w:rsid w:val="003467EE"/>
    <w:rsid w:val="00346E9B"/>
    <w:rsid w:val="00346F3C"/>
    <w:rsid w:val="00346F79"/>
    <w:rsid w:val="00347069"/>
    <w:rsid w:val="003472CA"/>
    <w:rsid w:val="003472D8"/>
    <w:rsid w:val="003476D8"/>
    <w:rsid w:val="0034779C"/>
    <w:rsid w:val="003479A3"/>
    <w:rsid w:val="00347AA2"/>
    <w:rsid w:val="00347C5D"/>
    <w:rsid w:val="00347C6A"/>
    <w:rsid w:val="00347CD2"/>
    <w:rsid w:val="00347EDF"/>
    <w:rsid w:val="00347F87"/>
    <w:rsid w:val="003504C1"/>
    <w:rsid w:val="00350658"/>
    <w:rsid w:val="003509F7"/>
    <w:rsid w:val="00350D44"/>
    <w:rsid w:val="00350E2D"/>
    <w:rsid w:val="003516DC"/>
    <w:rsid w:val="003518AA"/>
    <w:rsid w:val="00351920"/>
    <w:rsid w:val="00351D05"/>
    <w:rsid w:val="00351E53"/>
    <w:rsid w:val="00351EE7"/>
    <w:rsid w:val="00352098"/>
    <w:rsid w:val="00352165"/>
    <w:rsid w:val="003521BC"/>
    <w:rsid w:val="00352280"/>
    <w:rsid w:val="003522C6"/>
    <w:rsid w:val="00353182"/>
    <w:rsid w:val="0035342A"/>
    <w:rsid w:val="0035373E"/>
    <w:rsid w:val="0035377B"/>
    <w:rsid w:val="003537FA"/>
    <w:rsid w:val="00353893"/>
    <w:rsid w:val="00353FA3"/>
    <w:rsid w:val="0035401E"/>
    <w:rsid w:val="0035403C"/>
    <w:rsid w:val="0035415C"/>
    <w:rsid w:val="00354642"/>
    <w:rsid w:val="0035479C"/>
    <w:rsid w:val="00354D22"/>
    <w:rsid w:val="00355419"/>
    <w:rsid w:val="00355672"/>
    <w:rsid w:val="00355A6C"/>
    <w:rsid w:val="00355C0E"/>
    <w:rsid w:val="00355C80"/>
    <w:rsid w:val="00355DF2"/>
    <w:rsid w:val="003564AB"/>
    <w:rsid w:val="003565D9"/>
    <w:rsid w:val="00356886"/>
    <w:rsid w:val="00356A86"/>
    <w:rsid w:val="00356BED"/>
    <w:rsid w:val="00356BF6"/>
    <w:rsid w:val="00356CBB"/>
    <w:rsid w:val="00356CE2"/>
    <w:rsid w:val="00356DCD"/>
    <w:rsid w:val="00357216"/>
    <w:rsid w:val="00357424"/>
    <w:rsid w:val="00357853"/>
    <w:rsid w:val="00357870"/>
    <w:rsid w:val="003579C8"/>
    <w:rsid w:val="00357A17"/>
    <w:rsid w:val="00357C19"/>
    <w:rsid w:val="003601AC"/>
    <w:rsid w:val="003602E1"/>
    <w:rsid w:val="00360427"/>
    <w:rsid w:val="00360BB4"/>
    <w:rsid w:val="00360FED"/>
    <w:rsid w:val="00361238"/>
    <w:rsid w:val="0036149A"/>
    <w:rsid w:val="003616D8"/>
    <w:rsid w:val="00362183"/>
    <w:rsid w:val="003621BE"/>
    <w:rsid w:val="00362387"/>
    <w:rsid w:val="00362A4F"/>
    <w:rsid w:val="00362C3C"/>
    <w:rsid w:val="003632A3"/>
    <w:rsid w:val="003633C3"/>
    <w:rsid w:val="00363439"/>
    <w:rsid w:val="00363612"/>
    <w:rsid w:val="003637E4"/>
    <w:rsid w:val="00363858"/>
    <w:rsid w:val="00363969"/>
    <w:rsid w:val="00363EBB"/>
    <w:rsid w:val="00364150"/>
    <w:rsid w:val="0036435D"/>
    <w:rsid w:val="0036442F"/>
    <w:rsid w:val="00364769"/>
    <w:rsid w:val="003647D2"/>
    <w:rsid w:val="00364E84"/>
    <w:rsid w:val="00364EBE"/>
    <w:rsid w:val="00364EFC"/>
    <w:rsid w:val="00364FBE"/>
    <w:rsid w:val="0036500B"/>
    <w:rsid w:val="00365AB2"/>
    <w:rsid w:val="00365D2E"/>
    <w:rsid w:val="00365E1B"/>
    <w:rsid w:val="00365E88"/>
    <w:rsid w:val="003661A6"/>
    <w:rsid w:val="00366673"/>
    <w:rsid w:val="003667B6"/>
    <w:rsid w:val="00366A61"/>
    <w:rsid w:val="00366DF3"/>
    <w:rsid w:val="003677EC"/>
    <w:rsid w:val="00367C1A"/>
    <w:rsid w:val="00367CC6"/>
    <w:rsid w:val="00367CCB"/>
    <w:rsid w:val="00367CF0"/>
    <w:rsid w:val="00367D95"/>
    <w:rsid w:val="0037026F"/>
    <w:rsid w:val="0037048D"/>
    <w:rsid w:val="0037056E"/>
    <w:rsid w:val="00370699"/>
    <w:rsid w:val="003708C9"/>
    <w:rsid w:val="00370AFE"/>
    <w:rsid w:val="00370BB3"/>
    <w:rsid w:val="00370C0B"/>
    <w:rsid w:val="00370D80"/>
    <w:rsid w:val="00371240"/>
    <w:rsid w:val="003714DD"/>
    <w:rsid w:val="00371532"/>
    <w:rsid w:val="003718A4"/>
    <w:rsid w:val="00371C25"/>
    <w:rsid w:val="00371C6C"/>
    <w:rsid w:val="00371DF2"/>
    <w:rsid w:val="003721A0"/>
    <w:rsid w:val="00372201"/>
    <w:rsid w:val="00372553"/>
    <w:rsid w:val="00372801"/>
    <w:rsid w:val="003729C2"/>
    <w:rsid w:val="00372BD5"/>
    <w:rsid w:val="00372C2E"/>
    <w:rsid w:val="00372F58"/>
    <w:rsid w:val="00372FAB"/>
    <w:rsid w:val="00373779"/>
    <w:rsid w:val="00373864"/>
    <w:rsid w:val="003739F5"/>
    <w:rsid w:val="00373AD1"/>
    <w:rsid w:val="00373B4B"/>
    <w:rsid w:val="00373CE5"/>
    <w:rsid w:val="0037403B"/>
    <w:rsid w:val="00374432"/>
    <w:rsid w:val="003746AC"/>
    <w:rsid w:val="00374731"/>
    <w:rsid w:val="00374C83"/>
    <w:rsid w:val="00374CF1"/>
    <w:rsid w:val="00374DB7"/>
    <w:rsid w:val="00374EDA"/>
    <w:rsid w:val="00375372"/>
    <w:rsid w:val="003758CC"/>
    <w:rsid w:val="00375A8A"/>
    <w:rsid w:val="00375B2A"/>
    <w:rsid w:val="00375CEA"/>
    <w:rsid w:val="00375E22"/>
    <w:rsid w:val="00375EE8"/>
    <w:rsid w:val="00375F3D"/>
    <w:rsid w:val="00376664"/>
    <w:rsid w:val="00376C69"/>
    <w:rsid w:val="00376C99"/>
    <w:rsid w:val="00376E59"/>
    <w:rsid w:val="00377738"/>
    <w:rsid w:val="00377812"/>
    <w:rsid w:val="00377913"/>
    <w:rsid w:val="00377EC1"/>
    <w:rsid w:val="00380145"/>
    <w:rsid w:val="0038023E"/>
    <w:rsid w:val="00380340"/>
    <w:rsid w:val="00380420"/>
    <w:rsid w:val="003805DF"/>
    <w:rsid w:val="00380766"/>
    <w:rsid w:val="00380A5A"/>
    <w:rsid w:val="00380BC8"/>
    <w:rsid w:val="00380BF3"/>
    <w:rsid w:val="0038135E"/>
    <w:rsid w:val="00381402"/>
    <w:rsid w:val="0038169C"/>
    <w:rsid w:val="0038189B"/>
    <w:rsid w:val="00381967"/>
    <w:rsid w:val="003824A2"/>
    <w:rsid w:val="003826F5"/>
    <w:rsid w:val="00382758"/>
    <w:rsid w:val="00383A8D"/>
    <w:rsid w:val="00383B4E"/>
    <w:rsid w:val="00383B9E"/>
    <w:rsid w:val="0038436A"/>
    <w:rsid w:val="003846EC"/>
    <w:rsid w:val="00384740"/>
    <w:rsid w:val="00384755"/>
    <w:rsid w:val="003849DC"/>
    <w:rsid w:val="00385499"/>
    <w:rsid w:val="00385701"/>
    <w:rsid w:val="00385895"/>
    <w:rsid w:val="00385DA3"/>
    <w:rsid w:val="00385DB1"/>
    <w:rsid w:val="00385DEA"/>
    <w:rsid w:val="00387077"/>
    <w:rsid w:val="0038740C"/>
    <w:rsid w:val="0038755A"/>
    <w:rsid w:val="003875C5"/>
    <w:rsid w:val="0038760E"/>
    <w:rsid w:val="003877C6"/>
    <w:rsid w:val="00387804"/>
    <w:rsid w:val="00387A73"/>
    <w:rsid w:val="00387CD3"/>
    <w:rsid w:val="0039056A"/>
    <w:rsid w:val="003907AD"/>
    <w:rsid w:val="0039099B"/>
    <w:rsid w:val="0039134F"/>
    <w:rsid w:val="003913BF"/>
    <w:rsid w:val="00391486"/>
    <w:rsid w:val="00391601"/>
    <w:rsid w:val="003917D0"/>
    <w:rsid w:val="003919F9"/>
    <w:rsid w:val="00391ABA"/>
    <w:rsid w:val="00391C37"/>
    <w:rsid w:val="00391D7B"/>
    <w:rsid w:val="003920CF"/>
    <w:rsid w:val="003920E8"/>
    <w:rsid w:val="003925D4"/>
    <w:rsid w:val="003928F3"/>
    <w:rsid w:val="00392C83"/>
    <w:rsid w:val="00392CC0"/>
    <w:rsid w:val="00392D35"/>
    <w:rsid w:val="00393501"/>
    <w:rsid w:val="00393B1E"/>
    <w:rsid w:val="00393BB3"/>
    <w:rsid w:val="003942A2"/>
    <w:rsid w:val="00394425"/>
    <w:rsid w:val="003948A8"/>
    <w:rsid w:val="00394C94"/>
    <w:rsid w:val="00394F0D"/>
    <w:rsid w:val="00395562"/>
    <w:rsid w:val="00395631"/>
    <w:rsid w:val="003956FE"/>
    <w:rsid w:val="00395A22"/>
    <w:rsid w:val="00395C94"/>
    <w:rsid w:val="00395D43"/>
    <w:rsid w:val="00395DE9"/>
    <w:rsid w:val="0039613F"/>
    <w:rsid w:val="00396A29"/>
    <w:rsid w:val="00396A4B"/>
    <w:rsid w:val="003971D1"/>
    <w:rsid w:val="00397450"/>
    <w:rsid w:val="0039763B"/>
    <w:rsid w:val="00397B67"/>
    <w:rsid w:val="00397C44"/>
    <w:rsid w:val="00397E03"/>
    <w:rsid w:val="003A0032"/>
    <w:rsid w:val="003A00A0"/>
    <w:rsid w:val="003A0195"/>
    <w:rsid w:val="003A08D5"/>
    <w:rsid w:val="003A0AEB"/>
    <w:rsid w:val="003A0CAF"/>
    <w:rsid w:val="003A0E89"/>
    <w:rsid w:val="003A1459"/>
    <w:rsid w:val="003A15CC"/>
    <w:rsid w:val="003A17DE"/>
    <w:rsid w:val="003A194A"/>
    <w:rsid w:val="003A1B63"/>
    <w:rsid w:val="003A1C32"/>
    <w:rsid w:val="003A208C"/>
    <w:rsid w:val="003A2201"/>
    <w:rsid w:val="003A23AE"/>
    <w:rsid w:val="003A251B"/>
    <w:rsid w:val="003A2777"/>
    <w:rsid w:val="003A2AF4"/>
    <w:rsid w:val="003A33D0"/>
    <w:rsid w:val="003A37CA"/>
    <w:rsid w:val="003A389A"/>
    <w:rsid w:val="003A3A61"/>
    <w:rsid w:val="003A3B23"/>
    <w:rsid w:val="003A3B9A"/>
    <w:rsid w:val="003A3FC6"/>
    <w:rsid w:val="003A40E7"/>
    <w:rsid w:val="003A41B4"/>
    <w:rsid w:val="003A428D"/>
    <w:rsid w:val="003A43E8"/>
    <w:rsid w:val="003A479F"/>
    <w:rsid w:val="003A4E6A"/>
    <w:rsid w:val="003A50D6"/>
    <w:rsid w:val="003A56F3"/>
    <w:rsid w:val="003A5767"/>
    <w:rsid w:val="003A5815"/>
    <w:rsid w:val="003A5E0F"/>
    <w:rsid w:val="003A5F1C"/>
    <w:rsid w:val="003A6082"/>
    <w:rsid w:val="003A614B"/>
    <w:rsid w:val="003A69E6"/>
    <w:rsid w:val="003A6F2E"/>
    <w:rsid w:val="003A727F"/>
    <w:rsid w:val="003A732E"/>
    <w:rsid w:val="003A7400"/>
    <w:rsid w:val="003A7AFA"/>
    <w:rsid w:val="003A7B9F"/>
    <w:rsid w:val="003A7E9E"/>
    <w:rsid w:val="003B0701"/>
    <w:rsid w:val="003B0901"/>
    <w:rsid w:val="003B0B73"/>
    <w:rsid w:val="003B0DBE"/>
    <w:rsid w:val="003B1066"/>
    <w:rsid w:val="003B10BD"/>
    <w:rsid w:val="003B1279"/>
    <w:rsid w:val="003B18FF"/>
    <w:rsid w:val="003B193A"/>
    <w:rsid w:val="003B1D4E"/>
    <w:rsid w:val="003B1F78"/>
    <w:rsid w:val="003B23C2"/>
    <w:rsid w:val="003B25B7"/>
    <w:rsid w:val="003B2A62"/>
    <w:rsid w:val="003B2ACB"/>
    <w:rsid w:val="003B2DCA"/>
    <w:rsid w:val="003B2E79"/>
    <w:rsid w:val="003B3179"/>
    <w:rsid w:val="003B34F5"/>
    <w:rsid w:val="003B368C"/>
    <w:rsid w:val="003B38E0"/>
    <w:rsid w:val="003B41CC"/>
    <w:rsid w:val="003B4224"/>
    <w:rsid w:val="003B43BD"/>
    <w:rsid w:val="003B4750"/>
    <w:rsid w:val="003B4B56"/>
    <w:rsid w:val="003B4F54"/>
    <w:rsid w:val="003B5778"/>
    <w:rsid w:val="003B5D09"/>
    <w:rsid w:val="003B5D60"/>
    <w:rsid w:val="003B5E5B"/>
    <w:rsid w:val="003B698F"/>
    <w:rsid w:val="003B6E9E"/>
    <w:rsid w:val="003B6ED5"/>
    <w:rsid w:val="003B6F50"/>
    <w:rsid w:val="003B7267"/>
    <w:rsid w:val="003B72C9"/>
    <w:rsid w:val="003B747C"/>
    <w:rsid w:val="003B7560"/>
    <w:rsid w:val="003B7802"/>
    <w:rsid w:val="003B7A5A"/>
    <w:rsid w:val="003B7D6E"/>
    <w:rsid w:val="003C0AD6"/>
    <w:rsid w:val="003C0B3B"/>
    <w:rsid w:val="003C0BF9"/>
    <w:rsid w:val="003C0E4B"/>
    <w:rsid w:val="003C0E96"/>
    <w:rsid w:val="003C101E"/>
    <w:rsid w:val="003C109C"/>
    <w:rsid w:val="003C118E"/>
    <w:rsid w:val="003C11C2"/>
    <w:rsid w:val="003C190F"/>
    <w:rsid w:val="003C1D63"/>
    <w:rsid w:val="003C1FFE"/>
    <w:rsid w:val="003C2075"/>
    <w:rsid w:val="003C2951"/>
    <w:rsid w:val="003C2A41"/>
    <w:rsid w:val="003C2CEA"/>
    <w:rsid w:val="003C2E13"/>
    <w:rsid w:val="003C2FB2"/>
    <w:rsid w:val="003C30F7"/>
    <w:rsid w:val="003C31AB"/>
    <w:rsid w:val="003C3309"/>
    <w:rsid w:val="003C33A8"/>
    <w:rsid w:val="003C356D"/>
    <w:rsid w:val="003C377E"/>
    <w:rsid w:val="003C37D1"/>
    <w:rsid w:val="003C3842"/>
    <w:rsid w:val="003C385B"/>
    <w:rsid w:val="003C38B5"/>
    <w:rsid w:val="003C3C04"/>
    <w:rsid w:val="003C3C19"/>
    <w:rsid w:val="003C3F62"/>
    <w:rsid w:val="003C4019"/>
    <w:rsid w:val="003C4021"/>
    <w:rsid w:val="003C4226"/>
    <w:rsid w:val="003C4292"/>
    <w:rsid w:val="003C42B4"/>
    <w:rsid w:val="003C4301"/>
    <w:rsid w:val="003C43C3"/>
    <w:rsid w:val="003C47DF"/>
    <w:rsid w:val="003C49EF"/>
    <w:rsid w:val="003C4CD6"/>
    <w:rsid w:val="003C4F80"/>
    <w:rsid w:val="003C50C4"/>
    <w:rsid w:val="003C5173"/>
    <w:rsid w:val="003C567B"/>
    <w:rsid w:val="003C5A30"/>
    <w:rsid w:val="003C5AAA"/>
    <w:rsid w:val="003C5AFD"/>
    <w:rsid w:val="003C5D99"/>
    <w:rsid w:val="003C5EBE"/>
    <w:rsid w:val="003C6428"/>
    <w:rsid w:val="003C65CE"/>
    <w:rsid w:val="003C693C"/>
    <w:rsid w:val="003C6A0A"/>
    <w:rsid w:val="003C6B29"/>
    <w:rsid w:val="003C6C0D"/>
    <w:rsid w:val="003C6CDD"/>
    <w:rsid w:val="003C6D5B"/>
    <w:rsid w:val="003C6E72"/>
    <w:rsid w:val="003C710B"/>
    <w:rsid w:val="003C756E"/>
    <w:rsid w:val="003C764B"/>
    <w:rsid w:val="003C76C4"/>
    <w:rsid w:val="003C7970"/>
    <w:rsid w:val="003D020B"/>
    <w:rsid w:val="003D024E"/>
    <w:rsid w:val="003D0873"/>
    <w:rsid w:val="003D0B5E"/>
    <w:rsid w:val="003D1087"/>
    <w:rsid w:val="003D125F"/>
    <w:rsid w:val="003D14EC"/>
    <w:rsid w:val="003D156F"/>
    <w:rsid w:val="003D1A31"/>
    <w:rsid w:val="003D200D"/>
    <w:rsid w:val="003D2098"/>
    <w:rsid w:val="003D2731"/>
    <w:rsid w:val="003D2E75"/>
    <w:rsid w:val="003D3325"/>
    <w:rsid w:val="003D34B3"/>
    <w:rsid w:val="003D39D2"/>
    <w:rsid w:val="003D3ACC"/>
    <w:rsid w:val="003D46A7"/>
    <w:rsid w:val="003D4A3E"/>
    <w:rsid w:val="003D4B5B"/>
    <w:rsid w:val="003D5114"/>
    <w:rsid w:val="003D512D"/>
    <w:rsid w:val="003D5367"/>
    <w:rsid w:val="003D5404"/>
    <w:rsid w:val="003D5466"/>
    <w:rsid w:val="003D572F"/>
    <w:rsid w:val="003D5835"/>
    <w:rsid w:val="003D5972"/>
    <w:rsid w:val="003D59BA"/>
    <w:rsid w:val="003D5B98"/>
    <w:rsid w:val="003D5C88"/>
    <w:rsid w:val="003D5F34"/>
    <w:rsid w:val="003D5F8C"/>
    <w:rsid w:val="003D612A"/>
    <w:rsid w:val="003D648B"/>
    <w:rsid w:val="003D6D88"/>
    <w:rsid w:val="003D6F59"/>
    <w:rsid w:val="003D7AA2"/>
    <w:rsid w:val="003E0008"/>
    <w:rsid w:val="003E0048"/>
    <w:rsid w:val="003E0493"/>
    <w:rsid w:val="003E0593"/>
    <w:rsid w:val="003E075C"/>
    <w:rsid w:val="003E07F4"/>
    <w:rsid w:val="003E0A52"/>
    <w:rsid w:val="003E0D07"/>
    <w:rsid w:val="003E13C7"/>
    <w:rsid w:val="003E1453"/>
    <w:rsid w:val="003E148F"/>
    <w:rsid w:val="003E17AC"/>
    <w:rsid w:val="003E1822"/>
    <w:rsid w:val="003E1B4E"/>
    <w:rsid w:val="003E1FBB"/>
    <w:rsid w:val="003E207F"/>
    <w:rsid w:val="003E2135"/>
    <w:rsid w:val="003E22D5"/>
    <w:rsid w:val="003E29C9"/>
    <w:rsid w:val="003E29CC"/>
    <w:rsid w:val="003E2DD2"/>
    <w:rsid w:val="003E2ECE"/>
    <w:rsid w:val="003E2ED9"/>
    <w:rsid w:val="003E2F59"/>
    <w:rsid w:val="003E2FBB"/>
    <w:rsid w:val="003E301F"/>
    <w:rsid w:val="003E3047"/>
    <w:rsid w:val="003E3150"/>
    <w:rsid w:val="003E31D0"/>
    <w:rsid w:val="003E3342"/>
    <w:rsid w:val="003E3439"/>
    <w:rsid w:val="003E37D9"/>
    <w:rsid w:val="003E3917"/>
    <w:rsid w:val="003E3B87"/>
    <w:rsid w:val="003E3E84"/>
    <w:rsid w:val="003E428C"/>
    <w:rsid w:val="003E4E76"/>
    <w:rsid w:val="003E4F7C"/>
    <w:rsid w:val="003E5143"/>
    <w:rsid w:val="003E51C2"/>
    <w:rsid w:val="003E5634"/>
    <w:rsid w:val="003E5A46"/>
    <w:rsid w:val="003E5A5F"/>
    <w:rsid w:val="003E5DEC"/>
    <w:rsid w:val="003E63F3"/>
    <w:rsid w:val="003E64A1"/>
    <w:rsid w:val="003E678B"/>
    <w:rsid w:val="003E6CF0"/>
    <w:rsid w:val="003E7298"/>
    <w:rsid w:val="003E746B"/>
    <w:rsid w:val="003E74AA"/>
    <w:rsid w:val="003E74C5"/>
    <w:rsid w:val="003E7512"/>
    <w:rsid w:val="003E7533"/>
    <w:rsid w:val="003E7D28"/>
    <w:rsid w:val="003F009C"/>
    <w:rsid w:val="003F06F6"/>
    <w:rsid w:val="003F0789"/>
    <w:rsid w:val="003F0A7E"/>
    <w:rsid w:val="003F0CF6"/>
    <w:rsid w:val="003F159B"/>
    <w:rsid w:val="003F194A"/>
    <w:rsid w:val="003F1B86"/>
    <w:rsid w:val="003F206F"/>
    <w:rsid w:val="003F214F"/>
    <w:rsid w:val="003F215D"/>
    <w:rsid w:val="003F2167"/>
    <w:rsid w:val="003F2835"/>
    <w:rsid w:val="003F286D"/>
    <w:rsid w:val="003F2A2A"/>
    <w:rsid w:val="003F2CB0"/>
    <w:rsid w:val="003F2F5C"/>
    <w:rsid w:val="003F3062"/>
    <w:rsid w:val="003F30D9"/>
    <w:rsid w:val="003F30FC"/>
    <w:rsid w:val="003F31D6"/>
    <w:rsid w:val="003F34A9"/>
    <w:rsid w:val="003F3EF1"/>
    <w:rsid w:val="003F416A"/>
    <w:rsid w:val="003F461B"/>
    <w:rsid w:val="003F4893"/>
    <w:rsid w:val="003F492D"/>
    <w:rsid w:val="003F4ACA"/>
    <w:rsid w:val="003F4AEE"/>
    <w:rsid w:val="003F4B1B"/>
    <w:rsid w:val="003F4F69"/>
    <w:rsid w:val="003F5FEA"/>
    <w:rsid w:val="003F610A"/>
    <w:rsid w:val="003F61FC"/>
    <w:rsid w:val="003F62F9"/>
    <w:rsid w:val="003F64C8"/>
    <w:rsid w:val="003F6951"/>
    <w:rsid w:val="003F6D47"/>
    <w:rsid w:val="003F712D"/>
    <w:rsid w:val="003F72D4"/>
    <w:rsid w:val="003F745E"/>
    <w:rsid w:val="003F7877"/>
    <w:rsid w:val="003F79F3"/>
    <w:rsid w:val="003F7B83"/>
    <w:rsid w:val="004000AA"/>
    <w:rsid w:val="0040013A"/>
    <w:rsid w:val="00400351"/>
    <w:rsid w:val="0040075F"/>
    <w:rsid w:val="00400B68"/>
    <w:rsid w:val="00400C58"/>
    <w:rsid w:val="00400D5E"/>
    <w:rsid w:val="004010CB"/>
    <w:rsid w:val="00401882"/>
    <w:rsid w:val="00401BB2"/>
    <w:rsid w:val="00401D07"/>
    <w:rsid w:val="004021F5"/>
    <w:rsid w:val="00402435"/>
    <w:rsid w:val="0040246E"/>
    <w:rsid w:val="004026D3"/>
    <w:rsid w:val="00402846"/>
    <w:rsid w:val="00403516"/>
    <w:rsid w:val="0040398D"/>
    <w:rsid w:val="00403B37"/>
    <w:rsid w:val="00403BAD"/>
    <w:rsid w:val="00403C70"/>
    <w:rsid w:val="00403CB0"/>
    <w:rsid w:val="0040458F"/>
    <w:rsid w:val="00404785"/>
    <w:rsid w:val="004047A9"/>
    <w:rsid w:val="00404A70"/>
    <w:rsid w:val="00404C06"/>
    <w:rsid w:val="00404D9A"/>
    <w:rsid w:val="004051D2"/>
    <w:rsid w:val="0040565B"/>
    <w:rsid w:val="00405A8D"/>
    <w:rsid w:val="00405F53"/>
    <w:rsid w:val="00406233"/>
    <w:rsid w:val="0040658B"/>
    <w:rsid w:val="004067FC"/>
    <w:rsid w:val="00406FED"/>
    <w:rsid w:val="0040714F"/>
    <w:rsid w:val="004072E9"/>
    <w:rsid w:val="00407454"/>
    <w:rsid w:val="004075AE"/>
    <w:rsid w:val="00407772"/>
    <w:rsid w:val="00407823"/>
    <w:rsid w:val="00407C13"/>
    <w:rsid w:val="00407D8D"/>
    <w:rsid w:val="004100C8"/>
    <w:rsid w:val="004101A8"/>
    <w:rsid w:val="004101F4"/>
    <w:rsid w:val="004102D3"/>
    <w:rsid w:val="004104FB"/>
    <w:rsid w:val="00410707"/>
    <w:rsid w:val="00410926"/>
    <w:rsid w:val="00410A75"/>
    <w:rsid w:val="00410B59"/>
    <w:rsid w:val="00410EC2"/>
    <w:rsid w:val="00410F4D"/>
    <w:rsid w:val="0041109B"/>
    <w:rsid w:val="0041110F"/>
    <w:rsid w:val="0041112E"/>
    <w:rsid w:val="0041120B"/>
    <w:rsid w:val="0041136A"/>
    <w:rsid w:val="00411410"/>
    <w:rsid w:val="004114C8"/>
    <w:rsid w:val="00411D73"/>
    <w:rsid w:val="00411DBD"/>
    <w:rsid w:val="00412020"/>
    <w:rsid w:val="00412138"/>
    <w:rsid w:val="0041246E"/>
    <w:rsid w:val="004128DE"/>
    <w:rsid w:val="00412973"/>
    <w:rsid w:val="00412ACE"/>
    <w:rsid w:val="00412BA7"/>
    <w:rsid w:val="004133E7"/>
    <w:rsid w:val="00413450"/>
    <w:rsid w:val="00413647"/>
    <w:rsid w:val="00413936"/>
    <w:rsid w:val="00413ECE"/>
    <w:rsid w:val="00413F2B"/>
    <w:rsid w:val="00413F4D"/>
    <w:rsid w:val="00413FBE"/>
    <w:rsid w:val="004145D2"/>
    <w:rsid w:val="00414614"/>
    <w:rsid w:val="0041468A"/>
    <w:rsid w:val="0041484F"/>
    <w:rsid w:val="00414E90"/>
    <w:rsid w:val="00414F13"/>
    <w:rsid w:val="00414F3C"/>
    <w:rsid w:val="0041507A"/>
    <w:rsid w:val="004157AC"/>
    <w:rsid w:val="00415854"/>
    <w:rsid w:val="0041596D"/>
    <w:rsid w:val="00415AB0"/>
    <w:rsid w:val="00415B92"/>
    <w:rsid w:val="00415BC0"/>
    <w:rsid w:val="00415F35"/>
    <w:rsid w:val="0041601E"/>
    <w:rsid w:val="004160B6"/>
    <w:rsid w:val="00416402"/>
    <w:rsid w:val="00416861"/>
    <w:rsid w:val="004168EF"/>
    <w:rsid w:val="0041693C"/>
    <w:rsid w:val="00416EC2"/>
    <w:rsid w:val="0041713A"/>
    <w:rsid w:val="004172F5"/>
    <w:rsid w:val="00417B92"/>
    <w:rsid w:val="00420775"/>
    <w:rsid w:val="00420ADA"/>
    <w:rsid w:val="00420D9B"/>
    <w:rsid w:val="00420DC4"/>
    <w:rsid w:val="00420EA6"/>
    <w:rsid w:val="00420FAB"/>
    <w:rsid w:val="004210D6"/>
    <w:rsid w:val="004210FD"/>
    <w:rsid w:val="00421206"/>
    <w:rsid w:val="0042147D"/>
    <w:rsid w:val="00421826"/>
    <w:rsid w:val="00421946"/>
    <w:rsid w:val="00421C9D"/>
    <w:rsid w:val="00421EE5"/>
    <w:rsid w:val="00422080"/>
    <w:rsid w:val="004220E6"/>
    <w:rsid w:val="004221BC"/>
    <w:rsid w:val="00422415"/>
    <w:rsid w:val="00422729"/>
    <w:rsid w:val="004227F6"/>
    <w:rsid w:val="00422D91"/>
    <w:rsid w:val="00422EB6"/>
    <w:rsid w:val="00422EF0"/>
    <w:rsid w:val="0042351D"/>
    <w:rsid w:val="00423C1F"/>
    <w:rsid w:val="00423C39"/>
    <w:rsid w:val="00423C6F"/>
    <w:rsid w:val="00423DA2"/>
    <w:rsid w:val="00423E5D"/>
    <w:rsid w:val="004247A8"/>
    <w:rsid w:val="004250C5"/>
    <w:rsid w:val="00425128"/>
    <w:rsid w:val="00425281"/>
    <w:rsid w:val="00425A64"/>
    <w:rsid w:val="00425BC6"/>
    <w:rsid w:val="00426338"/>
    <w:rsid w:val="00426441"/>
    <w:rsid w:val="004267AC"/>
    <w:rsid w:val="00426C7E"/>
    <w:rsid w:val="00426CB4"/>
    <w:rsid w:val="00426DD7"/>
    <w:rsid w:val="004270EC"/>
    <w:rsid w:val="004271BE"/>
    <w:rsid w:val="0042722F"/>
    <w:rsid w:val="004275EF"/>
    <w:rsid w:val="004276C6"/>
    <w:rsid w:val="00427AE2"/>
    <w:rsid w:val="0043001E"/>
    <w:rsid w:val="0043060F"/>
    <w:rsid w:val="0043067E"/>
    <w:rsid w:val="004307B6"/>
    <w:rsid w:val="00430828"/>
    <w:rsid w:val="0043086B"/>
    <w:rsid w:val="00430A1D"/>
    <w:rsid w:val="00430B51"/>
    <w:rsid w:val="00430F10"/>
    <w:rsid w:val="00431249"/>
    <w:rsid w:val="004315AA"/>
    <w:rsid w:val="00431859"/>
    <w:rsid w:val="00431A7E"/>
    <w:rsid w:val="00431D0D"/>
    <w:rsid w:val="00432792"/>
    <w:rsid w:val="00432AED"/>
    <w:rsid w:val="00432B18"/>
    <w:rsid w:val="00432BFA"/>
    <w:rsid w:val="0043321F"/>
    <w:rsid w:val="0043376A"/>
    <w:rsid w:val="004337D7"/>
    <w:rsid w:val="00433C48"/>
    <w:rsid w:val="0043427D"/>
    <w:rsid w:val="004345CF"/>
    <w:rsid w:val="00434C19"/>
    <w:rsid w:val="00434CB0"/>
    <w:rsid w:val="00434CEA"/>
    <w:rsid w:val="00434DD7"/>
    <w:rsid w:val="00434ED2"/>
    <w:rsid w:val="00435014"/>
    <w:rsid w:val="004351A6"/>
    <w:rsid w:val="0043527A"/>
    <w:rsid w:val="004355E2"/>
    <w:rsid w:val="00435B89"/>
    <w:rsid w:val="004362F4"/>
    <w:rsid w:val="0043633B"/>
    <w:rsid w:val="00436769"/>
    <w:rsid w:val="0043684E"/>
    <w:rsid w:val="004371E3"/>
    <w:rsid w:val="00437370"/>
    <w:rsid w:val="00437792"/>
    <w:rsid w:val="00437799"/>
    <w:rsid w:val="0043796B"/>
    <w:rsid w:val="00440178"/>
    <w:rsid w:val="00440B08"/>
    <w:rsid w:val="00441659"/>
    <w:rsid w:val="0044192A"/>
    <w:rsid w:val="00441AB4"/>
    <w:rsid w:val="00441BA1"/>
    <w:rsid w:val="0044206D"/>
    <w:rsid w:val="00442625"/>
    <w:rsid w:val="00442786"/>
    <w:rsid w:val="004429E9"/>
    <w:rsid w:val="00442DFF"/>
    <w:rsid w:val="00442E06"/>
    <w:rsid w:val="00442F7C"/>
    <w:rsid w:val="00443077"/>
    <w:rsid w:val="004439C6"/>
    <w:rsid w:val="00444322"/>
    <w:rsid w:val="0044436F"/>
    <w:rsid w:val="004445A4"/>
    <w:rsid w:val="00444704"/>
    <w:rsid w:val="00444937"/>
    <w:rsid w:val="00444B1D"/>
    <w:rsid w:val="00444B81"/>
    <w:rsid w:val="004452C1"/>
    <w:rsid w:val="004453C5"/>
    <w:rsid w:val="00445777"/>
    <w:rsid w:val="00445B86"/>
    <w:rsid w:val="00446742"/>
    <w:rsid w:val="004467BD"/>
    <w:rsid w:val="00446C61"/>
    <w:rsid w:val="00446F88"/>
    <w:rsid w:val="00446FC0"/>
    <w:rsid w:val="00447038"/>
    <w:rsid w:val="0044708F"/>
    <w:rsid w:val="00447217"/>
    <w:rsid w:val="004472F1"/>
    <w:rsid w:val="0044757A"/>
    <w:rsid w:val="00447F78"/>
    <w:rsid w:val="00450810"/>
    <w:rsid w:val="00450AE5"/>
    <w:rsid w:val="0045137E"/>
    <w:rsid w:val="00451B59"/>
    <w:rsid w:val="00451D39"/>
    <w:rsid w:val="00451DE7"/>
    <w:rsid w:val="00452143"/>
    <w:rsid w:val="004525BB"/>
    <w:rsid w:val="00452AAD"/>
    <w:rsid w:val="00452D47"/>
    <w:rsid w:val="00452FD9"/>
    <w:rsid w:val="00453134"/>
    <w:rsid w:val="00453137"/>
    <w:rsid w:val="00453149"/>
    <w:rsid w:val="004535DD"/>
    <w:rsid w:val="004536F3"/>
    <w:rsid w:val="00453EE2"/>
    <w:rsid w:val="0045405C"/>
    <w:rsid w:val="00454253"/>
    <w:rsid w:val="00454722"/>
    <w:rsid w:val="00454B66"/>
    <w:rsid w:val="00454D10"/>
    <w:rsid w:val="00454EDA"/>
    <w:rsid w:val="00455030"/>
    <w:rsid w:val="004552A9"/>
    <w:rsid w:val="004553FE"/>
    <w:rsid w:val="00455416"/>
    <w:rsid w:val="00455697"/>
    <w:rsid w:val="00455775"/>
    <w:rsid w:val="004557E8"/>
    <w:rsid w:val="00455FC6"/>
    <w:rsid w:val="0045629A"/>
    <w:rsid w:val="004565C4"/>
    <w:rsid w:val="0045685F"/>
    <w:rsid w:val="00456880"/>
    <w:rsid w:val="004569E1"/>
    <w:rsid w:val="00456BDE"/>
    <w:rsid w:val="00456EEF"/>
    <w:rsid w:val="004570AF"/>
    <w:rsid w:val="004571B3"/>
    <w:rsid w:val="0045745E"/>
    <w:rsid w:val="004576B5"/>
    <w:rsid w:val="004578ED"/>
    <w:rsid w:val="00457A68"/>
    <w:rsid w:val="0046015C"/>
    <w:rsid w:val="00460858"/>
    <w:rsid w:val="00460DF1"/>
    <w:rsid w:val="00460F20"/>
    <w:rsid w:val="00461043"/>
    <w:rsid w:val="004612E1"/>
    <w:rsid w:val="004613D5"/>
    <w:rsid w:val="004613E0"/>
    <w:rsid w:val="0046156F"/>
    <w:rsid w:val="00461614"/>
    <w:rsid w:val="00461B71"/>
    <w:rsid w:val="00461BA2"/>
    <w:rsid w:val="00461ED0"/>
    <w:rsid w:val="004627B4"/>
    <w:rsid w:val="004627CF"/>
    <w:rsid w:val="00462848"/>
    <w:rsid w:val="004628F3"/>
    <w:rsid w:val="00462BB1"/>
    <w:rsid w:val="00462C06"/>
    <w:rsid w:val="00462C59"/>
    <w:rsid w:val="00462F2F"/>
    <w:rsid w:val="00463314"/>
    <w:rsid w:val="00463D69"/>
    <w:rsid w:val="004644F4"/>
    <w:rsid w:val="00464B26"/>
    <w:rsid w:val="00464DAF"/>
    <w:rsid w:val="004650A8"/>
    <w:rsid w:val="004650F4"/>
    <w:rsid w:val="0046532A"/>
    <w:rsid w:val="00465428"/>
    <w:rsid w:val="004654A4"/>
    <w:rsid w:val="0046558D"/>
    <w:rsid w:val="004656F6"/>
    <w:rsid w:val="00465EDC"/>
    <w:rsid w:val="0046658C"/>
    <w:rsid w:val="00466FAE"/>
    <w:rsid w:val="004672CE"/>
    <w:rsid w:val="00467787"/>
    <w:rsid w:val="00467AA4"/>
    <w:rsid w:val="00467B76"/>
    <w:rsid w:val="00470210"/>
    <w:rsid w:val="004702C7"/>
    <w:rsid w:val="00470737"/>
    <w:rsid w:val="00470ACB"/>
    <w:rsid w:val="00470FE2"/>
    <w:rsid w:val="004713D5"/>
    <w:rsid w:val="00471908"/>
    <w:rsid w:val="00471AD4"/>
    <w:rsid w:val="00471C1B"/>
    <w:rsid w:val="00471D4C"/>
    <w:rsid w:val="00471E91"/>
    <w:rsid w:val="00471EC2"/>
    <w:rsid w:val="00472574"/>
    <w:rsid w:val="0047258D"/>
    <w:rsid w:val="00472656"/>
    <w:rsid w:val="0047317C"/>
    <w:rsid w:val="00473D69"/>
    <w:rsid w:val="00473DD8"/>
    <w:rsid w:val="00473EED"/>
    <w:rsid w:val="00474167"/>
    <w:rsid w:val="004741F8"/>
    <w:rsid w:val="0047433A"/>
    <w:rsid w:val="0047433D"/>
    <w:rsid w:val="00474573"/>
    <w:rsid w:val="00474B83"/>
    <w:rsid w:val="0047509B"/>
    <w:rsid w:val="004750BA"/>
    <w:rsid w:val="004751AC"/>
    <w:rsid w:val="00475826"/>
    <w:rsid w:val="00475EB9"/>
    <w:rsid w:val="00476BCF"/>
    <w:rsid w:val="00476CE0"/>
    <w:rsid w:val="00477144"/>
    <w:rsid w:val="004777E6"/>
    <w:rsid w:val="004778B9"/>
    <w:rsid w:val="00477E80"/>
    <w:rsid w:val="004802E3"/>
    <w:rsid w:val="0048055A"/>
    <w:rsid w:val="0048076E"/>
    <w:rsid w:val="00480AAC"/>
    <w:rsid w:val="00480C63"/>
    <w:rsid w:val="00480E74"/>
    <w:rsid w:val="00480FAA"/>
    <w:rsid w:val="004810BB"/>
    <w:rsid w:val="004813AB"/>
    <w:rsid w:val="004815FD"/>
    <w:rsid w:val="00481611"/>
    <w:rsid w:val="0048169C"/>
    <w:rsid w:val="004822B9"/>
    <w:rsid w:val="0048255E"/>
    <w:rsid w:val="004827FE"/>
    <w:rsid w:val="004828FC"/>
    <w:rsid w:val="00482B44"/>
    <w:rsid w:val="00482BD2"/>
    <w:rsid w:val="00482C45"/>
    <w:rsid w:val="00482C9E"/>
    <w:rsid w:val="004830B2"/>
    <w:rsid w:val="004837A7"/>
    <w:rsid w:val="00483A21"/>
    <w:rsid w:val="00483CA5"/>
    <w:rsid w:val="0048413B"/>
    <w:rsid w:val="004841B2"/>
    <w:rsid w:val="0048463B"/>
    <w:rsid w:val="00484DD0"/>
    <w:rsid w:val="00484E45"/>
    <w:rsid w:val="00484E52"/>
    <w:rsid w:val="00484E5A"/>
    <w:rsid w:val="00484F66"/>
    <w:rsid w:val="004853A5"/>
    <w:rsid w:val="0048545B"/>
    <w:rsid w:val="00485500"/>
    <w:rsid w:val="00485524"/>
    <w:rsid w:val="00485562"/>
    <w:rsid w:val="0048562E"/>
    <w:rsid w:val="004857DF"/>
    <w:rsid w:val="00485D1D"/>
    <w:rsid w:val="00485F1B"/>
    <w:rsid w:val="00485FBF"/>
    <w:rsid w:val="004863C9"/>
    <w:rsid w:val="004864DD"/>
    <w:rsid w:val="004865FB"/>
    <w:rsid w:val="00486E6A"/>
    <w:rsid w:val="004875C4"/>
    <w:rsid w:val="004875ED"/>
    <w:rsid w:val="004877D5"/>
    <w:rsid w:val="00487987"/>
    <w:rsid w:val="00487BD4"/>
    <w:rsid w:val="00487CC2"/>
    <w:rsid w:val="00487EBF"/>
    <w:rsid w:val="00487FFD"/>
    <w:rsid w:val="00490416"/>
    <w:rsid w:val="0049072E"/>
    <w:rsid w:val="004909F5"/>
    <w:rsid w:val="00490CE9"/>
    <w:rsid w:val="00490E3C"/>
    <w:rsid w:val="00490FC4"/>
    <w:rsid w:val="0049127E"/>
    <w:rsid w:val="00491314"/>
    <w:rsid w:val="00491380"/>
    <w:rsid w:val="0049151A"/>
    <w:rsid w:val="004915C2"/>
    <w:rsid w:val="00491A94"/>
    <w:rsid w:val="00491E07"/>
    <w:rsid w:val="0049224E"/>
    <w:rsid w:val="00492266"/>
    <w:rsid w:val="0049238D"/>
    <w:rsid w:val="004923BC"/>
    <w:rsid w:val="0049242B"/>
    <w:rsid w:val="00492671"/>
    <w:rsid w:val="00492739"/>
    <w:rsid w:val="004927EE"/>
    <w:rsid w:val="00492940"/>
    <w:rsid w:val="00493158"/>
    <w:rsid w:val="00493777"/>
    <w:rsid w:val="00493AD9"/>
    <w:rsid w:val="00493B17"/>
    <w:rsid w:val="00493BA2"/>
    <w:rsid w:val="00493C96"/>
    <w:rsid w:val="00494032"/>
    <w:rsid w:val="00494397"/>
    <w:rsid w:val="004944EF"/>
    <w:rsid w:val="0049459F"/>
    <w:rsid w:val="00494608"/>
    <w:rsid w:val="00494787"/>
    <w:rsid w:val="00494C0F"/>
    <w:rsid w:val="00494DD3"/>
    <w:rsid w:val="00494ECE"/>
    <w:rsid w:val="004950CE"/>
    <w:rsid w:val="00495670"/>
    <w:rsid w:val="00495B4A"/>
    <w:rsid w:val="00495B67"/>
    <w:rsid w:val="00495BCC"/>
    <w:rsid w:val="00495D7B"/>
    <w:rsid w:val="00495DB8"/>
    <w:rsid w:val="0049611C"/>
    <w:rsid w:val="0049619F"/>
    <w:rsid w:val="00496695"/>
    <w:rsid w:val="00496905"/>
    <w:rsid w:val="00496B11"/>
    <w:rsid w:val="00496B5B"/>
    <w:rsid w:val="00496BCA"/>
    <w:rsid w:val="00497129"/>
    <w:rsid w:val="00497B1D"/>
    <w:rsid w:val="004A0231"/>
    <w:rsid w:val="004A0572"/>
    <w:rsid w:val="004A062C"/>
    <w:rsid w:val="004A069D"/>
    <w:rsid w:val="004A083C"/>
    <w:rsid w:val="004A0C0B"/>
    <w:rsid w:val="004A114B"/>
    <w:rsid w:val="004A1359"/>
    <w:rsid w:val="004A13B7"/>
    <w:rsid w:val="004A15FB"/>
    <w:rsid w:val="004A16A6"/>
    <w:rsid w:val="004A186E"/>
    <w:rsid w:val="004A19FE"/>
    <w:rsid w:val="004A1DB6"/>
    <w:rsid w:val="004A1F87"/>
    <w:rsid w:val="004A202D"/>
    <w:rsid w:val="004A2166"/>
    <w:rsid w:val="004A24C0"/>
    <w:rsid w:val="004A2545"/>
    <w:rsid w:val="004A25A6"/>
    <w:rsid w:val="004A26AF"/>
    <w:rsid w:val="004A290B"/>
    <w:rsid w:val="004A29E4"/>
    <w:rsid w:val="004A354E"/>
    <w:rsid w:val="004A365E"/>
    <w:rsid w:val="004A36A4"/>
    <w:rsid w:val="004A3787"/>
    <w:rsid w:val="004A37E5"/>
    <w:rsid w:val="004A388D"/>
    <w:rsid w:val="004A38DD"/>
    <w:rsid w:val="004A3E4B"/>
    <w:rsid w:val="004A4317"/>
    <w:rsid w:val="004A4775"/>
    <w:rsid w:val="004A496B"/>
    <w:rsid w:val="004A52E4"/>
    <w:rsid w:val="004A537E"/>
    <w:rsid w:val="004A5474"/>
    <w:rsid w:val="004A5805"/>
    <w:rsid w:val="004A5870"/>
    <w:rsid w:val="004A5A79"/>
    <w:rsid w:val="004A5CC2"/>
    <w:rsid w:val="004A630D"/>
    <w:rsid w:val="004A74BB"/>
    <w:rsid w:val="004A788F"/>
    <w:rsid w:val="004B0044"/>
    <w:rsid w:val="004B01A6"/>
    <w:rsid w:val="004B01CB"/>
    <w:rsid w:val="004B0287"/>
    <w:rsid w:val="004B0B12"/>
    <w:rsid w:val="004B0BCE"/>
    <w:rsid w:val="004B0CC2"/>
    <w:rsid w:val="004B0D95"/>
    <w:rsid w:val="004B0EBB"/>
    <w:rsid w:val="004B148B"/>
    <w:rsid w:val="004B1557"/>
    <w:rsid w:val="004B1657"/>
    <w:rsid w:val="004B196D"/>
    <w:rsid w:val="004B1A12"/>
    <w:rsid w:val="004B1A3F"/>
    <w:rsid w:val="004B1B39"/>
    <w:rsid w:val="004B1D67"/>
    <w:rsid w:val="004B1FA3"/>
    <w:rsid w:val="004B1FE2"/>
    <w:rsid w:val="004B2080"/>
    <w:rsid w:val="004B21D2"/>
    <w:rsid w:val="004B269E"/>
    <w:rsid w:val="004B26BF"/>
    <w:rsid w:val="004B2A12"/>
    <w:rsid w:val="004B2A87"/>
    <w:rsid w:val="004B2B87"/>
    <w:rsid w:val="004B2D2F"/>
    <w:rsid w:val="004B2E99"/>
    <w:rsid w:val="004B2EF0"/>
    <w:rsid w:val="004B2F2E"/>
    <w:rsid w:val="004B32B9"/>
    <w:rsid w:val="004B35B2"/>
    <w:rsid w:val="004B3792"/>
    <w:rsid w:val="004B37B4"/>
    <w:rsid w:val="004B3AFE"/>
    <w:rsid w:val="004B3E67"/>
    <w:rsid w:val="004B401F"/>
    <w:rsid w:val="004B4310"/>
    <w:rsid w:val="004B4316"/>
    <w:rsid w:val="004B43AE"/>
    <w:rsid w:val="004B457B"/>
    <w:rsid w:val="004B4B02"/>
    <w:rsid w:val="004B4B96"/>
    <w:rsid w:val="004B4CA1"/>
    <w:rsid w:val="004B4D57"/>
    <w:rsid w:val="004B53C9"/>
    <w:rsid w:val="004B541B"/>
    <w:rsid w:val="004B59BC"/>
    <w:rsid w:val="004B5A0A"/>
    <w:rsid w:val="004B6286"/>
    <w:rsid w:val="004B628F"/>
    <w:rsid w:val="004B642E"/>
    <w:rsid w:val="004B65C0"/>
    <w:rsid w:val="004B6B56"/>
    <w:rsid w:val="004B6E48"/>
    <w:rsid w:val="004B7385"/>
    <w:rsid w:val="004B7AE8"/>
    <w:rsid w:val="004B7FA1"/>
    <w:rsid w:val="004C004E"/>
    <w:rsid w:val="004C00F2"/>
    <w:rsid w:val="004C0492"/>
    <w:rsid w:val="004C04C6"/>
    <w:rsid w:val="004C0805"/>
    <w:rsid w:val="004C0B11"/>
    <w:rsid w:val="004C0B1E"/>
    <w:rsid w:val="004C0BB7"/>
    <w:rsid w:val="004C23DC"/>
    <w:rsid w:val="004C261B"/>
    <w:rsid w:val="004C2947"/>
    <w:rsid w:val="004C2A72"/>
    <w:rsid w:val="004C2D87"/>
    <w:rsid w:val="004C3057"/>
    <w:rsid w:val="004C30ED"/>
    <w:rsid w:val="004C334A"/>
    <w:rsid w:val="004C3523"/>
    <w:rsid w:val="004C353B"/>
    <w:rsid w:val="004C3542"/>
    <w:rsid w:val="004C35CD"/>
    <w:rsid w:val="004C3A07"/>
    <w:rsid w:val="004C3FC5"/>
    <w:rsid w:val="004C3FEE"/>
    <w:rsid w:val="004C4393"/>
    <w:rsid w:val="004C43C5"/>
    <w:rsid w:val="004C4503"/>
    <w:rsid w:val="004C4B62"/>
    <w:rsid w:val="004C4C36"/>
    <w:rsid w:val="004C4C48"/>
    <w:rsid w:val="004C4E84"/>
    <w:rsid w:val="004C5315"/>
    <w:rsid w:val="004C5CAE"/>
    <w:rsid w:val="004C5ED4"/>
    <w:rsid w:val="004C602D"/>
    <w:rsid w:val="004C608A"/>
    <w:rsid w:val="004C6647"/>
    <w:rsid w:val="004C6A8F"/>
    <w:rsid w:val="004C6C41"/>
    <w:rsid w:val="004C709B"/>
    <w:rsid w:val="004C70E7"/>
    <w:rsid w:val="004C7207"/>
    <w:rsid w:val="004C7258"/>
    <w:rsid w:val="004C7741"/>
    <w:rsid w:val="004C789E"/>
    <w:rsid w:val="004C7CA7"/>
    <w:rsid w:val="004C7E5F"/>
    <w:rsid w:val="004D0192"/>
    <w:rsid w:val="004D0653"/>
    <w:rsid w:val="004D0710"/>
    <w:rsid w:val="004D0736"/>
    <w:rsid w:val="004D07CD"/>
    <w:rsid w:val="004D0A52"/>
    <w:rsid w:val="004D0BA0"/>
    <w:rsid w:val="004D0BBB"/>
    <w:rsid w:val="004D1105"/>
    <w:rsid w:val="004D11AC"/>
    <w:rsid w:val="004D127A"/>
    <w:rsid w:val="004D1561"/>
    <w:rsid w:val="004D1A38"/>
    <w:rsid w:val="004D1D42"/>
    <w:rsid w:val="004D2392"/>
    <w:rsid w:val="004D26D8"/>
    <w:rsid w:val="004D2789"/>
    <w:rsid w:val="004D2796"/>
    <w:rsid w:val="004D29A2"/>
    <w:rsid w:val="004D2A11"/>
    <w:rsid w:val="004D2A6A"/>
    <w:rsid w:val="004D2E37"/>
    <w:rsid w:val="004D31D8"/>
    <w:rsid w:val="004D3263"/>
    <w:rsid w:val="004D3289"/>
    <w:rsid w:val="004D333A"/>
    <w:rsid w:val="004D343F"/>
    <w:rsid w:val="004D37EA"/>
    <w:rsid w:val="004D3A63"/>
    <w:rsid w:val="004D3B82"/>
    <w:rsid w:val="004D3EE1"/>
    <w:rsid w:val="004D3FB5"/>
    <w:rsid w:val="004D3FC7"/>
    <w:rsid w:val="004D41EF"/>
    <w:rsid w:val="004D42AA"/>
    <w:rsid w:val="004D4755"/>
    <w:rsid w:val="004D4C29"/>
    <w:rsid w:val="004D4D05"/>
    <w:rsid w:val="004D4D29"/>
    <w:rsid w:val="004D5576"/>
    <w:rsid w:val="004D5675"/>
    <w:rsid w:val="004D59EE"/>
    <w:rsid w:val="004D5A71"/>
    <w:rsid w:val="004D5A7C"/>
    <w:rsid w:val="004D5B1E"/>
    <w:rsid w:val="004D5B37"/>
    <w:rsid w:val="004D5BCA"/>
    <w:rsid w:val="004D5C51"/>
    <w:rsid w:val="004D5C61"/>
    <w:rsid w:val="004D5DCB"/>
    <w:rsid w:val="004D5DE1"/>
    <w:rsid w:val="004D5F16"/>
    <w:rsid w:val="004D608A"/>
    <w:rsid w:val="004D61E0"/>
    <w:rsid w:val="004D621E"/>
    <w:rsid w:val="004D634E"/>
    <w:rsid w:val="004D659D"/>
    <w:rsid w:val="004D66F4"/>
    <w:rsid w:val="004D672D"/>
    <w:rsid w:val="004D6B70"/>
    <w:rsid w:val="004D6F3F"/>
    <w:rsid w:val="004D7405"/>
    <w:rsid w:val="004D7683"/>
    <w:rsid w:val="004D7905"/>
    <w:rsid w:val="004D7979"/>
    <w:rsid w:val="004D7BF5"/>
    <w:rsid w:val="004D7F65"/>
    <w:rsid w:val="004E026F"/>
    <w:rsid w:val="004E0BA4"/>
    <w:rsid w:val="004E12CE"/>
    <w:rsid w:val="004E1DA5"/>
    <w:rsid w:val="004E2388"/>
    <w:rsid w:val="004E2520"/>
    <w:rsid w:val="004E25E4"/>
    <w:rsid w:val="004E297E"/>
    <w:rsid w:val="004E2D2D"/>
    <w:rsid w:val="004E2E9C"/>
    <w:rsid w:val="004E31E1"/>
    <w:rsid w:val="004E3608"/>
    <w:rsid w:val="004E3691"/>
    <w:rsid w:val="004E3818"/>
    <w:rsid w:val="004E38BF"/>
    <w:rsid w:val="004E3A44"/>
    <w:rsid w:val="004E3AE7"/>
    <w:rsid w:val="004E3BB6"/>
    <w:rsid w:val="004E4007"/>
    <w:rsid w:val="004E43B9"/>
    <w:rsid w:val="004E4990"/>
    <w:rsid w:val="004E4B36"/>
    <w:rsid w:val="004E4C2B"/>
    <w:rsid w:val="004E4C42"/>
    <w:rsid w:val="004E4C8C"/>
    <w:rsid w:val="004E4CA9"/>
    <w:rsid w:val="004E4E48"/>
    <w:rsid w:val="004E5471"/>
    <w:rsid w:val="004E5631"/>
    <w:rsid w:val="004E5977"/>
    <w:rsid w:val="004E5B2C"/>
    <w:rsid w:val="004E5F4F"/>
    <w:rsid w:val="004E61FC"/>
    <w:rsid w:val="004E7200"/>
    <w:rsid w:val="004E734B"/>
    <w:rsid w:val="004E7407"/>
    <w:rsid w:val="004E7774"/>
    <w:rsid w:val="004E7829"/>
    <w:rsid w:val="004E7968"/>
    <w:rsid w:val="004E7CB0"/>
    <w:rsid w:val="004E7D6C"/>
    <w:rsid w:val="004F07D6"/>
    <w:rsid w:val="004F086F"/>
    <w:rsid w:val="004F0C76"/>
    <w:rsid w:val="004F0E05"/>
    <w:rsid w:val="004F0E41"/>
    <w:rsid w:val="004F0ECC"/>
    <w:rsid w:val="004F1081"/>
    <w:rsid w:val="004F10EA"/>
    <w:rsid w:val="004F1270"/>
    <w:rsid w:val="004F13C9"/>
    <w:rsid w:val="004F153E"/>
    <w:rsid w:val="004F15B8"/>
    <w:rsid w:val="004F15FF"/>
    <w:rsid w:val="004F1655"/>
    <w:rsid w:val="004F1F10"/>
    <w:rsid w:val="004F1FE2"/>
    <w:rsid w:val="004F2121"/>
    <w:rsid w:val="004F2240"/>
    <w:rsid w:val="004F2C78"/>
    <w:rsid w:val="004F315F"/>
    <w:rsid w:val="004F32CD"/>
    <w:rsid w:val="004F32FE"/>
    <w:rsid w:val="004F34C5"/>
    <w:rsid w:val="004F4222"/>
    <w:rsid w:val="004F4503"/>
    <w:rsid w:val="004F4928"/>
    <w:rsid w:val="004F4A4E"/>
    <w:rsid w:val="004F4ECB"/>
    <w:rsid w:val="004F5048"/>
    <w:rsid w:val="004F56A6"/>
    <w:rsid w:val="004F5BC0"/>
    <w:rsid w:val="004F5D88"/>
    <w:rsid w:val="004F5E5B"/>
    <w:rsid w:val="004F666C"/>
    <w:rsid w:val="004F694F"/>
    <w:rsid w:val="004F704D"/>
    <w:rsid w:val="004F7161"/>
    <w:rsid w:val="004F754D"/>
    <w:rsid w:val="004F76F7"/>
    <w:rsid w:val="004F7712"/>
    <w:rsid w:val="004F774A"/>
    <w:rsid w:val="004F791F"/>
    <w:rsid w:val="004F7A42"/>
    <w:rsid w:val="00500183"/>
    <w:rsid w:val="0050042F"/>
    <w:rsid w:val="005009D6"/>
    <w:rsid w:val="00500AE8"/>
    <w:rsid w:val="00500D06"/>
    <w:rsid w:val="00500E07"/>
    <w:rsid w:val="00501116"/>
    <w:rsid w:val="00501221"/>
    <w:rsid w:val="00501270"/>
    <w:rsid w:val="005015B7"/>
    <w:rsid w:val="00501D42"/>
    <w:rsid w:val="00501D8E"/>
    <w:rsid w:val="00502205"/>
    <w:rsid w:val="005022A9"/>
    <w:rsid w:val="005023BC"/>
    <w:rsid w:val="005025BE"/>
    <w:rsid w:val="00502919"/>
    <w:rsid w:val="00502A55"/>
    <w:rsid w:val="00502B17"/>
    <w:rsid w:val="00502B9B"/>
    <w:rsid w:val="00502F84"/>
    <w:rsid w:val="00503047"/>
    <w:rsid w:val="00503325"/>
    <w:rsid w:val="005033EF"/>
    <w:rsid w:val="0050376A"/>
    <w:rsid w:val="00503D0B"/>
    <w:rsid w:val="00503D96"/>
    <w:rsid w:val="00504028"/>
    <w:rsid w:val="005040C4"/>
    <w:rsid w:val="005042EE"/>
    <w:rsid w:val="00504462"/>
    <w:rsid w:val="0050479A"/>
    <w:rsid w:val="00504808"/>
    <w:rsid w:val="0050495C"/>
    <w:rsid w:val="005049AB"/>
    <w:rsid w:val="00504B26"/>
    <w:rsid w:val="0050546C"/>
    <w:rsid w:val="005058CD"/>
    <w:rsid w:val="00505D0F"/>
    <w:rsid w:val="0050647B"/>
    <w:rsid w:val="005064B1"/>
    <w:rsid w:val="005067FC"/>
    <w:rsid w:val="005068ED"/>
    <w:rsid w:val="0050694F"/>
    <w:rsid w:val="00506B05"/>
    <w:rsid w:val="00506CB6"/>
    <w:rsid w:val="00506D4A"/>
    <w:rsid w:val="00506D4F"/>
    <w:rsid w:val="0050724B"/>
    <w:rsid w:val="00507526"/>
    <w:rsid w:val="0050764D"/>
    <w:rsid w:val="0050784A"/>
    <w:rsid w:val="00507C3B"/>
    <w:rsid w:val="00507D51"/>
    <w:rsid w:val="00507EAD"/>
    <w:rsid w:val="005103EB"/>
    <w:rsid w:val="00510900"/>
    <w:rsid w:val="00510947"/>
    <w:rsid w:val="00510963"/>
    <w:rsid w:val="00510CDA"/>
    <w:rsid w:val="00510D53"/>
    <w:rsid w:val="00510EC0"/>
    <w:rsid w:val="00510F84"/>
    <w:rsid w:val="00510FB4"/>
    <w:rsid w:val="005110DE"/>
    <w:rsid w:val="005113B4"/>
    <w:rsid w:val="005115CF"/>
    <w:rsid w:val="0051179C"/>
    <w:rsid w:val="0051216F"/>
    <w:rsid w:val="005126C1"/>
    <w:rsid w:val="00512972"/>
    <w:rsid w:val="00512AF3"/>
    <w:rsid w:val="0051306E"/>
    <w:rsid w:val="00513290"/>
    <w:rsid w:val="005137B4"/>
    <w:rsid w:val="00513CC6"/>
    <w:rsid w:val="00513DAF"/>
    <w:rsid w:val="00513DC9"/>
    <w:rsid w:val="00513DDB"/>
    <w:rsid w:val="00513EB3"/>
    <w:rsid w:val="00514180"/>
    <w:rsid w:val="005144BF"/>
    <w:rsid w:val="00514602"/>
    <w:rsid w:val="00514654"/>
    <w:rsid w:val="005146D5"/>
    <w:rsid w:val="0051476B"/>
    <w:rsid w:val="00514C60"/>
    <w:rsid w:val="00514E84"/>
    <w:rsid w:val="005150AA"/>
    <w:rsid w:val="00515131"/>
    <w:rsid w:val="005153A4"/>
    <w:rsid w:val="0051542D"/>
    <w:rsid w:val="005157D8"/>
    <w:rsid w:val="00515A6D"/>
    <w:rsid w:val="005164E9"/>
    <w:rsid w:val="005166A7"/>
    <w:rsid w:val="0051691E"/>
    <w:rsid w:val="00516AD0"/>
    <w:rsid w:val="00516E33"/>
    <w:rsid w:val="005170CF"/>
    <w:rsid w:val="005172BE"/>
    <w:rsid w:val="0051774A"/>
    <w:rsid w:val="00517795"/>
    <w:rsid w:val="00517925"/>
    <w:rsid w:val="00520206"/>
    <w:rsid w:val="00520493"/>
    <w:rsid w:val="005206A5"/>
    <w:rsid w:val="00520906"/>
    <w:rsid w:val="00520D97"/>
    <w:rsid w:val="005210BE"/>
    <w:rsid w:val="005211F3"/>
    <w:rsid w:val="00521480"/>
    <w:rsid w:val="005214AF"/>
    <w:rsid w:val="005218DD"/>
    <w:rsid w:val="0052254D"/>
    <w:rsid w:val="00522746"/>
    <w:rsid w:val="005228EB"/>
    <w:rsid w:val="00522BD6"/>
    <w:rsid w:val="00522BE0"/>
    <w:rsid w:val="00522BE7"/>
    <w:rsid w:val="00523109"/>
    <w:rsid w:val="00523596"/>
    <w:rsid w:val="00523639"/>
    <w:rsid w:val="00523790"/>
    <w:rsid w:val="00523C0F"/>
    <w:rsid w:val="005240EF"/>
    <w:rsid w:val="005241A4"/>
    <w:rsid w:val="00524731"/>
    <w:rsid w:val="00524767"/>
    <w:rsid w:val="0052478A"/>
    <w:rsid w:val="00524A89"/>
    <w:rsid w:val="00524B3F"/>
    <w:rsid w:val="00524EA1"/>
    <w:rsid w:val="005251FC"/>
    <w:rsid w:val="005253F2"/>
    <w:rsid w:val="005254F6"/>
    <w:rsid w:val="00525886"/>
    <w:rsid w:val="0052598C"/>
    <w:rsid w:val="00525B00"/>
    <w:rsid w:val="00525C4D"/>
    <w:rsid w:val="00525D59"/>
    <w:rsid w:val="00525F1D"/>
    <w:rsid w:val="00526681"/>
    <w:rsid w:val="0052680B"/>
    <w:rsid w:val="00526978"/>
    <w:rsid w:val="00526B88"/>
    <w:rsid w:val="00526E16"/>
    <w:rsid w:val="00526EB4"/>
    <w:rsid w:val="00527D0D"/>
    <w:rsid w:val="00527D8C"/>
    <w:rsid w:val="00527ED2"/>
    <w:rsid w:val="005304FE"/>
    <w:rsid w:val="00530885"/>
    <w:rsid w:val="00530F98"/>
    <w:rsid w:val="00531081"/>
    <w:rsid w:val="00531094"/>
    <w:rsid w:val="0053162F"/>
    <w:rsid w:val="005318B1"/>
    <w:rsid w:val="00531A06"/>
    <w:rsid w:val="00531FE5"/>
    <w:rsid w:val="0053252C"/>
    <w:rsid w:val="005326DF"/>
    <w:rsid w:val="005327D5"/>
    <w:rsid w:val="00532801"/>
    <w:rsid w:val="00532D5C"/>
    <w:rsid w:val="00532E55"/>
    <w:rsid w:val="005331A2"/>
    <w:rsid w:val="005331F6"/>
    <w:rsid w:val="005338A0"/>
    <w:rsid w:val="005338F4"/>
    <w:rsid w:val="00533A1C"/>
    <w:rsid w:val="00534080"/>
    <w:rsid w:val="005340DF"/>
    <w:rsid w:val="00534399"/>
    <w:rsid w:val="005349C9"/>
    <w:rsid w:val="00534BF6"/>
    <w:rsid w:val="00534C02"/>
    <w:rsid w:val="00534C1C"/>
    <w:rsid w:val="00534ECC"/>
    <w:rsid w:val="0053507F"/>
    <w:rsid w:val="005351AD"/>
    <w:rsid w:val="005352E7"/>
    <w:rsid w:val="005358B7"/>
    <w:rsid w:val="00535A4F"/>
    <w:rsid w:val="005364B3"/>
    <w:rsid w:val="00536706"/>
    <w:rsid w:val="00536E69"/>
    <w:rsid w:val="00537225"/>
    <w:rsid w:val="0053731F"/>
    <w:rsid w:val="0053735E"/>
    <w:rsid w:val="005374BE"/>
    <w:rsid w:val="0053784A"/>
    <w:rsid w:val="00537871"/>
    <w:rsid w:val="005378D8"/>
    <w:rsid w:val="00537A6E"/>
    <w:rsid w:val="00537E6C"/>
    <w:rsid w:val="00537FE2"/>
    <w:rsid w:val="00540047"/>
    <w:rsid w:val="005401F5"/>
    <w:rsid w:val="0054020E"/>
    <w:rsid w:val="005402FA"/>
    <w:rsid w:val="00540793"/>
    <w:rsid w:val="00540B6A"/>
    <w:rsid w:val="00540BF8"/>
    <w:rsid w:val="0054138E"/>
    <w:rsid w:val="00541781"/>
    <w:rsid w:val="00541886"/>
    <w:rsid w:val="00541978"/>
    <w:rsid w:val="0054197D"/>
    <w:rsid w:val="00541D02"/>
    <w:rsid w:val="00541DAB"/>
    <w:rsid w:val="00541E1A"/>
    <w:rsid w:val="005421B5"/>
    <w:rsid w:val="00542880"/>
    <w:rsid w:val="0054295D"/>
    <w:rsid w:val="00542C31"/>
    <w:rsid w:val="00542FE3"/>
    <w:rsid w:val="00543066"/>
    <w:rsid w:val="00543097"/>
    <w:rsid w:val="0054331D"/>
    <w:rsid w:val="005434FB"/>
    <w:rsid w:val="005435BD"/>
    <w:rsid w:val="005437C0"/>
    <w:rsid w:val="005437C9"/>
    <w:rsid w:val="00543E60"/>
    <w:rsid w:val="0054405E"/>
    <w:rsid w:val="005440D2"/>
    <w:rsid w:val="005442D1"/>
    <w:rsid w:val="00544865"/>
    <w:rsid w:val="00544A72"/>
    <w:rsid w:val="0054500B"/>
    <w:rsid w:val="005453EF"/>
    <w:rsid w:val="0054550E"/>
    <w:rsid w:val="00545752"/>
    <w:rsid w:val="00545A5C"/>
    <w:rsid w:val="00545D2A"/>
    <w:rsid w:val="005460F2"/>
    <w:rsid w:val="005461C1"/>
    <w:rsid w:val="00546A54"/>
    <w:rsid w:val="00546CDE"/>
    <w:rsid w:val="005471C4"/>
    <w:rsid w:val="00547732"/>
    <w:rsid w:val="005478CF"/>
    <w:rsid w:val="005479C2"/>
    <w:rsid w:val="00547E8A"/>
    <w:rsid w:val="00550655"/>
    <w:rsid w:val="0055092B"/>
    <w:rsid w:val="00550A4A"/>
    <w:rsid w:val="00550C1B"/>
    <w:rsid w:val="00550CC8"/>
    <w:rsid w:val="00550E2B"/>
    <w:rsid w:val="00550FE4"/>
    <w:rsid w:val="00551171"/>
    <w:rsid w:val="005516E0"/>
    <w:rsid w:val="005518BE"/>
    <w:rsid w:val="00551D73"/>
    <w:rsid w:val="00552407"/>
    <w:rsid w:val="0055257A"/>
    <w:rsid w:val="00552A20"/>
    <w:rsid w:val="00552B26"/>
    <w:rsid w:val="00552CCE"/>
    <w:rsid w:val="00552D1A"/>
    <w:rsid w:val="00552F95"/>
    <w:rsid w:val="0055305B"/>
    <w:rsid w:val="00553200"/>
    <w:rsid w:val="00553287"/>
    <w:rsid w:val="00553BB2"/>
    <w:rsid w:val="005544EA"/>
    <w:rsid w:val="005544F9"/>
    <w:rsid w:val="00554585"/>
    <w:rsid w:val="0055478D"/>
    <w:rsid w:val="005547DD"/>
    <w:rsid w:val="00554D7A"/>
    <w:rsid w:val="00554E87"/>
    <w:rsid w:val="00555076"/>
    <w:rsid w:val="005553D3"/>
    <w:rsid w:val="005554B7"/>
    <w:rsid w:val="00555ADF"/>
    <w:rsid w:val="00555F31"/>
    <w:rsid w:val="0055675D"/>
    <w:rsid w:val="00556878"/>
    <w:rsid w:val="00556F56"/>
    <w:rsid w:val="00557183"/>
    <w:rsid w:val="0055734E"/>
    <w:rsid w:val="00557EA0"/>
    <w:rsid w:val="00557EFE"/>
    <w:rsid w:val="005605D7"/>
    <w:rsid w:val="0056085C"/>
    <w:rsid w:val="0056097A"/>
    <w:rsid w:val="005609CE"/>
    <w:rsid w:val="005609FC"/>
    <w:rsid w:val="0056129A"/>
    <w:rsid w:val="00561925"/>
    <w:rsid w:val="00561D2C"/>
    <w:rsid w:val="00562167"/>
    <w:rsid w:val="005627AE"/>
    <w:rsid w:val="00562BD0"/>
    <w:rsid w:val="00562D6F"/>
    <w:rsid w:val="00562D96"/>
    <w:rsid w:val="00563143"/>
    <w:rsid w:val="0056337D"/>
    <w:rsid w:val="005634A4"/>
    <w:rsid w:val="00563799"/>
    <w:rsid w:val="00563A73"/>
    <w:rsid w:val="00563C14"/>
    <w:rsid w:val="00564011"/>
    <w:rsid w:val="0056409A"/>
    <w:rsid w:val="0056444E"/>
    <w:rsid w:val="00564A6F"/>
    <w:rsid w:val="00564BC5"/>
    <w:rsid w:val="00564E04"/>
    <w:rsid w:val="00564E87"/>
    <w:rsid w:val="00565417"/>
    <w:rsid w:val="0056559A"/>
    <w:rsid w:val="00565983"/>
    <w:rsid w:val="00565BC8"/>
    <w:rsid w:val="00565CE9"/>
    <w:rsid w:val="00566145"/>
    <w:rsid w:val="00566623"/>
    <w:rsid w:val="00566FF7"/>
    <w:rsid w:val="0056725E"/>
    <w:rsid w:val="0056727C"/>
    <w:rsid w:val="00567315"/>
    <w:rsid w:val="00567499"/>
    <w:rsid w:val="005675A9"/>
    <w:rsid w:val="00567F53"/>
    <w:rsid w:val="005701EB"/>
    <w:rsid w:val="00570342"/>
    <w:rsid w:val="00570634"/>
    <w:rsid w:val="0057081E"/>
    <w:rsid w:val="00570B62"/>
    <w:rsid w:val="005717E4"/>
    <w:rsid w:val="00571AB5"/>
    <w:rsid w:val="00571E45"/>
    <w:rsid w:val="00571FDD"/>
    <w:rsid w:val="00572082"/>
    <w:rsid w:val="0057210E"/>
    <w:rsid w:val="00572601"/>
    <w:rsid w:val="00572606"/>
    <w:rsid w:val="005729BD"/>
    <w:rsid w:val="00573419"/>
    <w:rsid w:val="00573437"/>
    <w:rsid w:val="005735FC"/>
    <w:rsid w:val="005737C3"/>
    <w:rsid w:val="00573AD3"/>
    <w:rsid w:val="00573BE3"/>
    <w:rsid w:val="00574036"/>
    <w:rsid w:val="005740E3"/>
    <w:rsid w:val="005744EC"/>
    <w:rsid w:val="00574565"/>
    <w:rsid w:val="00574598"/>
    <w:rsid w:val="0057478A"/>
    <w:rsid w:val="00574A68"/>
    <w:rsid w:val="00574B44"/>
    <w:rsid w:val="00574C5B"/>
    <w:rsid w:val="0057514F"/>
    <w:rsid w:val="005755FF"/>
    <w:rsid w:val="0057595D"/>
    <w:rsid w:val="00575A0A"/>
    <w:rsid w:val="00575A95"/>
    <w:rsid w:val="00575AA1"/>
    <w:rsid w:val="00575D18"/>
    <w:rsid w:val="00575F5C"/>
    <w:rsid w:val="00575F99"/>
    <w:rsid w:val="00576712"/>
    <w:rsid w:val="005768E1"/>
    <w:rsid w:val="0057726F"/>
    <w:rsid w:val="00577C23"/>
    <w:rsid w:val="00577DF1"/>
    <w:rsid w:val="00580154"/>
    <w:rsid w:val="005802A9"/>
    <w:rsid w:val="00580895"/>
    <w:rsid w:val="0058099D"/>
    <w:rsid w:val="005810DA"/>
    <w:rsid w:val="005815FC"/>
    <w:rsid w:val="0058188A"/>
    <w:rsid w:val="00581A0A"/>
    <w:rsid w:val="005822B8"/>
    <w:rsid w:val="00582C3D"/>
    <w:rsid w:val="00582ED1"/>
    <w:rsid w:val="005831D1"/>
    <w:rsid w:val="005839C2"/>
    <w:rsid w:val="00583A28"/>
    <w:rsid w:val="00583B0C"/>
    <w:rsid w:val="00583C39"/>
    <w:rsid w:val="00583EA2"/>
    <w:rsid w:val="005843B1"/>
    <w:rsid w:val="00584925"/>
    <w:rsid w:val="00584CD5"/>
    <w:rsid w:val="00584D19"/>
    <w:rsid w:val="00584D53"/>
    <w:rsid w:val="00584D7C"/>
    <w:rsid w:val="005850DD"/>
    <w:rsid w:val="0058532D"/>
    <w:rsid w:val="00585411"/>
    <w:rsid w:val="00585512"/>
    <w:rsid w:val="0058571E"/>
    <w:rsid w:val="00585A67"/>
    <w:rsid w:val="0058646C"/>
    <w:rsid w:val="00586687"/>
    <w:rsid w:val="005867A0"/>
    <w:rsid w:val="005867A4"/>
    <w:rsid w:val="00586A90"/>
    <w:rsid w:val="00587142"/>
    <w:rsid w:val="00587145"/>
    <w:rsid w:val="00587758"/>
    <w:rsid w:val="00587992"/>
    <w:rsid w:val="00587F28"/>
    <w:rsid w:val="005901E0"/>
    <w:rsid w:val="005908AF"/>
    <w:rsid w:val="0059092F"/>
    <w:rsid w:val="005909CF"/>
    <w:rsid w:val="00590B26"/>
    <w:rsid w:val="00590BEC"/>
    <w:rsid w:val="00590EF3"/>
    <w:rsid w:val="00590F71"/>
    <w:rsid w:val="00590F9F"/>
    <w:rsid w:val="00591239"/>
    <w:rsid w:val="0059142D"/>
    <w:rsid w:val="005917DD"/>
    <w:rsid w:val="00591C77"/>
    <w:rsid w:val="00591E71"/>
    <w:rsid w:val="00592051"/>
    <w:rsid w:val="005920D7"/>
    <w:rsid w:val="005922AC"/>
    <w:rsid w:val="005922E3"/>
    <w:rsid w:val="005929A8"/>
    <w:rsid w:val="005929C7"/>
    <w:rsid w:val="005929FF"/>
    <w:rsid w:val="00592BCE"/>
    <w:rsid w:val="00592BFF"/>
    <w:rsid w:val="00592E91"/>
    <w:rsid w:val="00592F1C"/>
    <w:rsid w:val="00593046"/>
    <w:rsid w:val="0059306F"/>
    <w:rsid w:val="005936A6"/>
    <w:rsid w:val="005938A4"/>
    <w:rsid w:val="00593A95"/>
    <w:rsid w:val="00593B36"/>
    <w:rsid w:val="00593B48"/>
    <w:rsid w:val="00593C6A"/>
    <w:rsid w:val="0059421B"/>
    <w:rsid w:val="005942F7"/>
    <w:rsid w:val="00594499"/>
    <w:rsid w:val="005944EE"/>
    <w:rsid w:val="0059454F"/>
    <w:rsid w:val="00594779"/>
    <w:rsid w:val="005947C6"/>
    <w:rsid w:val="005947FA"/>
    <w:rsid w:val="005949BD"/>
    <w:rsid w:val="00594AA6"/>
    <w:rsid w:val="00594EFF"/>
    <w:rsid w:val="00594F35"/>
    <w:rsid w:val="005953AD"/>
    <w:rsid w:val="00595C73"/>
    <w:rsid w:val="00595D25"/>
    <w:rsid w:val="0059687E"/>
    <w:rsid w:val="00596B20"/>
    <w:rsid w:val="00596F8B"/>
    <w:rsid w:val="0059709D"/>
    <w:rsid w:val="0059712B"/>
    <w:rsid w:val="00597138"/>
    <w:rsid w:val="005972DE"/>
    <w:rsid w:val="005975DB"/>
    <w:rsid w:val="0059761E"/>
    <w:rsid w:val="00597761"/>
    <w:rsid w:val="005979DA"/>
    <w:rsid w:val="00597A04"/>
    <w:rsid w:val="00597BC4"/>
    <w:rsid w:val="00597BDC"/>
    <w:rsid w:val="005A00D7"/>
    <w:rsid w:val="005A043E"/>
    <w:rsid w:val="005A0798"/>
    <w:rsid w:val="005A0981"/>
    <w:rsid w:val="005A0AB5"/>
    <w:rsid w:val="005A0BBC"/>
    <w:rsid w:val="005A0CFE"/>
    <w:rsid w:val="005A0D41"/>
    <w:rsid w:val="005A101C"/>
    <w:rsid w:val="005A11FF"/>
    <w:rsid w:val="005A1780"/>
    <w:rsid w:val="005A1A19"/>
    <w:rsid w:val="005A1D94"/>
    <w:rsid w:val="005A252E"/>
    <w:rsid w:val="005A2B33"/>
    <w:rsid w:val="005A2DE4"/>
    <w:rsid w:val="005A3288"/>
    <w:rsid w:val="005A352F"/>
    <w:rsid w:val="005A3754"/>
    <w:rsid w:val="005A3E04"/>
    <w:rsid w:val="005A3E6B"/>
    <w:rsid w:val="005A3F17"/>
    <w:rsid w:val="005A408C"/>
    <w:rsid w:val="005A410F"/>
    <w:rsid w:val="005A4D8B"/>
    <w:rsid w:val="005A4F26"/>
    <w:rsid w:val="005A500F"/>
    <w:rsid w:val="005A5B20"/>
    <w:rsid w:val="005A5B96"/>
    <w:rsid w:val="005A5CD2"/>
    <w:rsid w:val="005A5D3A"/>
    <w:rsid w:val="005A60D1"/>
    <w:rsid w:val="005A62EE"/>
    <w:rsid w:val="005A6C5E"/>
    <w:rsid w:val="005A7734"/>
    <w:rsid w:val="005A7B8E"/>
    <w:rsid w:val="005A7DC5"/>
    <w:rsid w:val="005A7FD4"/>
    <w:rsid w:val="005B028C"/>
    <w:rsid w:val="005B02FA"/>
    <w:rsid w:val="005B0524"/>
    <w:rsid w:val="005B070E"/>
    <w:rsid w:val="005B0B3F"/>
    <w:rsid w:val="005B0CE2"/>
    <w:rsid w:val="005B11B9"/>
    <w:rsid w:val="005B1416"/>
    <w:rsid w:val="005B169E"/>
    <w:rsid w:val="005B190E"/>
    <w:rsid w:val="005B1A7A"/>
    <w:rsid w:val="005B1B3D"/>
    <w:rsid w:val="005B1C67"/>
    <w:rsid w:val="005B1C80"/>
    <w:rsid w:val="005B1EB0"/>
    <w:rsid w:val="005B2002"/>
    <w:rsid w:val="005B24FB"/>
    <w:rsid w:val="005B2539"/>
    <w:rsid w:val="005B2B29"/>
    <w:rsid w:val="005B2C66"/>
    <w:rsid w:val="005B2C8F"/>
    <w:rsid w:val="005B3119"/>
    <w:rsid w:val="005B36D6"/>
    <w:rsid w:val="005B3AAD"/>
    <w:rsid w:val="005B3ABC"/>
    <w:rsid w:val="005B3C0B"/>
    <w:rsid w:val="005B3EA6"/>
    <w:rsid w:val="005B406B"/>
    <w:rsid w:val="005B4AE6"/>
    <w:rsid w:val="005B4B51"/>
    <w:rsid w:val="005B4BC7"/>
    <w:rsid w:val="005B533E"/>
    <w:rsid w:val="005B555A"/>
    <w:rsid w:val="005B5688"/>
    <w:rsid w:val="005B575D"/>
    <w:rsid w:val="005B592F"/>
    <w:rsid w:val="005B5D1D"/>
    <w:rsid w:val="005B5E00"/>
    <w:rsid w:val="005B64EA"/>
    <w:rsid w:val="005B66DF"/>
    <w:rsid w:val="005B6733"/>
    <w:rsid w:val="005B6D0D"/>
    <w:rsid w:val="005B746D"/>
    <w:rsid w:val="005B76AF"/>
    <w:rsid w:val="005B7A72"/>
    <w:rsid w:val="005B7C85"/>
    <w:rsid w:val="005B7F53"/>
    <w:rsid w:val="005C0268"/>
    <w:rsid w:val="005C02C9"/>
    <w:rsid w:val="005C034F"/>
    <w:rsid w:val="005C0498"/>
    <w:rsid w:val="005C06A0"/>
    <w:rsid w:val="005C0A34"/>
    <w:rsid w:val="005C18F6"/>
    <w:rsid w:val="005C1B87"/>
    <w:rsid w:val="005C1DEC"/>
    <w:rsid w:val="005C294E"/>
    <w:rsid w:val="005C2AD7"/>
    <w:rsid w:val="005C32DD"/>
    <w:rsid w:val="005C3C66"/>
    <w:rsid w:val="005C3D53"/>
    <w:rsid w:val="005C3E16"/>
    <w:rsid w:val="005C3E5B"/>
    <w:rsid w:val="005C433C"/>
    <w:rsid w:val="005C4649"/>
    <w:rsid w:val="005C4E8E"/>
    <w:rsid w:val="005C4ECD"/>
    <w:rsid w:val="005C4F1A"/>
    <w:rsid w:val="005C5068"/>
    <w:rsid w:val="005C50D4"/>
    <w:rsid w:val="005C5613"/>
    <w:rsid w:val="005C5872"/>
    <w:rsid w:val="005C5895"/>
    <w:rsid w:val="005C59E7"/>
    <w:rsid w:val="005C5EC9"/>
    <w:rsid w:val="005C6250"/>
    <w:rsid w:val="005C64B1"/>
    <w:rsid w:val="005C69D1"/>
    <w:rsid w:val="005C6FBA"/>
    <w:rsid w:val="005C70F9"/>
    <w:rsid w:val="005C7429"/>
    <w:rsid w:val="005C7450"/>
    <w:rsid w:val="005C79AD"/>
    <w:rsid w:val="005C7B8A"/>
    <w:rsid w:val="005D0143"/>
    <w:rsid w:val="005D0283"/>
    <w:rsid w:val="005D0388"/>
    <w:rsid w:val="005D0679"/>
    <w:rsid w:val="005D0ADC"/>
    <w:rsid w:val="005D0F05"/>
    <w:rsid w:val="005D15C6"/>
    <w:rsid w:val="005D1D09"/>
    <w:rsid w:val="005D20CB"/>
    <w:rsid w:val="005D295A"/>
    <w:rsid w:val="005D3143"/>
    <w:rsid w:val="005D328B"/>
    <w:rsid w:val="005D329F"/>
    <w:rsid w:val="005D3AAF"/>
    <w:rsid w:val="005D3C60"/>
    <w:rsid w:val="005D3F5F"/>
    <w:rsid w:val="005D3FD9"/>
    <w:rsid w:val="005D44C7"/>
    <w:rsid w:val="005D4BF7"/>
    <w:rsid w:val="005D4FB6"/>
    <w:rsid w:val="005D50A1"/>
    <w:rsid w:val="005D50CF"/>
    <w:rsid w:val="005D5259"/>
    <w:rsid w:val="005D5346"/>
    <w:rsid w:val="005D5924"/>
    <w:rsid w:val="005D598B"/>
    <w:rsid w:val="005D5BF9"/>
    <w:rsid w:val="005D5DC5"/>
    <w:rsid w:val="005D5E00"/>
    <w:rsid w:val="005D609A"/>
    <w:rsid w:val="005D613B"/>
    <w:rsid w:val="005D690F"/>
    <w:rsid w:val="005D6A4F"/>
    <w:rsid w:val="005D6E3D"/>
    <w:rsid w:val="005D6F58"/>
    <w:rsid w:val="005D7812"/>
    <w:rsid w:val="005D7825"/>
    <w:rsid w:val="005D790C"/>
    <w:rsid w:val="005D7979"/>
    <w:rsid w:val="005D79B3"/>
    <w:rsid w:val="005D7D02"/>
    <w:rsid w:val="005E079F"/>
    <w:rsid w:val="005E085A"/>
    <w:rsid w:val="005E08D5"/>
    <w:rsid w:val="005E0A9C"/>
    <w:rsid w:val="005E0CCE"/>
    <w:rsid w:val="005E1064"/>
    <w:rsid w:val="005E1141"/>
    <w:rsid w:val="005E131B"/>
    <w:rsid w:val="005E1323"/>
    <w:rsid w:val="005E1508"/>
    <w:rsid w:val="005E1B60"/>
    <w:rsid w:val="005E1D9C"/>
    <w:rsid w:val="005E1F59"/>
    <w:rsid w:val="005E20D5"/>
    <w:rsid w:val="005E23C4"/>
    <w:rsid w:val="005E2567"/>
    <w:rsid w:val="005E26CE"/>
    <w:rsid w:val="005E26CF"/>
    <w:rsid w:val="005E29DC"/>
    <w:rsid w:val="005E2CC6"/>
    <w:rsid w:val="005E307F"/>
    <w:rsid w:val="005E319B"/>
    <w:rsid w:val="005E3459"/>
    <w:rsid w:val="005E35D1"/>
    <w:rsid w:val="005E3822"/>
    <w:rsid w:val="005E3AA7"/>
    <w:rsid w:val="005E3C29"/>
    <w:rsid w:val="005E4199"/>
    <w:rsid w:val="005E4489"/>
    <w:rsid w:val="005E46D3"/>
    <w:rsid w:val="005E48EE"/>
    <w:rsid w:val="005E4F78"/>
    <w:rsid w:val="005E5095"/>
    <w:rsid w:val="005E54CA"/>
    <w:rsid w:val="005E5750"/>
    <w:rsid w:val="005E57F0"/>
    <w:rsid w:val="005E5A6A"/>
    <w:rsid w:val="005E60C4"/>
    <w:rsid w:val="005E6361"/>
    <w:rsid w:val="005E651A"/>
    <w:rsid w:val="005E690F"/>
    <w:rsid w:val="005E6A45"/>
    <w:rsid w:val="005E71C4"/>
    <w:rsid w:val="005E71F0"/>
    <w:rsid w:val="005E71FF"/>
    <w:rsid w:val="005F0458"/>
    <w:rsid w:val="005F0561"/>
    <w:rsid w:val="005F0587"/>
    <w:rsid w:val="005F05A4"/>
    <w:rsid w:val="005F079C"/>
    <w:rsid w:val="005F085F"/>
    <w:rsid w:val="005F143B"/>
    <w:rsid w:val="005F146B"/>
    <w:rsid w:val="005F1B60"/>
    <w:rsid w:val="005F2107"/>
    <w:rsid w:val="005F2196"/>
    <w:rsid w:val="005F21C8"/>
    <w:rsid w:val="005F2D79"/>
    <w:rsid w:val="005F2DE7"/>
    <w:rsid w:val="005F327E"/>
    <w:rsid w:val="005F3443"/>
    <w:rsid w:val="005F3449"/>
    <w:rsid w:val="005F34C5"/>
    <w:rsid w:val="005F34D4"/>
    <w:rsid w:val="005F3A33"/>
    <w:rsid w:val="005F3ADE"/>
    <w:rsid w:val="005F3DE1"/>
    <w:rsid w:val="005F3F20"/>
    <w:rsid w:val="005F4363"/>
    <w:rsid w:val="005F481C"/>
    <w:rsid w:val="005F48ED"/>
    <w:rsid w:val="005F4EEE"/>
    <w:rsid w:val="005F541E"/>
    <w:rsid w:val="005F5AC8"/>
    <w:rsid w:val="005F6272"/>
    <w:rsid w:val="005F6627"/>
    <w:rsid w:val="005F66D1"/>
    <w:rsid w:val="005F693D"/>
    <w:rsid w:val="005F6C2A"/>
    <w:rsid w:val="005F6C2E"/>
    <w:rsid w:val="005F7137"/>
    <w:rsid w:val="005F72C2"/>
    <w:rsid w:val="005F774B"/>
    <w:rsid w:val="005F7B31"/>
    <w:rsid w:val="005F7B91"/>
    <w:rsid w:val="005F7C2F"/>
    <w:rsid w:val="0060027C"/>
    <w:rsid w:val="00600383"/>
    <w:rsid w:val="006003C4"/>
    <w:rsid w:val="0060076F"/>
    <w:rsid w:val="00600B80"/>
    <w:rsid w:val="00600C60"/>
    <w:rsid w:val="0060101A"/>
    <w:rsid w:val="0060113C"/>
    <w:rsid w:val="00601161"/>
    <w:rsid w:val="00601441"/>
    <w:rsid w:val="00601520"/>
    <w:rsid w:val="00601622"/>
    <w:rsid w:val="00601A70"/>
    <w:rsid w:val="00601AA7"/>
    <w:rsid w:val="00602017"/>
    <w:rsid w:val="00602689"/>
    <w:rsid w:val="0060294A"/>
    <w:rsid w:val="00602B8F"/>
    <w:rsid w:val="00602D77"/>
    <w:rsid w:val="00602E98"/>
    <w:rsid w:val="00602F34"/>
    <w:rsid w:val="00603950"/>
    <w:rsid w:val="00603B7D"/>
    <w:rsid w:val="00603D7D"/>
    <w:rsid w:val="00604046"/>
    <w:rsid w:val="00604049"/>
    <w:rsid w:val="006045D0"/>
    <w:rsid w:val="0060477B"/>
    <w:rsid w:val="006047F1"/>
    <w:rsid w:val="00604C30"/>
    <w:rsid w:val="00605276"/>
    <w:rsid w:val="0060531A"/>
    <w:rsid w:val="00605690"/>
    <w:rsid w:val="0060582D"/>
    <w:rsid w:val="00605EBE"/>
    <w:rsid w:val="00605F63"/>
    <w:rsid w:val="0060602D"/>
    <w:rsid w:val="00606273"/>
    <w:rsid w:val="006065CE"/>
    <w:rsid w:val="00606868"/>
    <w:rsid w:val="00606903"/>
    <w:rsid w:val="00606BC7"/>
    <w:rsid w:val="00606D14"/>
    <w:rsid w:val="00606E78"/>
    <w:rsid w:val="0060719D"/>
    <w:rsid w:val="00607B29"/>
    <w:rsid w:val="00607B5C"/>
    <w:rsid w:val="00607BF1"/>
    <w:rsid w:val="00607EA9"/>
    <w:rsid w:val="006100A7"/>
    <w:rsid w:val="00610175"/>
    <w:rsid w:val="006103EC"/>
    <w:rsid w:val="00610BE9"/>
    <w:rsid w:val="00610E57"/>
    <w:rsid w:val="00610ED1"/>
    <w:rsid w:val="00610F22"/>
    <w:rsid w:val="00610FBA"/>
    <w:rsid w:val="006113D4"/>
    <w:rsid w:val="0061162B"/>
    <w:rsid w:val="00611C95"/>
    <w:rsid w:val="00611DC2"/>
    <w:rsid w:val="00611E4C"/>
    <w:rsid w:val="00611EF0"/>
    <w:rsid w:val="0061217C"/>
    <w:rsid w:val="0061247E"/>
    <w:rsid w:val="0061254E"/>
    <w:rsid w:val="006128CC"/>
    <w:rsid w:val="006129EC"/>
    <w:rsid w:val="00612AAD"/>
    <w:rsid w:val="00612B9E"/>
    <w:rsid w:val="00612C0D"/>
    <w:rsid w:val="006131B1"/>
    <w:rsid w:val="0061382C"/>
    <w:rsid w:val="00614095"/>
    <w:rsid w:val="006149E6"/>
    <w:rsid w:val="00614D8D"/>
    <w:rsid w:val="00615066"/>
    <w:rsid w:val="00615248"/>
    <w:rsid w:val="00615649"/>
    <w:rsid w:val="00615F62"/>
    <w:rsid w:val="00616638"/>
    <w:rsid w:val="00616865"/>
    <w:rsid w:val="00616935"/>
    <w:rsid w:val="00616C36"/>
    <w:rsid w:val="00616DCE"/>
    <w:rsid w:val="00616F92"/>
    <w:rsid w:val="00617032"/>
    <w:rsid w:val="00617663"/>
    <w:rsid w:val="00617980"/>
    <w:rsid w:val="00617B99"/>
    <w:rsid w:val="00617ED9"/>
    <w:rsid w:val="00620338"/>
    <w:rsid w:val="0062043C"/>
    <w:rsid w:val="00620492"/>
    <w:rsid w:val="006209BA"/>
    <w:rsid w:val="00620A5B"/>
    <w:rsid w:val="00620F40"/>
    <w:rsid w:val="00621149"/>
    <w:rsid w:val="0062118A"/>
    <w:rsid w:val="0062118E"/>
    <w:rsid w:val="00621455"/>
    <w:rsid w:val="006215D6"/>
    <w:rsid w:val="0062163C"/>
    <w:rsid w:val="00621850"/>
    <w:rsid w:val="00621909"/>
    <w:rsid w:val="006219E0"/>
    <w:rsid w:val="00621A0A"/>
    <w:rsid w:val="00621BE6"/>
    <w:rsid w:val="00621C0F"/>
    <w:rsid w:val="00621D72"/>
    <w:rsid w:val="00621E61"/>
    <w:rsid w:val="0062206A"/>
    <w:rsid w:val="0062217D"/>
    <w:rsid w:val="00622359"/>
    <w:rsid w:val="0062256E"/>
    <w:rsid w:val="00622727"/>
    <w:rsid w:val="0062283B"/>
    <w:rsid w:val="00622E88"/>
    <w:rsid w:val="00622F1D"/>
    <w:rsid w:val="00623612"/>
    <w:rsid w:val="006238CF"/>
    <w:rsid w:val="00623A6C"/>
    <w:rsid w:val="00623BB5"/>
    <w:rsid w:val="00623F32"/>
    <w:rsid w:val="006243B8"/>
    <w:rsid w:val="00624813"/>
    <w:rsid w:val="00624A04"/>
    <w:rsid w:val="00624B1D"/>
    <w:rsid w:val="00624B4D"/>
    <w:rsid w:val="00624D81"/>
    <w:rsid w:val="00625014"/>
    <w:rsid w:val="00625D0D"/>
    <w:rsid w:val="00625E26"/>
    <w:rsid w:val="00625EC8"/>
    <w:rsid w:val="00626803"/>
    <w:rsid w:val="00626A4B"/>
    <w:rsid w:val="00626A59"/>
    <w:rsid w:val="00626B58"/>
    <w:rsid w:val="00626C80"/>
    <w:rsid w:val="00626E7F"/>
    <w:rsid w:val="00626F0F"/>
    <w:rsid w:val="006273DC"/>
    <w:rsid w:val="00627C6F"/>
    <w:rsid w:val="00627CAD"/>
    <w:rsid w:val="00627E56"/>
    <w:rsid w:val="00630244"/>
    <w:rsid w:val="006302CC"/>
    <w:rsid w:val="00630489"/>
    <w:rsid w:val="0063057B"/>
    <w:rsid w:val="0063085D"/>
    <w:rsid w:val="00630D4D"/>
    <w:rsid w:val="006311CF"/>
    <w:rsid w:val="006313D3"/>
    <w:rsid w:val="006315F7"/>
    <w:rsid w:val="0063182D"/>
    <w:rsid w:val="006319EC"/>
    <w:rsid w:val="00631C2C"/>
    <w:rsid w:val="00631F02"/>
    <w:rsid w:val="00632024"/>
    <w:rsid w:val="006321AB"/>
    <w:rsid w:val="0063226C"/>
    <w:rsid w:val="00632497"/>
    <w:rsid w:val="006324F9"/>
    <w:rsid w:val="00632520"/>
    <w:rsid w:val="006327E7"/>
    <w:rsid w:val="00632A74"/>
    <w:rsid w:val="0063307C"/>
    <w:rsid w:val="00633172"/>
    <w:rsid w:val="006331A0"/>
    <w:rsid w:val="0063324B"/>
    <w:rsid w:val="006336D9"/>
    <w:rsid w:val="00633C5F"/>
    <w:rsid w:val="00633E13"/>
    <w:rsid w:val="0063447E"/>
    <w:rsid w:val="006345CD"/>
    <w:rsid w:val="0063474A"/>
    <w:rsid w:val="0063481A"/>
    <w:rsid w:val="00634906"/>
    <w:rsid w:val="00634A88"/>
    <w:rsid w:val="00634DD8"/>
    <w:rsid w:val="00635577"/>
    <w:rsid w:val="00635621"/>
    <w:rsid w:val="006358B5"/>
    <w:rsid w:val="00635AE2"/>
    <w:rsid w:val="00635C83"/>
    <w:rsid w:val="00636337"/>
    <w:rsid w:val="006364A5"/>
    <w:rsid w:val="006364B0"/>
    <w:rsid w:val="0063657E"/>
    <w:rsid w:val="00636724"/>
    <w:rsid w:val="00636A4B"/>
    <w:rsid w:val="00636A83"/>
    <w:rsid w:val="00637241"/>
    <w:rsid w:val="0063725A"/>
    <w:rsid w:val="006379F5"/>
    <w:rsid w:val="00637D1D"/>
    <w:rsid w:val="0064018D"/>
    <w:rsid w:val="006402DC"/>
    <w:rsid w:val="006405ED"/>
    <w:rsid w:val="006407F3"/>
    <w:rsid w:val="00640903"/>
    <w:rsid w:val="00640AD9"/>
    <w:rsid w:val="00640F4F"/>
    <w:rsid w:val="006410DD"/>
    <w:rsid w:val="006411B0"/>
    <w:rsid w:val="006413A4"/>
    <w:rsid w:val="00641422"/>
    <w:rsid w:val="00641428"/>
    <w:rsid w:val="006414BA"/>
    <w:rsid w:val="00641705"/>
    <w:rsid w:val="00641CD1"/>
    <w:rsid w:val="00641D50"/>
    <w:rsid w:val="00641F74"/>
    <w:rsid w:val="00641FED"/>
    <w:rsid w:val="006421E5"/>
    <w:rsid w:val="00642554"/>
    <w:rsid w:val="0064266E"/>
    <w:rsid w:val="006426FB"/>
    <w:rsid w:val="00642726"/>
    <w:rsid w:val="0064279D"/>
    <w:rsid w:val="00642B1B"/>
    <w:rsid w:val="00642F25"/>
    <w:rsid w:val="006430E9"/>
    <w:rsid w:val="006433BD"/>
    <w:rsid w:val="00643473"/>
    <w:rsid w:val="0064357D"/>
    <w:rsid w:val="006436C2"/>
    <w:rsid w:val="006436FF"/>
    <w:rsid w:val="00643D24"/>
    <w:rsid w:val="00643E5F"/>
    <w:rsid w:val="00643ED7"/>
    <w:rsid w:val="00644179"/>
    <w:rsid w:val="00644729"/>
    <w:rsid w:val="0064473B"/>
    <w:rsid w:val="00644AC5"/>
    <w:rsid w:val="00644EE8"/>
    <w:rsid w:val="006451C6"/>
    <w:rsid w:val="006455C6"/>
    <w:rsid w:val="006457D5"/>
    <w:rsid w:val="0064599B"/>
    <w:rsid w:val="006459E1"/>
    <w:rsid w:val="006459FF"/>
    <w:rsid w:val="00645B3C"/>
    <w:rsid w:val="00645CE8"/>
    <w:rsid w:val="00646159"/>
    <w:rsid w:val="0064638D"/>
    <w:rsid w:val="00646564"/>
    <w:rsid w:val="006470D7"/>
    <w:rsid w:val="00647415"/>
    <w:rsid w:val="00647707"/>
    <w:rsid w:val="006477D9"/>
    <w:rsid w:val="00647953"/>
    <w:rsid w:val="00647A88"/>
    <w:rsid w:val="00647D33"/>
    <w:rsid w:val="00647E23"/>
    <w:rsid w:val="00647F42"/>
    <w:rsid w:val="00647FB4"/>
    <w:rsid w:val="006501EB"/>
    <w:rsid w:val="0065059D"/>
    <w:rsid w:val="00650A69"/>
    <w:rsid w:val="00650FB7"/>
    <w:rsid w:val="006510BC"/>
    <w:rsid w:val="006514E3"/>
    <w:rsid w:val="0065173E"/>
    <w:rsid w:val="00651B35"/>
    <w:rsid w:val="0065260E"/>
    <w:rsid w:val="00652A97"/>
    <w:rsid w:val="00653883"/>
    <w:rsid w:val="0065393B"/>
    <w:rsid w:val="00653E8B"/>
    <w:rsid w:val="00654392"/>
    <w:rsid w:val="006545D9"/>
    <w:rsid w:val="0065475C"/>
    <w:rsid w:val="006547A8"/>
    <w:rsid w:val="006548BA"/>
    <w:rsid w:val="00654D07"/>
    <w:rsid w:val="00654D42"/>
    <w:rsid w:val="00654F2B"/>
    <w:rsid w:val="00654FC1"/>
    <w:rsid w:val="006553F9"/>
    <w:rsid w:val="006557AB"/>
    <w:rsid w:val="00655825"/>
    <w:rsid w:val="00655882"/>
    <w:rsid w:val="00655B15"/>
    <w:rsid w:val="00655D9C"/>
    <w:rsid w:val="006562C5"/>
    <w:rsid w:val="006563E6"/>
    <w:rsid w:val="00656591"/>
    <w:rsid w:val="006565BF"/>
    <w:rsid w:val="00656649"/>
    <w:rsid w:val="00656F5E"/>
    <w:rsid w:val="00656F8A"/>
    <w:rsid w:val="006574C6"/>
    <w:rsid w:val="006575DF"/>
    <w:rsid w:val="00657A3E"/>
    <w:rsid w:val="00657AD4"/>
    <w:rsid w:val="00657C72"/>
    <w:rsid w:val="00657FF4"/>
    <w:rsid w:val="006601A0"/>
    <w:rsid w:val="0066026F"/>
    <w:rsid w:val="00660791"/>
    <w:rsid w:val="006607B3"/>
    <w:rsid w:val="006607CD"/>
    <w:rsid w:val="006608B2"/>
    <w:rsid w:val="00660A58"/>
    <w:rsid w:val="00660A90"/>
    <w:rsid w:val="00660E60"/>
    <w:rsid w:val="00660E8A"/>
    <w:rsid w:val="00661024"/>
    <w:rsid w:val="0066118B"/>
    <w:rsid w:val="0066131D"/>
    <w:rsid w:val="006616F7"/>
    <w:rsid w:val="006617AD"/>
    <w:rsid w:val="00661B58"/>
    <w:rsid w:val="00661C86"/>
    <w:rsid w:val="0066223C"/>
    <w:rsid w:val="00662268"/>
    <w:rsid w:val="006624A0"/>
    <w:rsid w:val="00662827"/>
    <w:rsid w:val="0066284D"/>
    <w:rsid w:val="00662AEB"/>
    <w:rsid w:val="00662B68"/>
    <w:rsid w:val="00663598"/>
    <w:rsid w:val="006635E3"/>
    <w:rsid w:val="00663795"/>
    <w:rsid w:val="00663C15"/>
    <w:rsid w:val="00663DF2"/>
    <w:rsid w:val="00663ECB"/>
    <w:rsid w:val="0066401D"/>
    <w:rsid w:val="006642AA"/>
    <w:rsid w:val="0066455C"/>
    <w:rsid w:val="00664955"/>
    <w:rsid w:val="00664CA5"/>
    <w:rsid w:val="00664EEF"/>
    <w:rsid w:val="00665054"/>
    <w:rsid w:val="00665785"/>
    <w:rsid w:val="006658A8"/>
    <w:rsid w:val="00666253"/>
    <w:rsid w:val="006664ED"/>
    <w:rsid w:val="00666942"/>
    <w:rsid w:val="00666E02"/>
    <w:rsid w:val="00666E91"/>
    <w:rsid w:val="00667099"/>
    <w:rsid w:val="006670CC"/>
    <w:rsid w:val="006670FF"/>
    <w:rsid w:val="006673BF"/>
    <w:rsid w:val="00667595"/>
    <w:rsid w:val="00667628"/>
    <w:rsid w:val="006677E9"/>
    <w:rsid w:val="00667E29"/>
    <w:rsid w:val="006701E5"/>
    <w:rsid w:val="0067025D"/>
    <w:rsid w:val="00670571"/>
    <w:rsid w:val="00670680"/>
    <w:rsid w:val="006709B4"/>
    <w:rsid w:val="00670AA3"/>
    <w:rsid w:val="00670E3E"/>
    <w:rsid w:val="006710B6"/>
    <w:rsid w:val="006710E7"/>
    <w:rsid w:val="006713FD"/>
    <w:rsid w:val="0067153B"/>
    <w:rsid w:val="0067175C"/>
    <w:rsid w:val="0067185F"/>
    <w:rsid w:val="006719BC"/>
    <w:rsid w:val="00671B92"/>
    <w:rsid w:val="00672059"/>
    <w:rsid w:val="006720A1"/>
    <w:rsid w:val="0067250B"/>
    <w:rsid w:val="00672987"/>
    <w:rsid w:val="00672FB7"/>
    <w:rsid w:val="0067316B"/>
    <w:rsid w:val="006732D9"/>
    <w:rsid w:val="00673335"/>
    <w:rsid w:val="0067350B"/>
    <w:rsid w:val="0067373C"/>
    <w:rsid w:val="00673CD9"/>
    <w:rsid w:val="00673CDE"/>
    <w:rsid w:val="006741B3"/>
    <w:rsid w:val="006746DF"/>
    <w:rsid w:val="00674ACC"/>
    <w:rsid w:val="00674DB5"/>
    <w:rsid w:val="006752C2"/>
    <w:rsid w:val="006752E7"/>
    <w:rsid w:val="0067544F"/>
    <w:rsid w:val="00675560"/>
    <w:rsid w:val="006756AE"/>
    <w:rsid w:val="00675961"/>
    <w:rsid w:val="00675B36"/>
    <w:rsid w:val="00675D89"/>
    <w:rsid w:val="00675E20"/>
    <w:rsid w:val="00675E7F"/>
    <w:rsid w:val="00676518"/>
    <w:rsid w:val="0067658B"/>
    <w:rsid w:val="00676AE3"/>
    <w:rsid w:val="00676CFB"/>
    <w:rsid w:val="00676F59"/>
    <w:rsid w:val="0067730F"/>
    <w:rsid w:val="00677362"/>
    <w:rsid w:val="00677832"/>
    <w:rsid w:val="00677AE3"/>
    <w:rsid w:val="00677CB4"/>
    <w:rsid w:val="00677EC2"/>
    <w:rsid w:val="006801CE"/>
    <w:rsid w:val="006804A2"/>
    <w:rsid w:val="0068073F"/>
    <w:rsid w:val="00680868"/>
    <w:rsid w:val="006808E0"/>
    <w:rsid w:val="00680FC5"/>
    <w:rsid w:val="006813FB"/>
    <w:rsid w:val="00681B5E"/>
    <w:rsid w:val="00681B7C"/>
    <w:rsid w:val="00681D67"/>
    <w:rsid w:val="00681F46"/>
    <w:rsid w:val="006824C4"/>
    <w:rsid w:val="006828A0"/>
    <w:rsid w:val="00682A2A"/>
    <w:rsid w:val="00683477"/>
    <w:rsid w:val="00683593"/>
    <w:rsid w:val="006836C1"/>
    <w:rsid w:val="00683A81"/>
    <w:rsid w:val="00683B79"/>
    <w:rsid w:val="00683D53"/>
    <w:rsid w:val="00683E28"/>
    <w:rsid w:val="00683EBB"/>
    <w:rsid w:val="00684309"/>
    <w:rsid w:val="006846FF"/>
    <w:rsid w:val="006847EC"/>
    <w:rsid w:val="006848B5"/>
    <w:rsid w:val="00684ACB"/>
    <w:rsid w:val="00684DAB"/>
    <w:rsid w:val="00684F6D"/>
    <w:rsid w:val="006852EC"/>
    <w:rsid w:val="0068563F"/>
    <w:rsid w:val="00685A31"/>
    <w:rsid w:val="00685A3B"/>
    <w:rsid w:val="00685CDE"/>
    <w:rsid w:val="0068601F"/>
    <w:rsid w:val="00686508"/>
    <w:rsid w:val="00686AAA"/>
    <w:rsid w:val="00686CDE"/>
    <w:rsid w:val="006879FE"/>
    <w:rsid w:val="00687E97"/>
    <w:rsid w:val="006901DF"/>
    <w:rsid w:val="00690C39"/>
    <w:rsid w:val="00690E65"/>
    <w:rsid w:val="00691760"/>
    <w:rsid w:val="00691C30"/>
    <w:rsid w:val="006920B0"/>
    <w:rsid w:val="006921B3"/>
    <w:rsid w:val="00692591"/>
    <w:rsid w:val="006927B1"/>
    <w:rsid w:val="0069289E"/>
    <w:rsid w:val="00692C29"/>
    <w:rsid w:val="00692CC1"/>
    <w:rsid w:val="00692EBF"/>
    <w:rsid w:val="00693360"/>
    <w:rsid w:val="00693C02"/>
    <w:rsid w:val="00693F9A"/>
    <w:rsid w:val="00694610"/>
    <w:rsid w:val="00694656"/>
    <w:rsid w:val="00694975"/>
    <w:rsid w:val="006951B6"/>
    <w:rsid w:val="0069526F"/>
    <w:rsid w:val="00695B0E"/>
    <w:rsid w:val="00695C76"/>
    <w:rsid w:val="00695CBB"/>
    <w:rsid w:val="006960EB"/>
    <w:rsid w:val="006967D3"/>
    <w:rsid w:val="00696871"/>
    <w:rsid w:val="00696A76"/>
    <w:rsid w:val="00696BBD"/>
    <w:rsid w:val="00696CDB"/>
    <w:rsid w:val="00697142"/>
    <w:rsid w:val="0069760B"/>
    <w:rsid w:val="006978AB"/>
    <w:rsid w:val="00697ABE"/>
    <w:rsid w:val="00697D0A"/>
    <w:rsid w:val="00697FFD"/>
    <w:rsid w:val="006A01C3"/>
    <w:rsid w:val="006A0540"/>
    <w:rsid w:val="006A071B"/>
    <w:rsid w:val="006A0743"/>
    <w:rsid w:val="006A074E"/>
    <w:rsid w:val="006A08DF"/>
    <w:rsid w:val="006A08E8"/>
    <w:rsid w:val="006A0BE3"/>
    <w:rsid w:val="006A0CE3"/>
    <w:rsid w:val="006A0F1E"/>
    <w:rsid w:val="006A107E"/>
    <w:rsid w:val="006A10ED"/>
    <w:rsid w:val="006A1118"/>
    <w:rsid w:val="006A11E9"/>
    <w:rsid w:val="006A123C"/>
    <w:rsid w:val="006A1344"/>
    <w:rsid w:val="006A15B2"/>
    <w:rsid w:val="006A16BD"/>
    <w:rsid w:val="006A1868"/>
    <w:rsid w:val="006A1C48"/>
    <w:rsid w:val="006A23CC"/>
    <w:rsid w:val="006A28D6"/>
    <w:rsid w:val="006A296D"/>
    <w:rsid w:val="006A2AA9"/>
    <w:rsid w:val="006A2B73"/>
    <w:rsid w:val="006A2B93"/>
    <w:rsid w:val="006A2E71"/>
    <w:rsid w:val="006A3197"/>
    <w:rsid w:val="006A3370"/>
    <w:rsid w:val="006A37E5"/>
    <w:rsid w:val="006A3A9D"/>
    <w:rsid w:val="006A3B7D"/>
    <w:rsid w:val="006A3B91"/>
    <w:rsid w:val="006A3CA2"/>
    <w:rsid w:val="006A4243"/>
    <w:rsid w:val="006A4594"/>
    <w:rsid w:val="006A4655"/>
    <w:rsid w:val="006A4F51"/>
    <w:rsid w:val="006A4F68"/>
    <w:rsid w:val="006A53BB"/>
    <w:rsid w:val="006A57F9"/>
    <w:rsid w:val="006A580D"/>
    <w:rsid w:val="006A590A"/>
    <w:rsid w:val="006A5BB8"/>
    <w:rsid w:val="006A5C23"/>
    <w:rsid w:val="006A5D6A"/>
    <w:rsid w:val="006A5DE4"/>
    <w:rsid w:val="006A6090"/>
    <w:rsid w:val="006A609C"/>
    <w:rsid w:val="006A67B8"/>
    <w:rsid w:val="006A6913"/>
    <w:rsid w:val="006A6921"/>
    <w:rsid w:val="006A69A6"/>
    <w:rsid w:val="006A6A79"/>
    <w:rsid w:val="006A6B02"/>
    <w:rsid w:val="006A6D4F"/>
    <w:rsid w:val="006A7086"/>
    <w:rsid w:val="006A73D6"/>
    <w:rsid w:val="006A7758"/>
    <w:rsid w:val="006A7837"/>
    <w:rsid w:val="006A7A5C"/>
    <w:rsid w:val="006A7C1D"/>
    <w:rsid w:val="006A7F48"/>
    <w:rsid w:val="006A7F9F"/>
    <w:rsid w:val="006B0128"/>
    <w:rsid w:val="006B02F2"/>
    <w:rsid w:val="006B05B1"/>
    <w:rsid w:val="006B072D"/>
    <w:rsid w:val="006B0772"/>
    <w:rsid w:val="006B0A9C"/>
    <w:rsid w:val="006B0B8A"/>
    <w:rsid w:val="006B0E87"/>
    <w:rsid w:val="006B0EAF"/>
    <w:rsid w:val="006B1475"/>
    <w:rsid w:val="006B1B3B"/>
    <w:rsid w:val="006B1C25"/>
    <w:rsid w:val="006B242F"/>
    <w:rsid w:val="006B25CD"/>
    <w:rsid w:val="006B26E5"/>
    <w:rsid w:val="006B274C"/>
    <w:rsid w:val="006B27CC"/>
    <w:rsid w:val="006B2AFC"/>
    <w:rsid w:val="006B2B3C"/>
    <w:rsid w:val="006B3050"/>
    <w:rsid w:val="006B32E7"/>
    <w:rsid w:val="006B3531"/>
    <w:rsid w:val="006B3603"/>
    <w:rsid w:val="006B3638"/>
    <w:rsid w:val="006B3736"/>
    <w:rsid w:val="006B38B0"/>
    <w:rsid w:val="006B38E5"/>
    <w:rsid w:val="006B38FB"/>
    <w:rsid w:val="006B3CA4"/>
    <w:rsid w:val="006B3CBF"/>
    <w:rsid w:val="006B48BA"/>
    <w:rsid w:val="006B49D3"/>
    <w:rsid w:val="006B4B2D"/>
    <w:rsid w:val="006B4E60"/>
    <w:rsid w:val="006B520F"/>
    <w:rsid w:val="006B54DE"/>
    <w:rsid w:val="006B574F"/>
    <w:rsid w:val="006B59DF"/>
    <w:rsid w:val="006B5D9F"/>
    <w:rsid w:val="006B65FE"/>
    <w:rsid w:val="006B680C"/>
    <w:rsid w:val="006B69D1"/>
    <w:rsid w:val="006B6C12"/>
    <w:rsid w:val="006B6D01"/>
    <w:rsid w:val="006B7268"/>
    <w:rsid w:val="006B7412"/>
    <w:rsid w:val="006B7453"/>
    <w:rsid w:val="006B749A"/>
    <w:rsid w:val="006B75F9"/>
    <w:rsid w:val="006B79AD"/>
    <w:rsid w:val="006B79B6"/>
    <w:rsid w:val="006B7A8A"/>
    <w:rsid w:val="006B7CEF"/>
    <w:rsid w:val="006C001B"/>
    <w:rsid w:val="006C002B"/>
    <w:rsid w:val="006C0285"/>
    <w:rsid w:val="006C092E"/>
    <w:rsid w:val="006C0962"/>
    <w:rsid w:val="006C0B13"/>
    <w:rsid w:val="006C0B7E"/>
    <w:rsid w:val="006C0C5E"/>
    <w:rsid w:val="006C126C"/>
    <w:rsid w:val="006C1492"/>
    <w:rsid w:val="006C1999"/>
    <w:rsid w:val="006C19C5"/>
    <w:rsid w:val="006C1BBE"/>
    <w:rsid w:val="006C1D81"/>
    <w:rsid w:val="006C1F8F"/>
    <w:rsid w:val="006C2314"/>
    <w:rsid w:val="006C2473"/>
    <w:rsid w:val="006C27B4"/>
    <w:rsid w:val="006C29C0"/>
    <w:rsid w:val="006C2A41"/>
    <w:rsid w:val="006C339F"/>
    <w:rsid w:val="006C33C6"/>
    <w:rsid w:val="006C3653"/>
    <w:rsid w:val="006C3667"/>
    <w:rsid w:val="006C3689"/>
    <w:rsid w:val="006C392E"/>
    <w:rsid w:val="006C3C33"/>
    <w:rsid w:val="006C3E69"/>
    <w:rsid w:val="006C4FB7"/>
    <w:rsid w:val="006C51AF"/>
    <w:rsid w:val="006C5202"/>
    <w:rsid w:val="006C5367"/>
    <w:rsid w:val="006C556E"/>
    <w:rsid w:val="006C55F1"/>
    <w:rsid w:val="006C5674"/>
    <w:rsid w:val="006C57CC"/>
    <w:rsid w:val="006C5AB1"/>
    <w:rsid w:val="006C5AE3"/>
    <w:rsid w:val="006C5C01"/>
    <w:rsid w:val="006C5FAD"/>
    <w:rsid w:val="006C6203"/>
    <w:rsid w:val="006C630C"/>
    <w:rsid w:val="006C6CFA"/>
    <w:rsid w:val="006C6DCA"/>
    <w:rsid w:val="006C7038"/>
    <w:rsid w:val="006C741E"/>
    <w:rsid w:val="006C746D"/>
    <w:rsid w:val="006C7696"/>
    <w:rsid w:val="006C77EE"/>
    <w:rsid w:val="006C782E"/>
    <w:rsid w:val="006C792B"/>
    <w:rsid w:val="006D0195"/>
    <w:rsid w:val="006D0544"/>
    <w:rsid w:val="006D093F"/>
    <w:rsid w:val="006D0BD7"/>
    <w:rsid w:val="006D0D26"/>
    <w:rsid w:val="006D1104"/>
    <w:rsid w:val="006D1217"/>
    <w:rsid w:val="006D1240"/>
    <w:rsid w:val="006D138F"/>
    <w:rsid w:val="006D139E"/>
    <w:rsid w:val="006D162B"/>
    <w:rsid w:val="006D1732"/>
    <w:rsid w:val="006D1957"/>
    <w:rsid w:val="006D1983"/>
    <w:rsid w:val="006D1D54"/>
    <w:rsid w:val="006D1E99"/>
    <w:rsid w:val="006D2261"/>
    <w:rsid w:val="006D24E3"/>
    <w:rsid w:val="006D2547"/>
    <w:rsid w:val="006D28E8"/>
    <w:rsid w:val="006D31DE"/>
    <w:rsid w:val="006D32A5"/>
    <w:rsid w:val="006D362B"/>
    <w:rsid w:val="006D3644"/>
    <w:rsid w:val="006D3761"/>
    <w:rsid w:val="006D3923"/>
    <w:rsid w:val="006D3E4F"/>
    <w:rsid w:val="006D3E9A"/>
    <w:rsid w:val="006D3EEC"/>
    <w:rsid w:val="006D421D"/>
    <w:rsid w:val="006D4BF2"/>
    <w:rsid w:val="006D505A"/>
    <w:rsid w:val="006D5787"/>
    <w:rsid w:val="006D60AE"/>
    <w:rsid w:val="006D6118"/>
    <w:rsid w:val="006D65CB"/>
    <w:rsid w:val="006D6D20"/>
    <w:rsid w:val="006D7275"/>
    <w:rsid w:val="006D72F1"/>
    <w:rsid w:val="006D7313"/>
    <w:rsid w:val="006D73D1"/>
    <w:rsid w:val="006D742D"/>
    <w:rsid w:val="006D753F"/>
    <w:rsid w:val="006D7591"/>
    <w:rsid w:val="006D7C61"/>
    <w:rsid w:val="006D7CBE"/>
    <w:rsid w:val="006E01C4"/>
    <w:rsid w:val="006E034B"/>
    <w:rsid w:val="006E056D"/>
    <w:rsid w:val="006E06DC"/>
    <w:rsid w:val="006E0A85"/>
    <w:rsid w:val="006E0F03"/>
    <w:rsid w:val="006E111A"/>
    <w:rsid w:val="006E1241"/>
    <w:rsid w:val="006E1314"/>
    <w:rsid w:val="006E1402"/>
    <w:rsid w:val="006E154D"/>
    <w:rsid w:val="006E1889"/>
    <w:rsid w:val="006E1C72"/>
    <w:rsid w:val="006E1EDA"/>
    <w:rsid w:val="006E2325"/>
    <w:rsid w:val="006E2492"/>
    <w:rsid w:val="006E261D"/>
    <w:rsid w:val="006E2A48"/>
    <w:rsid w:val="006E2B35"/>
    <w:rsid w:val="006E2BA2"/>
    <w:rsid w:val="006E2C0B"/>
    <w:rsid w:val="006E3BA0"/>
    <w:rsid w:val="006E4118"/>
    <w:rsid w:val="006E44B0"/>
    <w:rsid w:val="006E44E3"/>
    <w:rsid w:val="006E4605"/>
    <w:rsid w:val="006E4884"/>
    <w:rsid w:val="006E4D63"/>
    <w:rsid w:val="006E4DF5"/>
    <w:rsid w:val="006E559E"/>
    <w:rsid w:val="006E5E82"/>
    <w:rsid w:val="006E5FE1"/>
    <w:rsid w:val="006E6A0F"/>
    <w:rsid w:val="006E703B"/>
    <w:rsid w:val="006E7071"/>
    <w:rsid w:val="006E7155"/>
    <w:rsid w:val="006E71F3"/>
    <w:rsid w:val="006E7208"/>
    <w:rsid w:val="006E73EF"/>
    <w:rsid w:val="006E767B"/>
    <w:rsid w:val="006E76F5"/>
    <w:rsid w:val="006E798F"/>
    <w:rsid w:val="006E7C88"/>
    <w:rsid w:val="006E7E31"/>
    <w:rsid w:val="006F0168"/>
    <w:rsid w:val="006F0191"/>
    <w:rsid w:val="006F02CB"/>
    <w:rsid w:val="006F0632"/>
    <w:rsid w:val="006F0889"/>
    <w:rsid w:val="006F08CC"/>
    <w:rsid w:val="006F09C1"/>
    <w:rsid w:val="006F0A41"/>
    <w:rsid w:val="006F0BF1"/>
    <w:rsid w:val="006F0E70"/>
    <w:rsid w:val="006F0ED2"/>
    <w:rsid w:val="006F10D6"/>
    <w:rsid w:val="006F124E"/>
    <w:rsid w:val="006F12FE"/>
    <w:rsid w:val="006F1547"/>
    <w:rsid w:val="006F181F"/>
    <w:rsid w:val="006F1CBD"/>
    <w:rsid w:val="006F1F55"/>
    <w:rsid w:val="006F1FF3"/>
    <w:rsid w:val="006F23D8"/>
    <w:rsid w:val="006F2636"/>
    <w:rsid w:val="006F2847"/>
    <w:rsid w:val="006F2851"/>
    <w:rsid w:val="006F2BB3"/>
    <w:rsid w:val="006F30B0"/>
    <w:rsid w:val="006F32BD"/>
    <w:rsid w:val="006F365D"/>
    <w:rsid w:val="006F38FB"/>
    <w:rsid w:val="006F3C04"/>
    <w:rsid w:val="006F4046"/>
    <w:rsid w:val="006F435D"/>
    <w:rsid w:val="006F44BF"/>
    <w:rsid w:val="006F489B"/>
    <w:rsid w:val="006F4C10"/>
    <w:rsid w:val="006F4DA6"/>
    <w:rsid w:val="006F4E22"/>
    <w:rsid w:val="006F561E"/>
    <w:rsid w:val="006F582C"/>
    <w:rsid w:val="006F583C"/>
    <w:rsid w:val="006F596F"/>
    <w:rsid w:val="006F5B44"/>
    <w:rsid w:val="006F5DAB"/>
    <w:rsid w:val="006F62F0"/>
    <w:rsid w:val="006F64DF"/>
    <w:rsid w:val="006F6654"/>
    <w:rsid w:val="006F78DE"/>
    <w:rsid w:val="006F7949"/>
    <w:rsid w:val="006F7C4A"/>
    <w:rsid w:val="006F7FD9"/>
    <w:rsid w:val="00700615"/>
    <w:rsid w:val="0070097E"/>
    <w:rsid w:val="00700BB7"/>
    <w:rsid w:val="00700ED8"/>
    <w:rsid w:val="00700F71"/>
    <w:rsid w:val="00700F79"/>
    <w:rsid w:val="0070118D"/>
    <w:rsid w:val="007014E5"/>
    <w:rsid w:val="00701573"/>
    <w:rsid w:val="007017D8"/>
    <w:rsid w:val="0070184C"/>
    <w:rsid w:val="0070184E"/>
    <w:rsid w:val="00701971"/>
    <w:rsid w:val="00702525"/>
    <w:rsid w:val="0070303F"/>
    <w:rsid w:val="00703853"/>
    <w:rsid w:val="00703BBE"/>
    <w:rsid w:val="00703CDD"/>
    <w:rsid w:val="00703EEE"/>
    <w:rsid w:val="0070437E"/>
    <w:rsid w:val="0070472C"/>
    <w:rsid w:val="00704843"/>
    <w:rsid w:val="007048BC"/>
    <w:rsid w:val="00704C97"/>
    <w:rsid w:val="00704FE3"/>
    <w:rsid w:val="00705312"/>
    <w:rsid w:val="0070551F"/>
    <w:rsid w:val="00705610"/>
    <w:rsid w:val="007058F0"/>
    <w:rsid w:val="0070628F"/>
    <w:rsid w:val="007068B1"/>
    <w:rsid w:val="00706908"/>
    <w:rsid w:val="00706B3D"/>
    <w:rsid w:val="0070707A"/>
    <w:rsid w:val="007070A4"/>
    <w:rsid w:val="007072B4"/>
    <w:rsid w:val="00707500"/>
    <w:rsid w:val="007079C9"/>
    <w:rsid w:val="00707C00"/>
    <w:rsid w:val="00710125"/>
    <w:rsid w:val="0071016B"/>
    <w:rsid w:val="0071069B"/>
    <w:rsid w:val="00710844"/>
    <w:rsid w:val="00710A8F"/>
    <w:rsid w:val="00711065"/>
    <w:rsid w:val="0071147D"/>
    <w:rsid w:val="00711819"/>
    <w:rsid w:val="00711CDD"/>
    <w:rsid w:val="00711E4C"/>
    <w:rsid w:val="00711E80"/>
    <w:rsid w:val="007122A6"/>
    <w:rsid w:val="00712343"/>
    <w:rsid w:val="00712723"/>
    <w:rsid w:val="00712A3D"/>
    <w:rsid w:val="00712BDD"/>
    <w:rsid w:val="00712F13"/>
    <w:rsid w:val="007133BA"/>
    <w:rsid w:val="00713625"/>
    <w:rsid w:val="007136A2"/>
    <w:rsid w:val="00713825"/>
    <w:rsid w:val="007146FC"/>
    <w:rsid w:val="00714A03"/>
    <w:rsid w:val="00714D4D"/>
    <w:rsid w:val="00714E1A"/>
    <w:rsid w:val="00714E56"/>
    <w:rsid w:val="00714F50"/>
    <w:rsid w:val="0071526E"/>
    <w:rsid w:val="007153D0"/>
    <w:rsid w:val="0071551B"/>
    <w:rsid w:val="0071594E"/>
    <w:rsid w:val="00715A0E"/>
    <w:rsid w:val="0071601A"/>
    <w:rsid w:val="00716131"/>
    <w:rsid w:val="00716666"/>
    <w:rsid w:val="0071697F"/>
    <w:rsid w:val="00716F2B"/>
    <w:rsid w:val="00717035"/>
    <w:rsid w:val="0071715D"/>
    <w:rsid w:val="0071719E"/>
    <w:rsid w:val="00717508"/>
    <w:rsid w:val="0071771F"/>
    <w:rsid w:val="007177F2"/>
    <w:rsid w:val="00717AD2"/>
    <w:rsid w:val="00717EDC"/>
    <w:rsid w:val="00720072"/>
    <w:rsid w:val="007208EA"/>
    <w:rsid w:val="00720951"/>
    <w:rsid w:val="00720994"/>
    <w:rsid w:val="007209D9"/>
    <w:rsid w:val="00720AE2"/>
    <w:rsid w:val="00720C96"/>
    <w:rsid w:val="00720ECA"/>
    <w:rsid w:val="00721067"/>
    <w:rsid w:val="0072141B"/>
    <w:rsid w:val="00721D99"/>
    <w:rsid w:val="007220AB"/>
    <w:rsid w:val="00722163"/>
    <w:rsid w:val="007221A5"/>
    <w:rsid w:val="00722266"/>
    <w:rsid w:val="0072301A"/>
    <w:rsid w:val="00723651"/>
    <w:rsid w:val="00723BC9"/>
    <w:rsid w:val="00724339"/>
    <w:rsid w:val="007245A6"/>
    <w:rsid w:val="00724750"/>
    <w:rsid w:val="00724AD7"/>
    <w:rsid w:val="00724E40"/>
    <w:rsid w:val="007250F0"/>
    <w:rsid w:val="007251DB"/>
    <w:rsid w:val="00725237"/>
    <w:rsid w:val="0072536F"/>
    <w:rsid w:val="00725375"/>
    <w:rsid w:val="00725C21"/>
    <w:rsid w:val="007260A3"/>
    <w:rsid w:val="0072618B"/>
    <w:rsid w:val="007261EB"/>
    <w:rsid w:val="007262E4"/>
    <w:rsid w:val="00726553"/>
    <w:rsid w:val="007266D3"/>
    <w:rsid w:val="007267C4"/>
    <w:rsid w:val="00726CA2"/>
    <w:rsid w:val="00726DCE"/>
    <w:rsid w:val="00726DFD"/>
    <w:rsid w:val="00726FC7"/>
    <w:rsid w:val="00726FC8"/>
    <w:rsid w:val="0072707B"/>
    <w:rsid w:val="007274AC"/>
    <w:rsid w:val="00727BF9"/>
    <w:rsid w:val="00727CBC"/>
    <w:rsid w:val="00727D04"/>
    <w:rsid w:val="00727D52"/>
    <w:rsid w:val="00727EDF"/>
    <w:rsid w:val="0073004C"/>
    <w:rsid w:val="0073090A"/>
    <w:rsid w:val="00730AA6"/>
    <w:rsid w:val="00730B76"/>
    <w:rsid w:val="00730C19"/>
    <w:rsid w:val="00730E08"/>
    <w:rsid w:val="00730F7C"/>
    <w:rsid w:val="00731271"/>
    <w:rsid w:val="007315AD"/>
    <w:rsid w:val="007316B5"/>
    <w:rsid w:val="0073183D"/>
    <w:rsid w:val="007318ED"/>
    <w:rsid w:val="007319AB"/>
    <w:rsid w:val="00731BD7"/>
    <w:rsid w:val="00732029"/>
    <w:rsid w:val="0073204B"/>
    <w:rsid w:val="00732123"/>
    <w:rsid w:val="0073224C"/>
    <w:rsid w:val="00732457"/>
    <w:rsid w:val="00732516"/>
    <w:rsid w:val="00732630"/>
    <w:rsid w:val="0073288C"/>
    <w:rsid w:val="007328B4"/>
    <w:rsid w:val="00733062"/>
    <w:rsid w:val="00733263"/>
    <w:rsid w:val="007335E2"/>
    <w:rsid w:val="007335E9"/>
    <w:rsid w:val="007335F2"/>
    <w:rsid w:val="00733761"/>
    <w:rsid w:val="00733795"/>
    <w:rsid w:val="007339A5"/>
    <w:rsid w:val="00733A88"/>
    <w:rsid w:val="007341B6"/>
    <w:rsid w:val="0073430D"/>
    <w:rsid w:val="00734548"/>
    <w:rsid w:val="00734682"/>
    <w:rsid w:val="00734CD4"/>
    <w:rsid w:val="00734CF0"/>
    <w:rsid w:val="00735406"/>
    <w:rsid w:val="007356C0"/>
    <w:rsid w:val="0073577D"/>
    <w:rsid w:val="00735917"/>
    <w:rsid w:val="00735A60"/>
    <w:rsid w:val="00735A8F"/>
    <w:rsid w:val="00735F9F"/>
    <w:rsid w:val="00736650"/>
    <w:rsid w:val="00736776"/>
    <w:rsid w:val="00736B09"/>
    <w:rsid w:val="00736C39"/>
    <w:rsid w:val="00737115"/>
    <w:rsid w:val="00737320"/>
    <w:rsid w:val="0073744C"/>
    <w:rsid w:val="007374A8"/>
    <w:rsid w:val="0073756E"/>
    <w:rsid w:val="00737BCA"/>
    <w:rsid w:val="00740001"/>
    <w:rsid w:val="0074005B"/>
    <w:rsid w:val="0074044D"/>
    <w:rsid w:val="0074054A"/>
    <w:rsid w:val="00740907"/>
    <w:rsid w:val="00740B6F"/>
    <w:rsid w:val="0074100B"/>
    <w:rsid w:val="00741462"/>
    <w:rsid w:val="007414E1"/>
    <w:rsid w:val="00741898"/>
    <w:rsid w:val="00741E56"/>
    <w:rsid w:val="00741F65"/>
    <w:rsid w:val="00741F9E"/>
    <w:rsid w:val="0074219B"/>
    <w:rsid w:val="007421BA"/>
    <w:rsid w:val="0074220D"/>
    <w:rsid w:val="007429ED"/>
    <w:rsid w:val="007429F9"/>
    <w:rsid w:val="00742BB0"/>
    <w:rsid w:val="00742D14"/>
    <w:rsid w:val="00742D5F"/>
    <w:rsid w:val="00742E03"/>
    <w:rsid w:val="00742FCE"/>
    <w:rsid w:val="00743378"/>
    <w:rsid w:val="00743ABB"/>
    <w:rsid w:val="00743AF0"/>
    <w:rsid w:val="00743CA8"/>
    <w:rsid w:val="00743E9E"/>
    <w:rsid w:val="00743F26"/>
    <w:rsid w:val="007441C6"/>
    <w:rsid w:val="00744408"/>
    <w:rsid w:val="00744723"/>
    <w:rsid w:val="00744961"/>
    <w:rsid w:val="00744CBA"/>
    <w:rsid w:val="00744F56"/>
    <w:rsid w:val="007451A9"/>
    <w:rsid w:val="007451F6"/>
    <w:rsid w:val="0074598C"/>
    <w:rsid w:val="00745D0D"/>
    <w:rsid w:val="0074601F"/>
    <w:rsid w:val="0074628C"/>
    <w:rsid w:val="007462D5"/>
    <w:rsid w:val="007462DB"/>
    <w:rsid w:val="0074647F"/>
    <w:rsid w:val="00746507"/>
    <w:rsid w:val="00746546"/>
    <w:rsid w:val="0074664E"/>
    <w:rsid w:val="007466B6"/>
    <w:rsid w:val="00746811"/>
    <w:rsid w:val="00746B94"/>
    <w:rsid w:val="00746C6C"/>
    <w:rsid w:val="00746F72"/>
    <w:rsid w:val="007472AC"/>
    <w:rsid w:val="0074753B"/>
    <w:rsid w:val="00747552"/>
    <w:rsid w:val="00747AB6"/>
    <w:rsid w:val="00747F3C"/>
    <w:rsid w:val="00750376"/>
    <w:rsid w:val="007504A0"/>
    <w:rsid w:val="007505D7"/>
    <w:rsid w:val="00750BC8"/>
    <w:rsid w:val="0075123C"/>
    <w:rsid w:val="00751333"/>
    <w:rsid w:val="007513AA"/>
    <w:rsid w:val="00751496"/>
    <w:rsid w:val="0075172F"/>
    <w:rsid w:val="007518E2"/>
    <w:rsid w:val="00751B98"/>
    <w:rsid w:val="00751D2B"/>
    <w:rsid w:val="00751D6C"/>
    <w:rsid w:val="00752094"/>
    <w:rsid w:val="0075218B"/>
    <w:rsid w:val="00752715"/>
    <w:rsid w:val="0075276C"/>
    <w:rsid w:val="007527B6"/>
    <w:rsid w:val="00752934"/>
    <w:rsid w:val="00752E32"/>
    <w:rsid w:val="00753179"/>
    <w:rsid w:val="00753555"/>
    <w:rsid w:val="007535CC"/>
    <w:rsid w:val="0075361C"/>
    <w:rsid w:val="007538C7"/>
    <w:rsid w:val="00753A30"/>
    <w:rsid w:val="00753E89"/>
    <w:rsid w:val="00753ED6"/>
    <w:rsid w:val="007549C6"/>
    <w:rsid w:val="007549E0"/>
    <w:rsid w:val="00755318"/>
    <w:rsid w:val="007554E9"/>
    <w:rsid w:val="00755948"/>
    <w:rsid w:val="00755B6B"/>
    <w:rsid w:val="00755DAE"/>
    <w:rsid w:val="00756478"/>
    <w:rsid w:val="0075658A"/>
    <w:rsid w:val="007566D4"/>
    <w:rsid w:val="007566F5"/>
    <w:rsid w:val="007569B8"/>
    <w:rsid w:val="007569D2"/>
    <w:rsid w:val="00756D7B"/>
    <w:rsid w:val="00756DB5"/>
    <w:rsid w:val="00756EAA"/>
    <w:rsid w:val="00756F56"/>
    <w:rsid w:val="00756FB7"/>
    <w:rsid w:val="00756FFC"/>
    <w:rsid w:val="007575CC"/>
    <w:rsid w:val="0075763E"/>
    <w:rsid w:val="00757840"/>
    <w:rsid w:val="00757A49"/>
    <w:rsid w:val="007601D7"/>
    <w:rsid w:val="007604BB"/>
    <w:rsid w:val="007606DF"/>
    <w:rsid w:val="007608ED"/>
    <w:rsid w:val="00760958"/>
    <w:rsid w:val="00761361"/>
    <w:rsid w:val="00761457"/>
    <w:rsid w:val="00761486"/>
    <w:rsid w:val="007619F1"/>
    <w:rsid w:val="00761BD6"/>
    <w:rsid w:val="00762057"/>
    <w:rsid w:val="0076253A"/>
    <w:rsid w:val="00762751"/>
    <w:rsid w:val="007627A1"/>
    <w:rsid w:val="00762D2B"/>
    <w:rsid w:val="00762DC3"/>
    <w:rsid w:val="00762FA3"/>
    <w:rsid w:val="007630B4"/>
    <w:rsid w:val="00763170"/>
    <w:rsid w:val="007631C2"/>
    <w:rsid w:val="00763652"/>
    <w:rsid w:val="007636E9"/>
    <w:rsid w:val="00763A9F"/>
    <w:rsid w:val="007640B0"/>
    <w:rsid w:val="0076481A"/>
    <w:rsid w:val="00764D80"/>
    <w:rsid w:val="00765563"/>
    <w:rsid w:val="00765780"/>
    <w:rsid w:val="00765A77"/>
    <w:rsid w:val="00766433"/>
    <w:rsid w:val="007666C7"/>
    <w:rsid w:val="00766F76"/>
    <w:rsid w:val="0076757F"/>
    <w:rsid w:val="007677EA"/>
    <w:rsid w:val="00767C77"/>
    <w:rsid w:val="00767EC8"/>
    <w:rsid w:val="00767EF2"/>
    <w:rsid w:val="007708EE"/>
    <w:rsid w:val="00770A30"/>
    <w:rsid w:val="00770B14"/>
    <w:rsid w:val="00770B55"/>
    <w:rsid w:val="00770E5B"/>
    <w:rsid w:val="00770EA7"/>
    <w:rsid w:val="00770F2D"/>
    <w:rsid w:val="00770FC8"/>
    <w:rsid w:val="007715C7"/>
    <w:rsid w:val="0077173F"/>
    <w:rsid w:val="007717B5"/>
    <w:rsid w:val="007717CD"/>
    <w:rsid w:val="00771979"/>
    <w:rsid w:val="007719CA"/>
    <w:rsid w:val="00771DEB"/>
    <w:rsid w:val="00771E48"/>
    <w:rsid w:val="0077201C"/>
    <w:rsid w:val="007723FB"/>
    <w:rsid w:val="00772465"/>
    <w:rsid w:val="0077259A"/>
    <w:rsid w:val="00772673"/>
    <w:rsid w:val="00772909"/>
    <w:rsid w:val="00772E17"/>
    <w:rsid w:val="00772E39"/>
    <w:rsid w:val="007730D5"/>
    <w:rsid w:val="00773229"/>
    <w:rsid w:val="00773498"/>
    <w:rsid w:val="007735E1"/>
    <w:rsid w:val="007737D3"/>
    <w:rsid w:val="00774033"/>
    <w:rsid w:val="00774162"/>
    <w:rsid w:val="00774466"/>
    <w:rsid w:val="00774923"/>
    <w:rsid w:val="00774938"/>
    <w:rsid w:val="00774C87"/>
    <w:rsid w:val="00774D7F"/>
    <w:rsid w:val="00774F28"/>
    <w:rsid w:val="007750CE"/>
    <w:rsid w:val="00775607"/>
    <w:rsid w:val="00775AEF"/>
    <w:rsid w:val="00775B81"/>
    <w:rsid w:val="00775C41"/>
    <w:rsid w:val="00775D90"/>
    <w:rsid w:val="00775EEF"/>
    <w:rsid w:val="00776369"/>
    <w:rsid w:val="007763BD"/>
    <w:rsid w:val="00776777"/>
    <w:rsid w:val="00776975"/>
    <w:rsid w:val="007770FC"/>
    <w:rsid w:val="00777128"/>
    <w:rsid w:val="007776BF"/>
    <w:rsid w:val="00777782"/>
    <w:rsid w:val="00777BCD"/>
    <w:rsid w:val="00777EFF"/>
    <w:rsid w:val="007801F8"/>
    <w:rsid w:val="0078096E"/>
    <w:rsid w:val="00780BD0"/>
    <w:rsid w:val="00780BFD"/>
    <w:rsid w:val="00780E3A"/>
    <w:rsid w:val="007810B2"/>
    <w:rsid w:val="007810BA"/>
    <w:rsid w:val="0078139E"/>
    <w:rsid w:val="007815F3"/>
    <w:rsid w:val="00781E0B"/>
    <w:rsid w:val="00781E6E"/>
    <w:rsid w:val="0078218C"/>
    <w:rsid w:val="0078240B"/>
    <w:rsid w:val="00782440"/>
    <w:rsid w:val="007824EF"/>
    <w:rsid w:val="00782573"/>
    <w:rsid w:val="00782BB3"/>
    <w:rsid w:val="00782CEF"/>
    <w:rsid w:val="00782F69"/>
    <w:rsid w:val="0078310F"/>
    <w:rsid w:val="0078340D"/>
    <w:rsid w:val="00783837"/>
    <w:rsid w:val="00783E43"/>
    <w:rsid w:val="00783FBE"/>
    <w:rsid w:val="00784262"/>
    <w:rsid w:val="007846D7"/>
    <w:rsid w:val="00784A33"/>
    <w:rsid w:val="007851DD"/>
    <w:rsid w:val="00785219"/>
    <w:rsid w:val="00785232"/>
    <w:rsid w:val="00785625"/>
    <w:rsid w:val="007857E3"/>
    <w:rsid w:val="007857FB"/>
    <w:rsid w:val="00785DE4"/>
    <w:rsid w:val="00785E2F"/>
    <w:rsid w:val="00785E61"/>
    <w:rsid w:val="007860E9"/>
    <w:rsid w:val="0078612D"/>
    <w:rsid w:val="007863B5"/>
    <w:rsid w:val="007863D1"/>
    <w:rsid w:val="00786775"/>
    <w:rsid w:val="0078679A"/>
    <w:rsid w:val="00786946"/>
    <w:rsid w:val="00786C0F"/>
    <w:rsid w:val="00787017"/>
    <w:rsid w:val="007878A8"/>
    <w:rsid w:val="007879FD"/>
    <w:rsid w:val="00787B69"/>
    <w:rsid w:val="00787B8B"/>
    <w:rsid w:val="00787CC7"/>
    <w:rsid w:val="00787DB5"/>
    <w:rsid w:val="00787DCE"/>
    <w:rsid w:val="00787F2B"/>
    <w:rsid w:val="0079050D"/>
    <w:rsid w:val="007907EF"/>
    <w:rsid w:val="00790B7B"/>
    <w:rsid w:val="007916EF"/>
    <w:rsid w:val="007919C1"/>
    <w:rsid w:val="00791B13"/>
    <w:rsid w:val="00791CDB"/>
    <w:rsid w:val="00791D6C"/>
    <w:rsid w:val="00792195"/>
    <w:rsid w:val="00792237"/>
    <w:rsid w:val="00792879"/>
    <w:rsid w:val="00792D7B"/>
    <w:rsid w:val="00792DAD"/>
    <w:rsid w:val="00792E1E"/>
    <w:rsid w:val="00793460"/>
    <w:rsid w:val="007934A8"/>
    <w:rsid w:val="0079379D"/>
    <w:rsid w:val="007937B7"/>
    <w:rsid w:val="007937DE"/>
    <w:rsid w:val="00793859"/>
    <w:rsid w:val="00793860"/>
    <w:rsid w:val="00793E51"/>
    <w:rsid w:val="00793E7F"/>
    <w:rsid w:val="00794159"/>
    <w:rsid w:val="00794178"/>
    <w:rsid w:val="0079437B"/>
    <w:rsid w:val="0079483F"/>
    <w:rsid w:val="00794B39"/>
    <w:rsid w:val="0079538F"/>
    <w:rsid w:val="00795ADD"/>
    <w:rsid w:val="00795BC7"/>
    <w:rsid w:val="007960C0"/>
    <w:rsid w:val="00796F42"/>
    <w:rsid w:val="00796F5C"/>
    <w:rsid w:val="0079701E"/>
    <w:rsid w:val="00797D0A"/>
    <w:rsid w:val="00797FE7"/>
    <w:rsid w:val="007A0198"/>
    <w:rsid w:val="007A0286"/>
    <w:rsid w:val="007A0549"/>
    <w:rsid w:val="007A08CB"/>
    <w:rsid w:val="007A08EB"/>
    <w:rsid w:val="007A0D48"/>
    <w:rsid w:val="007A1337"/>
    <w:rsid w:val="007A14BB"/>
    <w:rsid w:val="007A17C9"/>
    <w:rsid w:val="007A1A5D"/>
    <w:rsid w:val="007A1D18"/>
    <w:rsid w:val="007A1D6F"/>
    <w:rsid w:val="007A2189"/>
    <w:rsid w:val="007A21EB"/>
    <w:rsid w:val="007A2594"/>
    <w:rsid w:val="007A2746"/>
    <w:rsid w:val="007A27AD"/>
    <w:rsid w:val="007A2909"/>
    <w:rsid w:val="007A299D"/>
    <w:rsid w:val="007A2B98"/>
    <w:rsid w:val="007A2C55"/>
    <w:rsid w:val="007A2CA8"/>
    <w:rsid w:val="007A330B"/>
    <w:rsid w:val="007A365D"/>
    <w:rsid w:val="007A3711"/>
    <w:rsid w:val="007A3A81"/>
    <w:rsid w:val="007A438C"/>
    <w:rsid w:val="007A43D7"/>
    <w:rsid w:val="007A48C2"/>
    <w:rsid w:val="007A4E6D"/>
    <w:rsid w:val="007A4F89"/>
    <w:rsid w:val="007A5120"/>
    <w:rsid w:val="007A5131"/>
    <w:rsid w:val="007A53B9"/>
    <w:rsid w:val="007A5558"/>
    <w:rsid w:val="007A56AB"/>
    <w:rsid w:val="007A57A1"/>
    <w:rsid w:val="007A5821"/>
    <w:rsid w:val="007A59F2"/>
    <w:rsid w:val="007A5AB6"/>
    <w:rsid w:val="007A5DF7"/>
    <w:rsid w:val="007A5E41"/>
    <w:rsid w:val="007A6431"/>
    <w:rsid w:val="007A661F"/>
    <w:rsid w:val="007A670D"/>
    <w:rsid w:val="007A67FC"/>
    <w:rsid w:val="007A69DA"/>
    <w:rsid w:val="007A6D42"/>
    <w:rsid w:val="007A6FF1"/>
    <w:rsid w:val="007A743A"/>
    <w:rsid w:val="007A7459"/>
    <w:rsid w:val="007A750C"/>
    <w:rsid w:val="007A75B1"/>
    <w:rsid w:val="007A7BA6"/>
    <w:rsid w:val="007A7C18"/>
    <w:rsid w:val="007B0506"/>
    <w:rsid w:val="007B0971"/>
    <w:rsid w:val="007B0C12"/>
    <w:rsid w:val="007B0CA2"/>
    <w:rsid w:val="007B0CD9"/>
    <w:rsid w:val="007B0D30"/>
    <w:rsid w:val="007B0EF6"/>
    <w:rsid w:val="007B0F9B"/>
    <w:rsid w:val="007B0FAE"/>
    <w:rsid w:val="007B1796"/>
    <w:rsid w:val="007B1A93"/>
    <w:rsid w:val="007B1F5D"/>
    <w:rsid w:val="007B2020"/>
    <w:rsid w:val="007B233C"/>
    <w:rsid w:val="007B24E3"/>
    <w:rsid w:val="007B2568"/>
    <w:rsid w:val="007B287B"/>
    <w:rsid w:val="007B2975"/>
    <w:rsid w:val="007B2DC8"/>
    <w:rsid w:val="007B31CB"/>
    <w:rsid w:val="007B332F"/>
    <w:rsid w:val="007B345A"/>
    <w:rsid w:val="007B3659"/>
    <w:rsid w:val="007B369D"/>
    <w:rsid w:val="007B4104"/>
    <w:rsid w:val="007B423F"/>
    <w:rsid w:val="007B4252"/>
    <w:rsid w:val="007B44D1"/>
    <w:rsid w:val="007B4620"/>
    <w:rsid w:val="007B46EB"/>
    <w:rsid w:val="007B4703"/>
    <w:rsid w:val="007B4906"/>
    <w:rsid w:val="007B520F"/>
    <w:rsid w:val="007B53A4"/>
    <w:rsid w:val="007B63FD"/>
    <w:rsid w:val="007B65C7"/>
    <w:rsid w:val="007B66E3"/>
    <w:rsid w:val="007B6A85"/>
    <w:rsid w:val="007B6C51"/>
    <w:rsid w:val="007B6C82"/>
    <w:rsid w:val="007B6E07"/>
    <w:rsid w:val="007B702E"/>
    <w:rsid w:val="007B7098"/>
    <w:rsid w:val="007B72C9"/>
    <w:rsid w:val="007B7B34"/>
    <w:rsid w:val="007B7D5C"/>
    <w:rsid w:val="007C0166"/>
    <w:rsid w:val="007C0194"/>
    <w:rsid w:val="007C023A"/>
    <w:rsid w:val="007C03DD"/>
    <w:rsid w:val="007C044C"/>
    <w:rsid w:val="007C0615"/>
    <w:rsid w:val="007C083B"/>
    <w:rsid w:val="007C0A4F"/>
    <w:rsid w:val="007C1069"/>
    <w:rsid w:val="007C1300"/>
    <w:rsid w:val="007C143D"/>
    <w:rsid w:val="007C14DF"/>
    <w:rsid w:val="007C16E2"/>
    <w:rsid w:val="007C176B"/>
    <w:rsid w:val="007C17C5"/>
    <w:rsid w:val="007C1861"/>
    <w:rsid w:val="007C1A5A"/>
    <w:rsid w:val="007C1B58"/>
    <w:rsid w:val="007C200F"/>
    <w:rsid w:val="007C23EB"/>
    <w:rsid w:val="007C25D7"/>
    <w:rsid w:val="007C2628"/>
    <w:rsid w:val="007C27C5"/>
    <w:rsid w:val="007C2842"/>
    <w:rsid w:val="007C2AF4"/>
    <w:rsid w:val="007C2B90"/>
    <w:rsid w:val="007C2D89"/>
    <w:rsid w:val="007C2E49"/>
    <w:rsid w:val="007C2EE3"/>
    <w:rsid w:val="007C36AE"/>
    <w:rsid w:val="007C36C9"/>
    <w:rsid w:val="007C3B8D"/>
    <w:rsid w:val="007C3D21"/>
    <w:rsid w:val="007C4126"/>
    <w:rsid w:val="007C4746"/>
    <w:rsid w:val="007C4797"/>
    <w:rsid w:val="007C493A"/>
    <w:rsid w:val="007C49A2"/>
    <w:rsid w:val="007C49F2"/>
    <w:rsid w:val="007C4BD9"/>
    <w:rsid w:val="007C4EBD"/>
    <w:rsid w:val="007C4ED7"/>
    <w:rsid w:val="007C514F"/>
    <w:rsid w:val="007C560F"/>
    <w:rsid w:val="007C5664"/>
    <w:rsid w:val="007C5691"/>
    <w:rsid w:val="007C573A"/>
    <w:rsid w:val="007C5AF6"/>
    <w:rsid w:val="007C60A6"/>
    <w:rsid w:val="007C60BF"/>
    <w:rsid w:val="007C6A78"/>
    <w:rsid w:val="007C6BC2"/>
    <w:rsid w:val="007C7087"/>
    <w:rsid w:val="007C70A2"/>
    <w:rsid w:val="007C71F4"/>
    <w:rsid w:val="007C721F"/>
    <w:rsid w:val="007C7274"/>
    <w:rsid w:val="007C74FA"/>
    <w:rsid w:val="007C75C6"/>
    <w:rsid w:val="007C7C6D"/>
    <w:rsid w:val="007C7FD0"/>
    <w:rsid w:val="007D00ED"/>
    <w:rsid w:val="007D0518"/>
    <w:rsid w:val="007D065D"/>
    <w:rsid w:val="007D06B9"/>
    <w:rsid w:val="007D11AF"/>
    <w:rsid w:val="007D1692"/>
    <w:rsid w:val="007D1839"/>
    <w:rsid w:val="007D23A9"/>
    <w:rsid w:val="007D2C98"/>
    <w:rsid w:val="007D2FF3"/>
    <w:rsid w:val="007D306A"/>
    <w:rsid w:val="007D3366"/>
    <w:rsid w:val="007D368E"/>
    <w:rsid w:val="007D3D04"/>
    <w:rsid w:val="007D3F2A"/>
    <w:rsid w:val="007D409D"/>
    <w:rsid w:val="007D4398"/>
    <w:rsid w:val="007D4506"/>
    <w:rsid w:val="007D46DB"/>
    <w:rsid w:val="007D476F"/>
    <w:rsid w:val="007D49FF"/>
    <w:rsid w:val="007D4C1F"/>
    <w:rsid w:val="007D4E46"/>
    <w:rsid w:val="007D5559"/>
    <w:rsid w:val="007D57D6"/>
    <w:rsid w:val="007D5C2B"/>
    <w:rsid w:val="007D6401"/>
    <w:rsid w:val="007D6816"/>
    <w:rsid w:val="007D6A65"/>
    <w:rsid w:val="007D6D4D"/>
    <w:rsid w:val="007D700C"/>
    <w:rsid w:val="007D70D9"/>
    <w:rsid w:val="007D71D9"/>
    <w:rsid w:val="007D74A3"/>
    <w:rsid w:val="007D74C4"/>
    <w:rsid w:val="007D7523"/>
    <w:rsid w:val="007D752E"/>
    <w:rsid w:val="007D7787"/>
    <w:rsid w:val="007D7B6D"/>
    <w:rsid w:val="007D7B8D"/>
    <w:rsid w:val="007D7D93"/>
    <w:rsid w:val="007E0184"/>
    <w:rsid w:val="007E01E4"/>
    <w:rsid w:val="007E0397"/>
    <w:rsid w:val="007E09A3"/>
    <w:rsid w:val="007E11FE"/>
    <w:rsid w:val="007E13D5"/>
    <w:rsid w:val="007E15C2"/>
    <w:rsid w:val="007E1D1F"/>
    <w:rsid w:val="007E1ECD"/>
    <w:rsid w:val="007E20DD"/>
    <w:rsid w:val="007E2119"/>
    <w:rsid w:val="007E2513"/>
    <w:rsid w:val="007E25F0"/>
    <w:rsid w:val="007E26DA"/>
    <w:rsid w:val="007E3076"/>
    <w:rsid w:val="007E3103"/>
    <w:rsid w:val="007E3631"/>
    <w:rsid w:val="007E380B"/>
    <w:rsid w:val="007E387A"/>
    <w:rsid w:val="007E39A5"/>
    <w:rsid w:val="007E3A68"/>
    <w:rsid w:val="007E3A6F"/>
    <w:rsid w:val="007E3E00"/>
    <w:rsid w:val="007E3E1B"/>
    <w:rsid w:val="007E3E78"/>
    <w:rsid w:val="007E487E"/>
    <w:rsid w:val="007E49BB"/>
    <w:rsid w:val="007E4C85"/>
    <w:rsid w:val="007E4D26"/>
    <w:rsid w:val="007E4E89"/>
    <w:rsid w:val="007E5135"/>
    <w:rsid w:val="007E5215"/>
    <w:rsid w:val="007E532C"/>
    <w:rsid w:val="007E5401"/>
    <w:rsid w:val="007E5B25"/>
    <w:rsid w:val="007E5B5B"/>
    <w:rsid w:val="007E5BCB"/>
    <w:rsid w:val="007E5C44"/>
    <w:rsid w:val="007E5CD6"/>
    <w:rsid w:val="007E608A"/>
    <w:rsid w:val="007E6817"/>
    <w:rsid w:val="007E69EB"/>
    <w:rsid w:val="007E6B49"/>
    <w:rsid w:val="007E6FED"/>
    <w:rsid w:val="007E704D"/>
    <w:rsid w:val="007E70CB"/>
    <w:rsid w:val="007E73A3"/>
    <w:rsid w:val="007E74BB"/>
    <w:rsid w:val="007E7728"/>
    <w:rsid w:val="007E7A12"/>
    <w:rsid w:val="007E7ACD"/>
    <w:rsid w:val="007E7D6C"/>
    <w:rsid w:val="007F02A2"/>
    <w:rsid w:val="007F03CF"/>
    <w:rsid w:val="007F05EA"/>
    <w:rsid w:val="007F08E3"/>
    <w:rsid w:val="007F0E46"/>
    <w:rsid w:val="007F1049"/>
    <w:rsid w:val="007F11CF"/>
    <w:rsid w:val="007F12EB"/>
    <w:rsid w:val="007F19D9"/>
    <w:rsid w:val="007F1BD5"/>
    <w:rsid w:val="007F1DD4"/>
    <w:rsid w:val="007F201B"/>
    <w:rsid w:val="007F2056"/>
    <w:rsid w:val="007F2109"/>
    <w:rsid w:val="007F215B"/>
    <w:rsid w:val="007F247C"/>
    <w:rsid w:val="007F26BC"/>
    <w:rsid w:val="007F2B22"/>
    <w:rsid w:val="007F33F9"/>
    <w:rsid w:val="007F3B49"/>
    <w:rsid w:val="007F3B4F"/>
    <w:rsid w:val="007F3E4E"/>
    <w:rsid w:val="007F3E7B"/>
    <w:rsid w:val="007F3F18"/>
    <w:rsid w:val="007F3F6B"/>
    <w:rsid w:val="007F3FBA"/>
    <w:rsid w:val="007F4323"/>
    <w:rsid w:val="007F4337"/>
    <w:rsid w:val="007F436A"/>
    <w:rsid w:val="007F4521"/>
    <w:rsid w:val="007F4724"/>
    <w:rsid w:val="007F49D5"/>
    <w:rsid w:val="007F4A9F"/>
    <w:rsid w:val="007F4ADB"/>
    <w:rsid w:val="007F4D14"/>
    <w:rsid w:val="007F4D48"/>
    <w:rsid w:val="007F4D73"/>
    <w:rsid w:val="007F50BA"/>
    <w:rsid w:val="007F5496"/>
    <w:rsid w:val="007F5870"/>
    <w:rsid w:val="007F61C1"/>
    <w:rsid w:val="007F630D"/>
    <w:rsid w:val="007F6646"/>
    <w:rsid w:val="007F6A01"/>
    <w:rsid w:val="007F6C53"/>
    <w:rsid w:val="007F6C78"/>
    <w:rsid w:val="007F6CDF"/>
    <w:rsid w:val="007F7107"/>
    <w:rsid w:val="007F7A1A"/>
    <w:rsid w:val="007F7BBA"/>
    <w:rsid w:val="007F7BE6"/>
    <w:rsid w:val="007F7F11"/>
    <w:rsid w:val="0080053C"/>
    <w:rsid w:val="00800574"/>
    <w:rsid w:val="008005F4"/>
    <w:rsid w:val="00800A11"/>
    <w:rsid w:val="00800ABE"/>
    <w:rsid w:val="00800CAD"/>
    <w:rsid w:val="00800D4C"/>
    <w:rsid w:val="00800DF7"/>
    <w:rsid w:val="00800E66"/>
    <w:rsid w:val="008015E2"/>
    <w:rsid w:val="008017BF"/>
    <w:rsid w:val="00801C53"/>
    <w:rsid w:val="00801CEC"/>
    <w:rsid w:val="00801D78"/>
    <w:rsid w:val="00802323"/>
    <w:rsid w:val="0080258E"/>
    <w:rsid w:val="00802729"/>
    <w:rsid w:val="0080295B"/>
    <w:rsid w:val="00802A8D"/>
    <w:rsid w:val="00802B41"/>
    <w:rsid w:val="00802CA4"/>
    <w:rsid w:val="0080305C"/>
    <w:rsid w:val="008030D3"/>
    <w:rsid w:val="0080341F"/>
    <w:rsid w:val="008038DA"/>
    <w:rsid w:val="0080410F"/>
    <w:rsid w:val="00804113"/>
    <w:rsid w:val="00804286"/>
    <w:rsid w:val="00804400"/>
    <w:rsid w:val="0080444E"/>
    <w:rsid w:val="00804506"/>
    <w:rsid w:val="008045E9"/>
    <w:rsid w:val="00804739"/>
    <w:rsid w:val="00805216"/>
    <w:rsid w:val="0080524A"/>
    <w:rsid w:val="008052CE"/>
    <w:rsid w:val="0080533F"/>
    <w:rsid w:val="008053AB"/>
    <w:rsid w:val="00805598"/>
    <w:rsid w:val="00805AA5"/>
    <w:rsid w:val="00805FC0"/>
    <w:rsid w:val="0080631D"/>
    <w:rsid w:val="008063D0"/>
    <w:rsid w:val="00806D2C"/>
    <w:rsid w:val="00807AA4"/>
    <w:rsid w:val="00807BDE"/>
    <w:rsid w:val="00807C12"/>
    <w:rsid w:val="00807C3E"/>
    <w:rsid w:val="00807F3D"/>
    <w:rsid w:val="0081030F"/>
    <w:rsid w:val="008104B9"/>
    <w:rsid w:val="008105BF"/>
    <w:rsid w:val="00810C21"/>
    <w:rsid w:val="00810F4C"/>
    <w:rsid w:val="00810FD3"/>
    <w:rsid w:val="0081103A"/>
    <w:rsid w:val="0081189E"/>
    <w:rsid w:val="00811946"/>
    <w:rsid w:val="00811D59"/>
    <w:rsid w:val="00811DEC"/>
    <w:rsid w:val="00811F53"/>
    <w:rsid w:val="0081218E"/>
    <w:rsid w:val="00812364"/>
    <w:rsid w:val="008123B1"/>
    <w:rsid w:val="0081276C"/>
    <w:rsid w:val="008128EC"/>
    <w:rsid w:val="00812A9B"/>
    <w:rsid w:val="00812BB1"/>
    <w:rsid w:val="00812C41"/>
    <w:rsid w:val="00812EF3"/>
    <w:rsid w:val="00812F4A"/>
    <w:rsid w:val="008131D1"/>
    <w:rsid w:val="008134D5"/>
    <w:rsid w:val="008136E6"/>
    <w:rsid w:val="00813702"/>
    <w:rsid w:val="00813972"/>
    <w:rsid w:val="00813D29"/>
    <w:rsid w:val="00813FFB"/>
    <w:rsid w:val="00814143"/>
    <w:rsid w:val="008145BA"/>
    <w:rsid w:val="0081468E"/>
    <w:rsid w:val="00814944"/>
    <w:rsid w:val="00814CBB"/>
    <w:rsid w:val="0081503B"/>
    <w:rsid w:val="0081517D"/>
    <w:rsid w:val="008153FD"/>
    <w:rsid w:val="00815FF4"/>
    <w:rsid w:val="00816250"/>
    <w:rsid w:val="00816747"/>
    <w:rsid w:val="00816845"/>
    <w:rsid w:val="00816860"/>
    <w:rsid w:val="00816914"/>
    <w:rsid w:val="00816960"/>
    <w:rsid w:val="00816CAB"/>
    <w:rsid w:val="008171F5"/>
    <w:rsid w:val="008172CE"/>
    <w:rsid w:val="0081743B"/>
    <w:rsid w:val="00817474"/>
    <w:rsid w:val="00817982"/>
    <w:rsid w:val="00817B24"/>
    <w:rsid w:val="00817DAE"/>
    <w:rsid w:val="00817F7C"/>
    <w:rsid w:val="0082000E"/>
    <w:rsid w:val="008200F1"/>
    <w:rsid w:val="0082082A"/>
    <w:rsid w:val="0082084E"/>
    <w:rsid w:val="0082087D"/>
    <w:rsid w:val="008209C3"/>
    <w:rsid w:val="00820CE0"/>
    <w:rsid w:val="00820D88"/>
    <w:rsid w:val="008211B1"/>
    <w:rsid w:val="0082136F"/>
    <w:rsid w:val="00821569"/>
    <w:rsid w:val="0082161E"/>
    <w:rsid w:val="008216F6"/>
    <w:rsid w:val="00821E44"/>
    <w:rsid w:val="00821FF4"/>
    <w:rsid w:val="00822165"/>
    <w:rsid w:val="008224B9"/>
    <w:rsid w:val="0082258D"/>
    <w:rsid w:val="00822796"/>
    <w:rsid w:val="00822983"/>
    <w:rsid w:val="00822A72"/>
    <w:rsid w:val="00822F49"/>
    <w:rsid w:val="00823263"/>
    <w:rsid w:val="008232D2"/>
    <w:rsid w:val="00823482"/>
    <w:rsid w:val="008239D7"/>
    <w:rsid w:val="008240F0"/>
    <w:rsid w:val="00824223"/>
    <w:rsid w:val="008243A7"/>
    <w:rsid w:val="008244D9"/>
    <w:rsid w:val="00824768"/>
    <w:rsid w:val="00824834"/>
    <w:rsid w:val="0082492C"/>
    <w:rsid w:val="008249DB"/>
    <w:rsid w:val="00824F4C"/>
    <w:rsid w:val="0082509B"/>
    <w:rsid w:val="008250E3"/>
    <w:rsid w:val="0082514A"/>
    <w:rsid w:val="008254F7"/>
    <w:rsid w:val="008258B6"/>
    <w:rsid w:val="00826011"/>
    <w:rsid w:val="00826DBA"/>
    <w:rsid w:val="008270D6"/>
    <w:rsid w:val="0082739B"/>
    <w:rsid w:val="008278C5"/>
    <w:rsid w:val="00827DDB"/>
    <w:rsid w:val="00827E72"/>
    <w:rsid w:val="00830066"/>
    <w:rsid w:val="0083058B"/>
    <w:rsid w:val="00830FAC"/>
    <w:rsid w:val="0083115C"/>
    <w:rsid w:val="008312D9"/>
    <w:rsid w:val="00831365"/>
    <w:rsid w:val="00831973"/>
    <w:rsid w:val="00831B2E"/>
    <w:rsid w:val="00831BB8"/>
    <w:rsid w:val="00831FD2"/>
    <w:rsid w:val="00832093"/>
    <w:rsid w:val="00832196"/>
    <w:rsid w:val="00832298"/>
    <w:rsid w:val="0083278B"/>
    <w:rsid w:val="00832837"/>
    <w:rsid w:val="00832B49"/>
    <w:rsid w:val="00832E8B"/>
    <w:rsid w:val="00834279"/>
    <w:rsid w:val="008347B2"/>
    <w:rsid w:val="00834A31"/>
    <w:rsid w:val="00835097"/>
    <w:rsid w:val="0083525B"/>
    <w:rsid w:val="00835771"/>
    <w:rsid w:val="008359CB"/>
    <w:rsid w:val="00835C9C"/>
    <w:rsid w:val="008363BE"/>
    <w:rsid w:val="0083668C"/>
    <w:rsid w:val="008369B8"/>
    <w:rsid w:val="00836A76"/>
    <w:rsid w:val="00836CB6"/>
    <w:rsid w:val="00837135"/>
    <w:rsid w:val="00837464"/>
    <w:rsid w:val="008376F1"/>
    <w:rsid w:val="00837902"/>
    <w:rsid w:val="00837D6A"/>
    <w:rsid w:val="0084023D"/>
    <w:rsid w:val="00840A29"/>
    <w:rsid w:val="00840ABD"/>
    <w:rsid w:val="0084126B"/>
    <w:rsid w:val="008415CF"/>
    <w:rsid w:val="008415EB"/>
    <w:rsid w:val="0084174B"/>
    <w:rsid w:val="00841A1E"/>
    <w:rsid w:val="00841DFE"/>
    <w:rsid w:val="008420FC"/>
    <w:rsid w:val="008423C8"/>
    <w:rsid w:val="0084242C"/>
    <w:rsid w:val="00842933"/>
    <w:rsid w:val="00842B88"/>
    <w:rsid w:val="00842E22"/>
    <w:rsid w:val="00842E8E"/>
    <w:rsid w:val="00842EE4"/>
    <w:rsid w:val="008430D8"/>
    <w:rsid w:val="00843106"/>
    <w:rsid w:val="0084310C"/>
    <w:rsid w:val="00843987"/>
    <w:rsid w:val="00843A81"/>
    <w:rsid w:val="00843B1F"/>
    <w:rsid w:val="0084433A"/>
    <w:rsid w:val="008443C3"/>
    <w:rsid w:val="00844504"/>
    <w:rsid w:val="008455AE"/>
    <w:rsid w:val="00846213"/>
    <w:rsid w:val="008465F4"/>
    <w:rsid w:val="0084672F"/>
    <w:rsid w:val="008467C6"/>
    <w:rsid w:val="0084689D"/>
    <w:rsid w:val="00846AEB"/>
    <w:rsid w:val="00846E43"/>
    <w:rsid w:val="00846F3F"/>
    <w:rsid w:val="008472EE"/>
    <w:rsid w:val="00847330"/>
    <w:rsid w:val="00847359"/>
    <w:rsid w:val="0084756D"/>
    <w:rsid w:val="00847659"/>
    <w:rsid w:val="00847B6B"/>
    <w:rsid w:val="00847C7B"/>
    <w:rsid w:val="00847D03"/>
    <w:rsid w:val="00847EDD"/>
    <w:rsid w:val="00850663"/>
    <w:rsid w:val="00850847"/>
    <w:rsid w:val="0085101A"/>
    <w:rsid w:val="0085114D"/>
    <w:rsid w:val="008511B0"/>
    <w:rsid w:val="0085129B"/>
    <w:rsid w:val="00851402"/>
    <w:rsid w:val="00851D63"/>
    <w:rsid w:val="00852102"/>
    <w:rsid w:val="0085229B"/>
    <w:rsid w:val="00852458"/>
    <w:rsid w:val="00852503"/>
    <w:rsid w:val="0085276B"/>
    <w:rsid w:val="00852C55"/>
    <w:rsid w:val="00852D28"/>
    <w:rsid w:val="00852D7E"/>
    <w:rsid w:val="00852F5D"/>
    <w:rsid w:val="00852FF0"/>
    <w:rsid w:val="008538AB"/>
    <w:rsid w:val="00853958"/>
    <w:rsid w:val="00853C0C"/>
    <w:rsid w:val="00853E57"/>
    <w:rsid w:val="00853F80"/>
    <w:rsid w:val="00854080"/>
    <w:rsid w:val="0085433D"/>
    <w:rsid w:val="008543D9"/>
    <w:rsid w:val="00854612"/>
    <w:rsid w:val="00854761"/>
    <w:rsid w:val="0085487C"/>
    <w:rsid w:val="00854A53"/>
    <w:rsid w:val="00854B9A"/>
    <w:rsid w:val="008550B9"/>
    <w:rsid w:val="008552BE"/>
    <w:rsid w:val="0085555F"/>
    <w:rsid w:val="008556F1"/>
    <w:rsid w:val="008558E8"/>
    <w:rsid w:val="008559AB"/>
    <w:rsid w:val="00855C66"/>
    <w:rsid w:val="00855F44"/>
    <w:rsid w:val="00856091"/>
    <w:rsid w:val="00856750"/>
    <w:rsid w:val="00857273"/>
    <w:rsid w:val="00857554"/>
    <w:rsid w:val="00857907"/>
    <w:rsid w:val="008579C8"/>
    <w:rsid w:val="00857A24"/>
    <w:rsid w:val="00857C61"/>
    <w:rsid w:val="00857F84"/>
    <w:rsid w:val="00860107"/>
    <w:rsid w:val="0086033B"/>
    <w:rsid w:val="008605B8"/>
    <w:rsid w:val="00860682"/>
    <w:rsid w:val="008606A9"/>
    <w:rsid w:val="00860722"/>
    <w:rsid w:val="0086082C"/>
    <w:rsid w:val="0086082D"/>
    <w:rsid w:val="00860ABC"/>
    <w:rsid w:val="00860F6A"/>
    <w:rsid w:val="00861198"/>
    <w:rsid w:val="008612CB"/>
    <w:rsid w:val="008613B2"/>
    <w:rsid w:val="008619EC"/>
    <w:rsid w:val="00862406"/>
    <w:rsid w:val="00862ED3"/>
    <w:rsid w:val="00863135"/>
    <w:rsid w:val="00863155"/>
    <w:rsid w:val="00863294"/>
    <w:rsid w:val="008638C2"/>
    <w:rsid w:val="00863A13"/>
    <w:rsid w:val="0086476F"/>
    <w:rsid w:val="0086485B"/>
    <w:rsid w:val="00864ADC"/>
    <w:rsid w:val="008655BD"/>
    <w:rsid w:val="00865608"/>
    <w:rsid w:val="008663CF"/>
    <w:rsid w:val="00866519"/>
    <w:rsid w:val="008666BD"/>
    <w:rsid w:val="00866811"/>
    <w:rsid w:val="00866984"/>
    <w:rsid w:val="00866E9A"/>
    <w:rsid w:val="00867064"/>
    <w:rsid w:val="008673F1"/>
    <w:rsid w:val="0086756A"/>
    <w:rsid w:val="00867A09"/>
    <w:rsid w:val="00867F04"/>
    <w:rsid w:val="0087005C"/>
    <w:rsid w:val="008707BD"/>
    <w:rsid w:val="00870843"/>
    <w:rsid w:val="00870BE4"/>
    <w:rsid w:val="0087128A"/>
    <w:rsid w:val="0087143F"/>
    <w:rsid w:val="00871F10"/>
    <w:rsid w:val="00872398"/>
    <w:rsid w:val="008723B2"/>
    <w:rsid w:val="0087242A"/>
    <w:rsid w:val="00872614"/>
    <w:rsid w:val="00873133"/>
    <w:rsid w:val="008731EB"/>
    <w:rsid w:val="00873315"/>
    <w:rsid w:val="00873317"/>
    <w:rsid w:val="008735C6"/>
    <w:rsid w:val="0087377C"/>
    <w:rsid w:val="008740AD"/>
    <w:rsid w:val="00874203"/>
    <w:rsid w:val="008742B3"/>
    <w:rsid w:val="008744AF"/>
    <w:rsid w:val="00874557"/>
    <w:rsid w:val="0087459B"/>
    <w:rsid w:val="00874911"/>
    <w:rsid w:val="00874C95"/>
    <w:rsid w:val="00874D6B"/>
    <w:rsid w:val="00875305"/>
    <w:rsid w:val="00875863"/>
    <w:rsid w:val="00875B08"/>
    <w:rsid w:val="00875B4A"/>
    <w:rsid w:val="008760D1"/>
    <w:rsid w:val="0087622A"/>
    <w:rsid w:val="00876D47"/>
    <w:rsid w:val="00877127"/>
    <w:rsid w:val="00877275"/>
    <w:rsid w:val="008774C3"/>
    <w:rsid w:val="00877C9A"/>
    <w:rsid w:val="00877CC3"/>
    <w:rsid w:val="00877FD7"/>
    <w:rsid w:val="00880153"/>
    <w:rsid w:val="008801C9"/>
    <w:rsid w:val="00880384"/>
    <w:rsid w:val="0088057F"/>
    <w:rsid w:val="00880741"/>
    <w:rsid w:val="00880AC6"/>
    <w:rsid w:val="00880CC8"/>
    <w:rsid w:val="00880F97"/>
    <w:rsid w:val="00881135"/>
    <w:rsid w:val="0088133A"/>
    <w:rsid w:val="008814D8"/>
    <w:rsid w:val="00881A0E"/>
    <w:rsid w:val="00881A35"/>
    <w:rsid w:val="00881CBD"/>
    <w:rsid w:val="00881CF4"/>
    <w:rsid w:val="00881F39"/>
    <w:rsid w:val="00882296"/>
    <w:rsid w:val="008825B3"/>
    <w:rsid w:val="008826E2"/>
    <w:rsid w:val="00883126"/>
    <w:rsid w:val="0088349E"/>
    <w:rsid w:val="00883617"/>
    <w:rsid w:val="00883739"/>
    <w:rsid w:val="0088386A"/>
    <w:rsid w:val="00883A9C"/>
    <w:rsid w:val="00883B69"/>
    <w:rsid w:val="00883E84"/>
    <w:rsid w:val="00884018"/>
    <w:rsid w:val="00884293"/>
    <w:rsid w:val="008843B8"/>
    <w:rsid w:val="0088496B"/>
    <w:rsid w:val="00884A20"/>
    <w:rsid w:val="00884B40"/>
    <w:rsid w:val="00884F39"/>
    <w:rsid w:val="00885121"/>
    <w:rsid w:val="00885305"/>
    <w:rsid w:val="008853FC"/>
    <w:rsid w:val="00885A46"/>
    <w:rsid w:val="00885BD8"/>
    <w:rsid w:val="00886A86"/>
    <w:rsid w:val="00886AE4"/>
    <w:rsid w:val="00886E42"/>
    <w:rsid w:val="00886F3C"/>
    <w:rsid w:val="0088774A"/>
    <w:rsid w:val="00887A06"/>
    <w:rsid w:val="00887E2C"/>
    <w:rsid w:val="00887E4D"/>
    <w:rsid w:val="00890069"/>
    <w:rsid w:val="00890147"/>
    <w:rsid w:val="0089034E"/>
    <w:rsid w:val="008903AF"/>
    <w:rsid w:val="00890C53"/>
    <w:rsid w:val="00890D7A"/>
    <w:rsid w:val="00890EE2"/>
    <w:rsid w:val="0089111F"/>
    <w:rsid w:val="0089167D"/>
    <w:rsid w:val="008920D1"/>
    <w:rsid w:val="008921EE"/>
    <w:rsid w:val="008922BC"/>
    <w:rsid w:val="00892319"/>
    <w:rsid w:val="008924BA"/>
    <w:rsid w:val="0089285E"/>
    <w:rsid w:val="008928BD"/>
    <w:rsid w:val="008928FC"/>
    <w:rsid w:val="00892AC4"/>
    <w:rsid w:val="00892C09"/>
    <w:rsid w:val="008931EC"/>
    <w:rsid w:val="00893652"/>
    <w:rsid w:val="00893778"/>
    <w:rsid w:val="00893A04"/>
    <w:rsid w:val="00893AE4"/>
    <w:rsid w:val="00893B80"/>
    <w:rsid w:val="00893C4F"/>
    <w:rsid w:val="00893C57"/>
    <w:rsid w:val="00893F7A"/>
    <w:rsid w:val="00894046"/>
    <w:rsid w:val="008942A7"/>
    <w:rsid w:val="0089434F"/>
    <w:rsid w:val="0089436C"/>
    <w:rsid w:val="00894482"/>
    <w:rsid w:val="00894B48"/>
    <w:rsid w:val="00894D43"/>
    <w:rsid w:val="008957CB"/>
    <w:rsid w:val="00895B55"/>
    <w:rsid w:val="00895E5C"/>
    <w:rsid w:val="00895EEF"/>
    <w:rsid w:val="008963D5"/>
    <w:rsid w:val="008963FD"/>
    <w:rsid w:val="008968F3"/>
    <w:rsid w:val="00896CD3"/>
    <w:rsid w:val="00896D70"/>
    <w:rsid w:val="00897269"/>
    <w:rsid w:val="00897487"/>
    <w:rsid w:val="0089756D"/>
    <w:rsid w:val="008977FA"/>
    <w:rsid w:val="00897B40"/>
    <w:rsid w:val="00897EB2"/>
    <w:rsid w:val="00897F6A"/>
    <w:rsid w:val="008A04E9"/>
    <w:rsid w:val="008A0544"/>
    <w:rsid w:val="008A05FB"/>
    <w:rsid w:val="008A100D"/>
    <w:rsid w:val="008A150F"/>
    <w:rsid w:val="008A15DA"/>
    <w:rsid w:val="008A15F5"/>
    <w:rsid w:val="008A1A12"/>
    <w:rsid w:val="008A1B11"/>
    <w:rsid w:val="008A1BA1"/>
    <w:rsid w:val="008A225A"/>
    <w:rsid w:val="008A2787"/>
    <w:rsid w:val="008A28BA"/>
    <w:rsid w:val="008A2A1B"/>
    <w:rsid w:val="008A2CA1"/>
    <w:rsid w:val="008A2E21"/>
    <w:rsid w:val="008A3254"/>
    <w:rsid w:val="008A32F1"/>
    <w:rsid w:val="008A3548"/>
    <w:rsid w:val="008A3A2E"/>
    <w:rsid w:val="008A3A3E"/>
    <w:rsid w:val="008A3AB7"/>
    <w:rsid w:val="008A3AC6"/>
    <w:rsid w:val="008A3FBC"/>
    <w:rsid w:val="008A44C1"/>
    <w:rsid w:val="008A4971"/>
    <w:rsid w:val="008A4BC9"/>
    <w:rsid w:val="008A4C29"/>
    <w:rsid w:val="008A4D9A"/>
    <w:rsid w:val="008A52F7"/>
    <w:rsid w:val="008A5472"/>
    <w:rsid w:val="008A562F"/>
    <w:rsid w:val="008A57F3"/>
    <w:rsid w:val="008A5D58"/>
    <w:rsid w:val="008A64BE"/>
    <w:rsid w:val="008A6643"/>
    <w:rsid w:val="008A6720"/>
    <w:rsid w:val="008A67D0"/>
    <w:rsid w:val="008A67EA"/>
    <w:rsid w:val="008A683E"/>
    <w:rsid w:val="008A6964"/>
    <w:rsid w:val="008A6B98"/>
    <w:rsid w:val="008A6C26"/>
    <w:rsid w:val="008A6D67"/>
    <w:rsid w:val="008A70EF"/>
    <w:rsid w:val="008A7247"/>
    <w:rsid w:val="008A7832"/>
    <w:rsid w:val="008A79AE"/>
    <w:rsid w:val="008A7B2B"/>
    <w:rsid w:val="008A7BC0"/>
    <w:rsid w:val="008A7E8A"/>
    <w:rsid w:val="008B012A"/>
    <w:rsid w:val="008B07C5"/>
    <w:rsid w:val="008B07ED"/>
    <w:rsid w:val="008B0996"/>
    <w:rsid w:val="008B0B80"/>
    <w:rsid w:val="008B136C"/>
    <w:rsid w:val="008B13A7"/>
    <w:rsid w:val="008B14B4"/>
    <w:rsid w:val="008B15D8"/>
    <w:rsid w:val="008B17C1"/>
    <w:rsid w:val="008B1964"/>
    <w:rsid w:val="008B196D"/>
    <w:rsid w:val="008B19EE"/>
    <w:rsid w:val="008B1EA4"/>
    <w:rsid w:val="008B1F18"/>
    <w:rsid w:val="008B2022"/>
    <w:rsid w:val="008B2299"/>
    <w:rsid w:val="008B2386"/>
    <w:rsid w:val="008B2943"/>
    <w:rsid w:val="008B2C58"/>
    <w:rsid w:val="008B2F83"/>
    <w:rsid w:val="008B32A4"/>
    <w:rsid w:val="008B32C1"/>
    <w:rsid w:val="008B3401"/>
    <w:rsid w:val="008B341E"/>
    <w:rsid w:val="008B35F2"/>
    <w:rsid w:val="008B363E"/>
    <w:rsid w:val="008B371C"/>
    <w:rsid w:val="008B37BD"/>
    <w:rsid w:val="008B3BDD"/>
    <w:rsid w:val="008B4205"/>
    <w:rsid w:val="008B422E"/>
    <w:rsid w:val="008B4232"/>
    <w:rsid w:val="008B4449"/>
    <w:rsid w:val="008B44BB"/>
    <w:rsid w:val="008B46B2"/>
    <w:rsid w:val="008B477F"/>
    <w:rsid w:val="008B4869"/>
    <w:rsid w:val="008B48D6"/>
    <w:rsid w:val="008B4E1D"/>
    <w:rsid w:val="008B51E5"/>
    <w:rsid w:val="008B51EE"/>
    <w:rsid w:val="008B525C"/>
    <w:rsid w:val="008B52FA"/>
    <w:rsid w:val="008B5C8B"/>
    <w:rsid w:val="008B6260"/>
    <w:rsid w:val="008B63E0"/>
    <w:rsid w:val="008B68F4"/>
    <w:rsid w:val="008B69D0"/>
    <w:rsid w:val="008B6A35"/>
    <w:rsid w:val="008B6ECF"/>
    <w:rsid w:val="008B7136"/>
    <w:rsid w:val="008B722A"/>
    <w:rsid w:val="008B7263"/>
    <w:rsid w:val="008B7500"/>
    <w:rsid w:val="008B786B"/>
    <w:rsid w:val="008B79C8"/>
    <w:rsid w:val="008B7ED2"/>
    <w:rsid w:val="008C03E3"/>
    <w:rsid w:val="008C09EC"/>
    <w:rsid w:val="008C0BC7"/>
    <w:rsid w:val="008C0E71"/>
    <w:rsid w:val="008C116F"/>
    <w:rsid w:val="008C128C"/>
    <w:rsid w:val="008C1EE6"/>
    <w:rsid w:val="008C20EB"/>
    <w:rsid w:val="008C239C"/>
    <w:rsid w:val="008C265E"/>
    <w:rsid w:val="008C2B7C"/>
    <w:rsid w:val="008C2CF4"/>
    <w:rsid w:val="008C2DCD"/>
    <w:rsid w:val="008C2F5C"/>
    <w:rsid w:val="008C2FD8"/>
    <w:rsid w:val="008C3024"/>
    <w:rsid w:val="008C31B0"/>
    <w:rsid w:val="008C3336"/>
    <w:rsid w:val="008C3974"/>
    <w:rsid w:val="008C3CBE"/>
    <w:rsid w:val="008C4232"/>
    <w:rsid w:val="008C42A8"/>
    <w:rsid w:val="008C4389"/>
    <w:rsid w:val="008C4A67"/>
    <w:rsid w:val="008C4B9E"/>
    <w:rsid w:val="008C4D78"/>
    <w:rsid w:val="008C4E24"/>
    <w:rsid w:val="008C4E67"/>
    <w:rsid w:val="008C5C02"/>
    <w:rsid w:val="008C60DF"/>
    <w:rsid w:val="008C6594"/>
    <w:rsid w:val="008C6C70"/>
    <w:rsid w:val="008C6CC8"/>
    <w:rsid w:val="008C6CE9"/>
    <w:rsid w:val="008C704D"/>
    <w:rsid w:val="008C7278"/>
    <w:rsid w:val="008C73A4"/>
    <w:rsid w:val="008C7532"/>
    <w:rsid w:val="008C763E"/>
    <w:rsid w:val="008C7703"/>
    <w:rsid w:val="008C7820"/>
    <w:rsid w:val="008C79CC"/>
    <w:rsid w:val="008C7BE6"/>
    <w:rsid w:val="008D04A8"/>
    <w:rsid w:val="008D0B5A"/>
    <w:rsid w:val="008D0F4C"/>
    <w:rsid w:val="008D154B"/>
    <w:rsid w:val="008D1672"/>
    <w:rsid w:val="008D1CAE"/>
    <w:rsid w:val="008D1CB6"/>
    <w:rsid w:val="008D1F45"/>
    <w:rsid w:val="008D2039"/>
    <w:rsid w:val="008D22AB"/>
    <w:rsid w:val="008D2362"/>
    <w:rsid w:val="008D249A"/>
    <w:rsid w:val="008D26E6"/>
    <w:rsid w:val="008D293C"/>
    <w:rsid w:val="008D29CD"/>
    <w:rsid w:val="008D344D"/>
    <w:rsid w:val="008D34E3"/>
    <w:rsid w:val="008D365C"/>
    <w:rsid w:val="008D3696"/>
    <w:rsid w:val="008D3BCB"/>
    <w:rsid w:val="008D4544"/>
    <w:rsid w:val="008D4AF0"/>
    <w:rsid w:val="008D4B9D"/>
    <w:rsid w:val="008D4DAE"/>
    <w:rsid w:val="008D527B"/>
    <w:rsid w:val="008D546F"/>
    <w:rsid w:val="008D5AE2"/>
    <w:rsid w:val="008D5C1B"/>
    <w:rsid w:val="008D5CC9"/>
    <w:rsid w:val="008D6098"/>
    <w:rsid w:val="008D60B1"/>
    <w:rsid w:val="008D60B2"/>
    <w:rsid w:val="008D64BB"/>
    <w:rsid w:val="008D678E"/>
    <w:rsid w:val="008D689D"/>
    <w:rsid w:val="008D6B4F"/>
    <w:rsid w:val="008D6C3B"/>
    <w:rsid w:val="008D6DEE"/>
    <w:rsid w:val="008D6E8D"/>
    <w:rsid w:val="008D6FA4"/>
    <w:rsid w:val="008D700B"/>
    <w:rsid w:val="008D71F5"/>
    <w:rsid w:val="008D726F"/>
    <w:rsid w:val="008D7513"/>
    <w:rsid w:val="008D7622"/>
    <w:rsid w:val="008D797F"/>
    <w:rsid w:val="008E03C2"/>
    <w:rsid w:val="008E03F5"/>
    <w:rsid w:val="008E0A07"/>
    <w:rsid w:val="008E0A71"/>
    <w:rsid w:val="008E0D3B"/>
    <w:rsid w:val="008E0E88"/>
    <w:rsid w:val="008E1221"/>
    <w:rsid w:val="008E13D6"/>
    <w:rsid w:val="008E1459"/>
    <w:rsid w:val="008E1540"/>
    <w:rsid w:val="008E16AA"/>
    <w:rsid w:val="008E1801"/>
    <w:rsid w:val="008E1883"/>
    <w:rsid w:val="008E1934"/>
    <w:rsid w:val="008E1A4E"/>
    <w:rsid w:val="008E1B36"/>
    <w:rsid w:val="008E2111"/>
    <w:rsid w:val="008E2526"/>
    <w:rsid w:val="008E2990"/>
    <w:rsid w:val="008E29DB"/>
    <w:rsid w:val="008E2A5F"/>
    <w:rsid w:val="008E2E27"/>
    <w:rsid w:val="008E37C9"/>
    <w:rsid w:val="008E38F9"/>
    <w:rsid w:val="008E39B5"/>
    <w:rsid w:val="008E3D7D"/>
    <w:rsid w:val="008E3EB6"/>
    <w:rsid w:val="008E4067"/>
    <w:rsid w:val="008E4184"/>
    <w:rsid w:val="008E450F"/>
    <w:rsid w:val="008E4C5E"/>
    <w:rsid w:val="008E5032"/>
    <w:rsid w:val="008E56D7"/>
    <w:rsid w:val="008E5764"/>
    <w:rsid w:val="008E5957"/>
    <w:rsid w:val="008E5A82"/>
    <w:rsid w:val="008E5AB8"/>
    <w:rsid w:val="008E5AC1"/>
    <w:rsid w:val="008E5B43"/>
    <w:rsid w:val="008E6017"/>
    <w:rsid w:val="008E6291"/>
    <w:rsid w:val="008E6590"/>
    <w:rsid w:val="008E6A6E"/>
    <w:rsid w:val="008E6BF6"/>
    <w:rsid w:val="008E6D60"/>
    <w:rsid w:val="008E6F13"/>
    <w:rsid w:val="008E72B7"/>
    <w:rsid w:val="008E7923"/>
    <w:rsid w:val="008E7B37"/>
    <w:rsid w:val="008E7EDD"/>
    <w:rsid w:val="008F007B"/>
    <w:rsid w:val="008F0263"/>
    <w:rsid w:val="008F05AF"/>
    <w:rsid w:val="008F05B1"/>
    <w:rsid w:val="008F070A"/>
    <w:rsid w:val="008F0DD4"/>
    <w:rsid w:val="008F0FAF"/>
    <w:rsid w:val="008F1459"/>
    <w:rsid w:val="008F16AC"/>
    <w:rsid w:val="008F181C"/>
    <w:rsid w:val="008F1850"/>
    <w:rsid w:val="008F19CB"/>
    <w:rsid w:val="008F1BCA"/>
    <w:rsid w:val="008F1CCD"/>
    <w:rsid w:val="008F1CDC"/>
    <w:rsid w:val="008F1EF9"/>
    <w:rsid w:val="008F1F33"/>
    <w:rsid w:val="008F206A"/>
    <w:rsid w:val="008F21DF"/>
    <w:rsid w:val="008F25FB"/>
    <w:rsid w:val="008F2979"/>
    <w:rsid w:val="008F3323"/>
    <w:rsid w:val="008F35F3"/>
    <w:rsid w:val="008F3715"/>
    <w:rsid w:val="008F3F08"/>
    <w:rsid w:val="008F4297"/>
    <w:rsid w:val="008F443C"/>
    <w:rsid w:val="008F459E"/>
    <w:rsid w:val="008F482B"/>
    <w:rsid w:val="008F5735"/>
    <w:rsid w:val="008F5D94"/>
    <w:rsid w:val="008F6290"/>
    <w:rsid w:val="008F63E1"/>
    <w:rsid w:val="008F65CA"/>
    <w:rsid w:val="008F6A14"/>
    <w:rsid w:val="008F6A16"/>
    <w:rsid w:val="008F6BED"/>
    <w:rsid w:val="008F6C31"/>
    <w:rsid w:val="008F6FBD"/>
    <w:rsid w:val="008F7249"/>
    <w:rsid w:val="008F73C7"/>
    <w:rsid w:val="008F774B"/>
    <w:rsid w:val="008F77C1"/>
    <w:rsid w:val="008F7837"/>
    <w:rsid w:val="008F7A93"/>
    <w:rsid w:val="008F7D39"/>
    <w:rsid w:val="008F7F38"/>
    <w:rsid w:val="00900068"/>
    <w:rsid w:val="0090039A"/>
    <w:rsid w:val="009007A5"/>
    <w:rsid w:val="009009ED"/>
    <w:rsid w:val="00900AA0"/>
    <w:rsid w:val="00900CEA"/>
    <w:rsid w:val="00900FA5"/>
    <w:rsid w:val="009010E5"/>
    <w:rsid w:val="0090120D"/>
    <w:rsid w:val="0090136D"/>
    <w:rsid w:val="00901551"/>
    <w:rsid w:val="009019EA"/>
    <w:rsid w:val="00901DBF"/>
    <w:rsid w:val="00901EF9"/>
    <w:rsid w:val="00902071"/>
    <w:rsid w:val="009020C3"/>
    <w:rsid w:val="009020FA"/>
    <w:rsid w:val="009021A6"/>
    <w:rsid w:val="009021C1"/>
    <w:rsid w:val="009024FA"/>
    <w:rsid w:val="0090276E"/>
    <w:rsid w:val="00902BA1"/>
    <w:rsid w:val="00902FF5"/>
    <w:rsid w:val="009030BF"/>
    <w:rsid w:val="00903165"/>
    <w:rsid w:val="00903195"/>
    <w:rsid w:val="00903691"/>
    <w:rsid w:val="00903804"/>
    <w:rsid w:val="00903857"/>
    <w:rsid w:val="009038D7"/>
    <w:rsid w:val="009039B2"/>
    <w:rsid w:val="00903B41"/>
    <w:rsid w:val="00903B52"/>
    <w:rsid w:val="00903B9C"/>
    <w:rsid w:val="009042A1"/>
    <w:rsid w:val="00904802"/>
    <w:rsid w:val="00904E4F"/>
    <w:rsid w:val="00905050"/>
    <w:rsid w:val="0090522C"/>
    <w:rsid w:val="00905372"/>
    <w:rsid w:val="0090593E"/>
    <w:rsid w:val="00905B2F"/>
    <w:rsid w:val="00905C57"/>
    <w:rsid w:val="00905FA7"/>
    <w:rsid w:val="00906037"/>
    <w:rsid w:val="00906484"/>
    <w:rsid w:val="0090673D"/>
    <w:rsid w:val="00906AE0"/>
    <w:rsid w:val="00906B72"/>
    <w:rsid w:val="00906C34"/>
    <w:rsid w:val="00906EEA"/>
    <w:rsid w:val="00906FD8"/>
    <w:rsid w:val="0090747F"/>
    <w:rsid w:val="009074A0"/>
    <w:rsid w:val="0090789B"/>
    <w:rsid w:val="0090792E"/>
    <w:rsid w:val="00907D86"/>
    <w:rsid w:val="0091032F"/>
    <w:rsid w:val="0091073E"/>
    <w:rsid w:val="0091112B"/>
    <w:rsid w:val="00911329"/>
    <w:rsid w:val="00911348"/>
    <w:rsid w:val="00911A02"/>
    <w:rsid w:val="00911ADD"/>
    <w:rsid w:val="00911AFE"/>
    <w:rsid w:val="00911C6F"/>
    <w:rsid w:val="00911DBE"/>
    <w:rsid w:val="00911F51"/>
    <w:rsid w:val="0091266B"/>
    <w:rsid w:val="00912A1F"/>
    <w:rsid w:val="00912A62"/>
    <w:rsid w:val="00912AD4"/>
    <w:rsid w:val="00912B28"/>
    <w:rsid w:val="00912B87"/>
    <w:rsid w:val="00912BF1"/>
    <w:rsid w:val="00912CC0"/>
    <w:rsid w:val="0091301E"/>
    <w:rsid w:val="009132C5"/>
    <w:rsid w:val="009136C3"/>
    <w:rsid w:val="009137DF"/>
    <w:rsid w:val="00913A93"/>
    <w:rsid w:val="00913B4C"/>
    <w:rsid w:val="00913BF9"/>
    <w:rsid w:val="00913E99"/>
    <w:rsid w:val="00913FC4"/>
    <w:rsid w:val="00914368"/>
    <w:rsid w:val="00914458"/>
    <w:rsid w:val="00914474"/>
    <w:rsid w:val="009147CF"/>
    <w:rsid w:val="009147ED"/>
    <w:rsid w:val="009147F0"/>
    <w:rsid w:val="00914832"/>
    <w:rsid w:val="00914B5D"/>
    <w:rsid w:val="00914EF7"/>
    <w:rsid w:val="00915366"/>
    <w:rsid w:val="009155A8"/>
    <w:rsid w:val="009156D8"/>
    <w:rsid w:val="00915805"/>
    <w:rsid w:val="00915C64"/>
    <w:rsid w:val="00916003"/>
    <w:rsid w:val="0091656D"/>
    <w:rsid w:val="0091658C"/>
    <w:rsid w:val="00916750"/>
    <w:rsid w:val="0091684A"/>
    <w:rsid w:val="0091687A"/>
    <w:rsid w:val="009168ED"/>
    <w:rsid w:val="00916D15"/>
    <w:rsid w:val="009171A4"/>
    <w:rsid w:val="009172E7"/>
    <w:rsid w:val="00917870"/>
    <w:rsid w:val="009178A6"/>
    <w:rsid w:val="00917B59"/>
    <w:rsid w:val="00917FAF"/>
    <w:rsid w:val="00920111"/>
    <w:rsid w:val="00920289"/>
    <w:rsid w:val="009207EB"/>
    <w:rsid w:val="009210D7"/>
    <w:rsid w:val="009210E7"/>
    <w:rsid w:val="00921146"/>
    <w:rsid w:val="00921531"/>
    <w:rsid w:val="009216F6"/>
    <w:rsid w:val="00921738"/>
    <w:rsid w:val="00921AF9"/>
    <w:rsid w:val="00921C1A"/>
    <w:rsid w:val="00921DE6"/>
    <w:rsid w:val="00921FDE"/>
    <w:rsid w:val="009223E5"/>
    <w:rsid w:val="009228EF"/>
    <w:rsid w:val="00923572"/>
    <w:rsid w:val="00923692"/>
    <w:rsid w:val="009236AF"/>
    <w:rsid w:val="0092388A"/>
    <w:rsid w:val="00923BA8"/>
    <w:rsid w:val="00923D2C"/>
    <w:rsid w:val="00923FAD"/>
    <w:rsid w:val="009241A8"/>
    <w:rsid w:val="0092425B"/>
    <w:rsid w:val="009242C8"/>
    <w:rsid w:val="00924383"/>
    <w:rsid w:val="009243FF"/>
    <w:rsid w:val="009246FC"/>
    <w:rsid w:val="00924D4D"/>
    <w:rsid w:val="00924FA5"/>
    <w:rsid w:val="009253E0"/>
    <w:rsid w:val="009256E7"/>
    <w:rsid w:val="00925B01"/>
    <w:rsid w:val="00925D90"/>
    <w:rsid w:val="00925DF8"/>
    <w:rsid w:val="00925E2B"/>
    <w:rsid w:val="00925E32"/>
    <w:rsid w:val="00925F8A"/>
    <w:rsid w:val="00925FB8"/>
    <w:rsid w:val="00925FDE"/>
    <w:rsid w:val="00926071"/>
    <w:rsid w:val="00926115"/>
    <w:rsid w:val="0092641F"/>
    <w:rsid w:val="00926682"/>
    <w:rsid w:val="00926727"/>
    <w:rsid w:val="009267B9"/>
    <w:rsid w:val="00926850"/>
    <w:rsid w:val="00926A2E"/>
    <w:rsid w:val="00926A3F"/>
    <w:rsid w:val="00926BFD"/>
    <w:rsid w:val="00926D60"/>
    <w:rsid w:val="00926DDC"/>
    <w:rsid w:val="00926E57"/>
    <w:rsid w:val="00927587"/>
    <w:rsid w:val="00927637"/>
    <w:rsid w:val="00927700"/>
    <w:rsid w:val="00927735"/>
    <w:rsid w:val="009278C2"/>
    <w:rsid w:val="00927C57"/>
    <w:rsid w:val="00930A28"/>
    <w:rsid w:val="00931076"/>
    <w:rsid w:val="00931164"/>
    <w:rsid w:val="0093161E"/>
    <w:rsid w:val="009316EC"/>
    <w:rsid w:val="0093177E"/>
    <w:rsid w:val="00931800"/>
    <w:rsid w:val="00931968"/>
    <w:rsid w:val="009319BC"/>
    <w:rsid w:val="009319BD"/>
    <w:rsid w:val="00931C51"/>
    <w:rsid w:val="00931D5B"/>
    <w:rsid w:val="00931E6B"/>
    <w:rsid w:val="0093210E"/>
    <w:rsid w:val="009322CA"/>
    <w:rsid w:val="00932452"/>
    <w:rsid w:val="00932461"/>
    <w:rsid w:val="009326F8"/>
    <w:rsid w:val="009327F4"/>
    <w:rsid w:val="00932B84"/>
    <w:rsid w:val="0093303A"/>
    <w:rsid w:val="009333BA"/>
    <w:rsid w:val="009335FA"/>
    <w:rsid w:val="0093360A"/>
    <w:rsid w:val="009337CE"/>
    <w:rsid w:val="0093383E"/>
    <w:rsid w:val="00933E99"/>
    <w:rsid w:val="00934475"/>
    <w:rsid w:val="009345D9"/>
    <w:rsid w:val="009348E2"/>
    <w:rsid w:val="00934B15"/>
    <w:rsid w:val="00934DB6"/>
    <w:rsid w:val="00934DE8"/>
    <w:rsid w:val="00934E5C"/>
    <w:rsid w:val="00935072"/>
    <w:rsid w:val="0093525E"/>
    <w:rsid w:val="00935416"/>
    <w:rsid w:val="00935803"/>
    <w:rsid w:val="00935E11"/>
    <w:rsid w:val="0093643D"/>
    <w:rsid w:val="00936589"/>
    <w:rsid w:val="009365ED"/>
    <w:rsid w:val="009368B3"/>
    <w:rsid w:val="009368F8"/>
    <w:rsid w:val="0093698B"/>
    <w:rsid w:val="00936A48"/>
    <w:rsid w:val="00936AF4"/>
    <w:rsid w:val="00936AF7"/>
    <w:rsid w:val="00936C90"/>
    <w:rsid w:val="00936D07"/>
    <w:rsid w:val="00936DEC"/>
    <w:rsid w:val="009375DE"/>
    <w:rsid w:val="0093762E"/>
    <w:rsid w:val="009379F2"/>
    <w:rsid w:val="00937FF2"/>
    <w:rsid w:val="00940311"/>
    <w:rsid w:val="00940919"/>
    <w:rsid w:val="00940C87"/>
    <w:rsid w:val="00940DCB"/>
    <w:rsid w:val="009410B1"/>
    <w:rsid w:val="0094115B"/>
    <w:rsid w:val="00941D6A"/>
    <w:rsid w:val="00942053"/>
    <w:rsid w:val="009420EF"/>
    <w:rsid w:val="00942145"/>
    <w:rsid w:val="0094272C"/>
    <w:rsid w:val="00942B62"/>
    <w:rsid w:val="00942B70"/>
    <w:rsid w:val="0094398F"/>
    <w:rsid w:val="00943DB4"/>
    <w:rsid w:val="009442C7"/>
    <w:rsid w:val="00944447"/>
    <w:rsid w:val="00944487"/>
    <w:rsid w:val="00944B74"/>
    <w:rsid w:val="00944DCA"/>
    <w:rsid w:val="00944E4B"/>
    <w:rsid w:val="00944FB7"/>
    <w:rsid w:val="00944FCC"/>
    <w:rsid w:val="00944FDA"/>
    <w:rsid w:val="009451F0"/>
    <w:rsid w:val="009453CE"/>
    <w:rsid w:val="00945625"/>
    <w:rsid w:val="00945726"/>
    <w:rsid w:val="00945DA9"/>
    <w:rsid w:val="00946324"/>
    <w:rsid w:val="00946426"/>
    <w:rsid w:val="0094695F"/>
    <w:rsid w:val="00946A08"/>
    <w:rsid w:val="00946A40"/>
    <w:rsid w:val="00946C02"/>
    <w:rsid w:val="00946C0D"/>
    <w:rsid w:val="00946C33"/>
    <w:rsid w:val="00946D54"/>
    <w:rsid w:val="00946E87"/>
    <w:rsid w:val="009470A0"/>
    <w:rsid w:val="009477F9"/>
    <w:rsid w:val="00947CB2"/>
    <w:rsid w:val="009501C4"/>
    <w:rsid w:val="009502A8"/>
    <w:rsid w:val="009503E6"/>
    <w:rsid w:val="00950620"/>
    <w:rsid w:val="00950899"/>
    <w:rsid w:val="009509D5"/>
    <w:rsid w:val="00950A17"/>
    <w:rsid w:val="00950E0D"/>
    <w:rsid w:val="009517DC"/>
    <w:rsid w:val="0095180E"/>
    <w:rsid w:val="009518EA"/>
    <w:rsid w:val="00951BCA"/>
    <w:rsid w:val="00951C74"/>
    <w:rsid w:val="00951F1F"/>
    <w:rsid w:val="00951F6B"/>
    <w:rsid w:val="009524B0"/>
    <w:rsid w:val="0095261E"/>
    <w:rsid w:val="00952935"/>
    <w:rsid w:val="00952B35"/>
    <w:rsid w:val="00952B59"/>
    <w:rsid w:val="00952DBF"/>
    <w:rsid w:val="00952ECD"/>
    <w:rsid w:val="00952F7A"/>
    <w:rsid w:val="0095323B"/>
    <w:rsid w:val="009535BC"/>
    <w:rsid w:val="009535CA"/>
    <w:rsid w:val="00953687"/>
    <w:rsid w:val="00953964"/>
    <w:rsid w:val="00953B1C"/>
    <w:rsid w:val="00953BD8"/>
    <w:rsid w:val="00954125"/>
    <w:rsid w:val="00954382"/>
    <w:rsid w:val="00954725"/>
    <w:rsid w:val="009549F0"/>
    <w:rsid w:val="00954C0A"/>
    <w:rsid w:val="009553B1"/>
    <w:rsid w:val="0095561C"/>
    <w:rsid w:val="00955AB1"/>
    <w:rsid w:val="00955B05"/>
    <w:rsid w:val="00955DCC"/>
    <w:rsid w:val="009560D0"/>
    <w:rsid w:val="00956303"/>
    <w:rsid w:val="009568FB"/>
    <w:rsid w:val="00956A0C"/>
    <w:rsid w:val="00956BD9"/>
    <w:rsid w:val="00957675"/>
    <w:rsid w:val="00957787"/>
    <w:rsid w:val="0095782D"/>
    <w:rsid w:val="0095783C"/>
    <w:rsid w:val="0095787A"/>
    <w:rsid w:val="00957893"/>
    <w:rsid w:val="00957B71"/>
    <w:rsid w:val="00957B9D"/>
    <w:rsid w:val="00957CAA"/>
    <w:rsid w:val="00957EEC"/>
    <w:rsid w:val="009605B2"/>
    <w:rsid w:val="00960802"/>
    <w:rsid w:val="00960A4E"/>
    <w:rsid w:val="00960CB9"/>
    <w:rsid w:val="00961664"/>
    <w:rsid w:val="00961C75"/>
    <w:rsid w:val="009623AD"/>
    <w:rsid w:val="00962489"/>
    <w:rsid w:val="009624F6"/>
    <w:rsid w:val="00962783"/>
    <w:rsid w:val="0096295D"/>
    <w:rsid w:val="009631EF"/>
    <w:rsid w:val="0096324E"/>
    <w:rsid w:val="00963407"/>
    <w:rsid w:val="009636D2"/>
    <w:rsid w:val="009637D9"/>
    <w:rsid w:val="00963BC3"/>
    <w:rsid w:val="0096402C"/>
    <w:rsid w:val="00964672"/>
    <w:rsid w:val="00964AA8"/>
    <w:rsid w:val="00965244"/>
    <w:rsid w:val="009653BC"/>
    <w:rsid w:val="009654FE"/>
    <w:rsid w:val="00965725"/>
    <w:rsid w:val="0096574E"/>
    <w:rsid w:val="0096579F"/>
    <w:rsid w:val="009659CD"/>
    <w:rsid w:val="00965BA8"/>
    <w:rsid w:val="00965CA0"/>
    <w:rsid w:val="0096617E"/>
    <w:rsid w:val="00966313"/>
    <w:rsid w:val="00966776"/>
    <w:rsid w:val="00966A7D"/>
    <w:rsid w:val="00966B75"/>
    <w:rsid w:val="00966ED9"/>
    <w:rsid w:val="009672CD"/>
    <w:rsid w:val="00967553"/>
    <w:rsid w:val="00967777"/>
    <w:rsid w:val="00967A24"/>
    <w:rsid w:val="00967CD3"/>
    <w:rsid w:val="0097030E"/>
    <w:rsid w:val="00970921"/>
    <w:rsid w:val="009709BA"/>
    <w:rsid w:val="009709F7"/>
    <w:rsid w:val="00970A87"/>
    <w:rsid w:val="00970D1A"/>
    <w:rsid w:val="00970DA6"/>
    <w:rsid w:val="00970E36"/>
    <w:rsid w:val="00970E47"/>
    <w:rsid w:val="009714E3"/>
    <w:rsid w:val="00971912"/>
    <w:rsid w:val="00971939"/>
    <w:rsid w:val="009721D5"/>
    <w:rsid w:val="009725A5"/>
    <w:rsid w:val="00972AFE"/>
    <w:rsid w:val="00972EA6"/>
    <w:rsid w:val="00972F04"/>
    <w:rsid w:val="00972FA0"/>
    <w:rsid w:val="0097329C"/>
    <w:rsid w:val="009732C6"/>
    <w:rsid w:val="00973539"/>
    <w:rsid w:val="00973AD5"/>
    <w:rsid w:val="00973DA9"/>
    <w:rsid w:val="009749AB"/>
    <w:rsid w:val="00974A7A"/>
    <w:rsid w:val="00974B70"/>
    <w:rsid w:val="00974D3E"/>
    <w:rsid w:val="009750B5"/>
    <w:rsid w:val="009750D9"/>
    <w:rsid w:val="00975110"/>
    <w:rsid w:val="0097530D"/>
    <w:rsid w:val="00975B34"/>
    <w:rsid w:val="00976488"/>
    <w:rsid w:val="009766E6"/>
    <w:rsid w:val="0097675F"/>
    <w:rsid w:val="00976796"/>
    <w:rsid w:val="009768F7"/>
    <w:rsid w:val="00976999"/>
    <w:rsid w:val="00976C0D"/>
    <w:rsid w:val="00976C27"/>
    <w:rsid w:val="00976CDC"/>
    <w:rsid w:val="0097710C"/>
    <w:rsid w:val="00977400"/>
    <w:rsid w:val="00977A87"/>
    <w:rsid w:val="00977ADF"/>
    <w:rsid w:val="0098005A"/>
    <w:rsid w:val="009803E7"/>
    <w:rsid w:val="00980467"/>
    <w:rsid w:val="00980492"/>
    <w:rsid w:val="00980976"/>
    <w:rsid w:val="00980BB2"/>
    <w:rsid w:val="00980BC5"/>
    <w:rsid w:val="00980D16"/>
    <w:rsid w:val="00980FC3"/>
    <w:rsid w:val="00981073"/>
    <w:rsid w:val="009813BA"/>
    <w:rsid w:val="00981542"/>
    <w:rsid w:val="009815CE"/>
    <w:rsid w:val="0098166F"/>
    <w:rsid w:val="00981754"/>
    <w:rsid w:val="009819B7"/>
    <w:rsid w:val="00981D16"/>
    <w:rsid w:val="00982202"/>
    <w:rsid w:val="009825C1"/>
    <w:rsid w:val="00982634"/>
    <w:rsid w:val="00982B6B"/>
    <w:rsid w:val="00982BEE"/>
    <w:rsid w:val="00982CE4"/>
    <w:rsid w:val="00982D1A"/>
    <w:rsid w:val="00982DE1"/>
    <w:rsid w:val="009832D3"/>
    <w:rsid w:val="009835E0"/>
    <w:rsid w:val="00983760"/>
    <w:rsid w:val="00983E5F"/>
    <w:rsid w:val="00983E6A"/>
    <w:rsid w:val="00984043"/>
    <w:rsid w:val="0098416B"/>
    <w:rsid w:val="009842DC"/>
    <w:rsid w:val="009846FB"/>
    <w:rsid w:val="009847CB"/>
    <w:rsid w:val="009849D2"/>
    <w:rsid w:val="00984AA6"/>
    <w:rsid w:val="00984B21"/>
    <w:rsid w:val="00984D99"/>
    <w:rsid w:val="00984E49"/>
    <w:rsid w:val="00985176"/>
    <w:rsid w:val="00985499"/>
    <w:rsid w:val="00985736"/>
    <w:rsid w:val="0098584E"/>
    <w:rsid w:val="00985997"/>
    <w:rsid w:val="00985D0C"/>
    <w:rsid w:val="0098660B"/>
    <w:rsid w:val="00986789"/>
    <w:rsid w:val="00986A28"/>
    <w:rsid w:val="00986A53"/>
    <w:rsid w:val="00986E6E"/>
    <w:rsid w:val="0098777E"/>
    <w:rsid w:val="00987A37"/>
    <w:rsid w:val="00987BD9"/>
    <w:rsid w:val="00990029"/>
    <w:rsid w:val="009903CF"/>
    <w:rsid w:val="00990439"/>
    <w:rsid w:val="00990462"/>
    <w:rsid w:val="009904E9"/>
    <w:rsid w:val="00990AB9"/>
    <w:rsid w:val="00990C0D"/>
    <w:rsid w:val="00990C2C"/>
    <w:rsid w:val="00990DEC"/>
    <w:rsid w:val="00990FB7"/>
    <w:rsid w:val="00991079"/>
    <w:rsid w:val="009911D7"/>
    <w:rsid w:val="0099144B"/>
    <w:rsid w:val="009915BC"/>
    <w:rsid w:val="009917CF"/>
    <w:rsid w:val="009918EA"/>
    <w:rsid w:val="00991CCE"/>
    <w:rsid w:val="0099216C"/>
    <w:rsid w:val="00992749"/>
    <w:rsid w:val="009927B6"/>
    <w:rsid w:val="009927DF"/>
    <w:rsid w:val="009927E9"/>
    <w:rsid w:val="009928D0"/>
    <w:rsid w:val="00992B25"/>
    <w:rsid w:val="00992DC1"/>
    <w:rsid w:val="00993721"/>
    <w:rsid w:val="00993A3F"/>
    <w:rsid w:val="00993BDC"/>
    <w:rsid w:val="00993EE9"/>
    <w:rsid w:val="00994011"/>
    <w:rsid w:val="00994691"/>
    <w:rsid w:val="009947F4"/>
    <w:rsid w:val="00994985"/>
    <w:rsid w:val="00994C4C"/>
    <w:rsid w:val="00994D58"/>
    <w:rsid w:val="00994E4A"/>
    <w:rsid w:val="0099515A"/>
    <w:rsid w:val="00995376"/>
    <w:rsid w:val="00995728"/>
    <w:rsid w:val="009957CC"/>
    <w:rsid w:val="00995E2E"/>
    <w:rsid w:val="00995FD0"/>
    <w:rsid w:val="009960BF"/>
    <w:rsid w:val="00996178"/>
    <w:rsid w:val="009962D9"/>
    <w:rsid w:val="00996328"/>
    <w:rsid w:val="009963CE"/>
    <w:rsid w:val="00996F97"/>
    <w:rsid w:val="00996FFA"/>
    <w:rsid w:val="009971E6"/>
    <w:rsid w:val="00997326"/>
    <w:rsid w:val="0099741C"/>
    <w:rsid w:val="00997643"/>
    <w:rsid w:val="009976DE"/>
    <w:rsid w:val="00997887"/>
    <w:rsid w:val="00997E28"/>
    <w:rsid w:val="00997E2E"/>
    <w:rsid w:val="00997E6F"/>
    <w:rsid w:val="00997F11"/>
    <w:rsid w:val="009A03E1"/>
    <w:rsid w:val="009A04F5"/>
    <w:rsid w:val="009A06BF"/>
    <w:rsid w:val="009A06D4"/>
    <w:rsid w:val="009A0AB8"/>
    <w:rsid w:val="009A0BCB"/>
    <w:rsid w:val="009A0C18"/>
    <w:rsid w:val="009A0DFF"/>
    <w:rsid w:val="009A0E76"/>
    <w:rsid w:val="009A0F0A"/>
    <w:rsid w:val="009A0FD3"/>
    <w:rsid w:val="009A1650"/>
    <w:rsid w:val="009A1687"/>
    <w:rsid w:val="009A16F2"/>
    <w:rsid w:val="009A1A76"/>
    <w:rsid w:val="009A1F87"/>
    <w:rsid w:val="009A2015"/>
    <w:rsid w:val="009A205B"/>
    <w:rsid w:val="009A233D"/>
    <w:rsid w:val="009A243A"/>
    <w:rsid w:val="009A25C6"/>
    <w:rsid w:val="009A27DE"/>
    <w:rsid w:val="009A2813"/>
    <w:rsid w:val="009A2962"/>
    <w:rsid w:val="009A2D34"/>
    <w:rsid w:val="009A2D76"/>
    <w:rsid w:val="009A3C1B"/>
    <w:rsid w:val="009A3D86"/>
    <w:rsid w:val="009A4325"/>
    <w:rsid w:val="009A4720"/>
    <w:rsid w:val="009A4A1C"/>
    <w:rsid w:val="009A4B86"/>
    <w:rsid w:val="009A4ECD"/>
    <w:rsid w:val="009A4FF2"/>
    <w:rsid w:val="009A5171"/>
    <w:rsid w:val="009A5499"/>
    <w:rsid w:val="009A54F2"/>
    <w:rsid w:val="009A565F"/>
    <w:rsid w:val="009A5786"/>
    <w:rsid w:val="009A5927"/>
    <w:rsid w:val="009A5E12"/>
    <w:rsid w:val="009A60A4"/>
    <w:rsid w:val="009A6184"/>
    <w:rsid w:val="009A62DE"/>
    <w:rsid w:val="009A63EE"/>
    <w:rsid w:val="009A659C"/>
    <w:rsid w:val="009A68D1"/>
    <w:rsid w:val="009A6DAD"/>
    <w:rsid w:val="009A6F10"/>
    <w:rsid w:val="009A71C2"/>
    <w:rsid w:val="009A7224"/>
    <w:rsid w:val="009A757B"/>
    <w:rsid w:val="009A7BA8"/>
    <w:rsid w:val="009B0073"/>
    <w:rsid w:val="009B07AB"/>
    <w:rsid w:val="009B07E7"/>
    <w:rsid w:val="009B08A0"/>
    <w:rsid w:val="009B0BAC"/>
    <w:rsid w:val="009B0C25"/>
    <w:rsid w:val="009B11AD"/>
    <w:rsid w:val="009B1582"/>
    <w:rsid w:val="009B1633"/>
    <w:rsid w:val="009B173D"/>
    <w:rsid w:val="009B1E11"/>
    <w:rsid w:val="009B1E84"/>
    <w:rsid w:val="009B27B4"/>
    <w:rsid w:val="009B2813"/>
    <w:rsid w:val="009B292B"/>
    <w:rsid w:val="009B34D5"/>
    <w:rsid w:val="009B35F4"/>
    <w:rsid w:val="009B3950"/>
    <w:rsid w:val="009B4B0B"/>
    <w:rsid w:val="009B4BBD"/>
    <w:rsid w:val="009B4C58"/>
    <w:rsid w:val="009B4F77"/>
    <w:rsid w:val="009B4FFE"/>
    <w:rsid w:val="009B5090"/>
    <w:rsid w:val="009B5847"/>
    <w:rsid w:val="009B596A"/>
    <w:rsid w:val="009B5E27"/>
    <w:rsid w:val="009B6567"/>
    <w:rsid w:val="009B6C10"/>
    <w:rsid w:val="009B6E9D"/>
    <w:rsid w:val="009B6FD4"/>
    <w:rsid w:val="009B7484"/>
    <w:rsid w:val="009B7538"/>
    <w:rsid w:val="009B75FE"/>
    <w:rsid w:val="009B7643"/>
    <w:rsid w:val="009B7656"/>
    <w:rsid w:val="009B7ABF"/>
    <w:rsid w:val="009B7B43"/>
    <w:rsid w:val="009B7B92"/>
    <w:rsid w:val="009B7C46"/>
    <w:rsid w:val="009B7C80"/>
    <w:rsid w:val="009B7F09"/>
    <w:rsid w:val="009B7F76"/>
    <w:rsid w:val="009B7F7F"/>
    <w:rsid w:val="009C035D"/>
    <w:rsid w:val="009C0382"/>
    <w:rsid w:val="009C045C"/>
    <w:rsid w:val="009C0E3C"/>
    <w:rsid w:val="009C0F18"/>
    <w:rsid w:val="009C12B2"/>
    <w:rsid w:val="009C13EC"/>
    <w:rsid w:val="009C1779"/>
    <w:rsid w:val="009C1B11"/>
    <w:rsid w:val="009C1DCE"/>
    <w:rsid w:val="009C1F8A"/>
    <w:rsid w:val="009C2004"/>
    <w:rsid w:val="009C2226"/>
    <w:rsid w:val="009C22A7"/>
    <w:rsid w:val="009C22C6"/>
    <w:rsid w:val="009C2372"/>
    <w:rsid w:val="009C23D4"/>
    <w:rsid w:val="009C240B"/>
    <w:rsid w:val="009C2C41"/>
    <w:rsid w:val="009C2E30"/>
    <w:rsid w:val="009C311F"/>
    <w:rsid w:val="009C3837"/>
    <w:rsid w:val="009C3D6C"/>
    <w:rsid w:val="009C40BA"/>
    <w:rsid w:val="009C4238"/>
    <w:rsid w:val="009C457A"/>
    <w:rsid w:val="009C4B7B"/>
    <w:rsid w:val="009C4BAC"/>
    <w:rsid w:val="009C4F32"/>
    <w:rsid w:val="009C5055"/>
    <w:rsid w:val="009C50F4"/>
    <w:rsid w:val="009C5141"/>
    <w:rsid w:val="009C55EA"/>
    <w:rsid w:val="009C5CDC"/>
    <w:rsid w:val="009C5CEF"/>
    <w:rsid w:val="009C6176"/>
    <w:rsid w:val="009C65C0"/>
    <w:rsid w:val="009C6755"/>
    <w:rsid w:val="009C6B5A"/>
    <w:rsid w:val="009C6B81"/>
    <w:rsid w:val="009C6D33"/>
    <w:rsid w:val="009C7040"/>
    <w:rsid w:val="009C7541"/>
    <w:rsid w:val="009C75C9"/>
    <w:rsid w:val="009C7DDD"/>
    <w:rsid w:val="009C7EBC"/>
    <w:rsid w:val="009D00B5"/>
    <w:rsid w:val="009D06B6"/>
    <w:rsid w:val="009D0717"/>
    <w:rsid w:val="009D072F"/>
    <w:rsid w:val="009D073C"/>
    <w:rsid w:val="009D0D4A"/>
    <w:rsid w:val="009D0E27"/>
    <w:rsid w:val="009D1703"/>
    <w:rsid w:val="009D1B9B"/>
    <w:rsid w:val="009D2040"/>
    <w:rsid w:val="009D2441"/>
    <w:rsid w:val="009D26E9"/>
    <w:rsid w:val="009D27FD"/>
    <w:rsid w:val="009D2C2B"/>
    <w:rsid w:val="009D2CC4"/>
    <w:rsid w:val="009D2FBD"/>
    <w:rsid w:val="009D30AA"/>
    <w:rsid w:val="009D3202"/>
    <w:rsid w:val="009D3321"/>
    <w:rsid w:val="009D3624"/>
    <w:rsid w:val="009D39D4"/>
    <w:rsid w:val="009D3D89"/>
    <w:rsid w:val="009D3EE3"/>
    <w:rsid w:val="009D408F"/>
    <w:rsid w:val="009D4139"/>
    <w:rsid w:val="009D4AC8"/>
    <w:rsid w:val="009D4ADE"/>
    <w:rsid w:val="009D4B0C"/>
    <w:rsid w:val="009D4FA5"/>
    <w:rsid w:val="009D4FD7"/>
    <w:rsid w:val="009D5681"/>
    <w:rsid w:val="009D5DD8"/>
    <w:rsid w:val="009D6583"/>
    <w:rsid w:val="009D6694"/>
    <w:rsid w:val="009D6CA9"/>
    <w:rsid w:val="009D6CD5"/>
    <w:rsid w:val="009D709E"/>
    <w:rsid w:val="009D727B"/>
    <w:rsid w:val="009D73B5"/>
    <w:rsid w:val="009D740E"/>
    <w:rsid w:val="009D765B"/>
    <w:rsid w:val="009D767D"/>
    <w:rsid w:val="009D778D"/>
    <w:rsid w:val="009D7A8C"/>
    <w:rsid w:val="009D7AB6"/>
    <w:rsid w:val="009E00F0"/>
    <w:rsid w:val="009E0178"/>
    <w:rsid w:val="009E0C85"/>
    <w:rsid w:val="009E0D10"/>
    <w:rsid w:val="009E0D8E"/>
    <w:rsid w:val="009E0E1F"/>
    <w:rsid w:val="009E0E60"/>
    <w:rsid w:val="009E1072"/>
    <w:rsid w:val="009E129C"/>
    <w:rsid w:val="009E15BF"/>
    <w:rsid w:val="009E1604"/>
    <w:rsid w:val="009E1719"/>
    <w:rsid w:val="009E1844"/>
    <w:rsid w:val="009E1C48"/>
    <w:rsid w:val="009E1D55"/>
    <w:rsid w:val="009E21C7"/>
    <w:rsid w:val="009E2219"/>
    <w:rsid w:val="009E2569"/>
    <w:rsid w:val="009E27E2"/>
    <w:rsid w:val="009E2837"/>
    <w:rsid w:val="009E2E7B"/>
    <w:rsid w:val="009E3A18"/>
    <w:rsid w:val="009E3B24"/>
    <w:rsid w:val="009E3DC8"/>
    <w:rsid w:val="009E3EDE"/>
    <w:rsid w:val="009E3FB5"/>
    <w:rsid w:val="009E4493"/>
    <w:rsid w:val="009E46AE"/>
    <w:rsid w:val="009E4809"/>
    <w:rsid w:val="009E4D19"/>
    <w:rsid w:val="009E4F0A"/>
    <w:rsid w:val="009E539D"/>
    <w:rsid w:val="009E59F9"/>
    <w:rsid w:val="009E5A86"/>
    <w:rsid w:val="009E5FA2"/>
    <w:rsid w:val="009E62CF"/>
    <w:rsid w:val="009E6319"/>
    <w:rsid w:val="009E6652"/>
    <w:rsid w:val="009E6C55"/>
    <w:rsid w:val="009E7159"/>
    <w:rsid w:val="009E72A4"/>
    <w:rsid w:val="009E73FF"/>
    <w:rsid w:val="009E7DA2"/>
    <w:rsid w:val="009F0112"/>
    <w:rsid w:val="009F0469"/>
    <w:rsid w:val="009F0661"/>
    <w:rsid w:val="009F074F"/>
    <w:rsid w:val="009F0B2A"/>
    <w:rsid w:val="009F0B7F"/>
    <w:rsid w:val="009F0CED"/>
    <w:rsid w:val="009F0D1B"/>
    <w:rsid w:val="009F0F17"/>
    <w:rsid w:val="009F0FC2"/>
    <w:rsid w:val="009F1180"/>
    <w:rsid w:val="009F1768"/>
    <w:rsid w:val="009F1A6C"/>
    <w:rsid w:val="009F1BD5"/>
    <w:rsid w:val="009F1DD1"/>
    <w:rsid w:val="009F1FA3"/>
    <w:rsid w:val="009F20DD"/>
    <w:rsid w:val="009F2226"/>
    <w:rsid w:val="009F265D"/>
    <w:rsid w:val="009F2934"/>
    <w:rsid w:val="009F2CBF"/>
    <w:rsid w:val="009F2D3C"/>
    <w:rsid w:val="009F2EC1"/>
    <w:rsid w:val="009F3412"/>
    <w:rsid w:val="009F4252"/>
    <w:rsid w:val="009F4595"/>
    <w:rsid w:val="009F4C09"/>
    <w:rsid w:val="009F5085"/>
    <w:rsid w:val="009F5131"/>
    <w:rsid w:val="009F53DD"/>
    <w:rsid w:val="009F53EB"/>
    <w:rsid w:val="009F5418"/>
    <w:rsid w:val="009F55ED"/>
    <w:rsid w:val="009F5BBD"/>
    <w:rsid w:val="009F5C96"/>
    <w:rsid w:val="009F5CFE"/>
    <w:rsid w:val="009F5DD0"/>
    <w:rsid w:val="009F5F26"/>
    <w:rsid w:val="009F60DF"/>
    <w:rsid w:val="009F617E"/>
    <w:rsid w:val="009F6246"/>
    <w:rsid w:val="009F644B"/>
    <w:rsid w:val="009F684B"/>
    <w:rsid w:val="009F68B9"/>
    <w:rsid w:val="009F696D"/>
    <w:rsid w:val="009F6BC6"/>
    <w:rsid w:val="009F7226"/>
    <w:rsid w:val="009F72A8"/>
    <w:rsid w:val="009F7433"/>
    <w:rsid w:val="009F74EF"/>
    <w:rsid w:val="009F79A8"/>
    <w:rsid w:val="009F7B5A"/>
    <w:rsid w:val="009F7E42"/>
    <w:rsid w:val="009F7F9F"/>
    <w:rsid w:val="00A004A2"/>
    <w:rsid w:val="00A004F8"/>
    <w:rsid w:val="00A008E1"/>
    <w:rsid w:val="00A00C9B"/>
    <w:rsid w:val="00A00DD9"/>
    <w:rsid w:val="00A012F8"/>
    <w:rsid w:val="00A013DD"/>
    <w:rsid w:val="00A01474"/>
    <w:rsid w:val="00A01480"/>
    <w:rsid w:val="00A01676"/>
    <w:rsid w:val="00A016F9"/>
    <w:rsid w:val="00A01944"/>
    <w:rsid w:val="00A01AD8"/>
    <w:rsid w:val="00A01CC1"/>
    <w:rsid w:val="00A01CDE"/>
    <w:rsid w:val="00A0201F"/>
    <w:rsid w:val="00A020AC"/>
    <w:rsid w:val="00A0245F"/>
    <w:rsid w:val="00A02716"/>
    <w:rsid w:val="00A02826"/>
    <w:rsid w:val="00A0295E"/>
    <w:rsid w:val="00A029A7"/>
    <w:rsid w:val="00A02A4B"/>
    <w:rsid w:val="00A02A7A"/>
    <w:rsid w:val="00A02B3B"/>
    <w:rsid w:val="00A02B5A"/>
    <w:rsid w:val="00A02D46"/>
    <w:rsid w:val="00A02D67"/>
    <w:rsid w:val="00A02FE1"/>
    <w:rsid w:val="00A032B0"/>
    <w:rsid w:val="00A03369"/>
    <w:rsid w:val="00A03A78"/>
    <w:rsid w:val="00A03E3E"/>
    <w:rsid w:val="00A03FA1"/>
    <w:rsid w:val="00A0419B"/>
    <w:rsid w:val="00A04420"/>
    <w:rsid w:val="00A0463C"/>
    <w:rsid w:val="00A04733"/>
    <w:rsid w:val="00A04778"/>
    <w:rsid w:val="00A049C7"/>
    <w:rsid w:val="00A04B81"/>
    <w:rsid w:val="00A05180"/>
    <w:rsid w:val="00A05385"/>
    <w:rsid w:val="00A05C43"/>
    <w:rsid w:val="00A05C4B"/>
    <w:rsid w:val="00A05F4B"/>
    <w:rsid w:val="00A062E2"/>
    <w:rsid w:val="00A06A47"/>
    <w:rsid w:val="00A06EAB"/>
    <w:rsid w:val="00A072A6"/>
    <w:rsid w:val="00A07977"/>
    <w:rsid w:val="00A07BD5"/>
    <w:rsid w:val="00A07D1A"/>
    <w:rsid w:val="00A07E3B"/>
    <w:rsid w:val="00A07F3B"/>
    <w:rsid w:val="00A10929"/>
    <w:rsid w:val="00A10C8B"/>
    <w:rsid w:val="00A10F8E"/>
    <w:rsid w:val="00A1156B"/>
    <w:rsid w:val="00A117DD"/>
    <w:rsid w:val="00A11D0D"/>
    <w:rsid w:val="00A120E2"/>
    <w:rsid w:val="00A12122"/>
    <w:rsid w:val="00A126E2"/>
    <w:rsid w:val="00A12D73"/>
    <w:rsid w:val="00A13185"/>
    <w:rsid w:val="00A13284"/>
    <w:rsid w:val="00A13445"/>
    <w:rsid w:val="00A13512"/>
    <w:rsid w:val="00A13672"/>
    <w:rsid w:val="00A138BC"/>
    <w:rsid w:val="00A13C7A"/>
    <w:rsid w:val="00A13CD8"/>
    <w:rsid w:val="00A13F9D"/>
    <w:rsid w:val="00A14569"/>
    <w:rsid w:val="00A14656"/>
    <w:rsid w:val="00A14753"/>
    <w:rsid w:val="00A1480B"/>
    <w:rsid w:val="00A14846"/>
    <w:rsid w:val="00A14B6C"/>
    <w:rsid w:val="00A14DB0"/>
    <w:rsid w:val="00A150C9"/>
    <w:rsid w:val="00A15659"/>
    <w:rsid w:val="00A15733"/>
    <w:rsid w:val="00A15BDF"/>
    <w:rsid w:val="00A15D5A"/>
    <w:rsid w:val="00A16295"/>
    <w:rsid w:val="00A16666"/>
    <w:rsid w:val="00A168E1"/>
    <w:rsid w:val="00A16BE2"/>
    <w:rsid w:val="00A16D41"/>
    <w:rsid w:val="00A16D6A"/>
    <w:rsid w:val="00A16FA3"/>
    <w:rsid w:val="00A1706C"/>
    <w:rsid w:val="00A17328"/>
    <w:rsid w:val="00A17451"/>
    <w:rsid w:val="00A17BEE"/>
    <w:rsid w:val="00A20011"/>
    <w:rsid w:val="00A2026B"/>
    <w:rsid w:val="00A205F5"/>
    <w:rsid w:val="00A208B5"/>
    <w:rsid w:val="00A20D71"/>
    <w:rsid w:val="00A2102D"/>
    <w:rsid w:val="00A21873"/>
    <w:rsid w:val="00A219C0"/>
    <w:rsid w:val="00A21A2A"/>
    <w:rsid w:val="00A21B82"/>
    <w:rsid w:val="00A22025"/>
    <w:rsid w:val="00A2208D"/>
    <w:rsid w:val="00A220FE"/>
    <w:rsid w:val="00A22118"/>
    <w:rsid w:val="00A2249F"/>
    <w:rsid w:val="00A228DF"/>
    <w:rsid w:val="00A22BFE"/>
    <w:rsid w:val="00A2305E"/>
    <w:rsid w:val="00A23385"/>
    <w:rsid w:val="00A23552"/>
    <w:rsid w:val="00A23957"/>
    <w:rsid w:val="00A23A17"/>
    <w:rsid w:val="00A23A20"/>
    <w:rsid w:val="00A23BF8"/>
    <w:rsid w:val="00A23CF6"/>
    <w:rsid w:val="00A23D07"/>
    <w:rsid w:val="00A23D89"/>
    <w:rsid w:val="00A23E8E"/>
    <w:rsid w:val="00A23F2F"/>
    <w:rsid w:val="00A24028"/>
    <w:rsid w:val="00A2410C"/>
    <w:rsid w:val="00A24443"/>
    <w:rsid w:val="00A24578"/>
    <w:rsid w:val="00A2485C"/>
    <w:rsid w:val="00A24D6F"/>
    <w:rsid w:val="00A24DCE"/>
    <w:rsid w:val="00A25317"/>
    <w:rsid w:val="00A2584E"/>
    <w:rsid w:val="00A2595B"/>
    <w:rsid w:val="00A26077"/>
    <w:rsid w:val="00A268B9"/>
    <w:rsid w:val="00A26D0D"/>
    <w:rsid w:val="00A26D5E"/>
    <w:rsid w:val="00A26D6D"/>
    <w:rsid w:val="00A26DA5"/>
    <w:rsid w:val="00A26FAF"/>
    <w:rsid w:val="00A2703A"/>
    <w:rsid w:val="00A27345"/>
    <w:rsid w:val="00A2778E"/>
    <w:rsid w:val="00A27A08"/>
    <w:rsid w:val="00A27A67"/>
    <w:rsid w:val="00A27AA2"/>
    <w:rsid w:val="00A27EAE"/>
    <w:rsid w:val="00A27FA4"/>
    <w:rsid w:val="00A306D7"/>
    <w:rsid w:val="00A3072C"/>
    <w:rsid w:val="00A30929"/>
    <w:rsid w:val="00A30B7B"/>
    <w:rsid w:val="00A30F83"/>
    <w:rsid w:val="00A31016"/>
    <w:rsid w:val="00A31445"/>
    <w:rsid w:val="00A31794"/>
    <w:rsid w:val="00A31B80"/>
    <w:rsid w:val="00A31D6A"/>
    <w:rsid w:val="00A31DAE"/>
    <w:rsid w:val="00A31EC1"/>
    <w:rsid w:val="00A32247"/>
    <w:rsid w:val="00A32284"/>
    <w:rsid w:val="00A32295"/>
    <w:rsid w:val="00A329FC"/>
    <w:rsid w:val="00A32A48"/>
    <w:rsid w:val="00A32AFB"/>
    <w:rsid w:val="00A32C3D"/>
    <w:rsid w:val="00A32C7D"/>
    <w:rsid w:val="00A32F01"/>
    <w:rsid w:val="00A33195"/>
    <w:rsid w:val="00A33C0C"/>
    <w:rsid w:val="00A33C81"/>
    <w:rsid w:val="00A33C9C"/>
    <w:rsid w:val="00A33D14"/>
    <w:rsid w:val="00A33DFF"/>
    <w:rsid w:val="00A33E62"/>
    <w:rsid w:val="00A34692"/>
    <w:rsid w:val="00A34860"/>
    <w:rsid w:val="00A348BB"/>
    <w:rsid w:val="00A34BAA"/>
    <w:rsid w:val="00A34DEE"/>
    <w:rsid w:val="00A35115"/>
    <w:rsid w:val="00A35422"/>
    <w:rsid w:val="00A3590D"/>
    <w:rsid w:val="00A3627F"/>
    <w:rsid w:val="00A3647B"/>
    <w:rsid w:val="00A364FA"/>
    <w:rsid w:val="00A36874"/>
    <w:rsid w:val="00A36958"/>
    <w:rsid w:val="00A36C5C"/>
    <w:rsid w:val="00A36D16"/>
    <w:rsid w:val="00A36D9A"/>
    <w:rsid w:val="00A37AA7"/>
    <w:rsid w:val="00A37CF1"/>
    <w:rsid w:val="00A40050"/>
    <w:rsid w:val="00A408AB"/>
    <w:rsid w:val="00A409DF"/>
    <w:rsid w:val="00A41014"/>
    <w:rsid w:val="00A413C5"/>
    <w:rsid w:val="00A41B9B"/>
    <w:rsid w:val="00A41D45"/>
    <w:rsid w:val="00A420BF"/>
    <w:rsid w:val="00A42225"/>
    <w:rsid w:val="00A42246"/>
    <w:rsid w:val="00A42B06"/>
    <w:rsid w:val="00A42FD2"/>
    <w:rsid w:val="00A43558"/>
    <w:rsid w:val="00A43685"/>
    <w:rsid w:val="00A43B04"/>
    <w:rsid w:val="00A43BB3"/>
    <w:rsid w:val="00A43BD4"/>
    <w:rsid w:val="00A43D32"/>
    <w:rsid w:val="00A43D36"/>
    <w:rsid w:val="00A43DE6"/>
    <w:rsid w:val="00A4425E"/>
    <w:rsid w:val="00A442E5"/>
    <w:rsid w:val="00A444F6"/>
    <w:rsid w:val="00A44950"/>
    <w:rsid w:val="00A44CD1"/>
    <w:rsid w:val="00A44EDF"/>
    <w:rsid w:val="00A4504E"/>
    <w:rsid w:val="00A451DC"/>
    <w:rsid w:val="00A4574B"/>
    <w:rsid w:val="00A45803"/>
    <w:rsid w:val="00A45D29"/>
    <w:rsid w:val="00A45E77"/>
    <w:rsid w:val="00A46246"/>
    <w:rsid w:val="00A46479"/>
    <w:rsid w:val="00A464FE"/>
    <w:rsid w:val="00A46585"/>
    <w:rsid w:val="00A46814"/>
    <w:rsid w:val="00A46BD3"/>
    <w:rsid w:val="00A46C80"/>
    <w:rsid w:val="00A46FE5"/>
    <w:rsid w:val="00A473AA"/>
    <w:rsid w:val="00A4740C"/>
    <w:rsid w:val="00A479C8"/>
    <w:rsid w:val="00A47AB9"/>
    <w:rsid w:val="00A47B87"/>
    <w:rsid w:val="00A47E9F"/>
    <w:rsid w:val="00A50395"/>
    <w:rsid w:val="00A5085E"/>
    <w:rsid w:val="00A508B0"/>
    <w:rsid w:val="00A50948"/>
    <w:rsid w:val="00A509AB"/>
    <w:rsid w:val="00A50A13"/>
    <w:rsid w:val="00A50EC1"/>
    <w:rsid w:val="00A513CF"/>
    <w:rsid w:val="00A51783"/>
    <w:rsid w:val="00A51946"/>
    <w:rsid w:val="00A51E18"/>
    <w:rsid w:val="00A51FBD"/>
    <w:rsid w:val="00A52064"/>
    <w:rsid w:val="00A5209E"/>
    <w:rsid w:val="00A52375"/>
    <w:rsid w:val="00A528DA"/>
    <w:rsid w:val="00A529AE"/>
    <w:rsid w:val="00A52A19"/>
    <w:rsid w:val="00A52D3D"/>
    <w:rsid w:val="00A52F92"/>
    <w:rsid w:val="00A530AF"/>
    <w:rsid w:val="00A53499"/>
    <w:rsid w:val="00A535B4"/>
    <w:rsid w:val="00A53AD8"/>
    <w:rsid w:val="00A53D02"/>
    <w:rsid w:val="00A53D1A"/>
    <w:rsid w:val="00A544F1"/>
    <w:rsid w:val="00A54609"/>
    <w:rsid w:val="00A546CE"/>
    <w:rsid w:val="00A54970"/>
    <w:rsid w:val="00A54A4B"/>
    <w:rsid w:val="00A54E13"/>
    <w:rsid w:val="00A554AB"/>
    <w:rsid w:val="00A55B4F"/>
    <w:rsid w:val="00A560BA"/>
    <w:rsid w:val="00A56228"/>
    <w:rsid w:val="00A56CA6"/>
    <w:rsid w:val="00A57062"/>
    <w:rsid w:val="00A5717F"/>
    <w:rsid w:val="00A57270"/>
    <w:rsid w:val="00A57696"/>
    <w:rsid w:val="00A57A76"/>
    <w:rsid w:val="00A600A2"/>
    <w:rsid w:val="00A601C0"/>
    <w:rsid w:val="00A601DA"/>
    <w:rsid w:val="00A60A53"/>
    <w:rsid w:val="00A60ABE"/>
    <w:rsid w:val="00A60EF8"/>
    <w:rsid w:val="00A612C2"/>
    <w:rsid w:val="00A614F1"/>
    <w:rsid w:val="00A615EA"/>
    <w:rsid w:val="00A61914"/>
    <w:rsid w:val="00A61E27"/>
    <w:rsid w:val="00A61F3C"/>
    <w:rsid w:val="00A61F7A"/>
    <w:rsid w:val="00A6210D"/>
    <w:rsid w:val="00A62A72"/>
    <w:rsid w:val="00A62A7F"/>
    <w:rsid w:val="00A62C8A"/>
    <w:rsid w:val="00A6321F"/>
    <w:rsid w:val="00A63679"/>
    <w:rsid w:val="00A63A01"/>
    <w:rsid w:val="00A63A97"/>
    <w:rsid w:val="00A63FD0"/>
    <w:rsid w:val="00A64346"/>
    <w:rsid w:val="00A6444F"/>
    <w:rsid w:val="00A64B60"/>
    <w:rsid w:val="00A64BE8"/>
    <w:rsid w:val="00A64E08"/>
    <w:rsid w:val="00A655BE"/>
    <w:rsid w:val="00A65B0F"/>
    <w:rsid w:val="00A66331"/>
    <w:rsid w:val="00A663C2"/>
    <w:rsid w:val="00A6651B"/>
    <w:rsid w:val="00A66C5A"/>
    <w:rsid w:val="00A66D64"/>
    <w:rsid w:val="00A66FE2"/>
    <w:rsid w:val="00A67604"/>
    <w:rsid w:val="00A67781"/>
    <w:rsid w:val="00A67817"/>
    <w:rsid w:val="00A67C5F"/>
    <w:rsid w:val="00A67D1B"/>
    <w:rsid w:val="00A701CD"/>
    <w:rsid w:val="00A703CE"/>
    <w:rsid w:val="00A70632"/>
    <w:rsid w:val="00A70907"/>
    <w:rsid w:val="00A70CBE"/>
    <w:rsid w:val="00A70CF3"/>
    <w:rsid w:val="00A70E89"/>
    <w:rsid w:val="00A70FD4"/>
    <w:rsid w:val="00A71092"/>
    <w:rsid w:val="00A71120"/>
    <w:rsid w:val="00A71155"/>
    <w:rsid w:val="00A71167"/>
    <w:rsid w:val="00A7135B"/>
    <w:rsid w:val="00A714FB"/>
    <w:rsid w:val="00A7184F"/>
    <w:rsid w:val="00A71B4C"/>
    <w:rsid w:val="00A71E50"/>
    <w:rsid w:val="00A71EF5"/>
    <w:rsid w:val="00A720EC"/>
    <w:rsid w:val="00A72109"/>
    <w:rsid w:val="00A72277"/>
    <w:rsid w:val="00A7253A"/>
    <w:rsid w:val="00A72855"/>
    <w:rsid w:val="00A72D64"/>
    <w:rsid w:val="00A72ED2"/>
    <w:rsid w:val="00A73031"/>
    <w:rsid w:val="00A731CC"/>
    <w:rsid w:val="00A735B0"/>
    <w:rsid w:val="00A7365E"/>
    <w:rsid w:val="00A73953"/>
    <w:rsid w:val="00A73A76"/>
    <w:rsid w:val="00A73ABA"/>
    <w:rsid w:val="00A73C1D"/>
    <w:rsid w:val="00A73C23"/>
    <w:rsid w:val="00A73ECA"/>
    <w:rsid w:val="00A742AF"/>
    <w:rsid w:val="00A74409"/>
    <w:rsid w:val="00A74672"/>
    <w:rsid w:val="00A746C7"/>
    <w:rsid w:val="00A747F4"/>
    <w:rsid w:val="00A74B28"/>
    <w:rsid w:val="00A74CE8"/>
    <w:rsid w:val="00A74D03"/>
    <w:rsid w:val="00A750AB"/>
    <w:rsid w:val="00A75273"/>
    <w:rsid w:val="00A7528A"/>
    <w:rsid w:val="00A755EB"/>
    <w:rsid w:val="00A7597C"/>
    <w:rsid w:val="00A761F9"/>
    <w:rsid w:val="00A76551"/>
    <w:rsid w:val="00A7674D"/>
    <w:rsid w:val="00A767BD"/>
    <w:rsid w:val="00A77198"/>
    <w:rsid w:val="00A77310"/>
    <w:rsid w:val="00A773B6"/>
    <w:rsid w:val="00A77B3D"/>
    <w:rsid w:val="00A77B5C"/>
    <w:rsid w:val="00A80383"/>
    <w:rsid w:val="00A806A2"/>
    <w:rsid w:val="00A807B9"/>
    <w:rsid w:val="00A80AF0"/>
    <w:rsid w:val="00A80DBE"/>
    <w:rsid w:val="00A80E99"/>
    <w:rsid w:val="00A811B6"/>
    <w:rsid w:val="00A814AE"/>
    <w:rsid w:val="00A816E6"/>
    <w:rsid w:val="00A8191F"/>
    <w:rsid w:val="00A81B6A"/>
    <w:rsid w:val="00A81FC1"/>
    <w:rsid w:val="00A8241B"/>
    <w:rsid w:val="00A824CB"/>
    <w:rsid w:val="00A825F1"/>
    <w:rsid w:val="00A82C7F"/>
    <w:rsid w:val="00A82F37"/>
    <w:rsid w:val="00A83AF4"/>
    <w:rsid w:val="00A83B27"/>
    <w:rsid w:val="00A83DED"/>
    <w:rsid w:val="00A84241"/>
    <w:rsid w:val="00A842A9"/>
    <w:rsid w:val="00A84758"/>
    <w:rsid w:val="00A847B5"/>
    <w:rsid w:val="00A847D9"/>
    <w:rsid w:val="00A84F93"/>
    <w:rsid w:val="00A852CA"/>
    <w:rsid w:val="00A85649"/>
    <w:rsid w:val="00A8587E"/>
    <w:rsid w:val="00A85EDB"/>
    <w:rsid w:val="00A85F16"/>
    <w:rsid w:val="00A85F32"/>
    <w:rsid w:val="00A8605D"/>
    <w:rsid w:val="00A86516"/>
    <w:rsid w:val="00A86945"/>
    <w:rsid w:val="00A86B2D"/>
    <w:rsid w:val="00A86BD0"/>
    <w:rsid w:val="00A86C85"/>
    <w:rsid w:val="00A86E86"/>
    <w:rsid w:val="00A870DE"/>
    <w:rsid w:val="00A8773B"/>
    <w:rsid w:val="00A87C6C"/>
    <w:rsid w:val="00A87FBA"/>
    <w:rsid w:val="00A90217"/>
    <w:rsid w:val="00A9055D"/>
    <w:rsid w:val="00A90750"/>
    <w:rsid w:val="00A913D4"/>
    <w:rsid w:val="00A91463"/>
    <w:rsid w:val="00A9154B"/>
    <w:rsid w:val="00A91568"/>
    <w:rsid w:val="00A92028"/>
    <w:rsid w:val="00A921A1"/>
    <w:rsid w:val="00A92290"/>
    <w:rsid w:val="00A923BA"/>
    <w:rsid w:val="00A9289C"/>
    <w:rsid w:val="00A92909"/>
    <w:rsid w:val="00A929AD"/>
    <w:rsid w:val="00A92B53"/>
    <w:rsid w:val="00A92C02"/>
    <w:rsid w:val="00A92F5A"/>
    <w:rsid w:val="00A93467"/>
    <w:rsid w:val="00A94076"/>
    <w:rsid w:val="00A949A7"/>
    <w:rsid w:val="00A94E0E"/>
    <w:rsid w:val="00A94E35"/>
    <w:rsid w:val="00A94EB4"/>
    <w:rsid w:val="00A94FA6"/>
    <w:rsid w:val="00A9528B"/>
    <w:rsid w:val="00A95302"/>
    <w:rsid w:val="00A95303"/>
    <w:rsid w:val="00A954D2"/>
    <w:rsid w:val="00A95550"/>
    <w:rsid w:val="00A95ACD"/>
    <w:rsid w:val="00A95B28"/>
    <w:rsid w:val="00A95B54"/>
    <w:rsid w:val="00A95C3E"/>
    <w:rsid w:val="00A95E60"/>
    <w:rsid w:val="00A95F2E"/>
    <w:rsid w:val="00A95F7A"/>
    <w:rsid w:val="00A964A9"/>
    <w:rsid w:val="00A96747"/>
    <w:rsid w:val="00A9709C"/>
    <w:rsid w:val="00A970EF"/>
    <w:rsid w:val="00A9731B"/>
    <w:rsid w:val="00A974AA"/>
    <w:rsid w:val="00A97537"/>
    <w:rsid w:val="00A97AEF"/>
    <w:rsid w:val="00A97CB0"/>
    <w:rsid w:val="00A97E15"/>
    <w:rsid w:val="00AA0111"/>
    <w:rsid w:val="00AA0578"/>
    <w:rsid w:val="00AA0D42"/>
    <w:rsid w:val="00AA0F2C"/>
    <w:rsid w:val="00AA1039"/>
    <w:rsid w:val="00AA110B"/>
    <w:rsid w:val="00AA1A08"/>
    <w:rsid w:val="00AA22BE"/>
    <w:rsid w:val="00AA2650"/>
    <w:rsid w:val="00AA27D1"/>
    <w:rsid w:val="00AA281D"/>
    <w:rsid w:val="00AA2895"/>
    <w:rsid w:val="00AA2A57"/>
    <w:rsid w:val="00AA2C29"/>
    <w:rsid w:val="00AA2E0C"/>
    <w:rsid w:val="00AA301D"/>
    <w:rsid w:val="00AA331E"/>
    <w:rsid w:val="00AA33E8"/>
    <w:rsid w:val="00AA3769"/>
    <w:rsid w:val="00AA3795"/>
    <w:rsid w:val="00AA3829"/>
    <w:rsid w:val="00AA3951"/>
    <w:rsid w:val="00AA3CB1"/>
    <w:rsid w:val="00AA3FB4"/>
    <w:rsid w:val="00AA4009"/>
    <w:rsid w:val="00AA413A"/>
    <w:rsid w:val="00AA42B9"/>
    <w:rsid w:val="00AA4416"/>
    <w:rsid w:val="00AA45D2"/>
    <w:rsid w:val="00AA49A0"/>
    <w:rsid w:val="00AA49BB"/>
    <w:rsid w:val="00AA4B3C"/>
    <w:rsid w:val="00AA4C09"/>
    <w:rsid w:val="00AA4CC2"/>
    <w:rsid w:val="00AA5166"/>
    <w:rsid w:val="00AA5465"/>
    <w:rsid w:val="00AA5646"/>
    <w:rsid w:val="00AA5C76"/>
    <w:rsid w:val="00AA611B"/>
    <w:rsid w:val="00AA618A"/>
    <w:rsid w:val="00AA6458"/>
    <w:rsid w:val="00AA655E"/>
    <w:rsid w:val="00AA6710"/>
    <w:rsid w:val="00AA6838"/>
    <w:rsid w:val="00AA6A69"/>
    <w:rsid w:val="00AA6AE4"/>
    <w:rsid w:val="00AA6B27"/>
    <w:rsid w:val="00AA6E0C"/>
    <w:rsid w:val="00AA6E5A"/>
    <w:rsid w:val="00AA6F22"/>
    <w:rsid w:val="00AA74CC"/>
    <w:rsid w:val="00AA75AA"/>
    <w:rsid w:val="00AA782A"/>
    <w:rsid w:val="00AA7E3D"/>
    <w:rsid w:val="00AB004D"/>
    <w:rsid w:val="00AB0681"/>
    <w:rsid w:val="00AB0685"/>
    <w:rsid w:val="00AB08A9"/>
    <w:rsid w:val="00AB0A5B"/>
    <w:rsid w:val="00AB0A75"/>
    <w:rsid w:val="00AB0B03"/>
    <w:rsid w:val="00AB1082"/>
    <w:rsid w:val="00AB1226"/>
    <w:rsid w:val="00AB1474"/>
    <w:rsid w:val="00AB1606"/>
    <w:rsid w:val="00AB16D0"/>
    <w:rsid w:val="00AB17B5"/>
    <w:rsid w:val="00AB1D52"/>
    <w:rsid w:val="00AB2158"/>
    <w:rsid w:val="00AB2522"/>
    <w:rsid w:val="00AB25D8"/>
    <w:rsid w:val="00AB2648"/>
    <w:rsid w:val="00AB29CF"/>
    <w:rsid w:val="00AB29D7"/>
    <w:rsid w:val="00AB2D2B"/>
    <w:rsid w:val="00AB31C1"/>
    <w:rsid w:val="00AB332B"/>
    <w:rsid w:val="00AB3459"/>
    <w:rsid w:val="00AB3801"/>
    <w:rsid w:val="00AB38F2"/>
    <w:rsid w:val="00AB3C0F"/>
    <w:rsid w:val="00AB449C"/>
    <w:rsid w:val="00AB4A77"/>
    <w:rsid w:val="00AB4BB2"/>
    <w:rsid w:val="00AB5011"/>
    <w:rsid w:val="00AB5513"/>
    <w:rsid w:val="00AB55B6"/>
    <w:rsid w:val="00AB577F"/>
    <w:rsid w:val="00AB59F1"/>
    <w:rsid w:val="00AB5CC0"/>
    <w:rsid w:val="00AB5D70"/>
    <w:rsid w:val="00AB5DA8"/>
    <w:rsid w:val="00AB5EA9"/>
    <w:rsid w:val="00AB5EFF"/>
    <w:rsid w:val="00AB602E"/>
    <w:rsid w:val="00AB6A96"/>
    <w:rsid w:val="00AB6C56"/>
    <w:rsid w:val="00AB6DF4"/>
    <w:rsid w:val="00AB734E"/>
    <w:rsid w:val="00AB73B4"/>
    <w:rsid w:val="00AB7EC7"/>
    <w:rsid w:val="00AC0063"/>
    <w:rsid w:val="00AC02BF"/>
    <w:rsid w:val="00AC02E2"/>
    <w:rsid w:val="00AC0342"/>
    <w:rsid w:val="00AC03A0"/>
    <w:rsid w:val="00AC0962"/>
    <w:rsid w:val="00AC09EB"/>
    <w:rsid w:val="00AC0A27"/>
    <w:rsid w:val="00AC0B22"/>
    <w:rsid w:val="00AC0C90"/>
    <w:rsid w:val="00AC0D3C"/>
    <w:rsid w:val="00AC0F21"/>
    <w:rsid w:val="00AC0FD2"/>
    <w:rsid w:val="00AC0FF6"/>
    <w:rsid w:val="00AC1368"/>
    <w:rsid w:val="00AC1B6B"/>
    <w:rsid w:val="00AC1CB4"/>
    <w:rsid w:val="00AC1F5D"/>
    <w:rsid w:val="00AC2311"/>
    <w:rsid w:val="00AC2EAB"/>
    <w:rsid w:val="00AC2FE7"/>
    <w:rsid w:val="00AC34E4"/>
    <w:rsid w:val="00AC34F1"/>
    <w:rsid w:val="00AC35C7"/>
    <w:rsid w:val="00AC3A15"/>
    <w:rsid w:val="00AC3B7D"/>
    <w:rsid w:val="00AC3C56"/>
    <w:rsid w:val="00AC4715"/>
    <w:rsid w:val="00AC4793"/>
    <w:rsid w:val="00AC47E7"/>
    <w:rsid w:val="00AC48C4"/>
    <w:rsid w:val="00AC49FE"/>
    <w:rsid w:val="00AC4A03"/>
    <w:rsid w:val="00AC4A54"/>
    <w:rsid w:val="00AC4C5E"/>
    <w:rsid w:val="00AC4EDD"/>
    <w:rsid w:val="00AC50D1"/>
    <w:rsid w:val="00AC53B0"/>
    <w:rsid w:val="00AC54A0"/>
    <w:rsid w:val="00AC54C8"/>
    <w:rsid w:val="00AC5594"/>
    <w:rsid w:val="00AC55BC"/>
    <w:rsid w:val="00AC5D8F"/>
    <w:rsid w:val="00AC6115"/>
    <w:rsid w:val="00AC6154"/>
    <w:rsid w:val="00AC684D"/>
    <w:rsid w:val="00AC68C5"/>
    <w:rsid w:val="00AC68F9"/>
    <w:rsid w:val="00AC692A"/>
    <w:rsid w:val="00AC6A41"/>
    <w:rsid w:val="00AC6A69"/>
    <w:rsid w:val="00AC710D"/>
    <w:rsid w:val="00AC75C3"/>
    <w:rsid w:val="00AC7773"/>
    <w:rsid w:val="00AC7926"/>
    <w:rsid w:val="00AC7A8A"/>
    <w:rsid w:val="00AC7E56"/>
    <w:rsid w:val="00AD0094"/>
    <w:rsid w:val="00AD0740"/>
    <w:rsid w:val="00AD0838"/>
    <w:rsid w:val="00AD0C47"/>
    <w:rsid w:val="00AD0E7D"/>
    <w:rsid w:val="00AD0EC4"/>
    <w:rsid w:val="00AD1060"/>
    <w:rsid w:val="00AD138F"/>
    <w:rsid w:val="00AD1474"/>
    <w:rsid w:val="00AD15E9"/>
    <w:rsid w:val="00AD16FB"/>
    <w:rsid w:val="00AD1924"/>
    <w:rsid w:val="00AD1937"/>
    <w:rsid w:val="00AD193A"/>
    <w:rsid w:val="00AD1BFF"/>
    <w:rsid w:val="00AD1DF8"/>
    <w:rsid w:val="00AD20B2"/>
    <w:rsid w:val="00AD2CEF"/>
    <w:rsid w:val="00AD2D80"/>
    <w:rsid w:val="00AD2FA8"/>
    <w:rsid w:val="00AD3154"/>
    <w:rsid w:val="00AD3242"/>
    <w:rsid w:val="00AD324F"/>
    <w:rsid w:val="00AD336D"/>
    <w:rsid w:val="00AD33C3"/>
    <w:rsid w:val="00AD3852"/>
    <w:rsid w:val="00AD3A88"/>
    <w:rsid w:val="00AD3CDC"/>
    <w:rsid w:val="00AD4037"/>
    <w:rsid w:val="00AD405F"/>
    <w:rsid w:val="00AD40EA"/>
    <w:rsid w:val="00AD435A"/>
    <w:rsid w:val="00AD47A9"/>
    <w:rsid w:val="00AD506B"/>
    <w:rsid w:val="00AD520B"/>
    <w:rsid w:val="00AD55D2"/>
    <w:rsid w:val="00AD55FD"/>
    <w:rsid w:val="00AD5672"/>
    <w:rsid w:val="00AD5907"/>
    <w:rsid w:val="00AD5F91"/>
    <w:rsid w:val="00AD6067"/>
    <w:rsid w:val="00AD6462"/>
    <w:rsid w:val="00AD649A"/>
    <w:rsid w:val="00AD6582"/>
    <w:rsid w:val="00AD6821"/>
    <w:rsid w:val="00AD72CF"/>
    <w:rsid w:val="00AD7349"/>
    <w:rsid w:val="00AD766C"/>
    <w:rsid w:val="00AD772A"/>
    <w:rsid w:val="00AD776E"/>
    <w:rsid w:val="00AD7FDF"/>
    <w:rsid w:val="00AE014C"/>
    <w:rsid w:val="00AE01BA"/>
    <w:rsid w:val="00AE06AA"/>
    <w:rsid w:val="00AE0C5E"/>
    <w:rsid w:val="00AE1145"/>
    <w:rsid w:val="00AE1280"/>
    <w:rsid w:val="00AE19E8"/>
    <w:rsid w:val="00AE1CDB"/>
    <w:rsid w:val="00AE1D30"/>
    <w:rsid w:val="00AE20D5"/>
    <w:rsid w:val="00AE2149"/>
    <w:rsid w:val="00AE215B"/>
    <w:rsid w:val="00AE2165"/>
    <w:rsid w:val="00AE23D6"/>
    <w:rsid w:val="00AE2959"/>
    <w:rsid w:val="00AE2A39"/>
    <w:rsid w:val="00AE2C96"/>
    <w:rsid w:val="00AE2DFD"/>
    <w:rsid w:val="00AE2E25"/>
    <w:rsid w:val="00AE2FB0"/>
    <w:rsid w:val="00AE2FD6"/>
    <w:rsid w:val="00AE3517"/>
    <w:rsid w:val="00AE35E3"/>
    <w:rsid w:val="00AE3755"/>
    <w:rsid w:val="00AE3BCC"/>
    <w:rsid w:val="00AE3EC8"/>
    <w:rsid w:val="00AE4011"/>
    <w:rsid w:val="00AE43C4"/>
    <w:rsid w:val="00AE43D1"/>
    <w:rsid w:val="00AE4427"/>
    <w:rsid w:val="00AE44BF"/>
    <w:rsid w:val="00AE4681"/>
    <w:rsid w:val="00AE4D05"/>
    <w:rsid w:val="00AE5107"/>
    <w:rsid w:val="00AE53F7"/>
    <w:rsid w:val="00AE54E5"/>
    <w:rsid w:val="00AE5B6E"/>
    <w:rsid w:val="00AE5C8A"/>
    <w:rsid w:val="00AE5CCA"/>
    <w:rsid w:val="00AE5D0C"/>
    <w:rsid w:val="00AE63F5"/>
    <w:rsid w:val="00AE643A"/>
    <w:rsid w:val="00AE6534"/>
    <w:rsid w:val="00AE6B3D"/>
    <w:rsid w:val="00AE6B5C"/>
    <w:rsid w:val="00AE6FD4"/>
    <w:rsid w:val="00AE6FDB"/>
    <w:rsid w:val="00AE74A3"/>
    <w:rsid w:val="00AE7657"/>
    <w:rsid w:val="00AE7743"/>
    <w:rsid w:val="00AE78CC"/>
    <w:rsid w:val="00AE7B01"/>
    <w:rsid w:val="00AE7DFB"/>
    <w:rsid w:val="00AE7EB0"/>
    <w:rsid w:val="00AE7FE0"/>
    <w:rsid w:val="00AF0841"/>
    <w:rsid w:val="00AF0BDA"/>
    <w:rsid w:val="00AF0C09"/>
    <w:rsid w:val="00AF0C76"/>
    <w:rsid w:val="00AF0D1F"/>
    <w:rsid w:val="00AF0DE9"/>
    <w:rsid w:val="00AF0F4F"/>
    <w:rsid w:val="00AF0F74"/>
    <w:rsid w:val="00AF1389"/>
    <w:rsid w:val="00AF1889"/>
    <w:rsid w:val="00AF1CD8"/>
    <w:rsid w:val="00AF1D41"/>
    <w:rsid w:val="00AF1E26"/>
    <w:rsid w:val="00AF1E73"/>
    <w:rsid w:val="00AF28D8"/>
    <w:rsid w:val="00AF29E4"/>
    <w:rsid w:val="00AF2AD9"/>
    <w:rsid w:val="00AF2B07"/>
    <w:rsid w:val="00AF2C6A"/>
    <w:rsid w:val="00AF2F6D"/>
    <w:rsid w:val="00AF2FB9"/>
    <w:rsid w:val="00AF33BF"/>
    <w:rsid w:val="00AF37CE"/>
    <w:rsid w:val="00AF3D3B"/>
    <w:rsid w:val="00AF3E6D"/>
    <w:rsid w:val="00AF406C"/>
    <w:rsid w:val="00AF4144"/>
    <w:rsid w:val="00AF46A8"/>
    <w:rsid w:val="00AF46B1"/>
    <w:rsid w:val="00AF46E2"/>
    <w:rsid w:val="00AF4853"/>
    <w:rsid w:val="00AF4A03"/>
    <w:rsid w:val="00AF4B8D"/>
    <w:rsid w:val="00AF4DC8"/>
    <w:rsid w:val="00AF54A2"/>
    <w:rsid w:val="00AF54C0"/>
    <w:rsid w:val="00AF58CF"/>
    <w:rsid w:val="00AF5A02"/>
    <w:rsid w:val="00AF5F85"/>
    <w:rsid w:val="00AF5FCF"/>
    <w:rsid w:val="00AF5FD7"/>
    <w:rsid w:val="00AF6030"/>
    <w:rsid w:val="00AF60AE"/>
    <w:rsid w:val="00AF65C7"/>
    <w:rsid w:val="00AF6881"/>
    <w:rsid w:val="00AF6A6C"/>
    <w:rsid w:val="00AF75C3"/>
    <w:rsid w:val="00AF771B"/>
    <w:rsid w:val="00AF7DA2"/>
    <w:rsid w:val="00B000BE"/>
    <w:rsid w:val="00B004A3"/>
    <w:rsid w:val="00B0065C"/>
    <w:rsid w:val="00B00729"/>
    <w:rsid w:val="00B008AE"/>
    <w:rsid w:val="00B009E1"/>
    <w:rsid w:val="00B00DAA"/>
    <w:rsid w:val="00B01092"/>
    <w:rsid w:val="00B019FF"/>
    <w:rsid w:val="00B01DCC"/>
    <w:rsid w:val="00B02072"/>
    <w:rsid w:val="00B0251B"/>
    <w:rsid w:val="00B02558"/>
    <w:rsid w:val="00B0257F"/>
    <w:rsid w:val="00B02751"/>
    <w:rsid w:val="00B0294F"/>
    <w:rsid w:val="00B02B31"/>
    <w:rsid w:val="00B02BE9"/>
    <w:rsid w:val="00B02CE1"/>
    <w:rsid w:val="00B02F99"/>
    <w:rsid w:val="00B03710"/>
    <w:rsid w:val="00B0374B"/>
    <w:rsid w:val="00B038C6"/>
    <w:rsid w:val="00B03AB9"/>
    <w:rsid w:val="00B03CA9"/>
    <w:rsid w:val="00B03DBC"/>
    <w:rsid w:val="00B03EB8"/>
    <w:rsid w:val="00B041CB"/>
    <w:rsid w:val="00B0441F"/>
    <w:rsid w:val="00B045ED"/>
    <w:rsid w:val="00B04BB0"/>
    <w:rsid w:val="00B04DEF"/>
    <w:rsid w:val="00B061EE"/>
    <w:rsid w:val="00B06550"/>
    <w:rsid w:val="00B06705"/>
    <w:rsid w:val="00B06A1A"/>
    <w:rsid w:val="00B06AF5"/>
    <w:rsid w:val="00B06BED"/>
    <w:rsid w:val="00B06C60"/>
    <w:rsid w:val="00B06CC9"/>
    <w:rsid w:val="00B06CDA"/>
    <w:rsid w:val="00B06D32"/>
    <w:rsid w:val="00B06F95"/>
    <w:rsid w:val="00B07458"/>
    <w:rsid w:val="00B101C2"/>
    <w:rsid w:val="00B104DC"/>
    <w:rsid w:val="00B10542"/>
    <w:rsid w:val="00B1082F"/>
    <w:rsid w:val="00B1083A"/>
    <w:rsid w:val="00B10870"/>
    <w:rsid w:val="00B10A33"/>
    <w:rsid w:val="00B111DA"/>
    <w:rsid w:val="00B11259"/>
    <w:rsid w:val="00B113BD"/>
    <w:rsid w:val="00B115C8"/>
    <w:rsid w:val="00B1173B"/>
    <w:rsid w:val="00B1195C"/>
    <w:rsid w:val="00B11A49"/>
    <w:rsid w:val="00B11AC5"/>
    <w:rsid w:val="00B11ADA"/>
    <w:rsid w:val="00B122F2"/>
    <w:rsid w:val="00B12CD6"/>
    <w:rsid w:val="00B12DF5"/>
    <w:rsid w:val="00B13271"/>
    <w:rsid w:val="00B1340F"/>
    <w:rsid w:val="00B13453"/>
    <w:rsid w:val="00B1389D"/>
    <w:rsid w:val="00B13980"/>
    <w:rsid w:val="00B145D7"/>
    <w:rsid w:val="00B14718"/>
    <w:rsid w:val="00B149C0"/>
    <w:rsid w:val="00B14CAD"/>
    <w:rsid w:val="00B14F8B"/>
    <w:rsid w:val="00B152B3"/>
    <w:rsid w:val="00B15E1A"/>
    <w:rsid w:val="00B15FB9"/>
    <w:rsid w:val="00B16051"/>
    <w:rsid w:val="00B16060"/>
    <w:rsid w:val="00B1625F"/>
    <w:rsid w:val="00B164EA"/>
    <w:rsid w:val="00B167BA"/>
    <w:rsid w:val="00B16A00"/>
    <w:rsid w:val="00B16AD3"/>
    <w:rsid w:val="00B16BEC"/>
    <w:rsid w:val="00B16CF4"/>
    <w:rsid w:val="00B16F69"/>
    <w:rsid w:val="00B171C9"/>
    <w:rsid w:val="00B17227"/>
    <w:rsid w:val="00B174A6"/>
    <w:rsid w:val="00B17500"/>
    <w:rsid w:val="00B175F5"/>
    <w:rsid w:val="00B177E3"/>
    <w:rsid w:val="00B202E7"/>
    <w:rsid w:val="00B2032A"/>
    <w:rsid w:val="00B20A16"/>
    <w:rsid w:val="00B20B7A"/>
    <w:rsid w:val="00B20FA4"/>
    <w:rsid w:val="00B2151B"/>
    <w:rsid w:val="00B21842"/>
    <w:rsid w:val="00B2197D"/>
    <w:rsid w:val="00B21CAE"/>
    <w:rsid w:val="00B21CF5"/>
    <w:rsid w:val="00B22351"/>
    <w:rsid w:val="00B2259F"/>
    <w:rsid w:val="00B22B30"/>
    <w:rsid w:val="00B22ECB"/>
    <w:rsid w:val="00B22EF3"/>
    <w:rsid w:val="00B234D0"/>
    <w:rsid w:val="00B2365A"/>
    <w:rsid w:val="00B2375B"/>
    <w:rsid w:val="00B237D3"/>
    <w:rsid w:val="00B23ABF"/>
    <w:rsid w:val="00B23E0E"/>
    <w:rsid w:val="00B23E5C"/>
    <w:rsid w:val="00B2438B"/>
    <w:rsid w:val="00B245FA"/>
    <w:rsid w:val="00B24673"/>
    <w:rsid w:val="00B246E0"/>
    <w:rsid w:val="00B24839"/>
    <w:rsid w:val="00B2484E"/>
    <w:rsid w:val="00B24B53"/>
    <w:rsid w:val="00B24BF9"/>
    <w:rsid w:val="00B25108"/>
    <w:rsid w:val="00B25413"/>
    <w:rsid w:val="00B25949"/>
    <w:rsid w:val="00B25C83"/>
    <w:rsid w:val="00B2627D"/>
    <w:rsid w:val="00B2634F"/>
    <w:rsid w:val="00B26656"/>
    <w:rsid w:val="00B268A5"/>
    <w:rsid w:val="00B26B47"/>
    <w:rsid w:val="00B26CF1"/>
    <w:rsid w:val="00B26DB2"/>
    <w:rsid w:val="00B26EAE"/>
    <w:rsid w:val="00B26F45"/>
    <w:rsid w:val="00B27843"/>
    <w:rsid w:val="00B30156"/>
    <w:rsid w:val="00B30498"/>
    <w:rsid w:val="00B30530"/>
    <w:rsid w:val="00B30790"/>
    <w:rsid w:val="00B30828"/>
    <w:rsid w:val="00B30A0E"/>
    <w:rsid w:val="00B30AA8"/>
    <w:rsid w:val="00B30AC6"/>
    <w:rsid w:val="00B30BB0"/>
    <w:rsid w:val="00B30CFD"/>
    <w:rsid w:val="00B30D7B"/>
    <w:rsid w:val="00B31048"/>
    <w:rsid w:val="00B312C0"/>
    <w:rsid w:val="00B3137C"/>
    <w:rsid w:val="00B31542"/>
    <w:rsid w:val="00B31DEA"/>
    <w:rsid w:val="00B32102"/>
    <w:rsid w:val="00B3280A"/>
    <w:rsid w:val="00B32848"/>
    <w:rsid w:val="00B32E14"/>
    <w:rsid w:val="00B33417"/>
    <w:rsid w:val="00B3346C"/>
    <w:rsid w:val="00B3354A"/>
    <w:rsid w:val="00B337E4"/>
    <w:rsid w:val="00B33C51"/>
    <w:rsid w:val="00B340EA"/>
    <w:rsid w:val="00B34168"/>
    <w:rsid w:val="00B34725"/>
    <w:rsid w:val="00B34847"/>
    <w:rsid w:val="00B34AC2"/>
    <w:rsid w:val="00B34B08"/>
    <w:rsid w:val="00B34B49"/>
    <w:rsid w:val="00B34DF5"/>
    <w:rsid w:val="00B353A6"/>
    <w:rsid w:val="00B355F7"/>
    <w:rsid w:val="00B357A0"/>
    <w:rsid w:val="00B35EB1"/>
    <w:rsid w:val="00B35EF7"/>
    <w:rsid w:val="00B35F7B"/>
    <w:rsid w:val="00B35F8A"/>
    <w:rsid w:val="00B36042"/>
    <w:rsid w:val="00B361C8"/>
    <w:rsid w:val="00B36571"/>
    <w:rsid w:val="00B3667C"/>
    <w:rsid w:val="00B36783"/>
    <w:rsid w:val="00B37128"/>
    <w:rsid w:val="00B3746E"/>
    <w:rsid w:val="00B375F8"/>
    <w:rsid w:val="00B3771F"/>
    <w:rsid w:val="00B37957"/>
    <w:rsid w:val="00B37AAC"/>
    <w:rsid w:val="00B37B78"/>
    <w:rsid w:val="00B37BCE"/>
    <w:rsid w:val="00B37C3D"/>
    <w:rsid w:val="00B37DB2"/>
    <w:rsid w:val="00B37E50"/>
    <w:rsid w:val="00B40981"/>
    <w:rsid w:val="00B40C3F"/>
    <w:rsid w:val="00B40C85"/>
    <w:rsid w:val="00B40DB5"/>
    <w:rsid w:val="00B41244"/>
    <w:rsid w:val="00B412EB"/>
    <w:rsid w:val="00B4138B"/>
    <w:rsid w:val="00B41567"/>
    <w:rsid w:val="00B416A1"/>
    <w:rsid w:val="00B419FB"/>
    <w:rsid w:val="00B41D85"/>
    <w:rsid w:val="00B42293"/>
    <w:rsid w:val="00B425C3"/>
    <w:rsid w:val="00B42E99"/>
    <w:rsid w:val="00B4305D"/>
    <w:rsid w:val="00B432B5"/>
    <w:rsid w:val="00B4339D"/>
    <w:rsid w:val="00B4351F"/>
    <w:rsid w:val="00B43690"/>
    <w:rsid w:val="00B4373D"/>
    <w:rsid w:val="00B43DD2"/>
    <w:rsid w:val="00B440AD"/>
    <w:rsid w:val="00B44359"/>
    <w:rsid w:val="00B4448D"/>
    <w:rsid w:val="00B445C6"/>
    <w:rsid w:val="00B446C3"/>
    <w:rsid w:val="00B44802"/>
    <w:rsid w:val="00B44909"/>
    <w:rsid w:val="00B44AC4"/>
    <w:rsid w:val="00B44BA1"/>
    <w:rsid w:val="00B45223"/>
    <w:rsid w:val="00B4546C"/>
    <w:rsid w:val="00B45684"/>
    <w:rsid w:val="00B459EB"/>
    <w:rsid w:val="00B45C5B"/>
    <w:rsid w:val="00B4604B"/>
    <w:rsid w:val="00B46060"/>
    <w:rsid w:val="00B46742"/>
    <w:rsid w:val="00B472F9"/>
    <w:rsid w:val="00B473B6"/>
    <w:rsid w:val="00B474EB"/>
    <w:rsid w:val="00B47645"/>
    <w:rsid w:val="00B478F6"/>
    <w:rsid w:val="00B479BB"/>
    <w:rsid w:val="00B47AF8"/>
    <w:rsid w:val="00B47E55"/>
    <w:rsid w:val="00B47F81"/>
    <w:rsid w:val="00B5007F"/>
    <w:rsid w:val="00B502E4"/>
    <w:rsid w:val="00B51045"/>
    <w:rsid w:val="00B51655"/>
    <w:rsid w:val="00B51664"/>
    <w:rsid w:val="00B51980"/>
    <w:rsid w:val="00B51A23"/>
    <w:rsid w:val="00B51C15"/>
    <w:rsid w:val="00B52613"/>
    <w:rsid w:val="00B526FD"/>
    <w:rsid w:val="00B52A55"/>
    <w:rsid w:val="00B52B09"/>
    <w:rsid w:val="00B52B9E"/>
    <w:rsid w:val="00B53327"/>
    <w:rsid w:val="00B534D9"/>
    <w:rsid w:val="00B53A20"/>
    <w:rsid w:val="00B53E7E"/>
    <w:rsid w:val="00B53F95"/>
    <w:rsid w:val="00B54347"/>
    <w:rsid w:val="00B54788"/>
    <w:rsid w:val="00B54C54"/>
    <w:rsid w:val="00B54D09"/>
    <w:rsid w:val="00B54D28"/>
    <w:rsid w:val="00B5501C"/>
    <w:rsid w:val="00B55320"/>
    <w:rsid w:val="00B5576A"/>
    <w:rsid w:val="00B557D9"/>
    <w:rsid w:val="00B5583F"/>
    <w:rsid w:val="00B558B1"/>
    <w:rsid w:val="00B55B6C"/>
    <w:rsid w:val="00B55BEF"/>
    <w:rsid w:val="00B55FF2"/>
    <w:rsid w:val="00B560F0"/>
    <w:rsid w:val="00B56300"/>
    <w:rsid w:val="00B56431"/>
    <w:rsid w:val="00B56720"/>
    <w:rsid w:val="00B56816"/>
    <w:rsid w:val="00B568A8"/>
    <w:rsid w:val="00B5697F"/>
    <w:rsid w:val="00B5700F"/>
    <w:rsid w:val="00B570E2"/>
    <w:rsid w:val="00B571D4"/>
    <w:rsid w:val="00B57656"/>
    <w:rsid w:val="00B577A6"/>
    <w:rsid w:val="00B57AD2"/>
    <w:rsid w:val="00B57B71"/>
    <w:rsid w:val="00B601C5"/>
    <w:rsid w:val="00B60389"/>
    <w:rsid w:val="00B6039B"/>
    <w:rsid w:val="00B6062F"/>
    <w:rsid w:val="00B60F3D"/>
    <w:rsid w:val="00B60FDB"/>
    <w:rsid w:val="00B612F8"/>
    <w:rsid w:val="00B6145C"/>
    <w:rsid w:val="00B6199B"/>
    <w:rsid w:val="00B619F0"/>
    <w:rsid w:val="00B620B8"/>
    <w:rsid w:val="00B6236B"/>
    <w:rsid w:val="00B62447"/>
    <w:rsid w:val="00B624F4"/>
    <w:rsid w:val="00B62611"/>
    <w:rsid w:val="00B62756"/>
    <w:rsid w:val="00B62B8A"/>
    <w:rsid w:val="00B62E07"/>
    <w:rsid w:val="00B62ED4"/>
    <w:rsid w:val="00B63223"/>
    <w:rsid w:val="00B632BD"/>
    <w:rsid w:val="00B63326"/>
    <w:rsid w:val="00B6342E"/>
    <w:rsid w:val="00B638AA"/>
    <w:rsid w:val="00B6397B"/>
    <w:rsid w:val="00B63C0F"/>
    <w:rsid w:val="00B641B1"/>
    <w:rsid w:val="00B64370"/>
    <w:rsid w:val="00B6443F"/>
    <w:rsid w:val="00B64459"/>
    <w:rsid w:val="00B64685"/>
    <w:rsid w:val="00B64C8D"/>
    <w:rsid w:val="00B64DFD"/>
    <w:rsid w:val="00B6511F"/>
    <w:rsid w:val="00B65528"/>
    <w:rsid w:val="00B65971"/>
    <w:rsid w:val="00B65EE5"/>
    <w:rsid w:val="00B66056"/>
    <w:rsid w:val="00B660F4"/>
    <w:rsid w:val="00B66278"/>
    <w:rsid w:val="00B66626"/>
    <w:rsid w:val="00B66707"/>
    <w:rsid w:val="00B667B7"/>
    <w:rsid w:val="00B66A10"/>
    <w:rsid w:val="00B66A88"/>
    <w:rsid w:val="00B66E2B"/>
    <w:rsid w:val="00B66E2D"/>
    <w:rsid w:val="00B6720D"/>
    <w:rsid w:val="00B6724B"/>
    <w:rsid w:val="00B67348"/>
    <w:rsid w:val="00B67377"/>
    <w:rsid w:val="00B673E6"/>
    <w:rsid w:val="00B6751D"/>
    <w:rsid w:val="00B67658"/>
    <w:rsid w:val="00B67D71"/>
    <w:rsid w:val="00B702F8"/>
    <w:rsid w:val="00B70318"/>
    <w:rsid w:val="00B7037E"/>
    <w:rsid w:val="00B7048D"/>
    <w:rsid w:val="00B70568"/>
    <w:rsid w:val="00B708FA"/>
    <w:rsid w:val="00B709B2"/>
    <w:rsid w:val="00B709C9"/>
    <w:rsid w:val="00B70D72"/>
    <w:rsid w:val="00B7113F"/>
    <w:rsid w:val="00B71CD3"/>
    <w:rsid w:val="00B7212E"/>
    <w:rsid w:val="00B722E7"/>
    <w:rsid w:val="00B722FF"/>
    <w:rsid w:val="00B72359"/>
    <w:rsid w:val="00B7253B"/>
    <w:rsid w:val="00B72575"/>
    <w:rsid w:val="00B7257C"/>
    <w:rsid w:val="00B729D8"/>
    <w:rsid w:val="00B72B3A"/>
    <w:rsid w:val="00B72DDF"/>
    <w:rsid w:val="00B73549"/>
    <w:rsid w:val="00B737AE"/>
    <w:rsid w:val="00B73B2C"/>
    <w:rsid w:val="00B73C72"/>
    <w:rsid w:val="00B73F5E"/>
    <w:rsid w:val="00B74093"/>
    <w:rsid w:val="00B74602"/>
    <w:rsid w:val="00B74647"/>
    <w:rsid w:val="00B7475C"/>
    <w:rsid w:val="00B74975"/>
    <w:rsid w:val="00B74CE1"/>
    <w:rsid w:val="00B74D3E"/>
    <w:rsid w:val="00B74EAC"/>
    <w:rsid w:val="00B74EC7"/>
    <w:rsid w:val="00B75272"/>
    <w:rsid w:val="00B75694"/>
    <w:rsid w:val="00B759CF"/>
    <w:rsid w:val="00B75D4C"/>
    <w:rsid w:val="00B76033"/>
    <w:rsid w:val="00B7675C"/>
    <w:rsid w:val="00B76A4F"/>
    <w:rsid w:val="00B76BFC"/>
    <w:rsid w:val="00B76C83"/>
    <w:rsid w:val="00B76F06"/>
    <w:rsid w:val="00B770E9"/>
    <w:rsid w:val="00B77203"/>
    <w:rsid w:val="00B778E5"/>
    <w:rsid w:val="00B779F4"/>
    <w:rsid w:val="00B77C02"/>
    <w:rsid w:val="00B80329"/>
    <w:rsid w:val="00B80671"/>
    <w:rsid w:val="00B807C1"/>
    <w:rsid w:val="00B81192"/>
    <w:rsid w:val="00B81354"/>
    <w:rsid w:val="00B8153C"/>
    <w:rsid w:val="00B8166A"/>
    <w:rsid w:val="00B81710"/>
    <w:rsid w:val="00B81869"/>
    <w:rsid w:val="00B81A0F"/>
    <w:rsid w:val="00B81A35"/>
    <w:rsid w:val="00B81D3A"/>
    <w:rsid w:val="00B81E34"/>
    <w:rsid w:val="00B81F30"/>
    <w:rsid w:val="00B820FB"/>
    <w:rsid w:val="00B82285"/>
    <w:rsid w:val="00B82A82"/>
    <w:rsid w:val="00B82D24"/>
    <w:rsid w:val="00B82D7C"/>
    <w:rsid w:val="00B834F4"/>
    <w:rsid w:val="00B835C7"/>
    <w:rsid w:val="00B835EA"/>
    <w:rsid w:val="00B8366D"/>
    <w:rsid w:val="00B836EE"/>
    <w:rsid w:val="00B83928"/>
    <w:rsid w:val="00B839B5"/>
    <w:rsid w:val="00B83A64"/>
    <w:rsid w:val="00B83ACB"/>
    <w:rsid w:val="00B83B77"/>
    <w:rsid w:val="00B83C3B"/>
    <w:rsid w:val="00B83D65"/>
    <w:rsid w:val="00B83E17"/>
    <w:rsid w:val="00B84A07"/>
    <w:rsid w:val="00B84D0D"/>
    <w:rsid w:val="00B84D33"/>
    <w:rsid w:val="00B85140"/>
    <w:rsid w:val="00B85500"/>
    <w:rsid w:val="00B85578"/>
    <w:rsid w:val="00B855B4"/>
    <w:rsid w:val="00B856A8"/>
    <w:rsid w:val="00B8580D"/>
    <w:rsid w:val="00B85917"/>
    <w:rsid w:val="00B85941"/>
    <w:rsid w:val="00B8602C"/>
    <w:rsid w:val="00B863ED"/>
    <w:rsid w:val="00B86477"/>
    <w:rsid w:val="00B864B8"/>
    <w:rsid w:val="00B864E3"/>
    <w:rsid w:val="00B866C9"/>
    <w:rsid w:val="00B866D0"/>
    <w:rsid w:val="00B86C25"/>
    <w:rsid w:val="00B86C97"/>
    <w:rsid w:val="00B86CCE"/>
    <w:rsid w:val="00B8743F"/>
    <w:rsid w:val="00B87710"/>
    <w:rsid w:val="00B8778C"/>
    <w:rsid w:val="00B90188"/>
    <w:rsid w:val="00B90480"/>
    <w:rsid w:val="00B9084C"/>
    <w:rsid w:val="00B9090E"/>
    <w:rsid w:val="00B909DE"/>
    <w:rsid w:val="00B90EFA"/>
    <w:rsid w:val="00B912D8"/>
    <w:rsid w:val="00B91378"/>
    <w:rsid w:val="00B9171A"/>
    <w:rsid w:val="00B918BA"/>
    <w:rsid w:val="00B91A44"/>
    <w:rsid w:val="00B91CA2"/>
    <w:rsid w:val="00B91D0F"/>
    <w:rsid w:val="00B9201C"/>
    <w:rsid w:val="00B92733"/>
    <w:rsid w:val="00B930E9"/>
    <w:rsid w:val="00B932E7"/>
    <w:rsid w:val="00B9334E"/>
    <w:rsid w:val="00B933DB"/>
    <w:rsid w:val="00B935A2"/>
    <w:rsid w:val="00B9387E"/>
    <w:rsid w:val="00B93CC3"/>
    <w:rsid w:val="00B93DD9"/>
    <w:rsid w:val="00B93FF0"/>
    <w:rsid w:val="00B94119"/>
    <w:rsid w:val="00B941BA"/>
    <w:rsid w:val="00B9438C"/>
    <w:rsid w:val="00B943AE"/>
    <w:rsid w:val="00B943BB"/>
    <w:rsid w:val="00B94669"/>
    <w:rsid w:val="00B947A3"/>
    <w:rsid w:val="00B947D3"/>
    <w:rsid w:val="00B94842"/>
    <w:rsid w:val="00B94A72"/>
    <w:rsid w:val="00B956B6"/>
    <w:rsid w:val="00B95794"/>
    <w:rsid w:val="00B958FC"/>
    <w:rsid w:val="00B95955"/>
    <w:rsid w:val="00B95AB3"/>
    <w:rsid w:val="00B95B40"/>
    <w:rsid w:val="00B95C0A"/>
    <w:rsid w:val="00B95CB6"/>
    <w:rsid w:val="00B95CB7"/>
    <w:rsid w:val="00B95D48"/>
    <w:rsid w:val="00B95E01"/>
    <w:rsid w:val="00B95F8B"/>
    <w:rsid w:val="00B960F8"/>
    <w:rsid w:val="00B963BD"/>
    <w:rsid w:val="00B966EB"/>
    <w:rsid w:val="00B96951"/>
    <w:rsid w:val="00B9696F"/>
    <w:rsid w:val="00B96A5B"/>
    <w:rsid w:val="00B96C34"/>
    <w:rsid w:val="00B96FB4"/>
    <w:rsid w:val="00B9748B"/>
    <w:rsid w:val="00B9763B"/>
    <w:rsid w:val="00B97A07"/>
    <w:rsid w:val="00B97A7C"/>
    <w:rsid w:val="00B97FC6"/>
    <w:rsid w:val="00BA013C"/>
    <w:rsid w:val="00BA0274"/>
    <w:rsid w:val="00BA02FE"/>
    <w:rsid w:val="00BA0397"/>
    <w:rsid w:val="00BA0419"/>
    <w:rsid w:val="00BA052F"/>
    <w:rsid w:val="00BA0587"/>
    <w:rsid w:val="00BA05A7"/>
    <w:rsid w:val="00BA069B"/>
    <w:rsid w:val="00BA0B26"/>
    <w:rsid w:val="00BA109E"/>
    <w:rsid w:val="00BA13DA"/>
    <w:rsid w:val="00BA180F"/>
    <w:rsid w:val="00BA190A"/>
    <w:rsid w:val="00BA1C15"/>
    <w:rsid w:val="00BA1FD9"/>
    <w:rsid w:val="00BA220A"/>
    <w:rsid w:val="00BA2388"/>
    <w:rsid w:val="00BA245E"/>
    <w:rsid w:val="00BA25A8"/>
    <w:rsid w:val="00BA271E"/>
    <w:rsid w:val="00BA2BCF"/>
    <w:rsid w:val="00BA2BF4"/>
    <w:rsid w:val="00BA2DB4"/>
    <w:rsid w:val="00BA2E24"/>
    <w:rsid w:val="00BA3458"/>
    <w:rsid w:val="00BA366C"/>
    <w:rsid w:val="00BA394D"/>
    <w:rsid w:val="00BA3E8E"/>
    <w:rsid w:val="00BA3F53"/>
    <w:rsid w:val="00BA41C4"/>
    <w:rsid w:val="00BA41DE"/>
    <w:rsid w:val="00BA4687"/>
    <w:rsid w:val="00BA49E4"/>
    <w:rsid w:val="00BA567D"/>
    <w:rsid w:val="00BA5895"/>
    <w:rsid w:val="00BA593E"/>
    <w:rsid w:val="00BA5B14"/>
    <w:rsid w:val="00BA5BFA"/>
    <w:rsid w:val="00BA5D84"/>
    <w:rsid w:val="00BA5F58"/>
    <w:rsid w:val="00BA61E9"/>
    <w:rsid w:val="00BA63B4"/>
    <w:rsid w:val="00BA66ED"/>
    <w:rsid w:val="00BA6F96"/>
    <w:rsid w:val="00BA72ED"/>
    <w:rsid w:val="00BA73B6"/>
    <w:rsid w:val="00BA7415"/>
    <w:rsid w:val="00BA7554"/>
    <w:rsid w:val="00BA779D"/>
    <w:rsid w:val="00BA7E27"/>
    <w:rsid w:val="00BA7F56"/>
    <w:rsid w:val="00BB07F1"/>
    <w:rsid w:val="00BB09F6"/>
    <w:rsid w:val="00BB13BE"/>
    <w:rsid w:val="00BB1ADB"/>
    <w:rsid w:val="00BB1D13"/>
    <w:rsid w:val="00BB20D1"/>
    <w:rsid w:val="00BB21B3"/>
    <w:rsid w:val="00BB2603"/>
    <w:rsid w:val="00BB2B63"/>
    <w:rsid w:val="00BB2CD5"/>
    <w:rsid w:val="00BB33AF"/>
    <w:rsid w:val="00BB36D0"/>
    <w:rsid w:val="00BB3A77"/>
    <w:rsid w:val="00BB3C9E"/>
    <w:rsid w:val="00BB3DEA"/>
    <w:rsid w:val="00BB44E7"/>
    <w:rsid w:val="00BB44F5"/>
    <w:rsid w:val="00BB4B53"/>
    <w:rsid w:val="00BB4FCD"/>
    <w:rsid w:val="00BB53E0"/>
    <w:rsid w:val="00BB53F9"/>
    <w:rsid w:val="00BB548C"/>
    <w:rsid w:val="00BB5703"/>
    <w:rsid w:val="00BB58F3"/>
    <w:rsid w:val="00BB5AC5"/>
    <w:rsid w:val="00BB5ACF"/>
    <w:rsid w:val="00BB5D30"/>
    <w:rsid w:val="00BB5DD5"/>
    <w:rsid w:val="00BB5FE3"/>
    <w:rsid w:val="00BB601B"/>
    <w:rsid w:val="00BB6177"/>
    <w:rsid w:val="00BB621C"/>
    <w:rsid w:val="00BB65FD"/>
    <w:rsid w:val="00BB679D"/>
    <w:rsid w:val="00BB6943"/>
    <w:rsid w:val="00BB6BD3"/>
    <w:rsid w:val="00BB6CDC"/>
    <w:rsid w:val="00BB76F1"/>
    <w:rsid w:val="00BB78C0"/>
    <w:rsid w:val="00BB7AE2"/>
    <w:rsid w:val="00BB7D0E"/>
    <w:rsid w:val="00BC017C"/>
    <w:rsid w:val="00BC0281"/>
    <w:rsid w:val="00BC02E1"/>
    <w:rsid w:val="00BC02F8"/>
    <w:rsid w:val="00BC0375"/>
    <w:rsid w:val="00BC04E9"/>
    <w:rsid w:val="00BC0623"/>
    <w:rsid w:val="00BC074D"/>
    <w:rsid w:val="00BC07DB"/>
    <w:rsid w:val="00BC090D"/>
    <w:rsid w:val="00BC0D3B"/>
    <w:rsid w:val="00BC1AD4"/>
    <w:rsid w:val="00BC1C90"/>
    <w:rsid w:val="00BC1CC1"/>
    <w:rsid w:val="00BC1CFC"/>
    <w:rsid w:val="00BC2211"/>
    <w:rsid w:val="00BC26B8"/>
    <w:rsid w:val="00BC29F1"/>
    <w:rsid w:val="00BC307E"/>
    <w:rsid w:val="00BC317D"/>
    <w:rsid w:val="00BC3256"/>
    <w:rsid w:val="00BC3450"/>
    <w:rsid w:val="00BC3507"/>
    <w:rsid w:val="00BC38DE"/>
    <w:rsid w:val="00BC3B60"/>
    <w:rsid w:val="00BC3D90"/>
    <w:rsid w:val="00BC3F07"/>
    <w:rsid w:val="00BC4408"/>
    <w:rsid w:val="00BC4750"/>
    <w:rsid w:val="00BC4BBC"/>
    <w:rsid w:val="00BC4E64"/>
    <w:rsid w:val="00BC500B"/>
    <w:rsid w:val="00BC5842"/>
    <w:rsid w:val="00BC5E04"/>
    <w:rsid w:val="00BC6483"/>
    <w:rsid w:val="00BC6E2F"/>
    <w:rsid w:val="00BC77B8"/>
    <w:rsid w:val="00BC7C81"/>
    <w:rsid w:val="00BD0106"/>
    <w:rsid w:val="00BD02F7"/>
    <w:rsid w:val="00BD03FD"/>
    <w:rsid w:val="00BD0842"/>
    <w:rsid w:val="00BD09B9"/>
    <w:rsid w:val="00BD0B98"/>
    <w:rsid w:val="00BD0BE0"/>
    <w:rsid w:val="00BD0E83"/>
    <w:rsid w:val="00BD104D"/>
    <w:rsid w:val="00BD13EA"/>
    <w:rsid w:val="00BD143D"/>
    <w:rsid w:val="00BD151D"/>
    <w:rsid w:val="00BD179B"/>
    <w:rsid w:val="00BD1844"/>
    <w:rsid w:val="00BD1908"/>
    <w:rsid w:val="00BD1AB8"/>
    <w:rsid w:val="00BD1AF2"/>
    <w:rsid w:val="00BD1B4D"/>
    <w:rsid w:val="00BD1CBC"/>
    <w:rsid w:val="00BD1F09"/>
    <w:rsid w:val="00BD2127"/>
    <w:rsid w:val="00BD21B7"/>
    <w:rsid w:val="00BD22B4"/>
    <w:rsid w:val="00BD24DC"/>
    <w:rsid w:val="00BD27A9"/>
    <w:rsid w:val="00BD2840"/>
    <w:rsid w:val="00BD2B80"/>
    <w:rsid w:val="00BD2CF0"/>
    <w:rsid w:val="00BD2F26"/>
    <w:rsid w:val="00BD2FD6"/>
    <w:rsid w:val="00BD34D0"/>
    <w:rsid w:val="00BD391E"/>
    <w:rsid w:val="00BD3C9D"/>
    <w:rsid w:val="00BD3D65"/>
    <w:rsid w:val="00BD3F88"/>
    <w:rsid w:val="00BD4042"/>
    <w:rsid w:val="00BD422A"/>
    <w:rsid w:val="00BD448B"/>
    <w:rsid w:val="00BD4639"/>
    <w:rsid w:val="00BD46F7"/>
    <w:rsid w:val="00BD47E7"/>
    <w:rsid w:val="00BD4980"/>
    <w:rsid w:val="00BD49C5"/>
    <w:rsid w:val="00BD51E8"/>
    <w:rsid w:val="00BD5351"/>
    <w:rsid w:val="00BD588C"/>
    <w:rsid w:val="00BD5DFB"/>
    <w:rsid w:val="00BD6198"/>
    <w:rsid w:val="00BD6413"/>
    <w:rsid w:val="00BD65D3"/>
    <w:rsid w:val="00BD67A0"/>
    <w:rsid w:val="00BD6D1C"/>
    <w:rsid w:val="00BD6EF6"/>
    <w:rsid w:val="00BD764A"/>
    <w:rsid w:val="00BD792D"/>
    <w:rsid w:val="00BD796A"/>
    <w:rsid w:val="00BD7A6F"/>
    <w:rsid w:val="00BE0176"/>
    <w:rsid w:val="00BE0946"/>
    <w:rsid w:val="00BE0A21"/>
    <w:rsid w:val="00BE0E30"/>
    <w:rsid w:val="00BE0E85"/>
    <w:rsid w:val="00BE12D9"/>
    <w:rsid w:val="00BE12EB"/>
    <w:rsid w:val="00BE1392"/>
    <w:rsid w:val="00BE141D"/>
    <w:rsid w:val="00BE1519"/>
    <w:rsid w:val="00BE1F41"/>
    <w:rsid w:val="00BE1F4C"/>
    <w:rsid w:val="00BE1F7C"/>
    <w:rsid w:val="00BE1FEC"/>
    <w:rsid w:val="00BE21E8"/>
    <w:rsid w:val="00BE268E"/>
    <w:rsid w:val="00BE28A3"/>
    <w:rsid w:val="00BE2A77"/>
    <w:rsid w:val="00BE2E8B"/>
    <w:rsid w:val="00BE2F00"/>
    <w:rsid w:val="00BE3808"/>
    <w:rsid w:val="00BE3F29"/>
    <w:rsid w:val="00BE3F4E"/>
    <w:rsid w:val="00BE44CD"/>
    <w:rsid w:val="00BE4617"/>
    <w:rsid w:val="00BE463B"/>
    <w:rsid w:val="00BE4805"/>
    <w:rsid w:val="00BE48D7"/>
    <w:rsid w:val="00BE4D92"/>
    <w:rsid w:val="00BE51F9"/>
    <w:rsid w:val="00BE5242"/>
    <w:rsid w:val="00BE56B6"/>
    <w:rsid w:val="00BE5CC0"/>
    <w:rsid w:val="00BE5D59"/>
    <w:rsid w:val="00BE5D61"/>
    <w:rsid w:val="00BE5D72"/>
    <w:rsid w:val="00BE5F94"/>
    <w:rsid w:val="00BE64E9"/>
    <w:rsid w:val="00BE6940"/>
    <w:rsid w:val="00BE6A70"/>
    <w:rsid w:val="00BE6D10"/>
    <w:rsid w:val="00BE71AE"/>
    <w:rsid w:val="00BE72A1"/>
    <w:rsid w:val="00BE746C"/>
    <w:rsid w:val="00BE75D9"/>
    <w:rsid w:val="00BE7B09"/>
    <w:rsid w:val="00BE7F47"/>
    <w:rsid w:val="00BE7F85"/>
    <w:rsid w:val="00BF0239"/>
    <w:rsid w:val="00BF0713"/>
    <w:rsid w:val="00BF09D3"/>
    <w:rsid w:val="00BF1000"/>
    <w:rsid w:val="00BF157D"/>
    <w:rsid w:val="00BF185C"/>
    <w:rsid w:val="00BF1E8D"/>
    <w:rsid w:val="00BF2186"/>
    <w:rsid w:val="00BF24B0"/>
    <w:rsid w:val="00BF2A5C"/>
    <w:rsid w:val="00BF2E21"/>
    <w:rsid w:val="00BF3338"/>
    <w:rsid w:val="00BF3394"/>
    <w:rsid w:val="00BF382C"/>
    <w:rsid w:val="00BF38BD"/>
    <w:rsid w:val="00BF38EA"/>
    <w:rsid w:val="00BF39FC"/>
    <w:rsid w:val="00BF3A25"/>
    <w:rsid w:val="00BF3B87"/>
    <w:rsid w:val="00BF3BFB"/>
    <w:rsid w:val="00BF3C0E"/>
    <w:rsid w:val="00BF415F"/>
    <w:rsid w:val="00BF431C"/>
    <w:rsid w:val="00BF45ED"/>
    <w:rsid w:val="00BF4E72"/>
    <w:rsid w:val="00BF50FB"/>
    <w:rsid w:val="00BF5B43"/>
    <w:rsid w:val="00BF5C14"/>
    <w:rsid w:val="00BF5FC8"/>
    <w:rsid w:val="00BF607C"/>
    <w:rsid w:val="00BF6120"/>
    <w:rsid w:val="00BF6556"/>
    <w:rsid w:val="00BF6780"/>
    <w:rsid w:val="00BF6A9F"/>
    <w:rsid w:val="00BF6DFD"/>
    <w:rsid w:val="00BF6EE9"/>
    <w:rsid w:val="00BF701D"/>
    <w:rsid w:val="00BF704B"/>
    <w:rsid w:val="00BF73B3"/>
    <w:rsid w:val="00BF73F7"/>
    <w:rsid w:val="00BF764D"/>
    <w:rsid w:val="00BF780E"/>
    <w:rsid w:val="00BF7B50"/>
    <w:rsid w:val="00BF7BCF"/>
    <w:rsid w:val="00C00252"/>
    <w:rsid w:val="00C004D8"/>
    <w:rsid w:val="00C00594"/>
    <w:rsid w:val="00C00618"/>
    <w:rsid w:val="00C006DB"/>
    <w:rsid w:val="00C007D8"/>
    <w:rsid w:val="00C00CF8"/>
    <w:rsid w:val="00C016CE"/>
    <w:rsid w:val="00C017BB"/>
    <w:rsid w:val="00C01BF3"/>
    <w:rsid w:val="00C01D83"/>
    <w:rsid w:val="00C02448"/>
    <w:rsid w:val="00C02A1D"/>
    <w:rsid w:val="00C02A36"/>
    <w:rsid w:val="00C03013"/>
    <w:rsid w:val="00C030B0"/>
    <w:rsid w:val="00C03B7B"/>
    <w:rsid w:val="00C03B88"/>
    <w:rsid w:val="00C03D2F"/>
    <w:rsid w:val="00C03E99"/>
    <w:rsid w:val="00C0436A"/>
    <w:rsid w:val="00C043EC"/>
    <w:rsid w:val="00C04C8D"/>
    <w:rsid w:val="00C04D0D"/>
    <w:rsid w:val="00C04EB9"/>
    <w:rsid w:val="00C050EE"/>
    <w:rsid w:val="00C058A6"/>
    <w:rsid w:val="00C05982"/>
    <w:rsid w:val="00C05DEF"/>
    <w:rsid w:val="00C06132"/>
    <w:rsid w:val="00C06220"/>
    <w:rsid w:val="00C062E9"/>
    <w:rsid w:val="00C06497"/>
    <w:rsid w:val="00C06673"/>
    <w:rsid w:val="00C06684"/>
    <w:rsid w:val="00C06804"/>
    <w:rsid w:val="00C069AA"/>
    <w:rsid w:val="00C06E77"/>
    <w:rsid w:val="00C06F6F"/>
    <w:rsid w:val="00C0719D"/>
    <w:rsid w:val="00C073D7"/>
    <w:rsid w:val="00C074D9"/>
    <w:rsid w:val="00C07560"/>
    <w:rsid w:val="00C07690"/>
    <w:rsid w:val="00C076B7"/>
    <w:rsid w:val="00C078B4"/>
    <w:rsid w:val="00C07B64"/>
    <w:rsid w:val="00C07B65"/>
    <w:rsid w:val="00C07FB9"/>
    <w:rsid w:val="00C10498"/>
    <w:rsid w:val="00C105D8"/>
    <w:rsid w:val="00C10BBE"/>
    <w:rsid w:val="00C10CF5"/>
    <w:rsid w:val="00C1109D"/>
    <w:rsid w:val="00C116EE"/>
    <w:rsid w:val="00C11CBB"/>
    <w:rsid w:val="00C1214D"/>
    <w:rsid w:val="00C12365"/>
    <w:rsid w:val="00C12A99"/>
    <w:rsid w:val="00C12B4A"/>
    <w:rsid w:val="00C12E6B"/>
    <w:rsid w:val="00C130B4"/>
    <w:rsid w:val="00C13344"/>
    <w:rsid w:val="00C13721"/>
    <w:rsid w:val="00C13A79"/>
    <w:rsid w:val="00C13C45"/>
    <w:rsid w:val="00C13E4E"/>
    <w:rsid w:val="00C14096"/>
    <w:rsid w:val="00C142F8"/>
    <w:rsid w:val="00C148F8"/>
    <w:rsid w:val="00C14B0E"/>
    <w:rsid w:val="00C14C78"/>
    <w:rsid w:val="00C14F05"/>
    <w:rsid w:val="00C14F51"/>
    <w:rsid w:val="00C14FE4"/>
    <w:rsid w:val="00C153FB"/>
    <w:rsid w:val="00C154F6"/>
    <w:rsid w:val="00C1563F"/>
    <w:rsid w:val="00C15849"/>
    <w:rsid w:val="00C159AD"/>
    <w:rsid w:val="00C160F0"/>
    <w:rsid w:val="00C1643E"/>
    <w:rsid w:val="00C164A0"/>
    <w:rsid w:val="00C164BC"/>
    <w:rsid w:val="00C165D2"/>
    <w:rsid w:val="00C1670D"/>
    <w:rsid w:val="00C169D4"/>
    <w:rsid w:val="00C16A03"/>
    <w:rsid w:val="00C16BE9"/>
    <w:rsid w:val="00C16E37"/>
    <w:rsid w:val="00C17338"/>
    <w:rsid w:val="00C17C19"/>
    <w:rsid w:val="00C17DBD"/>
    <w:rsid w:val="00C17E81"/>
    <w:rsid w:val="00C20302"/>
    <w:rsid w:val="00C2078B"/>
    <w:rsid w:val="00C20BB1"/>
    <w:rsid w:val="00C20D2C"/>
    <w:rsid w:val="00C21355"/>
    <w:rsid w:val="00C21665"/>
    <w:rsid w:val="00C21964"/>
    <w:rsid w:val="00C21BD0"/>
    <w:rsid w:val="00C21BEC"/>
    <w:rsid w:val="00C21CFB"/>
    <w:rsid w:val="00C21DD1"/>
    <w:rsid w:val="00C22869"/>
    <w:rsid w:val="00C22935"/>
    <w:rsid w:val="00C22C2A"/>
    <w:rsid w:val="00C22F77"/>
    <w:rsid w:val="00C231EF"/>
    <w:rsid w:val="00C234C1"/>
    <w:rsid w:val="00C236A5"/>
    <w:rsid w:val="00C23AF6"/>
    <w:rsid w:val="00C2407E"/>
    <w:rsid w:val="00C240E3"/>
    <w:rsid w:val="00C2447D"/>
    <w:rsid w:val="00C244ED"/>
    <w:rsid w:val="00C24686"/>
    <w:rsid w:val="00C246A8"/>
    <w:rsid w:val="00C24747"/>
    <w:rsid w:val="00C24C60"/>
    <w:rsid w:val="00C24D24"/>
    <w:rsid w:val="00C24E69"/>
    <w:rsid w:val="00C251C7"/>
    <w:rsid w:val="00C25660"/>
    <w:rsid w:val="00C25777"/>
    <w:rsid w:val="00C25AD8"/>
    <w:rsid w:val="00C2627A"/>
    <w:rsid w:val="00C262D2"/>
    <w:rsid w:val="00C26797"/>
    <w:rsid w:val="00C26A23"/>
    <w:rsid w:val="00C26ABE"/>
    <w:rsid w:val="00C26D2D"/>
    <w:rsid w:val="00C26D59"/>
    <w:rsid w:val="00C26DD7"/>
    <w:rsid w:val="00C26E84"/>
    <w:rsid w:val="00C27284"/>
    <w:rsid w:val="00C2735C"/>
    <w:rsid w:val="00C27889"/>
    <w:rsid w:val="00C27ACF"/>
    <w:rsid w:val="00C27AF2"/>
    <w:rsid w:val="00C27BE0"/>
    <w:rsid w:val="00C27E0C"/>
    <w:rsid w:val="00C27F1F"/>
    <w:rsid w:val="00C3066D"/>
    <w:rsid w:val="00C30805"/>
    <w:rsid w:val="00C30872"/>
    <w:rsid w:val="00C30BA1"/>
    <w:rsid w:val="00C30C26"/>
    <w:rsid w:val="00C30D34"/>
    <w:rsid w:val="00C30DF3"/>
    <w:rsid w:val="00C30F5E"/>
    <w:rsid w:val="00C31008"/>
    <w:rsid w:val="00C31522"/>
    <w:rsid w:val="00C31564"/>
    <w:rsid w:val="00C315C1"/>
    <w:rsid w:val="00C31DF1"/>
    <w:rsid w:val="00C31EF3"/>
    <w:rsid w:val="00C31FA4"/>
    <w:rsid w:val="00C320E9"/>
    <w:rsid w:val="00C322AE"/>
    <w:rsid w:val="00C322DF"/>
    <w:rsid w:val="00C32790"/>
    <w:rsid w:val="00C327A8"/>
    <w:rsid w:val="00C329D5"/>
    <w:rsid w:val="00C329E2"/>
    <w:rsid w:val="00C32A1A"/>
    <w:rsid w:val="00C32B4F"/>
    <w:rsid w:val="00C32CF4"/>
    <w:rsid w:val="00C32D3E"/>
    <w:rsid w:val="00C33301"/>
    <w:rsid w:val="00C3338D"/>
    <w:rsid w:val="00C33B16"/>
    <w:rsid w:val="00C33F3B"/>
    <w:rsid w:val="00C3421D"/>
    <w:rsid w:val="00C3422F"/>
    <w:rsid w:val="00C345AA"/>
    <w:rsid w:val="00C34A50"/>
    <w:rsid w:val="00C34EA2"/>
    <w:rsid w:val="00C3506A"/>
    <w:rsid w:val="00C355C1"/>
    <w:rsid w:val="00C35817"/>
    <w:rsid w:val="00C362C0"/>
    <w:rsid w:val="00C365AE"/>
    <w:rsid w:val="00C36904"/>
    <w:rsid w:val="00C36BBC"/>
    <w:rsid w:val="00C36E82"/>
    <w:rsid w:val="00C36FA5"/>
    <w:rsid w:val="00C37152"/>
    <w:rsid w:val="00C37213"/>
    <w:rsid w:val="00C3754B"/>
    <w:rsid w:val="00C37596"/>
    <w:rsid w:val="00C37630"/>
    <w:rsid w:val="00C37729"/>
    <w:rsid w:val="00C37840"/>
    <w:rsid w:val="00C379B3"/>
    <w:rsid w:val="00C37E27"/>
    <w:rsid w:val="00C40368"/>
    <w:rsid w:val="00C403BD"/>
    <w:rsid w:val="00C406C6"/>
    <w:rsid w:val="00C409F4"/>
    <w:rsid w:val="00C40B03"/>
    <w:rsid w:val="00C40D9B"/>
    <w:rsid w:val="00C41223"/>
    <w:rsid w:val="00C41281"/>
    <w:rsid w:val="00C412B0"/>
    <w:rsid w:val="00C41393"/>
    <w:rsid w:val="00C417DD"/>
    <w:rsid w:val="00C4188C"/>
    <w:rsid w:val="00C41D9F"/>
    <w:rsid w:val="00C41E93"/>
    <w:rsid w:val="00C41EE2"/>
    <w:rsid w:val="00C4236A"/>
    <w:rsid w:val="00C4268A"/>
    <w:rsid w:val="00C42A11"/>
    <w:rsid w:val="00C42AE7"/>
    <w:rsid w:val="00C42AFF"/>
    <w:rsid w:val="00C42B0B"/>
    <w:rsid w:val="00C42B8B"/>
    <w:rsid w:val="00C42FED"/>
    <w:rsid w:val="00C4355A"/>
    <w:rsid w:val="00C43565"/>
    <w:rsid w:val="00C4360C"/>
    <w:rsid w:val="00C4377F"/>
    <w:rsid w:val="00C4389C"/>
    <w:rsid w:val="00C43C28"/>
    <w:rsid w:val="00C43E18"/>
    <w:rsid w:val="00C43F50"/>
    <w:rsid w:val="00C43F60"/>
    <w:rsid w:val="00C44030"/>
    <w:rsid w:val="00C44291"/>
    <w:rsid w:val="00C444F2"/>
    <w:rsid w:val="00C44694"/>
    <w:rsid w:val="00C44C70"/>
    <w:rsid w:val="00C44D3E"/>
    <w:rsid w:val="00C44DB8"/>
    <w:rsid w:val="00C44E16"/>
    <w:rsid w:val="00C44EAB"/>
    <w:rsid w:val="00C44FC8"/>
    <w:rsid w:val="00C45149"/>
    <w:rsid w:val="00C45605"/>
    <w:rsid w:val="00C4594C"/>
    <w:rsid w:val="00C45BE1"/>
    <w:rsid w:val="00C45E2F"/>
    <w:rsid w:val="00C45EE4"/>
    <w:rsid w:val="00C46328"/>
    <w:rsid w:val="00C46625"/>
    <w:rsid w:val="00C467AE"/>
    <w:rsid w:val="00C46869"/>
    <w:rsid w:val="00C468E1"/>
    <w:rsid w:val="00C46A8F"/>
    <w:rsid w:val="00C46AA1"/>
    <w:rsid w:val="00C46F2E"/>
    <w:rsid w:val="00C46F72"/>
    <w:rsid w:val="00C47158"/>
    <w:rsid w:val="00C47580"/>
    <w:rsid w:val="00C47729"/>
    <w:rsid w:val="00C479AB"/>
    <w:rsid w:val="00C47B43"/>
    <w:rsid w:val="00C5017A"/>
    <w:rsid w:val="00C50236"/>
    <w:rsid w:val="00C5068C"/>
    <w:rsid w:val="00C50B5D"/>
    <w:rsid w:val="00C50F08"/>
    <w:rsid w:val="00C51002"/>
    <w:rsid w:val="00C510D1"/>
    <w:rsid w:val="00C511C6"/>
    <w:rsid w:val="00C51559"/>
    <w:rsid w:val="00C5159B"/>
    <w:rsid w:val="00C51B15"/>
    <w:rsid w:val="00C51BAA"/>
    <w:rsid w:val="00C51C0E"/>
    <w:rsid w:val="00C51F6D"/>
    <w:rsid w:val="00C52032"/>
    <w:rsid w:val="00C52416"/>
    <w:rsid w:val="00C5265E"/>
    <w:rsid w:val="00C526A2"/>
    <w:rsid w:val="00C527D9"/>
    <w:rsid w:val="00C52B14"/>
    <w:rsid w:val="00C52E57"/>
    <w:rsid w:val="00C52FBB"/>
    <w:rsid w:val="00C532E2"/>
    <w:rsid w:val="00C53A18"/>
    <w:rsid w:val="00C53C8D"/>
    <w:rsid w:val="00C53F43"/>
    <w:rsid w:val="00C54209"/>
    <w:rsid w:val="00C543F4"/>
    <w:rsid w:val="00C54621"/>
    <w:rsid w:val="00C54D0B"/>
    <w:rsid w:val="00C54D78"/>
    <w:rsid w:val="00C55497"/>
    <w:rsid w:val="00C556BB"/>
    <w:rsid w:val="00C5599C"/>
    <w:rsid w:val="00C55D6B"/>
    <w:rsid w:val="00C561A6"/>
    <w:rsid w:val="00C5622C"/>
    <w:rsid w:val="00C562DA"/>
    <w:rsid w:val="00C5699D"/>
    <w:rsid w:val="00C56BBE"/>
    <w:rsid w:val="00C56DF2"/>
    <w:rsid w:val="00C56F66"/>
    <w:rsid w:val="00C56FC4"/>
    <w:rsid w:val="00C5708A"/>
    <w:rsid w:val="00C574B0"/>
    <w:rsid w:val="00C57779"/>
    <w:rsid w:val="00C57828"/>
    <w:rsid w:val="00C57B27"/>
    <w:rsid w:val="00C6003D"/>
    <w:rsid w:val="00C6047E"/>
    <w:rsid w:val="00C604A6"/>
    <w:rsid w:val="00C60BFE"/>
    <w:rsid w:val="00C61017"/>
    <w:rsid w:val="00C61139"/>
    <w:rsid w:val="00C612D2"/>
    <w:rsid w:val="00C614F8"/>
    <w:rsid w:val="00C61943"/>
    <w:rsid w:val="00C61976"/>
    <w:rsid w:val="00C61C07"/>
    <w:rsid w:val="00C61EAD"/>
    <w:rsid w:val="00C61EEB"/>
    <w:rsid w:val="00C62420"/>
    <w:rsid w:val="00C6291C"/>
    <w:rsid w:val="00C62BD3"/>
    <w:rsid w:val="00C633CB"/>
    <w:rsid w:val="00C634B7"/>
    <w:rsid w:val="00C63A7D"/>
    <w:rsid w:val="00C63B1B"/>
    <w:rsid w:val="00C63B53"/>
    <w:rsid w:val="00C63C48"/>
    <w:rsid w:val="00C63EB7"/>
    <w:rsid w:val="00C63F96"/>
    <w:rsid w:val="00C64040"/>
    <w:rsid w:val="00C64271"/>
    <w:rsid w:val="00C643B7"/>
    <w:rsid w:val="00C644A8"/>
    <w:rsid w:val="00C646BA"/>
    <w:rsid w:val="00C648C9"/>
    <w:rsid w:val="00C6491B"/>
    <w:rsid w:val="00C655E2"/>
    <w:rsid w:val="00C65A78"/>
    <w:rsid w:val="00C65D4E"/>
    <w:rsid w:val="00C65ED5"/>
    <w:rsid w:val="00C660C1"/>
    <w:rsid w:val="00C663A8"/>
    <w:rsid w:val="00C664CD"/>
    <w:rsid w:val="00C666D4"/>
    <w:rsid w:val="00C66924"/>
    <w:rsid w:val="00C66F94"/>
    <w:rsid w:val="00C679ED"/>
    <w:rsid w:val="00C679F1"/>
    <w:rsid w:val="00C67AF3"/>
    <w:rsid w:val="00C67B6A"/>
    <w:rsid w:val="00C67C3F"/>
    <w:rsid w:val="00C70030"/>
    <w:rsid w:val="00C7007B"/>
    <w:rsid w:val="00C7010A"/>
    <w:rsid w:val="00C704CE"/>
    <w:rsid w:val="00C704D8"/>
    <w:rsid w:val="00C7060F"/>
    <w:rsid w:val="00C70E5E"/>
    <w:rsid w:val="00C71291"/>
    <w:rsid w:val="00C71779"/>
    <w:rsid w:val="00C71923"/>
    <w:rsid w:val="00C71F66"/>
    <w:rsid w:val="00C71F86"/>
    <w:rsid w:val="00C72457"/>
    <w:rsid w:val="00C72833"/>
    <w:rsid w:val="00C72BF5"/>
    <w:rsid w:val="00C732CF"/>
    <w:rsid w:val="00C732EA"/>
    <w:rsid w:val="00C734F2"/>
    <w:rsid w:val="00C736B7"/>
    <w:rsid w:val="00C737E5"/>
    <w:rsid w:val="00C73854"/>
    <w:rsid w:val="00C73872"/>
    <w:rsid w:val="00C73A5B"/>
    <w:rsid w:val="00C73E40"/>
    <w:rsid w:val="00C73EA0"/>
    <w:rsid w:val="00C7401A"/>
    <w:rsid w:val="00C740E7"/>
    <w:rsid w:val="00C744DF"/>
    <w:rsid w:val="00C74547"/>
    <w:rsid w:val="00C74562"/>
    <w:rsid w:val="00C74630"/>
    <w:rsid w:val="00C74772"/>
    <w:rsid w:val="00C74C28"/>
    <w:rsid w:val="00C74C8A"/>
    <w:rsid w:val="00C74E6E"/>
    <w:rsid w:val="00C7500B"/>
    <w:rsid w:val="00C75043"/>
    <w:rsid w:val="00C75580"/>
    <w:rsid w:val="00C757AA"/>
    <w:rsid w:val="00C7596E"/>
    <w:rsid w:val="00C75D96"/>
    <w:rsid w:val="00C76798"/>
    <w:rsid w:val="00C769A7"/>
    <w:rsid w:val="00C76B84"/>
    <w:rsid w:val="00C76BF6"/>
    <w:rsid w:val="00C76CC2"/>
    <w:rsid w:val="00C7714A"/>
    <w:rsid w:val="00C77A3C"/>
    <w:rsid w:val="00C77B5A"/>
    <w:rsid w:val="00C77DDC"/>
    <w:rsid w:val="00C77F04"/>
    <w:rsid w:val="00C80466"/>
    <w:rsid w:val="00C8050F"/>
    <w:rsid w:val="00C806E9"/>
    <w:rsid w:val="00C80763"/>
    <w:rsid w:val="00C80BB5"/>
    <w:rsid w:val="00C80CAA"/>
    <w:rsid w:val="00C81406"/>
    <w:rsid w:val="00C81634"/>
    <w:rsid w:val="00C81B68"/>
    <w:rsid w:val="00C81BC3"/>
    <w:rsid w:val="00C81CA6"/>
    <w:rsid w:val="00C81D4A"/>
    <w:rsid w:val="00C8236A"/>
    <w:rsid w:val="00C825C1"/>
    <w:rsid w:val="00C8281E"/>
    <w:rsid w:val="00C82ABE"/>
    <w:rsid w:val="00C82E4A"/>
    <w:rsid w:val="00C82E9F"/>
    <w:rsid w:val="00C8304A"/>
    <w:rsid w:val="00C8350D"/>
    <w:rsid w:val="00C83AB9"/>
    <w:rsid w:val="00C83BDD"/>
    <w:rsid w:val="00C84642"/>
    <w:rsid w:val="00C84916"/>
    <w:rsid w:val="00C84E00"/>
    <w:rsid w:val="00C85431"/>
    <w:rsid w:val="00C8554A"/>
    <w:rsid w:val="00C85A41"/>
    <w:rsid w:val="00C85BB0"/>
    <w:rsid w:val="00C8601A"/>
    <w:rsid w:val="00C86029"/>
    <w:rsid w:val="00C86188"/>
    <w:rsid w:val="00C862CC"/>
    <w:rsid w:val="00C8655A"/>
    <w:rsid w:val="00C866FA"/>
    <w:rsid w:val="00C8684A"/>
    <w:rsid w:val="00C868D3"/>
    <w:rsid w:val="00C8691E"/>
    <w:rsid w:val="00C86A6E"/>
    <w:rsid w:val="00C86BDE"/>
    <w:rsid w:val="00C870C8"/>
    <w:rsid w:val="00C871E8"/>
    <w:rsid w:val="00C8762C"/>
    <w:rsid w:val="00C87972"/>
    <w:rsid w:val="00C87B3C"/>
    <w:rsid w:val="00C87E20"/>
    <w:rsid w:val="00C87E51"/>
    <w:rsid w:val="00C90230"/>
    <w:rsid w:val="00C903F0"/>
    <w:rsid w:val="00C90479"/>
    <w:rsid w:val="00C90BB6"/>
    <w:rsid w:val="00C90EE6"/>
    <w:rsid w:val="00C9112F"/>
    <w:rsid w:val="00C911DE"/>
    <w:rsid w:val="00C91475"/>
    <w:rsid w:val="00C91968"/>
    <w:rsid w:val="00C91DD3"/>
    <w:rsid w:val="00C9214B"/>
    <w:rsid w:val="00C921D3"/>
    <w:rsid w:val="00C925D8"/>
    <w:rsid w:val="00C928F6"/>
    <w:rsid w:val="00C929B6"/>
    <w:rsid w:val="00C929F8"/>
    <w:rsid w:val="00C92AB3"/>
    <w:rsid w:val="00C92D3D"/>
    <w:rsid w:val="00C92FD6"/>
    <w:rsid w:val="00C93502"/>
    <w:rsid w:val="00C9359D"/>
    <w:rsid w:val="00C93B98"/>
    <w:rsid w:val="00C93DD7"/>
    <w:rsid w:val="00C93FA5"/>
    <w:rsid w:val="00C94206"/>
    <w:rsid w:val="00C94377"/>
    <w:rsid w:val="00C94B06"/>
    <w:rsid w:val="00C94B1D"/>
    <w:rsid w:val="00C94BB9"/>
    <w:rsid w:val="00C94C0A"/>
    <w:rsid w:val="00C94DAB"/>
    <w:rsid w:val="00C94DFA"/>
    <w:rsid w:val="00C95200"/>
    <w:rsid w:val="00C95390"/>
    <w:rsid w:val="00C95D83"/>
    <w:rsid w:val="00C95F46"/>
    <w:rsid w:val="00C96631"/>
    <w:rsid w:val="00C971F0"/>
    <w:rsid w:val="00C973A9"/>
    <w:rsid w:val="00C973C9"/>
    <w:rsid w:val="00C97FF1"/>
    <w:rsid w:val="00CA0037"/>
    <w:rsid w:val="00CA00F9"/>
    <w:rsid w:val="00CA0351"/>
    <w:rsid w:val="00CA0802"/>
    <w:rsid w:val="00CA0A11"/>
    <w:rsid w:val="00CA14F2"/>
    <w:rsid w:val="00CA16F1"/>
    <w:rsid w:val="00CA192F"/>
    <w:rsid w:val="00CA19C4"/>
    <w:rsid w:val="00CA1ADB"/>
    <w:rsid w:val="00CA1CC0"/>
    <w:rsid w:val="00CA1CC8"/>
    <w:rsid w:val="00CA20A3"/>
    <w:rsid w:val="00CA2178"/>
    <w:rsid w:val="00CA2961"/>
    <w:rsid w:val="00CA2AE7"/>
    <w:rsid w:val="00CA2EDD"/>
    <w:rsid w:val="00CA342C"/>
    <w:rsid w:val="00CA366A"/>
    <w:rsid w:val="00CA378E"/>
    <w:rsid w:val="00CA383D"/>
    <w:rsid w:val="00CA3A59"/>
    <w:rsid w:val="00CA3B14"/>
    <w:rsid w:val="00CA3CC9"/>
    <w:rsid w:val="00CA3DEC"/>
    <w:rsid w:val="00CA40D9"/>
    <w:rsid w:val="00CA4144"/>
    <w:rsid w:val="00CA42C4"/>
    <w:rsid w:val="00CA449D"/>
    <w:rsid w:val="00CA44BC"/>
    <w:rsid w:val="00CA4AC9"/>
    <w:rsid w:val="00CA4F22"/>
    <w:rsid w:val="00CA4F72"/>
    <w:rsid w:val="00CA542D"/>
    <w:rsid w:val="00CA57F9"/>
    <w:rsid w:val="00CA5B4E"/>
    <w:rsid w:val="00CA5F6B"/>
    <w:rsid w:val="00CA6007"/>
    <w:rsid w:val="00CA65BB"/>
    <w:rsid w:val="00CA6901"/>
    <w:rsid w:val="00CA6F0A"/>
    <w:rsid w:val="00CA722F"/>
    <w:rsid w:val="00CA728F"/>
    <w:rsid w:val="00CA776F"/>
    <w:rsid w:val="00CA779D"/>
    <w:rsid w:val="00CA79AB"/>
    <w:rsid w:val="00CA7AA1"/>
    <w:rsid w:val="00CA7C7E"/>
    <w:rsid w:val="00CA7E72"/>
    <w:rsid w:val="00CB04C3"/>
    <w:rsid w:val="00CB056D"/>
    <w:rsid w:val="00CB056E"/>
    <w:rsid w:val="00CB08D2"/>
    <w:rsid w:val="00CB0A32"/>
    <w:rsid w:val="00CB0ACE"/>
    <w:rsid w:val="00CB0BC8"/>
    <w:rsid w:val="00CB0C37"/>
    <w:rsid w:val="00CB1097"/>
    <w:rsid w:val="00CB133C"/>
    <w:rsid w:val="00CB1563"/>
    <w:rsid w:val="00CB1790"/>
    <w:rsid w:val="00CB17ED"/>
    <w:rsid w:val="00CB1847"/>
    <w:rsid w:val="00CB1B39"/>
    <w:rsid w:val="00CB1EBD"/>
    <w:rsid w:val="00CB20D7"/>
    <w:rsid w:val="00CB28DC"/>
    <w:rsid w:val="00CB2B99"/>
    <w:rsid w:val="00CB2C52"/>
    <w:rsid w:val="00CB2CFA"/>
    <w:rsid w:val="00CB2DE1"/>
    <w:rsid w:val="00CB2E97"/>
    <w:rsid w:val="00CB2FE2"/>
    <w:rsid w:val="00CB3098"/>
    <w:rsid w:val="00CB31E9"/>
    <w:rsid w:val="00CB3931"/>
    <w:rsid w:val="00CB3BCE"/>
    <w:rsid w:val="00CB3E3A"/>
    <w:rsid w:val="00CB3F56"/>
    <w:rsid w:val="00CB408F"/>
    <w:rsid w:val="00CB41CE"/>
    <w:rsid w:val="00CB424E"/>
    <w:rsid w:val="00CB42F1"/>
    <w:rsid w:val="00CB442E"/>
    <w:rsid w:val="00CB44E9"/>
    <w:rsid w:val="00CB47F4"/>
    <w:rsid w:val="00CB4A9F"/>
    <w:rsid w:val="00CB4BDB"/>
    <w:rsid w:val="00CB4D3A"/>
    <w:rsid w:val="00CB5059"/>
    <w:rsid w:val="00CB50D7"/>
    <w:rsid w:val="00CB50ED"/>
    <w:rsid w:val="00CB5426"/>
    <w:rsid w:val="00CB5BF8"/>
    <w:rsid w:val="00CB5CBA"/>
    <w:rsid w:val="00CB5FF3"/>
    <w:rsid w:val="00CB6010"/>
    <w:rsid w:val="00CB6073"/>
    <w:rsid w:val="00CB60E0"/>
    <w:rsid w:val="00CB6279"/>
    <w:rsid w:val="00CB6452"/>
    <w:rsid w:val="00CB6509"/>
    <w:rsid w:val="00CB65DD"/>
    <w:rsid w:val="00CB67F6"/>
    <w:rsid w:val="00CB6A1F"/>
    <w:rsid w:val="00CB6AC2"/>
    <w:rsid w:val="00CB6B35"/>
    <w:rsid w:val="00CB6DBC"/>
    <w:rsid w:val="00CB6E46"/>
    <w:rsid w:val="00CB6F27"/>
    <w:rsid w:val="00CB7177"/>
    <w:rsid w:val="00CB7259"/>
    <w:rsid w:val="00CB72B8"/>
    <w:rsid w:val="00CB747D"/>
    <w:rsid w:val="00CB7A12"/>
    <w:rsid w:val="00CB7CED"/>
    <w:rsid w:val="00CC0370"/>
    <w:rsid w:val="00CC070F"/>
    <w:rsid w:val="00CC0ABE"/>
    <w:rsid w:val="00CC0DA2"/>
    <w:rsid w:val="00CC18A8"/>
    <w:rsid w:val="00CC1998"/>
    <w:rsid w:val="00CC20ED"/>
    <w:rsid w:val="00CC23C4"/>
    <w:rsid w:val="00CC2489"/>
    <w:rsid w:val="00CC28E9"/>
    <w:rsid w:val="00CC29CC"/>
    <w:rsid w:val="00CC2C53"/>
    <w:rsid w:val="00CC302A"/>
    <w:rsid w:val="00CC3203"/>
    <w:rsid w:val="00CC324F"/>
    <w:rsid w:val="00CC32ED"/>
    <w:rsid w:val="00CC3954"/>
    <w:rsid w:val="00CC39D3"/>
    <w:rsid w:val="00CC3CFF"/>
    <w:rsid w:val="00CC3D02"/>
    <w:rsid w:val="00CC3DC8"/>
    <w:rsid w:val="00CC435C"/>
    <w:rsid w:val="00CC4696"/>
    <w:rsid w:val="00CC46A1"/>
    <w:rsid w:val="00CC4788"/>
    <w:rsid w:val="00CC4946"/>
    <w:rsid w:val="00CC4B8F"/>
    <w:rsid w:val="00CC4EC8"/>
    <w:rsid w:val="00CC4FDA"/>
    <w:rsid w:val="00CC51AF"/>
    <w:rsid w:val="00CC5311"/>
    <w:rsid w:val="00CC5327"/>
    <w:rsid w:val="00CC5714"/>
    <w:rsid w:val="00CC5940"/>
    <w:rsid w:val="00CC5BDF"/>
    <w:rsid w:val="00CC5CD8"/>
    <w:rsid w:val="00CC5E51"/>
    <w:rsid w:val="00CC61C7"/>
    <w:rsid w:val="00CC63DD"/>
    <w:rsid w:val="00CC6491"/>
    <w:rsid w:val="00CC64A1"/>
    <w:rsid w:val="00CC6C00"/>
    <w:rsid w:val="00CC700F"/>
    <w:rsid w:val="00CC710B"/>
    <w:rsid w:val="00CC72B0"/>
    <w:rsid w:val="00CC7518"/>
    <w:rsid w:val="00CC760A"/>
    <w:rsid w:val="00CC76A8"/>
    <w:rsid w:val="00CC7A0C"/>
    <w:rsid w:val="00CC7A58"/>
    <w:rsid w:val="00CC7A74"/>
    <w:rsid w:val="00CC7C56"/>
    <w:rsid w:val="00CC7F2A"/>
    <w:rsid w:val="00CC7F6B"/>
    <w:rsid w:val="00CD01D6"/>
    <w:rsid w:val="00CD0315"/>
    <w:rsid w:val="00CD0391"/>
    <w:rsid w:val="00CD0CA6"/>
    <w:rsid w:val="00CD0D3A"/>
    <w:rsid w:val="00CD0F9D"/>
    <w:rsid w:val="00CD101C"/>
    <w:rsid w:val="00CD1521"/>
    <w:rsid w:val="00CD18C8"/>
    <w:rsid w:val="00CD199E"/>
    <w:rsid w:val="00CD1A36"/>
    <w:rsid w:val="00CD1A9D"/>
    <w:rsid w:val="00CD1EB5"/>
    <w:rsid w:val="00CD201F"/>
    <w:rsid w:val="00CD2125"/>
    <w:rsid w:val="00CD251B"/>
    <w:rsid w:val="00CD265C"/>
    <w:rsid w:val="00CD272E"/>
    <w:rsid w:val="00CD2D44"/>
    <w:rsid w:val="00CD2DE3"/>
    <w:rsid w:val="00CD2F72"/>
    <w:rsid w:val="00CD30D1"/>
    <w:rsid w:val="00CD324C"/>
    <w:rsid w:val="00CD3764"/>
    <w:rsid w:val="00CD392C"/>
    <w:rsid w:val="00CD394A"/>
    <w:rsid w:val="00CD3D47"/>
    <w:rsid w:val="00CD408F"/>
    <w:rsid w:val="00CD419F"/>
    <w:rsid w:val="00CD4923"/>
    <w:rsid w:val="00CD4989"/>
    <w:rsid w:val="00CD4B55"/>
    <w:rsid w:val="00CD4F34"/>
    <w:rsid w:val="00CD5356"/>
    <w:rsid w:val="00CD54A6"/>
    <w:rsid w:val="00CD5538"/>
    <w:rsid w:val="00CD57D0"/>
    <w:rsid w:val="00CD588E"/>
    <w:rsid w:val="00CD642D"/>
    <w:rsid w:val="00CD64F5"/>
    <w:rsid w:val="00CD66C4"/>
    <w:rsid w:val="00CD6C16"/>
    <w:rsid w:val="00CD7107"/>
    <w:rsid w:val="00CD732F"/>
    <w:rsid w:val="00CD73C4"/>
    <w:rsid w:val="00CD744F"/>
    <w:rsid w:val="00CD78F7"/>
    <w:rsid w:val="00CD7B0E"/>
    <w:rsid w:val="00CD7F3A"/>
    <w:rsid w:val="00CD7FF2"/>
    <w:rsid w:val="00CE003E"/>
    <w:rsid w:val="00CE00B2"/>
    <w:rsid w:val="00CE0209"/>
    <w:rsid w:val="00CE043F"/>
    <w:rsid w:val="00CE0646"/>
    <w:rsid w:val="00CE07C0"/>
    <w:rsid w:val="00CE08A0"/>
    <w:rsid w:val="00CE0BCD"/>
    <w:rsid w:val="00CE0D92"/>
    <w:rsid w:val="00CE11F4"/>
    <w:rsid w:val="00CE128B"/>
    <w:rsid w:val="00CE1392"/>
    <w:rsid w:val="00CE16C4"/>
    <w:rsid w:val="00CE17C0"/>
    <w:rsid w:val="00CE1B8A"/>
    <w:rsid w:val="00CE1E1D"/>
    <w:rsid w:val="00CE2031"/>
    <w:rsid w:val="00CE2171"/>
    <w:rsid w:val="00CE2196"/>
    <w:rsid w:val="00CE21BC"/>
    <w:rsid w:val="00CE2483"/>
    <w:rsid w:val="00CE2576"/>
    <w:rsid w:val="00CE25A5"/>
    <w:rsid w:val="00CE269D"/>
    <w:rsid w:val="00CE2BE0"/>
    <w:rsid w:val="00CE3337"/>
    <w:rsid w:val="00CE3992"/>
    <w:rsid w:val="00CE3C61"/>
    <w:rsid w:val="00CE3CCD"/>
    <w:rsid w:val="00CE3DD9"/>
    <w:rsid w:val="00CE3E00"/>
    <w:rsid w:val="00CE43D8"/>
    <w:rsid w:val="00CE4574"/>
    <w:rsid w:val="00CE460D"/>
    <w:rsid w:val="00CE4B57"/>
    <w:rsid w:val="00CE5133"/>
    <w:rsid w:val="00CE5713"/>
    <w:rsid w:val="00CE5AE7"/>
    <w:rsid w:val="00CE5B1C"/>
    <w:rsid w:val="00CE5D1E"/>
    <w:rsid w:val="00CE60B8"/>
    <w:rsid w:val="00CE66C9"/>
    <w:rsid w:val="00CE6707"/>
    <w:rsid w:val="00CE6739"/>
    <w:rsid w:val="00CE6A75"/>
    <w:rsid w:val="00CE6D0F"/>
    <w:rsid w:val="00CE6DE0"/>
    <w:rsid w:val="00CE6EA2"/>
    <w:rsid w:val="00CE731C"/>
    <w:rsid w:val="00CE7473"/>
    <w:rsid w:val="00CE7644"/>
    <w:rsid w:val="00CE7C41"/>
    <w:rsid w:val="00CE7CBE"/>
    <w:rsid w:val="00CE7D68"/>
    <w:rsid w:val="00CF0146"/>
    <w:rsid w:val="00CF0196"/>
    <w:rsid w:val="00CF0594"/>
    <w:rsid w:val="00CF08CE"/>
    <w:rsid w:val="00CF0DC0"/>
    <w:rsid w:val="00CF0EEF"/>
    <w:rsid w:val="00CF10D4"/>
    <w:rsid w:val="00CF145A"/>
    <w:rsid w:val="00CF15C4"/>
    <w:rsid w:val="00CF1BC6"/>
    <w:rsid w:val="00CF1E3F"/>
    <w:rsid w:val="00CF291D"/>
    <w:rsid w:val="00CF2B7D"/>
    <w:rsid w:val="00CF2B85"/>
    <w:rsid w:val="00CF2C51"/>
    <w:rsid w:val="00CF304E"/>
    <w:rsid w:val="00CF3195"/>
    <w:rsid w:val="00CF375C"/>
    <w:rsid w:val="00CF391E"/>
    <w:rsid w:val="00CF395B"/>
    <w:rsid w:val="00CF3B11"/>
    <w:rsid w:val="00CF3B73"/>
    <w:rsid w:val="00CF3DC4"/>
    <w:rsid w:val="00CF3FB8"/>
    <w:rsid w:val="00CF4533"/>
    <w:rsid w:val="00CF45B6"/>
    <w:rsid w:val="00CF47F6"/>
    <w:rsid w:val="00CF4C7A"/>
    <w:rsid w:val="00CF4F04"/>
    <w:rsid w:val="00CF4FE5"/>
    <w:rsid w:val="00CF5030"/>
    <w:rsid w:val="00CF5574"/>
    <w:rsid w:val="00CF5665"/>
    <w:rsid w:val="00CF59BA"/>
    <w:rsid w:val="00CF5AE4"/>
    <w:rsid w:val="00CF5BE6"/>
    <w:rsid w:val="00CF5E44"/>
    <w:rsid w:val="00CF68C6"/>
    <w:rsid w:val="00CF71F2"/>
    <w:rsid w:val="00CF7268"/>
    <w:rsid w:val="00D008D7"/>
    <w:rsid w:val="00D00905"/>
    <w:rsid w:val="00D00B39"/>
    <w:rsid w:val="00D00CF0"/>
    <w:rsid w:val="00D00E75"/>
    <w:rsid w:val="00D00FA0"/>
    <w:rsid w:val="00D0123D"/>
    <w:rsid w:val="00D0139F"/>
    <w:rsid w:val="00D0163A"/>
    <w:rsid w:val="00D0170B"/>
    <w:rsid w:val="00D019FD"/>
    <w:rsid w:val="00D01A69"/>
    <w:rsid w:val="00D01B1E"/>
    <w:rsid w:val="00D01B3D"/>
    <w:rsid w:val="00D02095"/>
    <w:rsid w:val="00D023D4"/>
    <w:rsid w:val="00D027A2"/>
    <w:rsid w:val="00D0292B"/>
    <w:rsid w:val="00D02C58"/>
    <w:rsid w:val="00D031BF"/>
    <w:rsid w:val="00D032E3"/>
    <w:rsid w:val="00D034D4"/>
    <w:rsid w:val="00D039FE"/>
    <w:rsid w:val="00D03A71"/>
    <w:rsid w:val="00D03AAD"/>
    <w:rsid w:val="00D03D88"/>
    <w:rsid w:val="00D03FB6"/>
    <w:rsid w:val="00D04056"/>
    <w:rsid w:val="00D04541"/>
    <w:rsid w:val="00D046CE"/>
    <w:rsid w:val="00D046DF"/>
    <w:rsid w:val="00D0470F"/>
    <w:rsid w:val="00D0472C"/>
    <w:rsid w:val="00D04788"/>
    <w:rsid w:val="00D0478D"/>
    <w:rsid w:val="00D04A5B"/>
    <w:rsid w:val="00D04B75"/>
    <w:rsid w:val="00D04F6C"/>
    <w:rsid w:val="00D05157"/>
    <w:rsid w:val="00D05494"/>
    <w:rsid w:val="00D0553D"/>
    <w:rsid w:val="00D055F8"/>
    <w:rsid w:val="00D05620"/>
    <w:rsid w:val="00D0594F"/>
    <w:rsid w:val="00D05AAE"/>
    <w:rsid w:val="00D05C80"/>
    <w:rsid w:val="00D05E4A"/>
    <w:rsid w:val="00D06A3F"/>
    <w:rsid w:val="00D06CEE"/>
    <w:rsid w:val="00D06D3D"/>
    <w:rsid w:val="00D06FA7"/>
    <w:rsid w:val="00D07045"/>
    <w:rsid w:val="00D070E2"/>
    <w:rsid w:val="00D07261"/>
    <w:rsid w:val="00D073E6"/>
    <w:rsid w:val="00D079BE"/>
    <w:rsid w:val="00D07F05"/>
    <w:rsid w:val="00D103E2"/>
    <w:rsid w:val="00D1044B"/>
    <w:rsid w:val="00D104C5"/>
    <w:rsid w:val="00D10B02"/>
    <w:rsid w:val="00D10FC2"/>
    <w:rsid w:val="00D11013"/>
    <w:rsid w:val="00D110B3"/>
    <w:rsid w:val="00D11106"/>
    <w:rsid w:val="00D113CB"/>
    <w:rsid w:val="00D113D7"/>
    <w:rsid w:val="00D114BF"/>
    <w:rsid w:val="00D114DB"/>
    <w:rsid w:val="00D116DC"/>
    <w:rsid w:val="00D11BAF"/>
    <w:rsid w:val="00D11CF0"/>
    <w:rsid w:val="00D11D67"/>
    <w:rsid w:val="00D12275"/>
    <w:rsid w:val="00D12448"/>
    <w:rsid w:val="00D1255F"/>
    <w:rsid w:val="00D12A96"/>
    <w:rsid w:val="00D12B31"/>
    <w:rsid w:val="00D13435"/>
    <w:rsid w:val="00D134F0"/>
    <w:rsid w:val="00D13833"/>
    <w:rsid w:val="00D13BB5"/>
    <w:rsid w:val="00D13D29"/>
    <w:rsid w:val="00D13EE1"/>
    <w:rsid w:val="00D1400E"/>
    <w:rsid w:val="00D14302"/>
    <w:rsid w:val="00D14396"/>
    <w:rsid w:val="00D1467B"/>
    <w:rsid w:val="00D151B8"/>
    <w:rsid w:val="00D15229"/>
    <w:rsid w:val="00D15318"/>
    <w:rsid w:val="00D155F2"/>
    <w:rsid w:val="00D1569E"/>
    <w:rsid w:val="00D156FB"/>
    <w:rsid w:val="00D158A0"/>
    <w:rsid w:val="00D1599F"/>
    <w:rsid w:val="00D15B8F"/>
    <w:rsid w:val="00D15F39"/>
    <w:rsid w:val="00D1623A"/>
    <w:rsid w:val="00D16310"/>
    <w:rsid w:val="00D165BB"/>
    <w:rsid w:val="00D16613"/>
    <w:rsid w:val="00D1668D"/>
    <w:rsid w:val="00D169DB"/>
    <w:rsid w:val="00D16A79"/>
    <w:rsid w:val="00D16B06"/>
    <w:rsid w:val="00D16BBC"/>
    <w:rsid w:val="00D17413"/>
    <w:rsid w:val="00D1742C"/>
    <w:rsid w:val="00D174DA"/>
    <w:rsid w:val="00D177F4"/>
    <w:rsid w:val="00D17A03"/>
    <w:rsid w:val="00D17A9D"/>
    <w:rsid w:val="00D17DB9"/>
    <w:rsid w:val="00D17EDA"/>
    <w:rsid w:val="00D20419"/>
    <w:rsid w:val="00D2063D"/>
    <w:rsid w:val="00D206B7"/>
    <w:rsid w:val="00D2094E"/>
    <w:rsid w:val="00D20A07"/>
    <w:rsid w:val="00D20BC0"/>
    <w:rsid w:val="00D20BE8"/>
    <w:rsid w:val="00D20DFF"/>
    <w:rsid w:val="00D20E55"/>
    <w:rsid w:val="00D21355"/>
    <w:rsid w:val="00D216D3"/>
    <w:rsid w:val="00D2176C"/>
    <w:rsid w:val="00D21C84"/>
    <w:rsid w:val="00D21CFD"/>
    <w:rsid w:val="00D21FF2"/>
    <w:rsid w:val="00D22134"/>
    <w:rsid w:val="00D22341"/>
    <w:rsid w:val="00D22779"/>
    <w:rsid w:val="00D22A18"/>
    <w:rsid w:val="00D231DD"/>
    <w:rsid w:val="00D2350E"/>
    <w:rsid w:val="00D237C9"/>
    <w:rsid w:val="00D23835"/>
    <w:rsid w:val="00D23E0B"/>
    <w:rsid w:val="00D24AC9"/>
    <w:rsid w:val="00D24DCD"/>
    <w:rsid w:val="00D24DDD"/>
    <w:rsid w:val="00D24F6D"/>
    <w:rsid w:val="00D25722"/>
    <w:rsid w:val="00D2585E"/>
    <w:rsid w:val="00D25EE2"/>
    <w:rsid w:val="00D25F3E"/>
    <w:rsid w:val="00D26436"/>
    <w:rsid w:val="00D267F2"/>
    <w:rsid w:val="00D26B20"/>
    <w:rsid w:val="00D26D91"/>
    <w:rsid w:val="00D270A4"/>
    <w:rsid w:val="00D2725B"/>
    <w:rsid w:val="00D27460"/>
    <w:rsid w:val="00D278D3"/>
    <w:rsid w:val="00D27A3E"/>
    <w:rsid w:val="00D27E1E"/>
    <w:rsid w:val="00D27E9D"/>
    <w:rsid w:val="00D3013B"/>
    <w:rsid w:val="00D30431"/>
    <w:rsid w:val="00D305D7"/>
    <w:rsid w:val="00D30691"/>
    <w:rsid w:val="00D30825"/>
    <w:rsid w:val="00D308CE"/>
    <w:rsid w:val="00D30D5A"/>
    <w:rsid w:val="00D30E97"/>
    <w:rsid w:val="00D3151D"/>
    <w:rsid w:val="00D31665"/>
    <w:rsid w:val="00D31695"/>
    <w:rsid w:val="00D31D72"/>
    <w:rsid w:val="00D31FE9"/>
    <w:rsid w:val="00D320D4"/>
    <w:rsid w:val="00D32452"/>
    <w:rsid w:val="00D325E8"/>
    <w:rsid w:val="00D325ED"/>
    <w:rsid w:val="00D3268B"/>
    <w:rsid w:val="00D327FF"/>
    <w:rsid w:val="00D32C16"/>
    <w:rsid w:val="00D331B2"/>
    <w:rsid w:val="00D331F0"/>
    <w:rsid w:val="00D3334B"/>
    <w:rsid w:val="00D33D49"/>
    <w:rsid w:val="00D33E91"/>
    <w:rsid w:val="00D34340"/>
    <w:rsid w:val="00D3442C"/>
    <w:rsid w:val="00D344FC"/>
    <w:rsid w:val="00D34620"/>
    <w:rsid w:val="00D349C2"/>
    <w:rsid w:val="00D34AA5"/>
    <w:rsid w:val="00D34B32"/>
    <w:rsid w:val="00D34C5D"/>
    <w:rsid w:val="00D34DC0"/>
    <w:rsid w:val="00D34DE6"/>
    <w:rsid w:val="00D34E1B"/>
    <w:rsid w:val="00D350CD"/>
    <w:rsid w:val="00D35178"/>
    <w:rsid w:val="00D351FE"/>
    <w:rsid w:val="00D358A1"/>
    <w:rsid w:val="00D358F6"/>
    <w:rsid w:val="00D3598C"/>
    <w:rsid w:val="00D35BDF"/>
    <w:rsid w:val="00D35E05"/>
    <w:rsid w:val="00D35F68"/>
    <w:rsid w:val="00D360EF"/>
    <w:rsid w:val="00D36312"/>
    <w:rsid w:val="00D3668D"/>
    <w:rsid w:val="00D36781"/>
    <w:rsid w:val="00D36791"/>
    <w:rsid w:val="00D36798"/>
    <w:rsid w:val="00D36BD7"/>
    <w:rsid w:val="00D370B3"/>
    <w:rsid w:val="00D372CD"/>
    <w:rsid w:val="00D37394"/>
    <w:rsid w:val="00D37409"/>
    <w:rsid w:val="00D376BA"/>
    <w:rsid w:val="00D376C5"/>
    <w:rsid w:val="00D378BF"/>
    <w:rsid w:val="00D37D85"/>
    <w:rsid w:val="00D40167"/>
    <w:rsid w:val="00D402BB"/>
    <w:rsid w:val="00D40A51"/>
    <w:rsid w:val="00D40BD5"/>
    <w:rsid w:val="00D40D58"/>
    <w:rsid w:val="00D40D89"/>
    <w:rsid w:val="00D41007"/>
    <w:rsid w:val="00D4117D"/>
    <w:rsid w:val="00D41229"/>
    <w:rsid w:val="00D4195F"/>
    <w:rsid w:val="00D41A6F"/>
    <w:rsid w:val="00D41AEB"/>
    <w:rsid w:val="00D41AF3"/>
    <w:rsid w:val="00D41FA7"/>
    <w:rsid w:val="00D42032"/>
    <w:rsid w:val="00D420C9"/>
    <w:rsid w:val="00D422DB"/>
    <w:rsid w:val="00D42312"/>
    <w:rsid w:val="00D423AF"/>
    <w:rsid w:val="00D42C0E"/>
    <w:rsid w:val="00D42C1E"/>
    <w:rsid w:val="00D42E8E"/>
    <w:rsid w:val="00D42FB3"/>
    <w:rsid w:val="00D4314A"/>
    <w:rsid w:val="00D4327A"/>
    <w:rsid w:val="00D4347D"/>
    <w:rsid w:val="00D434A0"/>
    <w:rsid w:val="00D434E8"/>
    <w:rsid w:val="00D43CC6"/>
    <w:rsid w:val="00D43D65"/>
    <w:rsid w:val="00D43DA5"/>
    <w:rsid w:val="00D43FCB"/>
    <w:rsid w:val="00D43FE5"/>
    <w:rsid w:val="00D4435C"/>
    <w:rsid w:val="00D443F9"/>
    <w:rsid w:val="00D4480C"/>
    <w:rsid w:val="00D44C48"/>
    <w:rsid w:val="00D44E8D"/>
    <w:rsid w:val="00D451A2"/>
    <w:rsid w:val="00D4533A"/>
    <w:rsid w:val="00D45634"/>
    <w:rsid w:val="00D4569B"/>
    <w:rsid w:val="00D46403"/>
    <w:rsid w:val="00D465B5"/>
    <w:rsid w:val="00D465BE"/>
    <w:rsid w:val="00D4747A"/>
    <w:rsid w:val="00D4763D"/>
    <w:rsid w:val="00D47656"/>
    <w:rsid w:val="00D47816"/>
    <w:rsid w:val="00D47A5A"/>
    <w:rsid w:val="00D47AAC"/>
    <w:rsid w:val="00D5015E"/>
    <w:rsid w:val="00D50384"/>
    <w:rsid w:val="00D503FF"/>
    <w:rsid w:val="00D504CC"/>
    <w:rsid w:val="00D504F0"/>
    <w:rsid w:val="00D50710"/>
    <w:rsid w:val="00D5075E"/>
    <w:rsid w:val="00D50788"/>
    <w:rsid w:val="00D51502"/>
    <w:rsid w:val="00D515A3"/>
    <w:rsid w:val="00D52122"/>
    <w:rsid w:val="00D522A7"/>
    <w:rsid w:val="00D52663"/>
    <w:rsid w:val="00D528FD"/>
    <w:rsid w:val="00D52946"/>
    <w:rsid w:val="00D52B9F"/>
    <w:rsid w:val="00D52C22"/>
    <w:rsid w:val="00D52DF2"/>
    <w:rsid w:val="00D53065"/>
    <w:rsid w:val="00D5354A"/>
    <w:rsid w:val="00D53C3C"/>
    <w:rsid w:val="00D53CDB"/>
    <w:rsid w:val="00D54335"/>
    <w:rsid w:val="00D544B7"/>
    <w:rsid w:val="00D549E0"/>
    <w:rsid w:val="00D5523A"/>
    <w:rsid w:val="00D5568A"/>
    <w:rsid w:val="00D556DF"/>
    <w:rsid w:val="00D55877"/>
    <w:rsid w:val="00D55B4D"/>
    <w:rsid w:val="00D55C25"/>
    <w:rsid w:val="00D55EF4"/>
    <w:rsid w:val="00D56473"/>
    <w:rsid w:val="00D565D0"/>
    <w:rsid w:val="00D5687D"/>
    <w:rsid w:val="00D568C9"/>
    <w:rsid w:val="00D56E24"/>
    <w:rsid w:val="00D5785F"/>
    <w:rsid w:val="00D57B40"/>
    <w:rsid w:val="00D57BEE"/>
    <w:rsid w:val="00D6020F"/>
    <w:rsid w:val="00D60521"/>
    <w:rsid w:val="00D60835"/>
    <w:rsid w:val="00D60BB6"/>
    <w:rsid w:val="00D61120"/>
    <w:rsid w:val="00D61298"/>
    <w:rsid w:val="00D61346"/>
    <w:rsid w:val="00D614F4"/>
    <w:rsid w:val="00D619CB"/>
    <w:rsid w:val="00D61C6E"/>
    <w:rsid w:val="00D61D0A"/>
    <w:rsid w:val="00D61DE0"/>
    <w:rsid w:val="00D61FDC"/>
    <w:rsid w:val="00D62052"/>
    <w:rsid w:val="00D623D6"/>
    <w:rsid w:val="00D624A7"/>
    <w:rsid w:val="00D624A8"/>
    <w:rsid w:val="00D625C6"/>
    <w:rsid w:val="00D637DD"/>
    <w:rsid w:val="00D63995"/>
    <w:rsid w:val="00D63D73"/>
    <w:rsid w:val="00D63DD0"/>
    <w:rsid w:val="00D63FD7"/>
    <w:rsid w:val="00D64452"/>
    <w:rsid w:val="00D64791"/>
    <w:rsid w:val="00D64AC5"/>
    <w:rsid w:val="00D64DEE"/>
    <w:rsid w:val="00D6504B"/>
    <w:rsid w:val="00D65389"/>
    <w:rsid w:val="00D65419"/>
    <w:rsid w:val="00D65B5D"/>
    <w:rsid w:val="00D65D70"/>
    <w:rsid w:val="00D66503"/>
    <w:rsid w:val="00D66554"/>
    <w:rsid w:val="00D66E1E"/>
    <w:rsid w:val="00D670E4"/>
    <w:rsid w:val="00D671BF"/>
    <w:rsid w:val="00D67332"/>
    <w:rsid w:val="00D67479"/>
    <w:rsid w:val="00D67537"/>
    <w:rsid w:val="00D6755E"/>
    <w:rsid w:val="00D67596"/>
    <w:rsid w:val="00D67610"/>
    <w:rsid w:val="00D67CBE"/>
    <w:rsid w:val="00D67F6A"/>
    <w:rsid w:val="00D70156"/>
    <w:rsid w:val="00D702D9"/>
    <w:rsid w:val="00D7034D"/>
    <w:rsid w:val="00D70574"/>
    <w:rsid w:val="00D70696"/>
    <w:rsid w:val="00D716AC"/>
    <w:rsid w:val="00D71A24"/>
    <w:rsid w:val="00D71DCB"/>
    <w:rsid w:val="00D71EC5"/>
    <w:rsid w:val="00D7228F"/>
    <w:rsid w:val="00D72789"/>
    <w:rsid w:val="00D7389C"/>
    <w:rsid w:val="00D73BFC"/>
    <w:rsid w:val="00D73C90"/>
    <w:rsid w:val="00D73DB7"/>
    <w:rsid w:val="00D740F0"/>
    <w:rsid w:val="00D74154"/>
    <w:rsid w:val="00D7417E"/>
    <w:rsid w:val="00D743D8"/>
    <w:rsid w:val="00D74CDD"/>
    <w:rsid w:val="00D74E04"/>
    <w:rsid w:val="00D74F21"/>
    <w:rsid w:val="00D754C9"/>
    <w:rsid w:val="00D755B1"/>
    <w:rsid w:val="00D756C2"/>
    <w:rsid w:val="00D75722"/>
    <w:rsid w:val="00D75D24"/>
    <w:rsid w:val="00D75E29"/>
    <w:rsid w:val="00D75FE5"/>
    <w:rsid w:val="00D7630A"/>
    <w:rsid w:val="00D768C5"/>
    <w:rsid w:val="00D768D8"/>
    <w:rsid w:val="00D768E3"/>
    <w:rsid w:val="00D76AE4"/>
    <w:rsid w:val="00D76BB3"/>
    <w:rsid w:val="00D76E03"/>
    <w:rsid w:val="00D770EE"/>
    <w:rsid w:val="00D7732B"/>
    <w:rsid w:val="00D7748C"/>
    <w:rsid w:val="00D775C1"/>
    <w:rsid w:val="00D8043E"/>
    <w:rsid w:val="00D80499"/>
    <w:rsid w:val="00D804AA"/>
    <w:rsid w:val="00D808BA"/>
    <w:rsid w:val="00D80CF5"/>
    <w:rsid w:val="00D80D08"/>
    <w:rsid w:val="00D80E19"/>
    <w:rsid w:val="00D8102B"/>
    <w:rsid w:val="00D8151B"/>
    <w:rsid w:val="00D815A4"/>
    <w:rsid w:val="00D81712"/>
    <w:rsid w:val="00D81736"/>
    <w:rsid w:val="00D81A5A"/>
    <w:rsid w:val="00D81B20"/>
    <w:rsid w:val="00D820A2"/>
    <w:rsid w:val="00D82287"/>
    <w:rsid w:val="00D82413"/>
    <w:rsid w:val="00D824D1"/>
    <w:rsid w:val="00D824F7"/>
    <w:rsid w:val="00D82526"/>
    <w:rsid w:val="00D82631"/>
    <w:rsid w:val="00D82CF0"/>
    <w:rsid w:val="00D83187"/>
    <w:rsid w:val="00D83B52"/>
    <w:rsid w:val="00D8410B"/>
    <w:rsid w:val="00D84228"/>
    <w:rsid w:val="00D845EC"/>
    <w:rsid w:val="00D846C6"/>
    <w:rsid w:val="00D84710"/>
    <w:rsid w:val="00D84B0A"/>
    <w:rsid w:val="00D84B33"/>
    <w:rsid w:val="00D84F5E"/>
    <w:rsid w:val="00D8503F"/>
    <w:rsid w:val="00D850FE"/>
    <w:rsid w:val="00D85210"/>
    <w:rsid w:val="00D85284"/>
    <w:rsid w:val="00D853B1"/>
    <w:rsid w:val="00D853ED"/>
    <w:rsid w:val="00D85A82"/>
    <w:rsid w:val="00D85C60"/>
    <w:rsid w:val="00D85F49"/>
    <w:rsid w:val="00D85F82"/>
    <w:rsid w:val="00D865E8"/>
    <w:rsid w:val="00D86AA0"/>
    <w:rsid w:val="00D878C6"/>
    <w:rsid w:val="00D87A7B"/>
    <w:rsid w:val="00D87A98"/>
    <w:rsid w:val="00D87F62"/>
    <w:rsid w:val="00D90296"/>
    <w:rsid w:val="00D90364"/>
    <w:rsid w:val="00D90693"/>
    <w:rsid w:val="00D90825"/>
    <w:rsid w:val="00D90970"/>
    <w:rsid w:val="00D90B5A"/>
    <w:rsid w:val="00D90EDA"/>
    <w:rsid w:val="00D912E7"/>
    <w:rsid w:val="00D91474"/>
    <w:rsid w:val="00D918C6"/>
    <w:rsid w:val="00D91A54"/>
    <w:rsid w:val="00D91DE0"/>
    <w:rsid w:val="00D91F07"/>
    <w:rsid w:val="00D920E1"/>
    <w:rsid w:val="00D9232B"/>
    <w:rsid w:val="00D92382"/>
    <w:rsid w:val="00D92452"/>
    <w:rsid w:val="00D924D2"/>
    <w:rsid w:val="00D92B31"/>
    <w:rsid w:val="00D92F73"/>
    <w:rsid w:val="00D93013"/>
    <w:rsid w:val="00D93167"/>
    <w:rsid w:val="00D931AC"/>
    <w:rsid w:val="00D94221"/>
    <w:rsid w:val="00D94497"/>
    <w:rsid w:val="00D944B2"/>
    <w:rsid w:val="00D948BE"/>
    <w:rsid w:val="00D94ACD"/>
    <w:rsid w:val="00D94E57"/>
    <w:rsid w:val="00D94FA9"/>
    <w:rsid w:val="00D9500F"/>
    <w:rsid w:val="00D95257"/>
    <w:rsid w:val="00D9559B"/>
    <w:rsid w:val="00D957CF"/>
    <w:rsid w:val="00D95E5F"/>
    <w:rsid w:val="00D9689F"/>
    <w:rsid w:val="00D96A0E"/>
    <w:rsid w:val="00D96D34"/>
    <w:rsid w:val="00D96DF3"/>
    <w:rsid w:val="00D96F48"/>
    <w:rsid w:val="00D96FA1"/>
    <w:rsid w:val="00D97524"/>
    <w:rsid w:val="00D975A2"/>
    <w:rsid w:val="00D9776F"/>
    <w:rsid w:val="00D97ABB"/>
    <w:rsid w:val="00DA03E4"/>
    <w:rsid w:val="00DA0465"/>
    <w:rsid w:val="00DA09BF"/>
    <w:rsid w:val="00DA0E99"/>
    <w:rsid w:val="00DA10F4"/>
    <w:rsid w:val="00DA11D0"/>
    <w:rsid w:val="00DA16E6"/>
    <w:rsid w:val="00DA1E43"/>
    <w:rsid w:val="00DA227A"/>
    <w:rsid w:val="00DA233E"/>
    <w:rsid w:val="00DA2342"/>
    <w:rsid w:val="00DA2564"/>
    <w:rsid w:val="00DA272F"/>
    <w:rsid w:val="00DA299F"/>
    <w:rsid w:val="00DA2A8F"/>
    <w:rsid w:val="00DA2B5F"/>
    <w:rsid w:val="00DA2B62"/>
    <w:rsid w:val="00DA2CFB"/>
    <w:rsid w:val="00DA2D98"/>
    <w:rsid w:val="00DA2F39"/>
    <w:rsid w:val="00DA311A"/>
    <w:rsid w:val="00DA3173"/>
    <w:rsid w:val="00DA3194"/>
    <w:rsid w:val="00DA38DE"/>
    <w:rsid w:val="00DA3941"/>
    <w:rsid w:val="00DA3AB8"/>
    <w:rsid w:val="00DA4152"/>
    <w:rsid w:val="00DA4247"/>
    <w:rsid w:val="00DA44F7"/>
    <w:rsid w:val="00DA47DD"/>
    <w:rsid w:val="00DA4B2A"/>
    <w:rsid w:val="00DA4FF1"/>
    <w:rsid w:val="00DA51FB"/>
    <w:rsid w:val="00DA53EF"/>
    <w:rsid w:val="00DA54E1"/>
    <w:rsid w:val="00DA555F"/>
    <w:rsid w:val="00DA56D5"/>
    <w:rsid w:val="00DA58D2"/>
    <w:rsid w:val="00DA5BBA"/>
    <w:rsid w:val="00DA5C8F"/>
    <w:rsid w:val="00DA5F87"/>
    <w:rsid w:val="00DA601B"/>
    <w:rsid w:val="00DA61BD"/>
    <w:rsid w:val="00DA6548"/>
    <w:rsid w:val="00DA65BD"/>
    <w:rsid w:val="00DA6690"/>
    <w:rsid w:val="00DA6698"/>
    <w:rsid w:val="00DA6BC1"/>
    <w:rsid w:val="00DA6C5B"/>
    <w:rsid w:val="00DA6D00"/>
    <w:rsid w:val="00DA7208"/>
    <w:rsid w:val="00DA7262"/>
    <w:rsid w:val="00DA7274"/>
    <w:rsid w:val="00DA7B9B"/>
    <w:rsid w:val="00DA7DA0"/>
    <w:rsid w:val="00DB0019"/>
    <w:rsid w:val="00DB02A1"/>
    <w:rsid w:val="00DB0679"/>
    <w:rsid w:val="00DB0709"/>
    <w:rsid w:val="00DB09F9"/>
    <w:rsid w:val="00DB0D84"/>
    <w:rsid w:val="00DB0FD0"/>
    <w:rsid w:val="00DB123E"/>
    <w:rsid w:val="00DB141D"/>
    <w:rsid w:val="00DB1531"/>
    <w:rsid w:val="00DB176D"/>
    <w:rsid w:val="00DB1882"/>
    <w:rsid w:val="00DB1907"/>
    <w:rsid w:val="00DB1E52"/>
    <w:rsid w:val="00DB1E7A"/>
    <w:rsid w:val="00DB204C"/>
    <w:rsid w:val="00DB2188"/>
    <w:rsid w:val="00DB21A2"/>
    <w:rsid w:val="00DB22FF"/>
    <w:rsid w:val="00DB24AB"/>
    <w:rsid w:val="00DB2501"/>
    <w:rsid w:val="00DB26D2"/>
    <w:rsid w:val="00DB271B"/>
    <w:rsid w:val="00DB28FB"/>
    <w:rsid w:val="00DB2F17"/>
    <w:rsid w:val="00DB2F7A"/>
    <w:rsid w:val="00DB2FA1"/>
    <w:rsid w:val="00DB2FB7"/>
    <w:rsid w:val="00DB3398"/>
    <w:rsid w:val="00DB36A2"/>
    <w:rsid w:val="00DB37E7"/>
    <w:rsid w:val="00DB404D"/>
    <w:rsid w:val="00DB44B8"/>
    <w:rsid w:val="00DB4564"/>
    <w:rsid w:val="00DB46F7"/>
    <w:rsid w:val="00DB472A"/>
    <w:rsid w:val="00DB49AC"/>
    <w:rsid w:val="00DB4B7F"/>
    <w:rsid w:val="00DB4DC7"/>
    <w:rsid w:val="00DB4F52"/>
    <w:rsid w:val="00DB5279"/>
    <w:rsid w:val="00DB544F"/>
    <w:rsid w:val="00DB545B"/>
    <w:rsid w:val="00DB5498"/>
    <w:rsid w:val="00DB5F0D"/>
    <w:rsid w:val="00DB610B"/>
    <w:rsid w:val="00DB67C9"/>
    <w:rsid w:val="00DB6E08"/>
    <w:rsid w:val="00DB6E39"/>
    <w:rsid w:val="00DB6E65"/>
    <w:rsid w:val="00DB6FAB"/>
    <w:rsid w:val="00DB72A6"/>
    <w:rsid w:val="00DB7351"/>
    <w:rsid w:val="00DB7379"/>
    <w:rsid w:val="00DB7460"/>
    <w:rsid w:val="00DB77A9"/>
    <w:rsid w:val="00DB7983"/>
    <w:rsid w:val="00DB7E95"/>
    <w:rsid w:val="00DC021B"/>
    <w:rsid w:val="00DC045F"/>
    <w:rsid w:val="00DC09BD"/>
    <w:rsid w:val="00DC0B5D"/>
    <w:rsid w:val="00DC0C95"/>
    <w:rsid w:val="00DC111A"/>
    <w:rsid w:val="00DC1A62"/>
    <w:rsid w:val="00DC1DD3"/>
    <w:rsid w:val="00DC20AE"/>
    <w:rsid w:val="00DC2173"/>
    <w:rsid w:val="00DC21D2"/>
    <w:rsid w:val="00DC232A"/>
    <w:rsid w:val="00DC2588"/>
    <w:rsid w:val="00DC295D"/>
    <w:rsid w:val="00DC2970"/>
    <w:rsid w:val="00DC2D60"/>
    <w:rsid w:val="00DC3175"/>
    <w:rsid w:val="00DC31E5"/>
    <w:rsid w:val="00DC3264"/>
    <w:rsid w:val="00DC3265"/>
    <w:rsid w:val="00DC3436"/>
    <w:rsid w:val="00DC3664"/>
    <w:rsid w:val="00DC36DD"/>
    <w:rsid w:val="00DC377B"/>
    <w:rsid w:val="00DC3F5B"/>
    <w:rsid w:val="00DC3FD4"/>
    <w:rsid w:val="00DC4150"/>
    <w:rsid w:val="00DC415E"/>
    <w:rsid w:val="00DC4784"/>
    <w:rsid w:val="00DC4AB1"/>
    <w:rsid w:val="00DC4F0B"/>
    <w:rsid w:val="00DC4FBE"/>
    <w:rsid w:val="00DC5109"/>
    <w:rsid w:val="00DC52C8"/>
    <w:rsid w:val="00DC53B6"/>
    <w:rsid w:val="00DC5A56"/>
    <w:rsid w:val="00DC6657"/>
    <w:rsid w:val="00DC6BF3"/>
    <w:rsid w:val="00DC6C3E"/>
    <w:rsid w:val="00DC6C83"/>
    <w:rsid w:val="00DC6CA0"/>
    <w:rsid w:val="00DC6E12"/>
    <w:rsid w:val="00DC6EF0"/>
    <w:rsid w:val="00DC6FBF"/>
    <w:rsid w:val="00DC725B"/>
    <w:rsid w:val="00DC755E"/>
    <w:rsid w:val="00DC78B1"/>
    <w:rsid w:val="00DC7A4D"/>
    <w:rsid w:val="00DC7D08"/>
    <w:rsid w:val="00DC7D37"/>
    <w:rsid w:val="00DC7F98"/>
    <w:rsid w:val="00DD01D5"/>
    <w:rsid w:val="00DD03E4"/>
    <w:rsid w:val="00DD06BA"/>
    <w:rsid w:val="00DD0718"/>
    <w:rsid w:val="00DD08BF"/>
    <w:rsid w:val="00DD0BD1"/>
    <w:rsid w:val="00DD0CC3"/>
    <w:rsid w:val="00DD0E81"/>
    <w:rsid w:val="00DD13D0"/>
    <w:rsid w:val="00DD16C1"/>
    <w:rsid w:val="00DD17F4"/>
    <w:rsid w:val="00DD1836"/>
    <w:rsid w:val="00DD1B8C"/>
    <w:rsid w:val="00DD1DE3"/>
    <w:rsid w:val="00DD1E1F"/>
    <w:rsid w:val="00DD25C7"/>
    <w:rsid w:val="00DD26E2"/>
    <w:rsid w:val="00DD275C"/>
    <w:rsid w:val="00DD28F3"/>
    <w:rsid w:val="00DD2911"/>
    <w:rsid w:val="00DD2A2A"/>
    <w:rsid w:val="00DD2A97"/>
    <w:rsid w:val="00DD2C7B"/>
    <w:rsid w:val="00DD2EA2"/>
    <w:rsid w:val="00DD32A3"/>
    <w:rsid w:val="00DD332F"/>
    <w:rsid w:val="00DD366A"/>
    <w:rsid w:val="00DD39CC"/>
    <w:rsid w:val="00DD3D35"/>
    <w:rsid w:val="00DD3F8C"/>
    <w:rsid w:val="00DD4431"/>
    <w:rsid w:val="00DD4751"/>
    <w:rsid w:val="00DD4819"/>
    <w:rsid w:val="00DD4C7C"/>
    <w:rsid w:val="00DD4CAB"/>
    <w:rsid w:val="00DD4CE1"/>
    <w:rsid w:val="00DD4DD6"/>
    <w:rsid w:val="00DD4DDF"/>
    <w:rsid w:val="00DD4FCD"/>
    <w:rsid w:val="00DD5440"/>
    <w:rsid w:val="00DD56E1"/>
    <w:rsid w:val="00DD573A"/>
    <w:rsid w:val="00DD59CE"/>
    <w:rsid w:val="00DD5CD5"/>
    <w:rsid w:val="00DD5E8C"/>
    <w:rsid w:val="00DD64B0"/>
    <w:rsid w:val="00DD64F4"/>
    <w:rsid w:val="00DD654C"/>
    <w:rsid w:val="00DD6580"/>
    <w:rsid w:val="00DD6900"/>
    <w:rsid w:val="00DD6953"/>
    <w:rsid w:val="00DD6C1E"/>
    <w:rsid w:val="00DD6E0A"/>
    <w:rsid w:val="00DD7083"/>
    <w:rsid w:val="00DD71D1"/>
    <w:rsid w:val="00DD760D"/>
    <w:rsid w:val="00DD7645"/>
    <w:rsid w:val="00DD76EF"/>
    <w:rsid w:val="00DD7EA6"/>
    <w:rsid w:val="00DD7EAF"/>
    <w:rsid w:val="00DE003D"/>
    <w:rsid w:val="00DE02B4"/>
    <w:rsid w:val="00DE02DA"/>
    <w:rsid w:val="00DE052D"/>
    <w:rsid w:val="00DE085F"/>
    <w:rsid w:val="00DE1048"/>
    <w:rsid w:val="00DE1079"/>
    <w:rsid w:val="00DE137D"/>
    <w:rsid w:val="00DE13D5"/>
    <w:rsid w:val="00DE1413"/>
    <w:rsid w:val="00DE1556"/>
    <w:rsid w:val="00DE224C"/>
    <w:rsid w:val="00DE271D"/>
    <w:rsid w:val="00DE2858"/>
    <w:rsid w:val="00DE2B21"/>
    <w:rsid w:val="00DE3378"/>
    <w:rsid w:val="00DE34BE"/>
    <w:rsid w:val="00DE37C3"/>
    <w:rsid w:val="00DE3857"/>
    <w:rsid w:val="00DE38C5"/>
    <w:rsid w:val="00DE39BE"/>
    <w:rsid w:val="00DE3E94"/>
    <w:rsid w:val="00DE417D"/>
    <w:rsid w:val="00DE447C"/>
    <w:rsid w:val="00DE4957"/>
    <w:rsid w:val="00DE4A09"/>
    <w:rsid w:val="00DE4B44"/>
    <w:rsid w:val="00DE525C"/>
    <w:rsid w:val="00DE56F7"/>
    <w:rsid w:val="00DE5791"/>
    <w:rsid w:val="00DE5A30"/>
    <w:rsid w:val="00DE5AE5"/>
    <w:rsid w:val="00DE5AFC"/>
    <w:rsid w:val="00DE5D27"/>
    <w:rsid w:val="00DE5D42"/>
    <w:rsid w:val="00DE5EF2"/>
    <w:rsid w:val="00DE6414"/>
    <w:rsid w:val="00DE671F"/>
    <w:rsid w:val="00DE67F3"/>
    <w:rsid w:val="00DE6D6E"/>
    <w:rsid w:val="00DE7067"/>
    <w:rsid w:val="00DE72BB"/>
    <w:rsid w:val="00DE7533"/>
    <w:rsid w:val="00DE76EC"/>
    <w:rsid w:val="00DE78D2"/>
    <w:rsid w:val="00DE7DF2"/>
    <w:rsid w:val="00DF01DD"/>
    <w:rsid w:val="00DF0510"/>
    <w:rsid w:val="00DF056F"/>
    <w:rsid w:val="00DF057B"/>
    <w:rsid w:val="00DF0681"/>
    <w:rsid w:val="00DF0B78"/>
    <w:rsid w:val="00DF0BD2"/>
    <w:rsid w:val="00DF0C52"/>
    <w:rsid w:val="00DF0CB6"/>
    <w:rsid w:val="00DF0D82"/>
    <w:rsid w:val="00DF0E34"/>
    <w:rsid w:val="00DF0F99"/>
    <w:rsid w:val="00DF1014"/>
    <w:rsid w:val="00DF13C7"/>
    <w:rsid w:val="00DF21C5"/>
    <w:rsid w:val="00DF230B"/>
    <w:rsid w:val="00DF261E"/>
    <w:rsid w:val="00DF274D"/>
    <w:rsid w:val="00DF281D"/>
    <w:rsid w:val="00DF288D"/>
    <w:rsid w:val="00DF2DB2"/>
    <w:rsid w:val="00DF2DF6"/>
    <w:rsid w:val="00DF33BC"/>
    <w:rsid w:val="00DF369A"/>
    <w:rsid w:val="00DF3942"/>
    <w:rsid w:val="00DF3A5C"/>
    <w:rsid w:val="00DF3ED9"/>
    <w:rsid w:val="00DF3F0D"/>
    <w:rsid w:val="00DF3F16"/>
    <w:rsid w:val="00DF3F46"/>
    <w:rsid w:val="00DF4081"/>
    <w:rsid w:val="00DF44D6"/>
    <w:rsid w:val="00DF4766"/>
    <w:rsid w:val="00DF4C0A"/>
    <w:rsid w:val="00DF4F58"/>
    <w:rsid w:val="00DF500D"/>
    <w:rsid w:val="00DF54CB"/>
    <w:rsid w:val="00DF5601"/>
    <w:rsid w:val="00DF5901"/>
    <w:rsid w:val="00DF59B5"/>
    <w:rsid w:val="00DF655A"/>
    <w:rsid w:val="00DF65CF"/>
    <w:rsid w:val="00DF66C0"/>
    <w:rsid w:val="00DF6B98"/>
    <w:rsid w:val="00DF6E37"/>
    <w:rsid w:val="00DF6F87"/>
    <w:rsid w:val="00DF72A7"/>
    <w:rsid w:val="00DF76A4"/>
    <w:rsid w:val="00DF772D"/>
    <w:rsid w:val="00DF7957"/>
    <w:rsid w:val="00DF79AE"/>
    <w:rsid w:val="00DF7F7A"/>
    <w:rsid w:val="00E001A6"/>
    <w:rsid w:val="00E00481"/>
    <w:rsid w:val="00E006BD"/>
    <w:rsid w:val="00E0076A"/>
    <w:rsid w:val="00E00885"/>
    <w:rsid w:val="00E00CE9"/>
    <w:rsid w:val="00E00FDC"/>
    <w:rsid w:val="00E01020"/>
    <w:rsid w:val="00E012CD"/>
    <w:rsid w:val="00E01772"/>
    <w:rsid w:val="00E01970"/>
    <w:rsid w:val="00E01AD1"/>
    <w:rsid w:val="00E01BE7"/>
    <w:rsid w:val="00E01D7F"/>
    <w:rsid w:val="00E0239F"/>
    <w:rsid w:val="00E02515"/>
    <w:rsid w:val="00E027FD"/>
    <w:rsid w:val="00E02921"/>
    <w:rsid w:val="00E02E8A"/>
    <w:rsid w:val="00E02F64"/>
    <w:rsid w:val="00E02F79"/>
    <w:rsid w:val="00E03588"/>
    <w:rsid w:val="00E0362A"/>
    <w:rsid w:val="00E0389B"/>
    <w:rsid w:val="00E03EC0"/>
    <w:rsid w:val="00E03EEE"/>
    <w:rsid w:val="00E03F93"/>
    <w:rsid w:val="00E04255"/>
    <w:rsid w:val="00E04488"/>
    <w:rsid w:val="00E04497"/>
    <w:rsid w:val="00E044C9"/>
    <w:rsid w:val="00E04953"/>
    <w:rsid w:val="00E04A80"/>
    <w:rsid w:val="00E05246"/>
    <w:rsid w:val="00E05433"/>
    <w:rsid w:val="00E05A2F"/>
    <w:rsid w:val="00E05AB8"/>
    <w:rsid w:val="00E05C03"/>
    <w:rsid w:val="00E05C40"/>
    <w:rsid w:val="00E05E78"/>
    <w:rsid w:val="00E06023"/>
    <w:rsid w:val="00E060CC"/>
    <w:rsid w:val="00E06217"/>
    <w:rsid w:val="00E06356"/>
    <w:rsid w:val="00E064B7"/>
    <w:rsid w:val="00E06532"/>
    <w:rsid w:val="00E06D3C"/>
    <w:rsid w:val="00E07138"/>
    <w:rsid w:val="00E072E6"/>
    <w:rsid w:val="00E07B68"/>
    <w:rsid w:val="00E1022C"/>
    <w:rsid w:val="00E1030B"/>
    <w:rsid w:val="00E10494"/>
    <w:rsid w:val="00E10AAB"/>
    <w:rsid w:val="00E10C11"/>
    <w:rsid w:val="00E11104"/>
    <w:rsid w:val="00E111D5"/>
    <w:rsid w:val="00E113DF"/>
    <w:rsid w:val="00E1142F"/>
    <w:rsid w:val="00E114A6"/>
    <w:rsid w:val="00E11634"/>
    <w:rsid w:val="00E1177C"/>
    <w:rsid w:val="00E118E4"/>
    <w:rsid w:val="00E11FB9"/>
    <w:rsid w:val="00E11FF0"/>
    <w:rsid w:val="00E122F7"/>
    <w:rsid w:val="00E12703"/>
    <w:rsid w:val="00E12992"/>
    <w:rsid w:val="00E12C50"/>
    <w:rsid w:val="00E12C53"/>
    <w:rsid w:val="00E133C6"/>
    <w:rsid w:val="00E136B3"/>
    <w:rsid w:val="00E13A9E"/>
    <w:rsid w:val="00E13C22"/>
    <w:rsid w:val="00E13E09"/>
    <w:rsid w:val="00E13E1D"/>
    <w:rsid w:val="00E13F79"/>
    <w:rsid w:val="00E14393"/>
    <w:rsid w:val="00E14571"/>
    <w:rsid w:val="00E14601"/>
    <w:rsid w:val="00E1464C"/>
    <w:rsid w:val="00E14818"/>
    <w:rsid w:val="00E14A21"/>
    <w:rsid w:val="00E14C7B"/>
    <w:rsid w:val="00E150E8"/>
    <w:rsid w:val="00E1572D"/>
    <w:rsid w:val="00E15780"/>
    <w:rsid w:val="00E1594F"/>
    <w:rsid w:val="00E16112"/>
    <w:rsid w:val="00E16701"/>
    <w:rsid w:val="00E16B75"/>
    <w:rsid w:val="00E16F67"/>
    <w:rsid w:val="00E17040"/>
    <w:rsid w:val="00E170C9"/>
    <w:rsid w:val="00E17717"/>
    <w:rsid w:val="00E1779D"/>
    <w:rsid w:val="00E177D0"/>
    <w:rsid w:val="00E17936"/>
    <w:rsid w:val="00E1796A"/>
    <w:rsid w:val="00E17C72"/>
    <w:rsid w:val="00E17C75"/>
    <w:rsid w:val="00E17CBF"/>
    <w:rsid w:val="00E17D34"/>
    <w:rsid w:val="00E202B4"/>
    <w:rsid w:val="00E20387"/>
    <w:rsid w:val="00E2055A"/>
    <w:rsid w:val="00E205EF"/>
    <w:rsid w:val="00E2063A"/>
    <w:rsid w:val="00E206D9"/>
    <w:rsid w:val="00E2098F"/>
    <w:rsid w:val="00E210F8"/>
    <w:rsid w:val="00E21485"/>
    <w:rsid w:val="00E217EE"/>
    <w:rsid w:val="00E21AFF"/>
    <w:rsid w:val="00E21CAD"/>
    <w:rsid w:val="00E21E01"/>
    <w:rsid w:val="00E21E9C"/>
    <w:rsid w:val="00E21FC6"/>
    <w:rsid w:val="00E220A0"/>
    <w:rsid w:val="00E228EA"/>
    <w:rsid w:val="00E22BCF"/>
    <w:rsid w:val="00E22C3F"/>
    <w:rsid w:val="00E22FF7"/>
    <w:rsid w:val="00E238D7"/>
    <w:rsid w:val="00E23CCB"/>
    <w:rsid w:val="00E24017"/>
    <w:rsid w:val="00E24419"/>
    <w:rsid w:val="00E24540"/>
    <w:rsid w:val="00E249E4"/>
    <w:rsid w:val="00E24AA8"/>
    <w:rsid w:val="00E24ACF"/>
    <w:rsid w:val="00E24E1F"/>
    <w:rsid w:val="00E2528C"/>
    <w:rsid w:val="00E25363"/>
    <w:rsid w:val="00E25550"/>
    <w:rsid w:val="00E255E3"/>
    <w:rsid w:val="00E25776"/>
    <w:rsid w:val="00E257A8"/>
    <w:rsid w:val="00E25A29"/>
    <w:rsid w:val="00E25A5D"/>
    <w:rsid w:val="00E25D75"/>
    <w:rsid w:val="00E25ED2"/>
    <w:rsid w:val="00E25F99"/>
    <w:rsid w:val="00E2613F"/>
    <w:rsid w:val="00E26413"/>
    <w:rsid w:val="00E26426"/>
    <w:rsid w:val="00E26448"/>
    <w:rsid w:val="00E2650B"/>
    <w:rsid w:val="00E26989"/>
    <w:rsid w:val="00E26C67"/>
    <w:rsid w:val="00E26FDA"/>
    <w:rsid w:val="00E2777E"/>
    <w:rsid w:val="00E2788A"/>
    <w:rsid w:val="00E27F75"/>
    <w:rsid w:val="00E30304"/>
    <w:rsid w:val="00E3033D"/>
    <w:rsid w:val="00E30A99"/>
    <w:rsid w:val="00E3120C"/>
    <w:rsid w:val="00E3182B"/>
    <w:rsid w:val="00E31D19"/>
    <w:rsid w:val="00E31EB2"/>
    <w:rsid w:val="00E32121"/>
    <w:rsid w:val="00E32A99"/>
    <w:rsid w:val="00E32CFB"/>
    <w:rsid w:val="00E32DD7"/>
    <w:rsid w:val="00E33331"/>
    <w:rsid w:val="00E33438"/>
    <w:rsid w:val="00E33687"/>
    <w:rsid w:val="00E33975"/>
    <w:rsid w:val="00E33ADA"/>
    <w:rsid w:val="00E33AE0"/>
    <w:rsid w:val="00E33C3F"/>
    <w:rsid w:val="00E33D68"/>
    <w:rsid w:val="00E34655"/>
    <w:rsid w:val="00E348A5"/>
    <w:rsid w:val="00E35249"/>
    <w:rsid w:val="00E353F7"/>
    <w:rsid w:val="00E35547"/>
    <w:rsid w:val="00E35655"/>
    <w:rsid w:val="00E35688"/>
    <w:rsid w:val="00E35866"/>
    <w:rsid w:val="00E35FE7"/>
    <w:rsid w:val="00E36505"/>
    <w:rsid w:val="00E365CE"/>
    <w:rsid w:val="00E366A2"/>
    <w:rsid w:val="00E36EDA"/>
    <w:rsid w:val="00E36F48"/>
    <w:rsid w:val="00E36FCB"/>
    <w:rsid w:val="00E3742C"/>
    <w:rsid w:val="00E3792D"/>
    <w:rsid w:val="00E379DD"/>
    <w:rsid w:val="00E37B7B"/>
    <w:rsid w:val="00E37F5A"/>
    <w:rsid w:val="00E401FE"/>
    <w:rsid w:val="00E40448"/>
    <w:rsid w:val="00E4074E"/>
    <w:rsid w:val="00E40F3A"/>
    <w:rsid w:val="00E4104F"/>
    <w:rsid w:val="00E41158"/>
    <w:rsid w:val="00E41206"/>
    <w:rsid w:val="00E41244"/>
    <w:rsid w:val="00E416D7"/>
    <w:rsid w:val="00E416F2"/>
    <w:rsid w:val="00E41900"/>
    <w:rsid w:val="00E41918"/>
    <w:rsid w:val="00E41C39"/>
    <w:rsid w:val="00E4202F"/>
    <w:rsid w:val="00E42035"/>
    <w:rsid w:val="00E42215"/>
    <w:rsid w:val="00E426B5"/>
    <w:rsid w:val="00E42905"/>
    <w:rsid w:val="00E4295E"/>
    <w:rsid w:val="00E42C83"/>
    <w:rsid w:val="00E42F73"/>
    <w:rsid w:val="00E4319D"/>
    <w:rsid w:val="00E431A9"/>
    <w:rsid w:val="00E436C6"/>
    <w:rsid w:val="00E43786"/>
    <w:rsid w:val="00E4382D"/>
    <w:rsid w:val="00E4391B"/>
    <w:rsid w:val="00E43B22"/>
    <w:rsid w:val="00E43BE3"/>
    <w:rsid w:val="00E43C82"/>
    <w:rsid w:val="00E43DB7"/>
    <w:rsid w:val="00E4401E"/>
    <w:rsid w:val="00E440C6"/>
    <w:rsid w:val="00E44473"/>
    <w:rsid w:val="00E4454D"/>
    <w:rsid w:val="00E4533B"/>
    <w:rsid w:val="00E45688"/>
    <w:rsid w:val="00E45C28"/>
    <w:rsid w:val="00E45F90"/>
    <w:rsid w:val="00E461A0"/>
    <w:rsid w:val="00E465AD"/>
    <w:rsid w:val="00E466BF"/>
    <w:rsid w:val="00E467AF"/>
    <w:rsid w:val="00E46B5F"/>
    <w:rsid w:val="00E46C7D"/>
    <w:rsid w:val="00E46D2C"/>
    <w:rsid w:val="00E46EC1"/>
    <w:rsid w:val="00E47190"/>
    <w:rsid w:val="00E47977"/>
    <w:rsid w:val="00E47A30"/>
    <w:rsid w:val="00E47A86"/>
    <w:rsid w:val="00E47E0C"/>
    <w:rsid w:val="00E47E1E"/>
    <w:rsid w:val="00E47F14"/>
    <w:rsid w:val="00E502DE"/>
    <w:rsid w:val="00E506F0"/>
    <w:rsid w:val="00E5070D"/>
    <w:rsid w:val="00E507C5"/>
    <w:rsid w:val="00E50840"/>
    <w:rsid w:val="00E50864"/>
    <w:rsid w:val="00E50B58"/>
    <w:rsid w:val="00E51026"/>
    <w:rsid w:val="00E512DF"/>
    <w:rsid w:val="00E5159D"/>
    <w:rsid w:val="00E51691"/>
    <w:rsid w:val="00E52356"/>
    <w:rsid w:val="00E524D7"/>
    <w:rsid w:val="00E5278A"/>
    <w:rsid w:val="00E52852"/>
    <w:rsid w:val="00E52BC1"/>
    <w:rsid w:val="00E5343A"/>
    <w:rsid w:val="00E537D3"/>
    <w:rsid w:val="00E53A15"/>
    <w:rsid w:val="00E53A7B"/>
    <w:rsid w:val="00E53CC8"/>
    <w:rsid w:val="00E53F37"/>
    <w:rsid w:val="00E547C5"/>
    <w:rsid w:val="00E54BFE"/>
    <w:rsid w:val="00E54CD6"/>
    <w:rsid w:val="00E54E5D"/>
    <w:rsid w:val="00E55036"/>
    <w:rsid w:val="00E55062"/>
    <w:rsid w:val="00E550B0"/>
    <w:rsid w:val="00E5514C"/>
    <w:rsid w:val="00E55392"/>
    <w:rsid w:val="00E55455"/>
    <w:rsid w:val="00E5575D"/>
    <w:rsid w:val="00E55D8F"/>
    <w:rsid w:val="00E55E96"/>
    <w:rsid w:val="00E55EC4"/>
    <w:rsid w:val="00E563C4"/>
    <w:rsid w:val="00E56716"/>
    <w:rsid w:val="00E5695A"/>
    <w:rsid w:val="00E56E6F"/>
    <w:rsid w:val="00E5714F"/>
    <w:rsid w:val="00E5722E"/>
    <w:rsid w:val="00E57235"/>
    <w:rsid w:val="00E57317"/>
    <w:rsid w:val="00E5748B"/>
    <w:rsid w:val="00E576D8"/>
    <w:rsid w:val="00E57824"/>
    <w:rsid w:val="00E57A39"/>
    <w:rsid w:val="00E57E52"/>
    <w:rsid w:val="00E57F3B"/>
    <w:rsid w:val="00E60046"/>
    <w:rsid w:val="00E602C7"/>
    <w:rsid w:val="00E6034F"/>
    <w:rsid w:val="00E60593"/>
    <w:rsid w:val="00E60674"/>
    <w:rsid w:val="00E60764"/>
    <w:rsid w:val="00E607FC"/>
    <w:rsid w:val="00E60C31"/>
    <w:rsid w:val="00E6100C"/>
    <w:rsid w:val="00E611F2"/>
    <w:rsid w:val="00E614FC"/>
    <w:rsid w:val="00E61635"/>
    <w:rsid w:val="00E6174A"/>
    <w:rsid w:val="00E61C1D"/>
    <w:rsid w:val="00E61E74"/>
    <w:rsid w:val="00E61EE0"/>
    <w:rsid w:val="00E62249"/>
    <w:rsid w:val="00E623FA"/>
    <w:rsid w:val="00E624C9"/>
    <w:rsid w:val="00E62826"/>
    <w:rsid w:val="00E629B9"/>
    <w:rsid w:val="00E62ADC"/>
    <w:rsid w:val="00E62D4A"/>
    <w:rsid w:val="00E62E34"/>
    <w:rsid w:val="00E63093"/>
    <w:rsid w:val="00E6309E"/>
    <w:rsid w:val="00E63204"/>
    <w:rsid w:val="00E63297"/>
    <w:rsid w:val="00E632E9"/>
    <w:rsid w:val="00E635A1"/>
    <w:rsid w:val="00E63817"/>
    <w:rsid w:val="00E63A81"/>
    <w:rsid w:val="00E63ACA"/>
    <w:rsid w:val="00E63CB9"/>
    <w:rsid w:val="00E64013"/>
    <w:rsid w:val="00E641B8"/>
    <w:rsid w:val="00E643F1"/>
    <w:rsid w:val="00E647DF"/>
    <w:rsid w:val="00E648C3"/>
    <w:rsid w:val="00E649D6"/>
    <w:rsid w:val="00E64A8B"/>
    <w:rsid w:val="00E64B5D"/>
    <w:rsid w:val="00E64BBC"/>
    <w:rsid w:val="00E6519C"/>
    <w:rsid w:val="00E651A5"/>
    <w:rsid w:val="00E65314"/>
    <w:rsid w:val="00E65933"/>
    <w:rsid w:val="00E66641"/>
    <w:rsid w:val="00E669E2"/>
    <w:rsid w:val="00E66B54"/>
    <w:rsid w:val="00E66DEA"/>
    <w:rsid w:val="00E66F10"/>
    <w:rsid w:val="00E66F3E"/>
    <w:rsid w:val="00E66FBC"/>
    <w:rsid w:val="00E67120"/>
    <w:rsid w:val="00E674D5"/>
    <w:rsid w:val="00E6768C"/>
    <w:rsid w:val="00E67B00"/>
    <w:rsid w:val="00E67C4F"/>
    <w:rsid w:val="00E67C88"/>
    <w:rsid w:val="00E701FE"/>
    <w:rsid w:val="00E7029C"/>
    <w:rsid w:val="00E702F7"/>
    <w:rsid w:val="00E70365"/>
    <w:rsid w:val="00E70433"/>
    <w:rsid w:val="00E70776"/>
    <w:rsid w:val="00E709AE"/>
    <w:rsid w:val="00E70B59"/>
    <w:rsid w:val="00E70C1E"/>
    <w:rsid w:val="00E70D22"/>
    <w:rsid w:val="00E7102A"/>
    <w:rsid w:val="00E7104F"/>
    <w:rsid w:val="00E71256"/>
    <w:rsid w:val="00E71437"/>
    <w:rsid w:val="00E71E5F"/>
    <w:rsid w:val="00E71F03"/>
    <w:rsid w:val="00E71F0B"/>
    <w:rsid w:val="00E71F8C"/>
    <w:rsid w:val="00E72227"/>
    <w:rsid w:val="00E7225C"/>
    <w:rsid w:val="00E723B9"/>
    <w:rsid w:val="00E72780"/>
    <w:rsid w:val="00E72979"/>
    <w:rsid w:val="00E72A2A"/>
    <w:rsid w:val="00E72B4B"/>
    <w:rsid w:val="00E72DB6"/>
    <w:rsid w:val="00E72E08"/>
    <w:rsid w:val="00E73039"/>
    <w:rsid w:val="00E732E2"/>
    <w:rsid w:val="00E7373A"/>
    <w:rsid w:val="00E73A8D"/>
    <w:rsid w:val="00E73B24"/>
    <w:rsid w:val="00E746EC"/>
    <w:rsid w:val="00E75154"/>
    <w:rsid w:val="00E75651"/>
    <w:rsid w:val="00E75730"/>
    <w:rsid w:val="00E75884"/>
    <w:rsid w:val="00E75B84"/>
    <w:rsid w:val="00E76135"/>
    <w:rsid w:val="00E76153"/>
    <w:rsid w:val="00E764C6"/>
    <w:rsid w:val="00E765BE"/>
    <w:rsid w:val="00E76603"/>
    <w:rsid w:val="00E767E0"/>
    <w:rsid w:val="00E769E5"/>
    <w:rsid w:val="00E7703C"/>
    <w:rsid w:val="00E770E8"/>
    <w:rsid w:val="00E771BB"/>
    <w:rsid w:val="00E771DE"/>
    <w:rsid w:val="00E77378"/>
    <w:rsid w:val="00E77565"/>
    <w:rsid w:val="00E77812"/>
    <w:rsid w:val="00E77A6C"/>
    <w:rsid w:val="00E77BA6"/>
    <w:rsid w:val="00E77D35"/>
    <w:rsid w:val="00E800C8"/>
    <w:rsid w:val="00E8023C"/>
    <w:rsid w:val="00E805AF"/>
    <w:rsid w:val="00E809B4"/>
    <w:rsid w:val="00E809E3"/>
    <w:rsid w:val="00E809E6"/>
    <w:rsid w:val="00E80A1E"/>
    <w:rsid w:val="00E80AD8"/>
    <w:rsid w:val="00E8161D"/>
    <w:rsid w:val="00E81832"/>
    <w:rsid w:val="00E81E57"/>
    <w:rsid w:val="00E81EF9"/>
    <w:rsid w:val="00E8202D"/>
    <w:rsid w:val="00E82120"/>
    <w:rsid w:val="00E822B2"/>
    <w:rsid w:val="00E82529"/>
    <w:rsid w:val="00E828A4"/>
    <w:rsid w:val="00E82A99"/>
    <w:rsid w:val="00E82F4F"/>
    <w:rsid w:val="00E8300E"/>
    <w:rsid w:val="00E835BC"/>
    <w:rsid w:val="00E83F1F"/>
    <w:rsid w:val="00E845FB"/>
    <w:rsid w:val="00E846EA"/>
    <w:rsid w:val="00E849EA"/>
    <w:rsid w:val="00E84AEE"/>
    <w:rsid w:val="00E84C7D"/>
    <w:rsid w:val="00E84FBC"/>
    <w:rsid w:val="00E85132"/>
    <w:rsid w:val="00E85196"/>
    <w:rsid w:val="00E851D2"/>
    <w:rsid w:val="00E85290"/>
    <w:rsid w:val="00E854CC"/>
    <w:rsid w:val="00E8589D"/>
    <w:rsid w:val="00E85947"/>
    <w:rsid w:val="00E85C0E"/>
    <w:rsid w:val="00E85E86"/>
    <w:rsid w:val="00E85EC2"/>
    <w:rsid w:val="00E864DF"/>
    <w:rsid w:val="00E86739"/>
    <w:rsid w:val="00E86F8C"/>
    <w:rsid w:val="00E87026"/>
    <w:rsid w:val="00E87293"/>
    <w:rsid w:val="00E87681"/>
    <w:rsid w:val="00E87D90"/>
    <w:rsid w:val="00E87EF7"/>
    <w:rsid w:val="00E904BE"/>
    <w:rsid w:val="00E90617"/>
    <w:rsid w:val="00E90895"/>
    <w:rsid w:val="00E90BD8"/>
    <w:rsid w:val="00E9156C"/>
    <w:rsid w:val="00E916B7"/>
    <w:rsid w:val="00E919E4"/>
    <w:rsid w:val="00E91C84"/>
    <w:rsid w:val="00E91E7F"/>
    <w:rsid w:val="00E9215F"/>
    <w:rsid w:val="00E921EA"/>
    <w:rsid w:val="00E92459"/>
    <w:rsid w:val="00E9269B"/>
    <w:rsid w:val="00E92B22"/>
    <w:rsid w:val="00E92B2F"/>
    <w:rsid w:val="00E92B68"/>
    <w:rsid w:val="00E931F1"/>
    <w:rsid w:val="00E934E8"/>
    <w:rsid w:val="00E93799"/>
    <w:rsid w:val="00E938CA"/>
    <w:rsid w:val="00E93ACE"/>
    <w:rsid w:val="00E9400B"/>
    <w:rsid w:val="00E9424B"/>
    <w:rsid w:val="00E947C9"/>
    <w:rsid w:val="00E94924"/>
    <w:rsid w:val="00E94B37"/>
    <w:rsid w:val="00E950AE"/>
    <w:rsid w:val="00E956D7"/>
    <w:rsid w:val="00E95B7B"/>
    <w:rsid w:val="00E95D2A"/>
    <w:rsid w:val="00E95EE4"/>
    <w:rsid w:val="00E960FD"/>
    <w:rsid w:val="00E96B59"/>
    <w:rsid w:val="00E96BD4"/>
    <w:rsid w:val="00E96BEF"/>
    <w:rsid w:val="00E96C29"/>
    <w:rsid w:val="00E970AF"/>
    <w:rsid w:val="00E97161"/>
    <w:rsid w:val="00E972FA"/>
    <w:rsid w:val="00E977DA"/>
    <w:rsid w:val="00E979D2"/>
    <w:rsid w:val="00E97C29"/>
    <w:rsid w:val="00EA0001"/>
    <w:rsid w:val="00EA0453"/>
    <w:rsid w:val="00EA04E7"/>
    <w:rsid w:val="00EA052E"/>
    <w:rsid w:val="00EA0575"/>
    <w:rsid w:val="00EA0637"/>
    <w:rsid w:val="00EA0897"/>
    <w:rsid w:val="00EA0F68"/>
    <w:rsid w:val="00EA13A5"/>
    <w:rsid w:val="00EA148B"/>
    <w:rsid w:val="00EA17C2"/>
    <w:rsid w:val="00EA17FD"/>
    <w:rsid w:val="00EA19FD"/>
    <w:rsid w:val="00EA1B6A"/>
    <w:rsid w:val="00EA2021"/>
    <w:rsid w:val="00EA2135"/>
    <w:rsid w:val="00EA21CF"/>
    <w:rsid w:val="00EA2B73"/>
    <w:rsid w:val="00EA2B78"/>
    <w:rsid w:val="00EA2DAD"/>
    <w:rsid w:val="00EA2F10"/>
    <w:rsid w:val="00EA33ED"/>
    <w:rsid w:val="00EA36B5"/>
    <w:rsid w:val="00EA3770"/>
    <w:rsid w:val="00EA3A4F"/>
    <w:rsid w:val="00EA458E"/>
    <w:rsid w:val="00EA4780"/>
    <w:rsid w:val="00EA478C"/>
    <w:rsid w:val="00EA4814"/>
    <w:rsid w:val="00EA4E66"/>
    <w:rsid w:val="00EA4F45"/>
    <w:rsid w:val="00EA4FEC"/>
    <w:rsid w:val="00EA5430"/>
    <w:rsid w:val="00EA5468"/>
    <w:rsid w:val="00EA5551"/>
    <w:rsid w:val="00EA55C2"/>
    <w:rsid w:val="00EA5673"/>
    <w:rsid w:val="00EA57F9"/>
    <w:rsid w:val="00EA6F11"/>
    <w:rsid w:val="00EA6FA8"/>
    <w:rsid w:val="00EA7260"/>
    <w:rsid w:val="00EA75E0"/>
    <w:rsid w:val="00EA771F"/>
    <w:rsid w:val="00EA7BEE"/>
    <w:rsid w:val="00EB054A"/>
    <w:rsid w:val="00EB0988"/>
    <w:rsid w:val="00EB0DB3"/>
    <w:rsid w:val="00EB0DFE"/>
    <w:rsid w:val="00EB0E9E"/>
    <w:rsid w:val="00EB109A"/>
    <w:rsid w:val="00EB10FD"/>
    <w:rsid w:val="00EB11D5"/>
    <w:rsid w:val="00EB126E"/>
    <w:rsid w:val="00EB1517"/>
    <w:rsid w:val="00EB1639"/>
    <w:rsid w:val="00EB17B8"/>
    <w:rsid w:val="00EB1814"/>
    <w:rsid w:val="00EB1AFD"/>
    <w:rsid w:val="00EB219F"/>
    <w:rsid w:val="00EB23A8"/>
    <w:rsid w:val="00EB23F7"/>
    <w:rsid w:val="00EB25B7"/>
    <w:rsid w:val="00EB262B"/>
    <w:rsid w:val="00EB2997"/>
    <w:rsid w:val="00EB2CC3"/>
    <w:rsid w:val="00EB35A8"/>
    <w:rsid w:val="00EB3741"/>
    <w:rsid w:val="00EB38BD"/>
    <w:rsid w:val="00EB3AC4"/>
    <w:rsid w:val="00EB3B44"/>
    <w:rsid w:val="00EB3BF3"/>
    <w:rsid w:val="00EB42B3"/>
    <w:rsid w:val="00EB42DE"/>
    <w:rsid w:val="00EB4754"/>
    <w:rsid w:val="00EB479D"/>
    <w:rsid w:val="00EB48C4"/>
    <w:rsid w:val="00EB497F"/>
    <w:rsid w:val="00EB4A58"/>
    <w:rsid w:val="00EB4F71"/>
    <w:rsid w:val="00EB50D2"/>
    <w:rsid w:val="00EB5353"/>
    <w:rsid w:val="00EB57C8"/>
    <w:rsid w:val="00EB58D8"/>
    <w:rsid w:val="00EB5ADC"/>
    <w:rsid w:val="00EB6082"/>
    <w:rsid w:val="00EB608A"/>
    <w:rsid w:val="00EB619E"/>
    <w:rsid w:val="00EB6256"/>
    <w:rsid w:val="00EB63E8"/>
    <w:rsid w:val="00EB71E5"/>
    <w:rsid w:val="00EB7562"/>
    <w:rsid w:val="00EB75F7"/>
    <w:rsid w:val="00EB78D2"/>
    <w:rsid w:val="00EB78FD"/>
    <w:rsid w:val="00EB7B66"/>
    <w:rsid w:val="00EB7C16"/>
    <w:rsid w:val="00EB7EE4"/>
    <w:rsid w:val="00EB7F0A"/>
    <w:rsid w:val="00EC0178"/>
    <w:rsid w:val="00EC018B"/>
    <w:rsid w:val="00EC0ABF"/>
    <w:rsid w:val="00EC13BC"/>
    <w:rsid w:val="00EC174B"/>
    <w:rsid w:val="00EC17D1"/>
    <w:rsid w:val="00EC1938"/>
    <w:rsid w:val="00EC1F51"/>
    <w:rsid w:val="00EC2014"/>
    <w:rsid w:val="00EC2097"/>
    <w:rsid w:val="00EC218F"/>
    <w:rsid w:val="00EC21CD"/>
    <w:rsid w:val="00EC2564"/>
    <w:rsid w:val="00EC2844"/>
    <w:rsid w:val="00EC2904"/>
    <w:rsid w:val="00EC2A07"/>
    <w:rsid w:val="00EC2C77"/>
    <w:rsid w:val="00EC2D22"/>
    <w:rsid w:val="00EC2E45"/>
    <w:rsid w:val="00EC2EE1"/>
    <w:rsid w:val="00EC2F86"/>
    <w:rsid w:val="00EC2F88"/>
    <w:rsid w:val="00EC32A9"/>
    <w:rsid w:val="00EC3469"/>
    <w:rsid w:val="00EC34B4"/>
    <w:rsid w:val="00EC3756"/>
    <w:rsid w:val="00EC387D"/>
    <w:rsid w:val="00EC388C"/>
    <w:rsid w:val="00EC3B82"/>
    <w:rsid w:val="00EC4629"/>
    <w:rsid w:val="00EC49F5"/>
    <w:rsid w:val="00EC4D71"/>
    <w:rsid w:val="00EC4E95"/>
    <w:rsid w:val="00EC5282"/>
    <w:rsid w:val="00EC5375"/>
    <w:rsid w:val="00EC5500"/>
    <w:rsid w:val="00EC5529"/>
    <w:rsid w:val="00EC553D"/>
    <w:rsid w:val="00EC55DC"/>
    <w:rsid w:val="00EC5AF0"/>
    <w:rsid w:val="00EC5B96"/>
    <w:rsid w:val="00EC5F15"/>
    <w:rsid w:val="00EC650A"/>
    <w:rsid w:val="00EC65F9"/>
    <w:rsid w:val="00EC674D"/>
    <w:rsid w:val="00EC6971"/>
    <w:rsid w:val="00EC6B4C"/>
    <w:rsid w:val="00EC6CCB"/>
    <w:rsid w:val="00EC74C1"/>
    <w:rsid w:val="00EC7769"/>
    <w:rsid w:val="00EC7979"/>
    <w:rsid w:val="00ED004A"/>
    <w:rsid w:val="00ED03B3"/>
    <w:rsid w:val="00ED04BF"/>
    <w:rsid w:val="00ED06EB"/>
    <w:rsid w:val="00ED0861"/>
    <w:rsid w:val="00ED096E"/>
    <w:rsid w:val="00ED0D9A"/>
    <w:rsid w:val="00ED0E22"/>
    <w:rsid w:val="00ED109B"/>
    <w:rsid w:val="00ED10B9"/>
    <w:rsid w:val="00ED128E"/>
    <w:rsid w:val="00ED18F8"/>
    <w:rsid w:val="00ED1D07"/>
    <w:rsid w:val="00ED1E97"/>
    <w:rsid w:val="00ED1F14"/>
    <w:rsid w:val="00ED1F86"/>
    <w:rsid w:val="00ED1FED"/>
    <w:rsid w:val="00ED2166"/>
    <w:rsid w:val="00ED25A8"/>
    <w:rsid w:val="00ED2642"/>
    <w:rsid w:val="00ED271B"/>
    <w:rsid w:val="00ED2D47"/>
    <w:rsid w:val="00ED2E96"/>
    <w:rsid w:val="00ED30A3"/>
    <w:rsid w:val="00ED3115"/>
    <w:rsid w:val="00ED3425"/>
    <w:rsid w:val="00ED346E"/>
    <w:rsid w:val="00ED39FF"/>
    <w:rsid w:val="00ED3D9F"/>
    <w:rsid w:val="00ED4030"/>
    <w:rsid w:val="00ED4075"/>
    <w:rsid w:val="00ED41B5"/>
    <w:rsid w:val="00ED4368"/>
    <w:rsid w:val="00ED4AB7"/>
    <w:rsid w:val="00ED4EED"/>
    <w:rsid w:val="00ED5395"/>
    <w:rsid w:val="00ED53A1"/>
    <w:rsid w:val="00ED56EB"/>
    <w:rsid w:val="00ED5A3C"/>
    <w:rsid w:val="00ED6129"/>
    <w:rsid w:val="00ED618B"/>
    <w:rsid w:val="00ED61CA"/>
    <w:rsid w:val="00ED62EB"/>
    <w:rsid w:val="00ED6342"/>
    <w:rsid w:val="00ED646C"/>
    <w:rsid w:val="00ED6539"/>
    <w:rsid w:val="00ED67B8"/>
    <w:rsid w:val="00ED6A82"/>
    <w:rsid w:val="00ED6BF3"/>
    <w:rsid w:val="00ED7587"/>
    <w:rsid w:val="00ED77D7"/>
    <w:rsid w:val="00ED790C"/>
    <w:rsid w:val="00ED7A6E"/>
    <w:rsid w:val="00EE01E8"/>
    <w:rsid w:val="00EE02BF"/>
    <w:rsid w:val="00EE0AE9"/>
    <w:rsid w:val="00EE1168"/>
    <w:rsid w:val="00EE11C3"/>
    <w:rsid w:val="00EE1301"/>
    <w:rsid w:val="00EE16BE"/>
    <w:rsid w:val="00EE174B"/>
    <w:rsid w:val="00EE20F3"/>
    <w:rsid w:val="00EE21DF"/>
    <w:rsid w:val="00EE286E"/>
    <w:rsid w:val="00EE289B"/>
    <w:rsid w:val="00EE28DE"/>
    <w:rsid w:val="00EE2B39"/>
    <w:rsid w:val="00EE32DC"/>
    <w:rsid w:val="00EE35AB"/>
    <w:rsid w:val="00EE3681"/>
    <w:rsid w:val="00EE3C33"/>
    <w:rsid w:val="00EE3F40"/>
    <w:rsid w:val="00EE4034"/>
    <w:rsid w:val="00EE4090"/>
    <w:rsid w:val="00EE41A4"/>
    <w:rsid w:val="00EE4409"/>
    <w:rsid w:val="00EE4980"/>
    <w:rsid w:val="00EE49ED"/>
    <w:rsid w:val="00EE4A96"/>
    <w:rsid w:val="00EE4AA7"/>
    <w:rsid w:val="00EE4B2C"/>
    <w:rsid w:val="00EE4DDF"/>
    <w:rsid w:val="00EE4FCE"/>
    <w:rsid w:val="00EE4FFF"/>
    <w:rsid w:val="00EE560E"/>
    <w:rsid w:val="00EE56B1"/>
    <w:rsid w:val="00EE57A7"/>
    <w:rsid w:val="00EE57AA"/>
    <w:rsid w:val="00EE5CFF"/>
    <w:rsid w:val="00EE5E73"/>
    <w:rsid w:val="00EE5F67"/>
    <w:rsid w:val="00EE6107"/>
    <w:rsid w:val="00EE6C06"/>
    <w:rsid w:val="00EE6CDC"/>
    <w:rsid w:val="00EE6EDA"/>
    <w:rsid w:val="00EE6F16"/>
    <w:rsid w:val="00EE6F43"/>
    <w:rsid w:val="00EE6F6D"/>
    <w:rsid w:val="00EE74A7"/>
    <w:rsid w:val="00EE778E"/>
    <w:rsid w:val="00EE79CE"/>
    <w:rsid w:val="00EE7A7A"/>
    <w:rsid w:val="00EE7E65"/>
    <w:rsid w:val="00EF0762"/>
    <w:rsid w:val="00EF076B"/>
    <w:rsid w:val="00EF07B7"/>
    <w:rsid w:val="00EF0A24"/>
    <w:rsid w:val="00EF0A87"/>
    <w:rsid w:val="00EF0AC2"/>
    <w:rsid w:val="00EF0BB0"/>
    <w:rsid w:val="00EF0CD6"/>
    <w:rsid w:val="00EF13AF"/>
    <w:rsid w:val="00EF1533"/>
    <w:rsid w:val="00EF184A"/>
    <w:rsid w:val="00EF1B5B"/>
    <w:rsid w:val="00EF1BFF"/>
    <w:rsid w:val="00EF1C47"/>
    <w:rsid w:val="00EF1E1E"/>
    <w:rsid w:val="00EF21D0"/>
    <w:rsid w:val="00EF24D9"/>
    <w:rsid w:val="00EF2500"/>
    <w:rsid w:val="00EF2616"/>
    <w:rsid w:val="00EF2C09"/>
    <w:rsid w:val="00EF2DC8"/>
    <w:rsid w:val="00EF3125"/>
    <w:rsid w:val="00EF3660"/>
    <w:rsid w:val="00EF3761"/>
    <w:rsid w:val="00EF388C"/>
    <w:rsid w:val="00EF38DF"/>
    <w:rsid w:val="00EF3D1F"/>
    <w:rsid w:val="00EF41D8"/>
    <w:rsid w:val="00EF444B"/>
    <w:rsid w:val="00EF46B0"/>
    <w:rsid w:val="00EF47D5"/>
    <w:rsid w:val="00EF4864"/>
    <w:rsid w:val="00EF4B30"/>
    <w:rsid w:val="00EF4BE8"/>
    <w:rsid w:val="00EF4D3C"/>
    <w:rsid w:val="00EF5250"/>
    <w:rsid w:val="00EF5A3C"/>
    <w:rsid w:val="00EF5C8A"/>
    <w:rsid w:val="00EF5CD5"/>
    <w:rsid w:val="00EF6171"/>
    <w:rsid w:val="00EF617F"/>
    <w:rsid w:val="00EF6525"/>
    <w:rsid w:val="00EF6719"/>
    <w:rsid w:val="00EF6936"/>
    <w:rsid w:val="00EF699F"/>
    <w:rsid w:val="00EF6C6C"/>
    <w:rsid w:val="00EF6D78"/>
    <w:rsid w:val="00EF708A"/>
    <w:rsid w:val="00EF715C"/>
    <w:rsid w:val="00EF71C9"/>
    <w:rsid w:val="00EF71F1"/>
    <w:rsid w:val="00EF7A1C"/>
    <w:rsid w:val="00EF7D37"/>
    <w:rsid w:val="00EF7DCE"/>
    <w:rsid w:val="00EF7E86"/>
    <w:rsid w:val="00EF7F7E"/>
    <w:rsid w:val="00F0041C"/>
    <w:rsid w:val="00F00661"/>
    <w:rsid w:val="00F0074F"/>
    <w:rsid w:val="00F00894"/>
    <w:rsid w:val="00F00C89"/>
    <w:rsid w:val="00F0101D"/>
    <w:rsid w:val="00F01246"/>
    <w:rsid w:val="00F015CB"/>
    <w:rsid w:val="00F017D2"/>
    <w:rsid w:val="00F01C97"/>
    <w:rsid w:val="00F0204C"/>
    <w:rsid w:val="00F02109"/>
    <w:rsid w:val="00F028E4"/>
    <w:rsid w:val="00F02A6C"/>
    <w:rsid w:val="00F02B5A"/>
    <w:rsid w:val="00F03095"/>
    <w:rsid w:val="00F03485"/>
    <w:rsid w:val="00F0358E"/>
    <w:rsid w:val="00F035A6"/>
    <w:rsid w:val="00F03771"/>
    <w:rsid w:val="00F03C0D"/>
    <w:rsid w:val="00F03FCB"/>
    <w:rsid w:val="00F04559"/>
    <w:rsid w:val="00F0474A"/>
    <w:rsid w:val="00F049AC"/>
    <w:rsid w:val="00F04D65"/>
    <w:rsid w:val="00F04DDB"/>
    <w:rsid w:val="00F04DE6"/>
    <w:rsid w:val="00F04DFB"/>
    <w:rsid w:val="00F050F8"/>
    <w:rsid w:val="00F0525B"/>
    <w:rsid w:val="00F0540D"/>
    <w:rsid w:val="00F05604"/>
    <w:rsid w:val="00F056FC"/>
    <w:rsid w:val="00F0591C"/>
    <w:rsid w:val="00F05A32"/>
    <w:rsid w:val="00F05E3B"/>
    <w:rsid w:val="00F06157"/>
    <w:rsid w:val="00F061AC"/>
    <w:rsid w:val="00F0632F"/>
    <w:rsid w:val="00F06358"/>
    <w:rsid w:val="00F066D2"/>
    <w:rsid w:val="00F0679B"/>
    <w:rsid w:val="00F069AE"/>
    <w:rsid w:val="00F06BB7"/>
    <w:rsid w:val="00F06BD1"/>
    <w:rsid w:val="00F06CD6"/>
    <w:rsid w:val="00F06DAC"/>
    <w:rsid w:val="00F06EE6"/>
    <w:rsid w:val="00F06F97"/>
    <w:rsid w:val="00F0717F"/>
    <w:rsid w:val="00F07181"/>
    <w:rsid w:val="00F07311"/>
    <w:rsid w:val="00F07857"/>
    <w:rsid w:val="00F07900"/>
    <w:rsid w:val="00F07C68"/>
    <w:rsid w:val="00F07E71"/>
    <w:rsid w:val="00F07F77"/>
    <w:rsid w:val="00F10032"/>
    <w:rsid w:val="00F10476"/>
    <w:rsid w:val="00F10486"/>
    <w:rsid w:val="00F10693"/>
    <w:rsid w:val="00F10991"/>
    <w:rsid w:val="00F109E8"/>
    <w:rsid w:val="00F10B8A"/>
    <w:rsid w:val="00F10E4A"/>
    <w:rsid w:val="00F1100A"/>
    <w:rsid w:val="00F1102D"/>
    <w:rsid w:val="00F11045"/>
    <w:rsid w:val="00F113F2"/>
    <w:rsid w:val="00F11D4D"/>
    <w:rsid w:val="00F11E60"/>
    <w:rsid w:val="00F12345"/>
    <w:rsid w:val="00F1262F"/>
    <w:rsid w:val="00F126ED"/>
    <w:rsid w:val="00F12721"/>
    <w:rsid w:val="00F12735"/>
    <w:rsid w:val="00F12870"/>
    <w:rsid w:val="00F12B1D"/>
    <w:rsid w:val="00F12B7B"/>
    <w:rsid w:val="00F12F2D"/>
    <w:rsid w:val="00F133BB"/>
    <w:rsid w:val="00F135D8"/>
    <w:rsid w:val="00F1377C"/>
    <w:rsid w:val="00F1396B"/>
    <w:rsid w:val="00F13C17"/>
    <w:rsid w:val="00F13DA4"/>
    <w:rsid w:val="00F13E56"/>
    <w:rsid w:val="00F1478B"/>
    <w:rsid w:val="00F14840"/>
    <w:rsid w:val="00F14B0D"/>
    <w:rsid w:val="00F14C17"/>
    <w:rsid w:val="00F14C4E"/>
    <w:rsid w:val="00F15000"/>
    <w:rsid w:val="00F151A6"/>
    <w:rsid w:val="00F1528D"/>
    <w:rsid w:val="00F158A5"/>
    <w:rsid w:val="00F158D3"/>
    <w:rsid w:val="00F15BC3"/>
    <w:rsid w:val="00F15D9D"/>
    <w:rsid w:val="00F15DD1"/>
    <w:rsid w:val="00F15ED2"/>
    <w:rsid w:val="00F16277"/>
    <w:rsid w:val="00F16370"/>
    <w:rsid w:val="00F1637D"/>
    <w:rsid w:val="00F1678E"/>
    <w:rsid w:val="00F16A7D"/>
    <w:rsid w:val="00F16B40"/>
    <w:rsid w:val="00F16B56"/>
    <w:rsid w:val="00F16C6F"/>
    <w:rsid w:val="00F16CCA"/>
    <w:rsid w:val="00F1700D"/>
    <w:rsid w:val="00F17121"/>
    <w:rsid w:val="00F1760F"/>
    <w:rsid w:val="00F17CD1"/>
    <w:rsid w:val="00F20386"/>
    <w:rsid w:val="00F203EC"/>
    <w:rsid w:val="00F20410"/>
    <w:rsid w:val="00F206C4"/>
    <w:rsid w:val="00F2085F"/>
    <w:rsid w:val="00F2086A"/>
    <w:rsid w:val="00F208D2"/>
    <w:rsid w:val="00F209F6"/>
    <w:rsid w:val="00F20B8F"/>
    <w:rsid w:val="00F20C91"/>
    <w:rsid w:val="00F21301"/>
    <w:rsid w:val="00F2135B"/>
    <w:rsid w:val="00F213C9"/>
    <w:rsid w:val="00F216AC"/>
    <w:rsid w:val="00F2191B"/>
    <w:rsid w:val="00F21CF8"/>
    <w:rsid w:val="00F21FD3"/>
    <w:rsid w:val="00F2243C"/>
    <w:rsid w:val="00F22594"/>
    <w:rsid w:val="00F22AC2"/>
    <w:rsid w:val="00F22B22"/>
    <w:rsid w:val="00F22B31"/>
    <w:rsid w:val="00F22DA0"/>
    <w:rsid w:val="00F22F14"/>
    <w:rsid w:val="00F22FFF"/>
    <w:rsid w:val="00F23317"/>
    <w:rsid w:val="00F23320"/>
    <w:rsid w:val="00F233CD"/>
    <w:rsid w:val="00F23534"/>
    <w:rsid w:val="00F2365D"/>
    <w:rsid w:val="00F23A0B"/>
    <w:rsid w:val="00F23ACB"/>
    <w:rsid w:val="00F240AA"/>
    <w:rsid w:val="00F24959"/>
    <w:rsid w:val="00F24CDF"/>
    <w:rsid w:val="00F2505A"/>
    <w:rsid w:val="00F2541A"/>
    <w:rsid w:val="00F25688"/>
    <w:rsid w:val="00F25B8E"/>
    <w:rsid w:val="00F25D1A"/>
    <w:rsid w:val="00F25FAF"/>
    <w:rsid w:val="00F26268"/>
    <w:rsid w:val="00F26373"/>
    <w:rsid w:val="00F263E2"/>
    <w:rsid w:val="00F266BA"/>
    <w:rsid w:val="00F268E2"/>
    <w:rsid w:val="00F2694D"/>
    <w:rsid w:val="00F26A4C"/>
    <w:rsid w:val="00F2725A"/>
    <w:rsid w:val="00F27576"/>
    <w:rsid w:val="00F2776C"/>
    <w:rsid w:val="00F27954"/>
    <w:rsid w:val="00F27AC8"/>
    <w:rsid w:val="00F27C06"/>
    <w:rsid w:val="00F27C29"/>
    <w:rsid w:val="00F3022A"/>
    <w:rsid w:val="00F3053D"/>
    <w:rsid w:val="00F30A9F"/>
    <w:rsid w:val="00F30CC9"/>
    <w:rsid w:val="00F30E75"/>
    <w:rsid w:val="00F30F80"/>
    <w:rsid w:val="00F3115E"/>
    <w:rsid w:val="00F31299"/>
    <w:rsid w:val="00F31308"/>
    <w:rsid w:val="00F31844"/>
    <w:rsid w:val="00F31867"/>
    <w:rsid w:val="00F31980"/>
    <w:rsid w:val="00F319EF"/>
    <w:rsid w:val="00F31C4F"/>
    <w:rsid w:val="00F31CEE"/>
    <w:rsid w:val="00F31F37"/>
    <w:rsid w:val="00F325DD"/>
    <w:rsid w:val="00F329B0"/>
    <w:rsid w:val="00F32A10"/>
    <w:rsid w:val="00F32A14"/>
    <w:rsid w:val="00F32C54"/>
    <w:rsid w:val="00F32D1F"/>
    <w:rsid w:val="00F32D4E"/>
    <w:rsid w:val="00F32F49"/>
    <w:rsid w:val="00F32FBD"/>
    <w:rsid w:val="00F333C6"/>
    <w:rsid w:val="00F333D8"/>
    <w:rsid w:val="00F333E8"/>
    <w:rsid w:val="00F334CF"/>
    <w:rsid w:val="00F33687"/>
    <w:rsid w:val="00F33903"/>
    <w:rsid w:val="00F33BE5"/>
    <w:rsid w:val="00F33DC0"/>
    <w:rsid w:val="00F33E13"/>
    <w:rsid w:val="00F34262"/>
    <w:rsid w:val="00F343BF"/>
    <w:rsid w:val="00F34887"/>
    <w:rsid w:val="00F349CB"/>
    <w:rsid w:val="00F34C4B"/>
    <w:rsid w:val="00F34E5A"/>
    <w:rsid w:val="00F350F2"/>
    <w:rsid w:val="00F3518B"/>
    <w:rsid w:val="00F352AD"/>
    <w:rsid w:val="00F3534A"/>
    <w:rsid w:val="00F356DA"/>
    <w:rsid w:val="00F3595F"/>
    <w:rsid w:val="00F35A82"/>
    <w:rsid w:val="00F35BFB"/>
    <w:rsid w:val="00F3613B"/>
    <w:rsid w:val="00F36284"/>
    <w:rsid w:val="00F362A4"/>
    <w:rsid w:val="00F36ACC"/>
    <w:rsid w:val="00F36CFC"/>
    <w:rsid w:val="00F36E1C"/>
    <w:rsid w:val="00F371BE"/>
    <w:rsid w:val="00F375F4"/>
    <w:rsid w:val="00F376CA"/>
    <w:rsid w:val="00F37B6D"/>
    <w:rsid w:val="00F40048"/>
    <w:rsid w:val="00F401A1"/>
    <w:rsid w:val="00F4053B"/>
    <w:rsid w:val="00F40697"/>
    <w:rsid w:val="00F40872"/>
    <w:rsid w:val="00F409BC"/>
    <w:rsid w:val="00F40C18"/>
    <w:rsid w:val="00F40E34"/>
    <w:rsid w:val="00F40E5A"/>
    <w:rsid w:val="00F40E6B"/>
    <w:rsid w:val="00F4115E"/>
    <w:rsid w:val="00F413B0"/>
    <w:rsid w:val="00F41444"/>
    <w:rsid w:val="00F41492"/>
    <w:rsid w:val="00F41631"/>
    <w:rsid w:val="00F41684"/>
    <w:rsid w:val="00F41BA0"/>
    <w:rsid w:val="00F41C81"/>
    <w:rsid w:val="00F41C98"/>
    <w:rsid w:val="00F41E1D"/>
    <w:rsid w:val="00F4240A"/>
    <w:rsid w:val="00F428B6"/>
    <w:rsid w:val="00F42EAC"/>
    <w:rsid w:val="00F435C5"/>
    <w:rsid w:val="00F4362E"/>
    <w:rsid w:val="00F43D83"/>
    <w:rsid w:val="00F43E57"/>
    <w:rsid w:val="00F440F1"/>
    <w:rsid w:val="00F4454D"/>
    <w:rsid w:val="00F4480B"/>
    <w:rsid w:val="00F44A3F"/>
    <w:rsid w:val="00F44AB8"/>
    <w:rsid w:val="00F44F1B"/>
    <w:rsid w:val="00F453F4"/>
    <w:rsid w:val="00F4548B"/>
    <w:rsid w:val="00F454AF"/>
    <w:rsid w:val="00F454EA"/>
    <w:rsid w:val="00F458E6"/>
    <w:rsid w:val="00F45972"/>
    <w:rsid w:val="00F45D64"/>
    <w:rsid w:val="00F45ECF"/>
    <w:rsid w:val="00F4609C"/>
    <w:rsid w:val="00F4667C"/>
    <w:rsid w:val="00F47D7F"/>
    <w:rsid w:val="00F47E99"/>
    <w:rsid w:val="00F5019D"/>
    <w:rsid w:val="00F505B6"/>
    <w:rsid w:val="00F5064F"/>
    <w:rsid w:val="00F50DFC"/>
    <w:rsid w:val="00F50F07"/>
    <w:rsid w:val="00F51360"/>
    <w:rsid w:val="00F5138E"/>
    <w:rsid w:val="00F514B8"/>
    <w:rsid w:val="00F51609"/>
    <w:rsid w:val="00F517E6"/>
    <w:rsid w:val="00F51CFD"/>
    <w:rsid w:val="00F51F43"/>
    <w:rsid w:val="00F52034"/>
    <w:rsid w:val="00F52200"/>
    <w:rsid w:val="00F5264E"/>
    <w:rsid w:val="00F530B6"/>
    <w:rsid w:val="00F53618"/>
    <w:rsid w:val="00F5366C"/>
    <w:rsid w:val="00F537E1"/>
    <w:rsid w:val="00F53899"/>
    <w:rsid w:val="00F53DE8"/>
    <w:rsid w:val="00F541BA"/>
    <w:rsid w:val="00F5422C"/>
    <w:rsid w:val="00F543CC"/>
    <w:rsid w:val="00F54BFE"/>
    <w:rsid w:val="00F54DED"/>
    <w:rsid w:val="00F5502D"/>
    <w:rsid w:val="00F550BB"/>
    <w:rsid w:val="00F552A4"/>
    <w:rsid w:val="00F554A0"/>
    <w:rsid w:val="00F554FF"/>
    <w:rsid w:val="00F556DD"/>
    <w:rsid w:val="00F559A1"/>
    <w:rsid w:val="00F55C25"/>
    <w:rsid w:val="00F55D65"/>
    <w:rsid w:val="00F55E09"/>
    <w:rsid w:val="00F55F90"/>
    <w:rsid w:val="00F56688"/>
    <w:rsid w:val="00F56725"/>
    <w:rsid w:val="00F568D3"/>
    <w:rsid w:val="00F56D7E"/>
    <w:rsid w:val="00F56E07"/>
    <w:rsid w:val="00F56E64"/>
    <w:rsid w:val="00F57021"/>
    <w:rsid w:val="00F57127"/>
    <w:rsid w:val="00F57146"/>
    <w:rsid w:val="00F572A5"/>
    <w:rsid w:val="00F600B2"/>
    <w:rsid w:val="00F601FE"/>
    <w:rsid w:val="00F60335"/>
    <w:rsid w:val="00F603EC"/>
    <w:rsid w:val="00F606B6"/>
    <w:rsid w:val="00F606DC"/>
    <w:rsid w:val="00F60E50"/>
    <w:rsid w:val="00F61067"/>
    <w:rsid w:val="00F610B7"/>
    <w:rsid w:val="00F61106"/>
    <w:rsid w:val="00F615B3"/>
    <w:rsid w:val="00F61B65"/>
    <w:rsid w:val="00F621A7"/>
    <w:rsid w:val="00F622A2"/>
    <w:rsid w:val="00F62416"/>
    <w:rsid w:val="00F62477"/>
    <w:rsid w:val="00F6282B"/>
    <w:rsid w:val="00F6398A"/>
    <w:rsid w:val="00F63C6B"/>
    <w:rsid w:val="00F6400D"/>
    <w:rsid w:val="00F641CB"/>
    <w:rsid w:val="00F64263"/>
    <w:rsid w:val="00F64424"/>
    <w:rsid w:val="00F645FA"/>
    <w:rsid w:val="00F647A1"/>
    <w:rsid w:val="00F649B4"/>
    <w:rsid w:val="00F64B6B"/>
    <w:rsid w:val="00F64CA3"/>
    <w:rsid w:val="00F65020"/>
    <w:rsid w:val="00F65723"/>
    <w:rsid w:val="00F65796"/>
    <w:rsid w:val="00F65959"/>
    <w:rsid w:val="00F65A76"/>
    <w:rsid w:val="00F65BD7"/>
    <w:rsid w:val="00F65D7E"/>
    <w:rsid w:val="00F65FB1"/>
    <w:rsid w:val="00F6644D"/>
    <w:rsid w:val="00F66584"/>
    <w:rsid w:val="00F666B7"/>
    <w:rsid w:val="00F666D7"/>
    <w:rsid w:val="00F668A4"/>
    <w:rsid w:val="00F66A06"/>
    <w:rsid w:val="00F66A8D"/>
    <w:rsid w:val="00F66B10"/>
    <w:rsid w:val="00F66EB9"/>
    <w:rsid w:val="00F67089"/>
    <w:rsid w:val="00F670EC"/>
    <w:rsid w:val="00F67202"/>
    <w:rsid w:val="00F67353"/>
    <w:rsid w:val="00F67409"/>
    <w:rsid w:val="00F6793E"/>
    <w:rsid w:val="00F67B6D"/>
    <w:rsid w:val="00F67B87"/>
    <w:rsid w:val="00F70280"/>
    <w:rsid w:val="00F7031F"/>
    <w:rsid w:val="00F705A7"/>
    <w:rsid w:val="00F7091D"/>
    <w:rsid w:val="00F70992"/>
    <w:rsid w:val="00F70995"/>
    <w:rsid w:val="00F709C4"/>
    <w:rsid w:val="00F70CBA"/>
    <w:rsid w:val="00F71354"/>
    <w:rsid w:val="00F7149D"/>
    <w:rsid w:val="00F71834"/>
    <w:rsid w:val="00F71B9A"/>
    <w:rsid w:val="00F71EF0"/>
    <w:rsid w:val="00F71F04"/>
    <w:rsid w:val="00F71F9C"/>
    <w:rsid w:val="00F72C20"/>
    <w:rsid w:val="00F7370C"/>
    <w:rsid w:val="00F73727"/>
    <w:rsid w:val="00F739BE"/>
    <w:rsid w:val="00F73D71"/>
    <w:rsid w:val="00F73F89"/>
    <w:rsid w:val="00F746FA"/>
    <w:rsid w:val="00F748AE"/>
    <w:rsid w:val="00F748F8"/>
    <w:rsid w:val="00F74A8E"/>
    <w:rsid w:val="00F74D56"/>
    <w:rsid w:val="00F750C9"/>
    <w:rsid w:val="00F752FF"/>
    <w:rsid w:val="00F753AB"/>
    <w:rsid w:val="00F75418"/>
    <w:rsid w:val="00F75732"/>
    <w:rsid w:val="00F75746"/>
    <w:rsid w:val="00F75991"/>
    <w:rsid w:val="00F75B8D"/>
    <w:rsid w:val="00F766A7"/>
    <w:rsid w:val="00F7696C"/>
    <w:rsid w:val="00F76CEF"/>
    <w:rsid w:val="00F7748E"/>
    <w:rsid w:val="00F77598"/>
    <w:rsid w:val="00F77640"/>
    <w:rsid w:val="00F77A9F"/>
    <w:rsid w:val="00F77C6E"/>
    <w:rsid w:val="00F77E3B"/>
    <w:rsid w:val="00F77F36"/>
    <w:rsid w:val="00F80243"/>
    <w:rsid w:val="00F804A4"/>
    <w:rsid w:val="00F80931"/>
    <w:rsid w:val="00F8095A"/>
    <w:rsid w:val="00F80E02"/>
    <w:rsid w:val="00F81006"/>
    <w:rsid w:val="00F81401"/>
    <w:rsid w:val="00F8170D"/>
    <w:rsid w:val="00F81985"/>
    <w:rsid w:val="00F81A9F"/>
    <w:rsid w:val="00F81AE7"/>
    <w:rsid w:val="00F81D1E"/>
    <w:rsid w:val="00F81F22"/>
    <w:rsid w:val="00F822FA"/>
    <w:rsid w:val="00F82539"/>
    <w:rsid w:val="00F825C2"/>
    <w:rsid w:val="00F82885"/>
    <w:rsid w:val="00F82A32"/>
    <w:rsid w:val="00F82C47"/>
    <w:rsid w:val="00F82DA1"/>
    <w:rsid w:val="00F83355"/>
    <w:rsid w:val="00F8343D"/>
    <w:rsid w:val="00F8388D"/>
    <w:rsid w:val="00F8389D"/>
    <w:rsid w:val="00F84287"/>
    <w:rsid w:val="00F84306"/>
    <w:rsid w:val="00F8450F"/>
    <w:rsid w:val="00F84540"/>
    <w:rsid w:val="00F84608"/>
    <w:rsid w:val="00F846BD"/>
    <w:rsid w:val="00F84C7F"/>
    <w:rsid w:val="00F84D99"/>
    <w:rsid w:val="00F84ED1"/>
    <w:rsid w:val="00F84ED9"/>
    <w:rsid w:val="00F85325"/>
    <w:rsid w:val="00F8592F"/>
    <w:rsid w:val="00F85B2D"/>
    <w:rsid w:val="00F85E0C"/>
    <w:rsid w:val="00F86162"/>
    <w:rsid w:val="00F86808"/>
    <w:rsid w:val="00F8682D"/>
    <w:rsid w:val="00F86A8D"/>
    <w:rsid w:val="00F86DC8"/>
    <w:rsid w:val="00F86F14"/>
    <w:rsid w:val="00F86FA5"/>
    <w:rsid w:val="00F871DB"/>
    <w:rsid w:val="00F874C7"/>
    <w:rsid w:val="00F878D6"/>
    <w:rsid w:val="00F87908"/>
    <w:rsid w:val="00F87A5D"/>
    <w:rsid w:val="00F87B78"/>
    <w:rsid w:val="00F87BAB"/>
    <w:rsid w:val="00F87E6E"/>
    <w:rsid w:val="00F90338"/>
    <w:rsid w:val="00F9037F"/>
    <w:rsid w:val="00F903F0"/>
    <w:rsid w:val="00F9042E"/>
    <w:rsid w:val="00F9059A"/>
    <w:rsid w:val="00F90608"/>
    <w:rsid w:val="00F908BB"/>
    <w:rsid w:val="00F909EF"/>
    <w:rsid w:val="00F90AED"/>
    <w:rsid w:val="00F90D5B"/>
    <w:rsid w:val="00F90ED5"/>
    <w:rsid w:val="00F9181E"/>
    <w:rsid w:val="00F91DC8"/>
    <w:rsid w:val="00F92102"/>
    <w:rsid w:val="00F922F5"/>
    <w:rsid w:val="00F92336"/>
    <w:rsid w:val="00F925E7"/>
    <w:rsid w:val="00F92875"/>
    <w:rsid w:val="00F928B4"/>
    <w:rsid w:val="00F92AAB"/>
    <w:rsid w:val="00F92C77"/>
    <w:rsid w:val="00F92F4F"/>
    <w:rsid w:val="00F93117"/>
    <w:rsid w:val="00F93195"/>
    <w:rsid w:val="00F9325E"/>
    <w:rsid w:val="00F9357B"/>
    <w:rsid w:val="00F936DD"/>
    <w:rsid w:val="00F93705"/>
    <w:rsid w:val="00F93A56"/>
    <w:rsid w:val="00F93B1F"/>
    <w:rsid w:val="00F94187"/>
    <w:rsid w:val="00F94292"/>
    <w:rsid w:val="00F942CA"/>
    <w:rsid w:val="00F943D0"/>
    <w:rsid w:val="00F944B1"/>
    <w:rsid w:val="00F94DED"/>
    <w:rsid w:val="00F957C0"/>
    <w:rsid w:val="00F95C54"/>
    <w:rsid w:val="00F960AA"/>
    <w:rsid w:val="00F96312"/>
    <w:rsid w:val="00F9665B"/>
    <w:rsid w:val="00F96ADB"/>
    <w:rsid w:val="00F96BE6"/>
    <w:rsid w:val="00F96DB3"/>
    <w:rsid w:val="00F96E5E"/>
    <w:rsid w:val="00F96F10"/>
    <w:rsid w:val="00F96F89"/>
    <w:rsid w:val="00F96FB6"/>
    <w:rsid w:val="00F9778C"/>
    <w:rsid w:val="00F97961"/>
    <w:rsid w:val="00F97B69"/>
    <w:rsid w:val="00F97B79"/>
    <w:rsid w:val="00F97D97"/>
    <w:rsid w:val="00FA01E7"/>
    <w:rsid w:val="00FA025F"/>
    <w:rsid w:val="00FA02B8"/>
    <w:rsid w:val="00FA060E"/>
    <w:rsid w:val="00FA07B5"/>
    <w:rsid w:val="00FA0898"/>
    <w:rsid w:val="00FA09FC"/>
    <w:rsid w:val="00FA0D29"/>
    <w:rsid w:val="00FA10AB"/>
    <w:rsid w:val="00FA1792"/>
    <w:rsid w:val="00FA17A7"/>
    <w:rsid w:val="00FA19A3"/>
    <w:rsid w:val="00FA22D0"/>
    <w:rsid w:val="00FA2408"/>
    <w:rsid w:val="00FA256D"/>
    <w:rsid w:val="00FA2B6D"/>
    <w:rsid w:val="00FA2BFC"/>
    <w:rsid w:val="00FA2E9D"/>
    <w:rsid w:val="00FA3601"/>
    <w:rsid w:val="00FA3D8F"/>
    <w:rsid w:val="00FA4035"/>
    <w:rsid w:val="00FA4926"/>
    <w:rsid w:val="00FA4D2E"/>
    <w:rsid w:val="00FA4D9C"/>
    <w:rsid w:val="00FA509B"/>
    <w:rsid w:val="00FA53AA"/>
    <w:rsid w:val="00FA58FA"/>
    <w:rsid w:val="00FA5D31"/>
    <w:rsid w:val="00FA5DCB"/>
    <w:rsid w:val="00FA5DED"/>
    <w:rsid w:val="00FA644B"/>
    <w:rsid w:val="00FA6674"/>
    <w:rsid w:val="00FA6885"/>
    <w:rsid w:val="00FA6D2F"/>
    <w:rsid w:val="00FA6DEE"/>
    <w:rsid w:val="00FA71A4"/>
    <w:rsid w:val="00FA71DC"/>
    <w:rsid w:val="00FA727A"/>
    <w:rsid w:val="00FA74F8"/>
    <w:rsid w:val="00FA7907"/>
    <w:rsid w:val="00FA7A64"/>
    <w:rsid w:val="00FA7BA3"/>
    <w:rsid w:val="00FA7DA6"/>
    <w:rsid w:val="00FA7E53"/>
    <w:rsid w:val="00FA7FD3"/>
    <w:rsid w:val="00FB0042"/>
    <w:rsid w:val="00FB0171"/>
    <w:rsid w:val="00FB01F7"/>
    <w:rsid w:val="00FB0393"/>
    <w:rsid w:val="00FB03FF"/>
    <w:rsid w:val="00FB08DA"/>
    <w:rsid w:val="00FB1D45"/>
    <w:rsid w:val="00FB1ED6"/>
    <w:rsid w:val="00FB1FDE"/>
    <w:rsid w:val="00FB2031"/>
    <w:rsid w:val="00FB234E"/>
    <w:rsid w:val="00FB23AB"/>
    <w:rsid w:val="00FB249B"/>
    <w:rsid w:val="00FB24A5"/>
    <w:rsid w:val="00FB2A0A"/>
    <w:rsid w:val="00FB2D42"/>
    <w:rsid w:val="00FB2DE1"/>
    <w:rsid w:val="00FB2DF8"/>
    <w:rsid w:val="00FB2FF2"/>
    <w:rsid w:val="00FB3749"/>
    <w:rsid w:val="00FB4055"/>
    <w:rsid w:val="00FB4206"/>
    <w:rsid w:val="00FB4498"/>
    <w:rsid w:val="00FB4583"/>
    <w:rsid w:val="00FB4F53"/>
    <w:rsid w:val="00FB5165"/>
    <w:rsid w:val="00FB5217"/>
    <w:rsid w:val="00FB52B9"/>
    <w:rsid w:val="00FB5581"/>
    <w:rsid w:val="00FB5692"/>
    <w:rsid w:val="00FB587C"/>
    <w:rsid w:val="00FB5883"/>
    <w:rsid w:val="00FB647F"/>
    <w:rsid w:val="00FB6C21"/>
    <w:rsid w:val="00FB6DDC"/>
    <w:rsid w:val="00FB70C0"/>
    <w:rsid w:val="00FB7168"/>
    <w:rsid w:val="00FB764D"/>
    <w:rsid w:val="00FB7923"/>
    <w:rsid w:val="00FB7B51"/>
    <w:rsid w:val="00FB7C87"/>
    <w:rsid w:val="00FB7DE6"/>
    <w:rsid w:val="00FB7E89"/>
    <w:rsid w:val="00FB7EF3"/>
    <w:rsid w:val="00FC0043"/>
    <w:rsid w:val="00FC02A8"/>
    <w:rsid w:val="00FC0364"/>
    <w:rsid w:val="00FC0530"/>
    <w:rsid w:val="00FC076D"/>
    <w:rsid w:val="00FC09DC"/>
    <w:rsid w:val="00FC0C89"/>
    <w:rsid w:val="00FC1390"/>
    <w:rsid w:val="00FC1398"/>
    <w:rsid w:val="00FC141D"/>
    <w:rsid w:val="00FC16F3"/>
    <w:rsid w:val="00FC18AF"/>
    <w:rsid w:val="00FC1AFF"/>
    <w:rsid w:val="00FC1B6A"/>
    <w:rsid w:val="00FC1CD2"/>
    <w:rsid w:val="00FC1F70"/>
    <w:rsid w:val="00FC2228"/>
    <w:rsid w:val="00FC25D2"/>
    <w:rsid w:val="00FC2992"/>
    <w:rsid w:val="00FC2AD7"/>
    <w:rsid w:val="00FC2C10"/>
    <w:rsid w:val="00FC2F59"/>
    <w:rsid w:val="00FC3115"/>
    <w:rsid w:val="00FC3AB1"/>
    <w:rsid w:val="00FC3BFE"/>
    <w:rsid w:val="00FC3C4D"/>
    <w:rsid w:val="00FC3DDE"/>
    <w:rsid w:val="00FC417F"/>
    <w:rsid w:val="00FC441C"/>
    <w:rsid w:val="00FC452F"/>
    <w:rsid w:val="00FC4EE4"/>
    <w:rsid w:val="00FC5201"/>
    <w:rsid w:val="00FC5B7C"/>
    <w:rsid w:val="00FC5C40"/>
    <w:rsid w:val="00FC5C8C"/>
    <w:rsid w:val="00FC604A"/>
    <w:rsid w:val="00FC60D0"/>
    <w:rsid w:val="00FC6206"/>
    <w:rsid w:val="00FC65A8"/>
    <w:rsid w:val="00FC6628"/>
    <w:rsid w:val="00FC68F0"/>
    <w:rsid w:val="00FC6963"/>
    <w:rsid w:val="00FC6B09"/>
    <w:rsid w:val="00FC6C6A"/>
    <w:rsid w:val="00FC6D4F"/>
    <w:rsid w:val="00FC6E1F"/>
    <w:rsid w:val="00FC6EE4"/>
    <w:rsid w:val="00FC6F24"/>
    <w:rsid w:val="00FC6F76"/>
    <w:rsid w:val="00FC6F9C"/>
    <w:rsid w:val="00FC720E"/>
    <w:rsid w:val="00FC74E8"/>
    <w:rsid w:val="00FC7657"/>
    <w:rsid w:val="00FC76B5"/>
    <w:rsid w:val="00FC7994"/>
    <w:rsid w:val="00FD03B2"/>
    <w:rsid w:val="00FD0462"/>
    <w:rsid w:val="00FD060E"/>
    <w:rsid w:val="00FD0A2D"/>
    <w:rsid w:val="00FD0AC5"/>
    <w:rsid w:val="00FD0AE3"/>
    <w:rsid w:val="00FD0CCF"/>
    <w:rsid w:val="00FD10C7"/>
    <w:rsid w:val="00FD152D"/>
    <w:rsid w:val="00FD1882"/>
    <w:rsid w:val="00FD1960"/>
    <w:rsid w:val="00FD1A92"/>
    <w:rsid w:val="00FD1D97"/>
    <w:rsid w:val="00FD1DD1"/>
    <w:rsid w:val="00FD1E53"/>
    <w:rsid w:val="00FD208A"/>
    <w:rsid w:val="00FD22B1"/>
    <w:rsid w:val="00FD2794"/>
    <w:rsid w:val="00FD27D6"/>
    <w:rsid w:val="00FD27DC"/>
    <w:rsid w:val="00FD288C"/>
    <w:rsid w:val="00FD2909"/>
    <w:rsid w:val="00FD2D7D"/>
    <w:rsid w:val="00FD2D9E"/>
    <w:rsid w:val="00FD2F5C"/>
    <w:rsid w:val="00FD3317"/>
    <w:rsid w:val="00FD33F1"/>
    <w:rsid w:val="00FD3566"/>
    <w:rsid w:val="00FD3706"/>
    <w:rsid w:val="00FD38BA"/>
    <w:rsid w:val="00FD3B31"/>
    <w:rsid w:val="00FD3C2B"/>
    <w:rsid w:val="00FD41BF"/>
    <w:rsid w:val="00FD4549"/>
    <w:rsid w:val="00FD46E9"/>
    <w:rsid w:val="00FD4915"/>
    <w:rsid w:val="00FD5023"/>
    <w:rsid w:val="00FD5122"/>
    <w:rsid w:val="00FD5708"/>
    <w:rsid w:val="00FD570A"/>
    <w:rsid w:val="00FD5A8C"/>
    <w:rsid w:val="00FD66C0"/>
    <w:rsid w:val="00FD68EA"/>
    <w:rsid w:val="00FD6B9C"/>
    <w:rsid w:val="00FD6C52"/>
    <w:rsid w:val="00FD70BF"/>
    <w:rsid w:val="00FD71C7"/>
    <w:rsid w:val="00FD77E6"/>
    <w:rsid w:val="00FD7DAE"/>
    <w:rsid w:val="00FD7F0F"/>
    <w:rsid w:val="00FD7F34"/>
    <w:rsid w:val="00FD7FBC"/>
    <w:rsid w:val="00FE0098"/>
    <w:rsid w:val="00FE042C"/>
    <w:rsid w:val="00FE0AA5"/>
    <w:rsid w:val="00FE0D4B"/>
    <w:rsid w:val="00FE0ECA"/>
    <w:rsid w:val="00FE0F6A"/>
    <w:rsid w:val="00FE0FA5"/>
    <w:rsid w:val="00FE0FF0"/>
    <w:rsid w:val="00FE1274"/>
    <w:rsid w:val="00FE1616"/>
    <w:rsid w:val="00FE18A7"/>
    <w:rsid w:val="00FE1CEC"/>
    <w:rsid w:val="00FE1DD8"/>
    <w:rsid w:val="00FE2267"/>
    <w:rsid w:val="00FE24F8"/>
    <w:rsid w:val="00FE275A"/>
    <w:rsid w:val="00FE2915"/>
    <w:rsid w:val="00FE2A26"/>
    <w:rsid w:val="00FE347B"/>
    <w:rsid w:val="00FE34C2"/>
    <w:rsid w:val="00FE3563"/>
    <w:rsid w:val="00FE35CF"/>
    <w:rsid w:val="00FE3831"/>
    <w:rsid w:val="00FE3A11"/>
    <w:rsid w:val="00FE3C71"/>
    <w:rsid w:val="00FE3E59"/>
    <w:rsid w:val="00FE3F4D"/>
    <w:rsid w:val="00FE44C8"/>
    <w:rsid w:val="00FE4736"/>
    <w:rsid w:val="00FE4A3F"/>
    <w:rsid w:val="00FE4BA6"/>
    <w:rsid w:val="00FE5131"/>
    <w:rsid w:val="00FE5397"/>
    <w:rsid w:val="00FE5441"/>
    <w:rsid w:val="00FE574A"/>
    <w:rsid w:val="00FE581B"/>
    <w:rsid w:val="00FE5DE6"/>
    <w:rsid w:val="00FE5E1C"/>
    <w:rsid w:val="00FE618D"/>
    <w:rsid w:val="00FE6901"/>
    <w:rsid w:val="00FE6AD2"/>
    <w:rsid w:val="00FE6CE5"/>
    <w:rsid w:val="00FE6F63"/>
    <w:rsid w:val="00FE7B90"/>
    <w:rsid w:val="00FE7BDA"/>
    <w:rsid w:val="00FF04D4"/>
    <w:rsid w:val="00FF068D"/>
    <w:rsid w:val="00FF07A0"/>
    <w:rsid w:val="00FF0940"/>
    <w:rsid w:val="00FF0B58"/>
    <w:rsid w:val="00FF0C5D"/>
    <w:rsid w:val="00FF0CA1"/>
    <w:rsid w:val="00FF0EC2"/>
    <w:rsid w:val="00FF11C3"/>
    <w:rsid w:val="00FF1798"/>
    <w:rsid w:val="00FF1B30"/>
    <w:rsid w:val="00FF1C19"/>
    <w:rsid w:val="00FF1CD3"/>
    <w:rsid w:val="00FF1FA1"/>
    <w:rsid w:val="00FF2272"/>
    <w:rsid w:val="00FF23C5"/>
    <w:rsid w:val="00FF28CC"/>
    <w:rsid w:val="00FF2AC5"/>
    <w:rsid w:val="00FF2C85"/>
    <w:rsid w:val="00FF2D8F"/>
    <w:rsid w:val="00FF2E27"/>
    <w:rsid w:val="00FF3408"/>
    <w:rsid w:val="00FF3529"/>
    <w:rsid w:val="00FF354A"/>
    <w:rsid w:val="00FF35E1"/>
    <w:rsid w:val="00FF3841"/>
    <w:rsid w:val="00FF38ED"/>
    <w:rsid w:val="00FF3C70"/>
    <w:rsid w:val="00FF3CBC"/>
    <w:rsid w:val="00FF3E3F"/>
    <w:rsid w:val="00FF3EBC"/>
    <w:rsid w:val="00FF3F84"/>
    <w:rsid w:val="00FF41B3"/>
    <w:rsid w:val="00FF434D"/>
    <w:rsid w:val="00FF43D4"/>
    <w:rsid w:val="00FF4420"/>
    <w:rsid w:val="00FF47BF"/>
    <w:rsid w:val="00FF4803"/>
    <w:rsid w:val="00FF4BCC"/>
    <w:rsid w:val="00FF4CBE"/>
    <w:rsid w:val="00FF4FAD"/>
    <w:rsid w:val="00FF5033"/>
    <w:rsid w:val="00FF510B"/>
    <w:rsid w:val="00FF5304"/>
    <w:rsid w:val="00FF53CF"/>
    <w:rsid w:val="00FF5578"/>
    <w:rsid w:val="00FF58D1"/>
    <w:rsid w:val="00FF5A72"/>
    <w:rsid w:val="00FF5E86"/>
    <w:rsid w:val="00FF646B"/>
    <w:rsid w:val="00FF66BC"/>
    <w:rsid w:val="00FF6FC1"/>
    <w:rsid w:val="00FF71DB"/>
    <w:rsid w:val="00FF73F8"/>
    <w:rsid w:val="00FF743C"/>
    <w:rsid w:val="00FF74CA"/>
    <w:rsid w:val="00FF770B"/>
    <w:rsid w:val="00FF7A1C"/>
    <w:rsid w:val="00FF7B28"/>
    <w:rsid w:val="09639742"/>
    <w:rsid w:val="0E4C886D"/>
    <w:rsid w:val="14673D2D"/>
    <w:rsid w:val="190FE16E"/>
    <w:rsid w:val="192F428E"/>
    <w:rsid w:val="1DF3A24D"/>
    <w:rsid w:val="22E4F88B"/>
    <w:rsid w:val="234B3055"/>
    <w:rsid w:val="2B76A161"/>
    <w:rsid w:val="315ED96C"/>
    <w:rsid w:val="3A084E3D"/>
    <w:rsid w:val="459BBF12"/>
    <w:rsid w:val="4644DB7A"/>
    <w:rsid w:val="4ED1268A"/>
    <w:rsid w:val="52C1DB28"/>
    <w:rsid w:val="54CC48F3"/>
    <w:rsid w:val="5894D104"/>
    <w:rsid w:val="6153E468"/>
    <w:rsid w:val="642A2222"/>
    <w:rsid w:val="75F1CD7E"/>
    <w:rsid w:val="79C39850"/>
    <w:rsid w:val="7B92F065"/>
    <w:rsid w:val="7D435E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8BB04"/>
  <w15:docId w15:val="{D09D268A-2A26-45E5-9FE7-969E075A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F5D"/>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qForma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qFormat/>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ListParagraph">
    <w:name w:val="List Paragraph"/>
    <w:basedOn w:val="Normal"/>
    <w:uiPriority w:val="34"/>
    <w:qFormat/>
    <w:rsid w:val="00AC1F5D"/>
    <w:pPr>
      <w:ind w:left="720"/>
      <w:contextualSpacing/>
    </w:pPr>
  </w:style>
  <w:style w:type="character" w:styleId="Hyperlink">
    <w:name w:val="Hyperlink"/>
    <w:basedOn w:val="DefaultParagraphFont"/>
    <w:unhideWhenUsed/>
    <w:rsid w:val="00D20BE8"/>
    <w:rPr>
      <w:color w:val="000000" w:themeColor="hyperlink"/>
      <w:u w:val="single"/>
    </w:rPr>
  </w:style>
  <w:style w:type="character" w:styleId="UnresolvedMention">
    <w:name w:val="Unresolved Mention"/>
    <w:basedOn w:val="DefaultParagraphFont"/>
    <w:uiPriority w:val="99"/>
    <w:semiHidden/>
    <w:unhideWhenUsed/>
    <w:rsid w:val="00D20BE8"/>
    <w:rPr>
      <w:color w:val="605E5C"/>
      <w:shd w:val="clear" w:color="auto" w:fill="E1DFDD"/>
    </w:rPr>
  </w:style>
  <w:style w:type="character" w:customStyle="1" w:styleId="normaltextrun">
    <w:name w:val="normaltextrun"/>
    <w:basedOn w:val="DefaultParagraphFont"/>
    <w:rsid w:val="00746C6C"/>
  </w:style>
  <w:style w:type="paragraph" w:customStyle="1" w:styleId="BoxSpaceAboveElement">
    <w:name w:val="Box Space Above Element"/>
    <w:basedOn w:val="BoxSpaceAbove"/>
    <w:link w:val="BoxSpaceAboveElementChar"/>
    <w:qFormat/>
    <w:rsid w:val="00AA4009"/>
    <w:pPr>
      <w:spacing w:before="240"/>
    </w:pPr>
    <w:rPr>
      <w:b/>
      <w:vanish/>
      <w:color w:val="FF00FF"/>
      <w:sz w:val="14"/>
    </w:rPr>
  </w:style>
  <w:style w:type="character" w:customStyle="1" w:styleId="BoxSpaceAboveElementChar">
    <w:name w:val="Box Space Above Element Char"/>
    <w:basedOn w:val="DefaultParagraphFont"/>
    <w:link w:val="BoxSpaceAboveElement"/>
    <w:rsid w:val="00AA4009"/>
    <w:rPr>
      <w:b/>
      <w:vanish/>
      <w:color w:val="FF00FF"/>
      <w:sz w:val="14"/>
    </w:rPr>
  </w:style>
  <w:style w:type="character" w:customStyle="1" w:styleId="Heading3Char">
    <w:name w:val="Heading 3 Char"/>
    <w:basedOn w:val="DefaultParagraphFont"/>
    <w:link w:val="Heading3"/>
    <w:rsid w:val="00177F4B"/>
    <w:rPr>
      <w:rFonts w:ascii="Arial" w:hAnsi="Arial"/>
      <w:b/>
      <w:sz w:val="26"/>
    </w:rPr>
  </w:style>
  <w:style w:type="character" w:customStyle="1" w:styleId="Heading1Char">
    <w:name w:val="Heading 1 Char"/>
    <w:basedOn w:val="DefaultParagraphFont"/>
    <w:link w:val="Heading1"/>
    <w:uiPriority w:val="9"/>
    <w:rsid w:val="00B85500"/>
    <w:rPr>
      <w:sz w:val="52"/>
    </w:rPr>
  </w:style>
  <w:style w:type="paragraph" w:styleId="CommentSubject">
    <w:name w:val="annotation subject"/>
    <w:basedOn w:val="CommentText"/>
    <w:next w:val="CommentText"/>
    <w:link w:val="CommentSubjectChar"/>
    <w:semiHidden/>
    <w:unhideWhenUsed/>
    <w:rsid w:val="00385DE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85DEA"/>
    <w:rPr>
      <w:rFonts w:asciiTheme="minorHAnsi" w:eastAsiaTheme="minorHAnsi" w:hAnsiTheme="minorHAnsi" w:cstheme="minorBidi"/>
      <w:szCs w:val="22"/>
      <w:lang w:eastAsia="en-US"/>
    </w:rPr>
  </w:style>
  <w:style w:type="character" w:customStyle="1" w:styleId="CommentSubjectChar">
    <w:name w:val="Comment Subject Char"/>
    <w:basedOn w:val="CommentTextChar"/>
    <w:link w:val="CommentSubject"/>
    <w:semiHidden/>
    <w:rsid w:val="00385DEA"/>
    <w:rPr>
      <w:rFonts w:asciiTheme="minorHAnsi" w:eastAsiaTheme="minorHAnsi" w:hAnsiTheme="minorHAnsi" w:cstheme="minorBidi"/>
      <w:b/>
      <w:bCs/>
      <w:szCs w:val="22"/>
      <w:lang w:eastAsia="en-US"/>
    </w:rPr>
  </w:style>
  <w:style w:type="paragraph" w:styleId="Bibliography">
    <w:name w:val="Bibliography"/>
    <w:basedOn w:val="Normal"/>
    <w:next w:val="Normal"/>
    <w:uiPriority w:val="37"/>
    <w:unhideWhenUsed/>
    <w:rsid w:val="005E5095"/>
    <w:pPr>
      <w:spacing w:after="240" w:line="240" w:lineRule="auto"/>
      <w:ind w:left="720" w:hanging="720"/>
    </w:pPr>
  </w:style>
  <w:style w:type="character" w:customStyle="1" w:styleId="Heading2Char">
    <w:name w:val="Heading 2 Char"/>
    <w:basedOn w:val="DefaultParagraphFont"/>
    <w:link w:val="Heading2"/>
    <w:rsid w:val="00FC6628"/>
    <w:rPr>
      <w:rFonts w:ascii="Arial" w:hAnsi="Arial"/>
      <w:b/>
      <w:sz w:val="32"/>
    </w:rPr>
  </w:style>
  <w:style w:type="character" w:customStyle="1" w:styleId="FootnoteTextChar">
    <w:name w:val="Footnote Text Char"/>
    <w:basedOn w:val="DefaultParagraphFont"/>
    <w:link w:val="FootnoteText"/>
    <w:rsid w:val="000B76E3"/>
  </w:style>
  <w:style w:type="paragraph" w:styleId="Revision">
    <w:name w:val="Revision"/>
    <w:hidden/>
    <w:uiPriority w:val="99"/>
    <w:semiHidden/>
    <w:rsid w:val="006E0F03"/>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3516DC"/>
    <w:rPr>
      <w:color w:val="BFBFBF" w:themeColor="followedHyperlink"/>
      <w:u w:val="single"/>
    </w:rPr>
  </w:style>
  <w:style w:type="character" w:styleId="EndnoteReference">
    <w:name w:val="endnote reference"/>
    <w:basedOn w:val="DefaultParagraphFont"/>
    <w:semiHidden/>
    <w:unhideWhenUsed/>
    <w:rsid w:val="00A150C9"/>
    <w:rPr>
      <w:vertAlign w:val="superscript"/>
    </w:rPr>
  </w:style>
  <w:style w:type="table" w:customStyle="1" w:styleId="TableGrid1">
    <w:name w:val="Table Grid1"/>
    <w:basedOn w:val="TableNormal"/>
    <w:next w:val="TableGrid"/>
    <w:uiPriority w:val="39"/>
    <w:rsid w:val="00CF37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5977">
      <w:bodyDiv w:val="1"/>
      <w:marLeft w:val="0"/>
      <w:marRight w:val="0"/>
      <w:marTop w:val="0"/>
      <w:marBottom w:val="0"/>
      <w:divBdr>
        <w:top w:val="none" w:sz="0" w:space="0" w:color="auto"/>
        <w:left w:val="none" w:sz="0" w:space="0" w:color="auto"/>
        <w:bottom w:val="none" w:sz="0" w:space="0" w:color="auto"/>
        <w:right w:val="none" w:sz="0" w:space="0" w:color="auto"/>
      </w:divBdr>
    </w:div>
    <w:div w:id="101386124">
      <w:bodyDiv w:val="1"/>
      <w:marLeft w:val="0"/>
      <w:marRight w:val="0"/>
      <w:marTop w:val="0"/>
      <w:marBottom w:val="0"/>
      <w:divBdr>
        <w:top w:val="none" w:sz="0" w:space="0" w:color="auto"/>
        <w:left w:val="none" w:sz="0" w:space="0" w:color="auto"/>
        <w:bottom w:val="none" w:sz="0" w:space="0" w:color="auto"/>
        <w:right w:val="none" w:sz="0" w:space="0" w:color="auto"/>
      </w:divBdr>
      <w:divsChild>
        <w:div w:id="1701129142">
          <w:marLeft w:val="274"/>
          <w:marRight w:val="0"/>
          <w:marTop w:val="0"/>
          <w:marBottom w:val="0"/>
          <w:divBdr>
            <w:top w:val="none" w:sz="0" w:space="0" w:color="auto"/>
            <w:left w:val="none" w:sz="0" w:space="0" w:color="auto"/>
            <w:bottom w:val="none" w:sz="0" w:space="0" w:color="auto"/>
            <w:right w:val="none" w:sz="0" w:space="0" w:color="auto"/>
          </w:divBdr>
        </w:div>
        <w:div w:id="1895005425">
          <w:marLeft w:val="274"/>
          <w:marRight w:val="0"/>
          <w:marTop w:val="0"/>
          <w:marBottom w:val="0"/>
          <w:divBdr>
            <w:top w:val="none" w:sz="0" w:space="0" w:color="auto"/>
            <w:left w:val="none" w:sz="0" w:space="0" w:color="auto"/>
            <w:bottom w:val="none" w:sz="0" w:space="0" w:color="auto"/>
            <w:right w:val="none" w:sz="0" w:space="0" w:color="auto"/>
          </w:divBdr>
        </w:div>
      </w:divsChild>
    </w:div>
    <w:div w:id="267471985">
      <w:bodyDiv w:val="1"/>
      <w:marLeft w:val="0"/>
      <w:marRight w:val="0"/>
      <w:marTop w:val="0"/>
      <w:marBottom w:val="0"/>
      <w:divBdr>
        <w:top w:val="none" w:sz="0" w:space="0" w:color="auto"/>
        <w:left w:val="none" w:sz="0" w:space="0" w:color="auto"/>
        <w:bottom w:val="none" w:sz="0" w:space="0" w:color="auto"/>
        <w:right w:val="none" w:sz="0" w:space="0" w:color="auto"/>
      </w:divBdr>
    </w:div>
    <w:div w:id="443692690">
      <w:bodyDiv w:val="1"/>
      <w:marLeft w:val="0"/>
      <w:marRight w:val="0"/>
      <w:marTop w:val="0"/>
      <w:marBottom w:val="0"/>
      <w:divBdr>
        <w:top w:val="none" w:sz="0" w:space="0" w:color="auto"/>
        <w:left w:val="none" w:sz="0" w:space="0" w:color="auto"/>
        <w:bottom w:val="none" w:sz="0" w:space="0" w:color="auto"/>
        <w:right w:val="none" w:sz="0" w:space="0" w:color="auto"/>
      </w:divBdr>
    </w:div>
    <w:div w:id="1296838779">
      <w:bodyDiv w:val="1"/>
      <w:marLeft w:val="0"/>
      <w:marRight w:val="0"/>
      <w:marTop w:val="0"/>
      <w:marBottom w:val="0"/>
      <w:divBdr>
        <w:top w:val="none" w:sz="0" w:space="0" w:color="auto"/>
        <w:left w:val="none" w:sz="0" w:space="0" w:color="auto"/>
        <w:bottom w:val="none" w:sz="0" w:space="0" w:color="auto"/>
        <w:right w:val="none" w:sz="0" w:space="0" w:color="auto"/>
      </w:divBdr>
    </w:div>
    <w:div w:id="1334800583">
      <w:bodyDiv w:val="1"/>
      <w:marLeft w:val="0"/>
      <w:marRight w:val="0"/>
      <w:marTop w:val="0"/>
      <w:marBottom w:val="0"/>
      <w:divBdr>
        <w:top w:val="none" w:sz="0" w:space="0" w:color="auto"/>
        <w:left w:val="none" w:sz="0" w:space="0" w:color="auto"/>
        <w:bottom w:val="none" w:sz="0" w:space="0" w:color="auto"/>
        <w:right w:val="none" w:sz="0" w:space="0" w:color="auto"/>
      </w:divBdr>
    </w:div>
    <w:div w:id="1490707560">
      <w:bodyDiv w:val="1"/>
      <w:marLeft w:val="0"/>
      <w:marRight w:val="0"/>
      <w:marTop w:val="0"/>
      <w:marBottom w:val="0"/>
      <w:divBdr>
        <w:top w:val="none" w:sz="0" w:space="0" w:color="auto"/>
        <w:left w:val="none" w:sz="0" w:space="0" w:color="auto"/>
        <w:bottom w:val="none" w:sz="0" w:space="0" w:color="auto"/>
        <w:right w:val="none" w:sz="0" w:space="0" w:color="auto"/>
      </w:divBdr>
      <w:divsChild>
        <w:div w:id="1152215026">
          <w:marLeft w:val="274"/>
          <w:marRight w:val="0"/>
          <w:marTop w:val="0"/>
          <w:marBottom w:val="0"/>
          <w:divBdr>
            <w:top w:val="none" w:sz="0" w:space="0" w:color="auto"/>
            <w:left w:val="none" w:sz="0" w:space="0" w:color="auto"/>
            <w:bottom w:val="none" w:sz="0" w:space="0" w:color="auto"/>
            <w:right w:val="none" w:sz="0" w:space="0" w:color="auto"/>
          </w:divBdr>
        </w:div>
      </w:divsChild>
    </w:div>
    <w:div w:id="1577586814">
      <w:bodyDiv w:val="1"/>
      <w:marLeft w:val="0"/>
      <w:marRight w:val="0"/>
      <w:marTop w:val="0"/>
      <w:marBottom w:val="0"/>
      <w:divBdr>
        <w:top w:val="none" w:sz="0" w:space="0" w:color="auto"/>
        <w:left w:val="none" w:sz="0" w:space="0" w:color="auto"/>
        <w:bottom w:val="none" w:sz="0" w:space="0" w:color="auto"/>
        <w:right w:val="none" w:sz="0" w:space="0" w:color="auto"/>
      </w:divBdr>
      <w:divsChild>
        <w:div w:id="1601837427">
          <w:marLeft w:val="274"/>
          <w:marRight w:val="0"/>
          <w:marTop w:val="0"/>
          <w:marBottom w:val="0"/>
          <w:divBdr>
            <w:top w:val="none" w:sz="0" w:space="0" w:color="auto"/>
            <w:left w:val="none" w:sz="0" w:space="0" w:color="auto"/>
            <w:bottom w:val="none" w:sz="0" w:space="0" w:color="auto"/>
            <w:right w:val="none" w:sz="0" w:space="0" w:color="auto"/>
          </w:divBdr>
        </w:div>
      </w:divsChild>
    </w:div>
    <w:div w:id="1654750126">
      <w:bodyDiv w:val="1"/>
      <w:marLeft w:val="0"/>
      <w:marRight w:val="0"/>
      <w:marTop w:val="0"/>
      <w:marBottom w:val="0"/>
      <w:divBdr>
        <w:top w:val="none" w:sz="0" w:space="0" w:color="auto"/>
        <w:left w:val="none" w:sz="0" w:space="0" w:color="auto"/>
        <w:bottom w:val="none" w:sz="0" w:space="0" w:color="auto"/>
        <w:right w:val="none" w:sz="0" w:space="0" w:color="auto"/>
      </w:divBdr>
      <w:divsChild>
        <w:div w:id="210963687">
          <w:marLeft w:val="0"/>
          <w:marRight w:val="0"/>
          <w:marTop w:val="0"/>
          <w:marBottom w:val="0"/>
          <w:divBdr>
            <w:top w:val="none" w:sz="0" w:space="0" w:color="auto"/>
            <w:left w:val="none" w:sz="0" w:space="0" w:color="auto"/>
            <w:bottom w:val="none" w:sz="0" w:space="0" w:color="auto"/>
            <w:right w:val="none" w:sz="0" w:space="0" w:color="auto"/>
          </w:divBdr>
          <w:divsChild>
            <w:div w:id="283270214">
              <w:marLeft w:val="0"/>
              <w:marRight w:val="0"/>
              <w:marTop w:val="0"/>
              <w:marBottom w:val="0"/>
              <w:divBdr>
                <w:top w:val="none" w:sz="0" w:space="0" w:color="auto"/>
                <w:left w:val="none" w:sz="0" w:space="0" w:color="auto"/>
                <w:bottom w:val="none" w:sz="0" w:space="0" w:color="auto"/>
                <w:right w:val="none" w:sz="0" w:space="0" w:color="auto"/>
              </w:divBdr>
            </w:div>
            <w:div w:id="533421116">
              <w:marLeft w:val="0"/>
              <w:marRight w:val="0"/>
              <w:marTop w:val="0"/>
              <w:marBottom w:val="0"/>
              <w:divBdr>
                <w:top w:val="none" w:sz="0" w:space="0" w:color="auto"/>
                <w:left w:val="none" w:sz="0" w:space="0" w:color="auto"/>
                <w:bottom w:val="none" w:sz="0" w:space="0" w:color="auto"/>
                <w:right w:val="none" w:sz="0" w:space="0" w:color="auto"/>
              </w:divBdr>
            </w:div>
            <w:div w:id="1127818027">
              <w:marLeft w:val="0"/>
              <w:marRight w:val="0"/>
              <w:marTop w:val="0"/>
              <w:marBottom w:val="0"/>
              <w:divBdr>
                <w:top w:val="none" w:sz="0" w:space="0" w:color="auto"/>
                <w:left w:val="none" w:sz="0" w:space="0" w:color="auto"/>
                <w:bottom w:val="none" w:sz="0" w:space="0" w:color="auto"/>
                <w:right w:val="none" w:sz="0" w:space="0" w:color="auto"/>
              </w:divBdr>
            </w:div>
          </w:divsChild>
        </w:div>
        <w:div w:id="922880687">
          <w:marLeft w:val="0"/>
          <w:marRight w:val="0"/>
          <w:marTop w:val="0"/>
          <w:marBottom w:val="0"/>
          <w:divBdr>
            <w:top w:val="none" w:sz="0" w:space="0" w:color="auto"/>
            <w:left w:val="none" w:sz="0" w:space="0" w:color="auto"/>
            <w:bottom w:val="none" w:sz="0" w:space="0" w:color="auto"/>
            <w:right w:val="none" w:sz="0" w:space="0" w:color="auto"/>
          </w:divBdr>
          <w:divsChild>
            <w:div w:id="74016413">
              <w:marLeft w:val="0"/>
              <w:marRight w:val="0"/>
              <w:marTop w:val="0"/>
              <w:marBottom w:val="0"/>
              <w:divBdr>
                <w:top w:val="none" w:sz="0" w:space="0" w:color="auto"/>
                <w:left w:val="none" w:sz="0" w:space="0" w:color="auto"/>
                <w:bottom w:val="none" w:sz="0" w:space="0" w:color="auto"/>
                <w:right w:val="none" w:sz="0" w:space="0" w:color="auto"/>
              </w:divBdr>
            </w:div>
            <w:div w:id="159078955">
              <w:marLeft w:val="0"/>
              <w:marRight w:val="0"/>
              <w:marTop w:val="0"/>
              <w:marBottom w:val="0"/>
              <w:divBdr>
                <w:top w:val="none" w:sz="0" w:space="0" w:color="auto"/>
                <w:left w:val="none" w:sz="0" w:space="0" w:color="auto"/>
                <w:bottom w:val="none" w:sz="0" w:space="0" w:color="auto"/>
                <w:right w:val="none" w:sz="0" w:space="0" w:color="auto"/>
              </w:divBdr>
            </w:div>
          </w:divsChild>
        </w:div>
        <w:div w:id="2003385720">
          <w:marLeft w:val="0"/>
          <w:marRight w:val="0"/>
          <w:marTop w:val="0"/>
          <w:marBottom w:val="0"/>
          <w:divBdr>
            <w:top w:val="none" w:sz="0" w:space="0" w:color="auto"/>
            <w:left w:val="none" w:sz="0" w:space="0" w:color="auto"/>
            <w:bottom w:val="none" w:sz="0" w:space="0" w:color="auto"/>
            <w:right w:val="none" w:sz="0" w:space="0" w:color="auto"/>
          </w:divBdr>
          <w:divsChild>
            <w:div w:id="1589843931">
              <w:marLeft w:val="0"/>
              <w:marRight w:val="0"/>
              <w:marTop w:val="0"/>
              <w:marBottom w:val="0"/>
              <w:divBdr>
                <w:top w:val="none" w:sz="0" w:space="0" w:color="auto"/>
                <w:left w:val="none" w:sz="0" w:space="0" w:color="auto"/>
                <w:bottom w:val="none" w:sz="0" w:space="0" w:color="auto"/>
                <w:right w:val="none" w:sz="0" w:space="0" w:color="auto"/>
              </w:divBdr>
            </w:div>
            <w:div w:id="19025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66043">
      <w:bodyDiv w:val="1"/>
      <w:marLeft w:val="0"/>
      <w:marRight w:val="0"/>
      <w:marTop w:val="0"/>
      <w:marBottom w:val="0"/>
      <w:divBdr>
        <w:top w:val="none" w:sz="0" w:space="0" w:color="auto"/>
        <w:left w:val="none" w:sz="0" w:space="0" w:color="auto"/>
        <w:bottom w:val="none" w:sz="0" w:space="0" w:color="auto"/>
        <w:right w:val="none" w:sz="0" w:space="0" w:color="auto"/>
      </w:divBdr>
    </w:div>
    <w:div w:id="1838690779">
      <w:bodyDiv w:val="1"/>
      <w:marLeft w:val="0"/>
      <w:marRight w:val="0"/>
      <w:marTop w:val="0"/>
      <w:marBottom w:val="0"/>
      <w:divBdr>
        <w:top w:val="none" w:sz="0" w:space="0" w:color="auto"/>
        <w:left w:val="none" w:sz="0" w:space="0" w:color="auto"/>
        <w:bottom w:val="none" w:sz="0" w:space="0" w:color="auto"/>
        <w:right w:val="none" w:sz="0" w:space="0" w:color="auto"/>
      </w:divBdr>
    </w:div>
    <w:div w:id="1869444381">
      <w:bodyDiv w:val="1"/>
      <w:marLeft w:val="0"/>
      <w:marRight w:val="0"/>
      <w:marTop w:val="0"/>
      <w:marBottom w:val="0"/>
      <w:divBdr>
        <w:top w:val="none" w:sz="0" w:space="0" w:color="auto"/>
        <w:left w:val="none" w:sz="0" w:space="0" w:color="auto"/>
        <w:bottom w:val="none" w:sz="0" w:space="0" w:color="auto"/>
        <w:right w:val="none" w:sz="0" w:space="0" w:color="auto"/>
      </w:divBdr>
    </w:div>
    <w:div w:id="1899825540">
      <w:bodyDiv w:val="1"/>
      <w:marLeft w:val="0"/>
      <w:marRight w:val="0"/>
      <w:marTop w:val="0"/>
      <w:marBottom w:val="0"/>
      <w:divBdr>
        <w:top w:val="none" w:sz="0" w:space="0" w:color="auto"/>
        <w:left w:val="none" w:sz="0" w:space="0" w:color="auto"/>
        <w:bottom w:val="none" w:sz="0" w:space="0" w:color="auto"/>
        <w:right w:val="none" w:sz="0" w:space="0" w:color="auto"/>
      </w:divBdr>
    </w:div>
    <w:div w:id="190024359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6355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pc.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mc.gov.au/government/commonwealth-coat-ar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eisman-apter\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ffbe827b-229f-4d45-a454-c5723c898f52">
      <Value>1</Value>
    </TaxCatchAll>
    <SharedWithUsers xmlns="ffbe827b-229f-4d45-a454-c5723c898f52">
      <UserInfo>
        <DisplayName/>
        <AccountId xsi:nil="true"/>
        <AccountType/>
      </UserInfo>
    </SharedWithUsers>
    <_dlc_DocId xmlns="ffbe827b-229f-4d45-a454-c5723c898f52">HECS-1606979454-1214</_dlc_DocId>
    <_dlc_DocIdUrl xmlns="ffbe827b-229f-4d45-a454-c5723c898f52">
      <Url>https://pcgov.sharepoint.com/teams/healthcasestudy/_layouts/15/DocIdRedir.aspx?ID=HECS-1606979454-1214</Url>
      <Description>HECS-1606979454-1214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C Document" ma:contentTypeID="0x0101008ABFB6D6160B3F4182D9F4F84EB7D86500C1ACDA868942A841BE9958ECA9BBFD97" ma:contentTypeVersion="12" ma:contentTypeDescription="" ma:contentTypeScope="" ma:versionID="bfd5cfce41cff167ab99ebf4874cf308">
  <xsd:schema xmlns:xsd="http://www.w3.org/2001/XMLSchema" xmlns:xs="http://www.w3.org/2001/XMLSchema" xmlns:p="http://schemas.microsoft.com/office/2006/metadata/properties" xmlns:ns2="ffbe827b-229f-4d45-a454-c5723c898f52" xmlns:ns3="18522f5c-fc41-442a-8c8d-f32e0a1d382b" targetNamespace="http://schemas.microsoft.com/office/2006/metadata/properties" ma:root="true" ma:fieldsID="83d160e269ee1e1a72b5f4a429b2f5ee" ns2:_="" ns3:_="">
    <xsd:import namespace="ffbe827b-229f-4d45-a454-c5723c898f52"/>
    <xsd:import namespace="18522f5c-fc41-442a-8c8d-f32e0a1d38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aac76ab7-83f5-4a7d-be51-694ed614a39c}"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522f5c-fc41-442a-8c8d-f32e0a1d3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6816C-4388-4A85-9B2F-E3BC4BFB7BC6}">
  <ds:schemaRefs>
    <ds:schemaRef ds:uri="http://schemas.microsoft.com/office/2006/metadata/properties"/>
    <ds:schemaRef ds:uri="http://schemas.microsoft.com/office/infopath/2007/PartnerControls"/>
    <ds:schemaRef ds:uri="ffbe827b-229f-4d45-a454-c5723c898f52"/>
  </ds:schemaRefs>
</ds:datastoreItem>
</file>

<file path=customXml/itemProps2.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3.xml><?xml version="1.0" encoding="utf-8"?>
<ds:datastoreItem xmlns:ds="http://schemas.openxmlformats.org/officeDocument/2006/customXml" ds:itemID="{2EF6F69B-9E61-4E87-9FFC-9D92899419F2}">
  <ds:schemaRefs>
    <ds:schemaRef ds:uri="http://schemas.openxmlformats.org/officeDocument/2006/bibliography"/>
  </ds:schemaRefs>
</ds:datastoreItem>
</file>

<file path=customXml/itemProps4.xml><?xml version="1.0" encoding="utf-8"?>
<ds:datastoreItem xmlns:ds="http://schemas.openxmlformats.org/officeDocument/2006/customXml" ds:itemID="{26653A3A-B278-4291-A826-E1780B8EFEF8}">
  <ds:schemaRefs>
    <ds:schemaRef ds:uri="http://schemas.microsoft.com/sharepoint/events"/>
  </ds:schemaRefs>
</ds:datastoreItem>
</file>

<file path=customXml/itemProps5.xml><?xml version="1.0" encoding="utf-8"?>
<ds:datastoreItem xmlns:ds="http://schemas.openxmlformats.org/officeDocument/2006/customXml" ds:itemID="{DB65B347-DD8D-46AF-992F-427953C99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18522f5c-fc41-442a-8c8d-f32e0a1d3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chapter.dotm</Template>
  <TotalTime>52</TotalTime>
  <Pages>26</Pages>
  <Words>10655</Words>
  <Characters>60737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Implementing innovation across the health system</vt:lpstr>
    </vt:vector>
  </TitlesOfParts>
  <Company>Productivity Commission</Company>
  <LinksUpToDate>false</LinksUpToDate>
  <CharactersWithSpaces>71250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innovation across the health system</dc:title>
  <dc:subject>Report</dc:subject>
  <dc:creator>Productivity Commission</dc:creator>
  <cp:keywords/>
  <dc:description>1.</dc:description>
  <cp:lastModifiedBy>Alston, Chris</cp:lastModifiedBy>
  <cp:revision>52</cp:revision>
  <cp:lastPrinted>2021-05-05T13:51:00Z</cp:lastPrinted>
  <dcterms:created xsi:type="dcterms:W3CDTF">2021-10-04T03:33:00Z</dcterms:created>
  <dcterms:modified xsi:type="dcterms:W3CDTF">2021-10-19T02:16:00Z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0x0101008ABFB6D6160B3F4182D9F4F84EB7D86500C1ACDA868942A841BE9958ECA9BBFD97</vt:lpwstr>
  </property>
  <property fmtid="{D5CDD505-2E9C-101B-9397-08002B2CF9AE}" pid="3" name="RevIMBCS">
    <vt:lpwstr>1;#Unclassified|3955eeb1-2d18-4582-aeb2-00144ec3aaf5</vt:lpwstr>
  </property>
  <property fmtid="{D5CDD505-2E9C-101B-9397-08002B2CF9AE}" pid="4" name="_dlc_DocIdItemGuid">
    <vt:lpwstr>04b06dc8-07cc-4338-a0cb-391edcd419a3</vt:lpwstr>
  </property>
  <property fmtid="{D5CDD505-2E9C-101B-9397-08002B2CF9AE}" pid="5" name="ZOTERO_PREF_1">
    <vt:lpwstr>&lt;data data-version="3" zotero-version="5.0.96"&gt;&lt;session id="Si4aHLIU"/&gt;&lt;style id="http://www.zotero.org/styles/Productivity-Commission" hasBibliography="1" bibliographyStyleHasBeenSet="1"/&gt;&lt;prefs&gt;&lt;pref name="fieldType" value="Field"/&gt;&lt;/prefs&gt;&lt;/data&gt;</vt:lpwstr>
  </property>
</Properties>
</file>