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C607F" w14:textId="0B5D7238" w:rsidR="00B04D19" w:rsidRPr="00CB508C" w:rsidRDefault="00CB508C" w:rsidP="00B04D19">
      <w:pPr>
        <w:pStyle w:val="Heading1NotTOC"/>
        <w:rPr>
          <w:sz w:val="16"/>
          <w:szCs w:val="16"/>
        </w:rPr>
      </w:pPr>
      <w:bookmarkStart w:id="0" w:name="_GoBack"/>
      <w:bookmarkEnd w:id="0"/>
      <w:proofErr w:type="gramStart"/>
      <w:r w:rsidRPr="00CB508C">
        <w:rPr>
          <w:color w:val="FFFFFF" w:themeColor="background1"/>
          <w:sz w:val="16"/>
          <w:szCs w:val="16"/>
        </w:rPr>
        <w:t>Efficiency in Health.</w:t>
      </w:r>
      <w:proofErr w:type="gramEnd"/>
      <w:r w:rsidRPr="00CB508C">
        <w:rPr>
          <w:color w:val="FFFFFF" w:themeColor="background1"/>
          <w:sz w:val="16"/>
          <w:szCs w:val="16"/>
        </w:rPr>
        <w:t xml:space="preserve"> </w:t>
      </w:r>
      <w:proofErr w:type="gramStart"/>
      <w:r w:rsidRPr="00CB508C">
        <w:rPr>
          <w:color w:val="FFFFFF" w:themeColor="background1"/>
          <w:sz w:val="16"/>
          <w:szCs w:val="16"/>
        </w:rPr>
        <w:t>Productivity Commission Research Paper.</w:t>
      </w:r>
      <w:proofErr w:type="gramEnd"/>
      <w:r w:rsidRPr="00CB508C">
        <w:rPr>
          <w:color w:val="FFFFFF" w:themeColor="background1"/>
          <w:sz w:val="16"/>
          <w:szCs w:val="16"/>
        </w:rPr>
        <w:t xml:space="preserve"> April 2015.</w:t>
      </w:r>
      <w:r w:rsidRPr="00CB508C">
        <w:rPr>
          <w:sz w:val="16"/>
          <w:szCs w:val="16"/>
        </w:rPr>
        <w:t xml:space="preserve"> </w:t>
      </w:r>
    </w:p>
    <w:p w14:paraId="034764CF" w14:textId="7CD83F1F" w:rsidR="00B04D19" w:rsidRDefault="00CB508C" w:rsidP="00CD5E6B">
      <w:pPr>
        <w:pStyle w:val="BodyText"/>
        <w:rPr>
          <w:b/>
          <w:szCs w:val="26"/>
        </w:rPr>
      </w:pPr>
      <w:r>
        <w:rPr>
          <w:noProof/>
          <w:sz w:val="16"/>
          <w:szCs w:val="16"/>
        </w:rPr>
        <w:drawing>
          <wp:anchor distT="0" distB="0" distL="114300" distR="114300" simplePos="0" relativeHeight="251658240" behindDoc="0" locked="0" layoutInCell="1" allowOverlap="1" wp14:anchorId="48AD53A8" wp14:editId="7F822599">
            <wp:simplePos x="0" y="0"/>
            <wp:positionH relativeFrom="page">
              <wp:align>center</wp:align>
            </wp:positionH>
            <wp:positionV relativeFrom="page">
              <wp:align>center</wp:align>
            </wp:positionV>
            <wp:extent cx="7578000" cy="10764000"/>
            <wp:effectExtent l="0" t="0" r="4445" b="0"/>
            <wp:wrapNone/>
            <wp:docPr id="1" name="Picture 1" descr="Efficiency in Health. Productivity Commission Research Paper. April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health-efficiency-cover-web.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78000" cy="10764000"/>
                    </a:xfrm>
                    <a:prstGeom prst="rect">
                      <a:avLst/>
                    </a:prstGeom>
                  </pic:spPr>
                </pic:pic>
              </a:graphicData>
            </a:graphic>
            <wp14:sizeRelH relativeFrom="page">
              <wp14:pctWidth>0</wp14:pctWidth>
            </wp14:sizeRelH>
            <wp14:sizeRelV relativeFrom="page">
              <wp14:pctHeight>0</wp14:pctHeight>
            </wp14:sizeRelV>
          </wp:anchor>
        </w:drawing>
      </w:r>
      <w:r w:rsidR="00B04D19">
        <w:br w:type="page"/>
      </w:r>
    </w:p>
    <w:p w14:paraId="64F3003C"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595CEFFD" w14:textId="5BA35780" w:rsidR="00EC45CF" w:rsidRPr="007809B8" w:rsidRDefault="00CB508C">
      <w:pPr>
        <w:pStyle w:val="BodyText"/>
        <w:tabs>
          <w:tab w:val="left" w:pos="851"/>
        </w:tabs>
        <w:spacing w:before="200" w:after="120"/>
        <w:jc w:val="left"/>
        <w:rPr>
          <w:b/>
        </w:rPr>
      </w:pPr>
      <w:bookmarkStart w:id="1" w:name="ISSN"/>
      <w:bookmarkEnd w:id="1"/>
      <w:r>
        <w:rPr>
          <w:b/>
        </w:rPr>
        <w:t>ISBN</w:t>
      </w:r>
      <w:r>
        <w:rPr>
          <w:b/>
        </w:rPr>
        <w:tab/>
      </w:r>
      <w:r w:rsidRPr="00CB508C">
        <w:rPr>
          <w:b/>
        </w:rPr>
        <w:t>978-1-74037-545-0</w:t>
      </w:r>
    </w:p>
    <w:p w14:paraId="5D6FA6DB" w14:textId="77777777" w:rsidR="008A3857" w:rsidRDefault="008A3857" w:rsidP="008E242D">
      <w:pPr>
        <w:pStyle w:val="BodyText"/>
        <w:spacing w:after="120"/>
      </w:pPr>
      <w:r w:rsidRPr="00862D8F">
        <w:rPr>
          <w:noProof/>
          <w:sz w:val="22"/>
          <w:szCs w:val="22"/>
        </w:rPr>
        <w:drawing>
          <wp:inline distT="0" distB="0" distL="0" distR="0" wp14:anchorId="3E20312E" wp14:editId="740B74B2">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1F61199E"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w:t>
      </w:r>
      <w:proofErr w:type="gramStart"/>
      <w:r w:rsidRPr="008A3857">
        <w:t xml:space="preserve">visit </w:t>
      </w:r>
      <w:proofErr w:type="gramEnd"/>
      <w:r w:rsidR="001F33BD">
        <w:fldChar w:fldCharType="begin"/>
      </w:r>
      <w:r w:rsidR="001F33BD">
        <w:instrText xml:space="preserve"> HYPERLINK "http://creativecommons.org/licen</w:instrText>
      </w:r>
      <w:r w:rsidR="001F33BD">
        <w:instrText xml:space="preserve">ses/by/3.0/au" </w:instrText>
      </w:r>
      <w:r w:rsidR="001F33BD">
        <w:fldChar w:fldCharType="separate"/>
      </w:r>
      <w:hyperlink r:id="rId15" w:history="1">
        <w:r w:rsidRPr="00805FD7">
          <w:t>http://creativecommons.org/licenses/by/3.0/au</w:t>
        </w:r>
      </w:hyperlink>
      <w:r w:rsidR="001F33BD">
        <w:fldChar w:fldCharType="end"/>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w:t>
      </w:r>
      <w:proofErr w:type="gramStart"/>
      <w:r w:rsidRPr="008A3857">
        <w:t>endorses</w:t>
      </w:r>
      <w:proofErr w:type="gramEnd"/>
      <w:r w:rsidRPr="008A3857">
        <w:t xml:space="preserve"> you or your use) and abide by the other licence terms.</w:t>
      </w:r>
    </w:p>
    <w:p w14:paraId="6B20981D" w14:textId="77777777" w:rsidR="008A3857" w:rsidRPr="008A3857" w:rsidRDefault="008A3857" w:rsidP="008A3857">
      <w:pPr>
        <w:pStyle w:val="Copyrightsubtitle"/>
      </w:pPr>
      <w:r w:rsidRPr="008A3857">
        <w:t>Use of the Commonwealth Coat of Arms</w:t>
      </w:r>
    </w:p>
    <w:p w14:paraId="5C7888F2" w14:textId="77777777" w:rsidR="008A3857" w:rsidRPr="008A3857" w:rsidRDefault="008A3857" w:rsidP="00BA0B81">
      <w:pPr>
        <w:pStyle w:val="Copyrightbodytext"/>
      </w:pPr>
      <w:r w:rsidRPr="008A3857">
        <w:t>For terms of use of the Coat of Arms visit the ‘</w:t>
      </w:r>
      <w:hyperlink r:id="rId16" w:history="1">
        <w:r w:rsidRPr="00805FD7">
          <w:t>It’s an Honour</w:t>
        </w:r>
      </w:hyperlink>
      <w:r w:rsidRPr="008A3857">
        <w:t>’ website</w:t>
      </w:r>
      <w:r w:rsidR="00122FE9" w:rsidRPr="00BA0B81">
        <w:t>:</w:t>
      </w:r>
      <w:r w:rsidRPr="00BA0B81">
        <w:t xml:space="preserve"> </w:t>
      </w:r>
      <w:hyperlink r:id="rId17" w:history="1">
        <w:r w:rsidR="00BA0B81" w:rsidRPr="00805FD7">
          <w:t>http://www.itsanhonour.gov.au</w:t>
        </w:r>
      </w:hyperlink>
    </w:p>
    <w:p w14:paraId="172A81DC" w14:textId="77777777" w:rsidR="008A3857" w:rsidRPr="008A3857" w:rsidRDefault="008A3857" w:rsidP="008A3857">
      <w:pPr>
        <w:pStyle w:val="Copyrightsubtitle"/>
      </w:pPr>
      <w:r w:rsidRPr="008A3857">
        <w:t>Third party copyright</w:t>
      </w:r>
    </w:p>
    <w:p w14:paraId="54C49582"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14A88C19" w14:textId="77777777" w:rsidR="008A3857" w:rsidRPr="008A3857" w:rsidRDefault="008A3857" w:rsidP="008A3857">
      <w:pPr>
        <w:pStyle w:val="Copyrightsubtitle"/>
      </w:pPr>
      <w:r w:rsidRPr="008A3857">
        <w:t>Attribution</w:t>
      </w:r>
    </w:p>
    <w:p w14:paraId="211355D4" w14:textId="03BF5CFE" w:rsidR="008A3857" w:rsidRPr="008A3857" w:rsidRDefault="008A3857" w:rsidP="00BA0B81">
      <w:pPr>
        <w:pStyle w:val="Copyrightbodytext"/>
      </w:pPr>
      <w:r w:rsidRPr="008A3857">
        <w:t xml:space="preserve">This work should be attributed as follows, </w:t>
      </w:r>
      <w:r w:rsidRPr="008E242D">
        <w:rPr>
          <w:i/>
        </w:rPr>
        <w:t xml:space="preserve">Source: </w:t>
      </w:r>
      <w:r w:rsidR="00CB508C">
        <w:rPr>
          <w:i/>
        </w:rPr>
        <w:t>Productivity Commission, Efficiency in Health</w:t>
      </w:r>
      <w:r w:rsidRPr="008A3857">
        <w:t>.</w:t>
      </w:r>
    </w:p>
    <w:p w14:paraId="7DD06913" w14:textId="7B4D678A"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CB508C">
        <w:rPr>
          <w:i/>
        </w:rPr>
        <w:t>, Efficiency in Health</w:t>
      </w:r>
      <w:r w:rsidRPr="008A3857">
        <w:t>.</w:t>
      </w:r>
    </w:p>
    <w:p w14:paraId="3F5BED8C"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44B4E010" w14:textId="6EC21169" w:rsidR="00EC45CF" w:rsidRPr="00EC45CF" w:rsidRDefault="00EC45CF" w:rsidP="008A3857">
      <w:pPr>
        <w:pStyle w:val="Copyrightbodytext"/>
      </w:pPr>
      <w:proofErr w:type="gramStart"/>
      <w:r>
        <w:t xml:space="preserve">Productivity Commission 2015, </w:t>
      </w:r>
      <w:r>
        <w:rPr>
          <w:i/>
        </w:rPr>
        <w:t>Efficiency in Health</w:t>
      </w:r>
      <w:r>
        <w:t>, Commission Research Paper, Canberra.</w:t>
      </w:r>
      <w:proofErr w:type="gramEnd"/>
    </w:p>
    <w:p w14:paraId="6A04953C" w14:textId="311198C5" w:rsidR="00EC45CF" w:rsidRDefault="00EC45CF" w:rsidP="00A37E73">
      <w:pPr>
        <w:pStyle w:val="Copyrightbodytext"/>
      </w:pPr>
      <w:bookmarkStart w:id="2" w:name="JEL"/>
      <w:bookmarkEnd w:id="2"/>
      <w:r w:rsidRPr="00A37E73">
        <w:t>JEL code</w:t>
      </w:r>
      <w:r>
        <w:t>s</w:t>
      </w:r>
      <w:r w:rsidRPr="00A37E73">
        <w:t xml:space="preserve">: </w:t>
      </w:r>
      <w:r>
        <w:t>I10, I18.</w:t>
      </w:r>
    </w:p>
    <w:p w14:paraId="4CDE0D51" w14:textId="77777777" w:rsidR="008A3857" w:rsidRPr="008A3857" w:rsidRDefault="008A3857" w:rsidP="008A3857">
      <w:pPr>
        <w:pStyle w:val="Copyrightsubtitle"/>
      </w:pPr>
      <w:r w:rsidRPr="008A3857">
        <w:t>Publications enquiries</w:t>
      </w:r>
    </w:p>
    <w:p w14:paraId="7DB1B330"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253445AE"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03E0F27D" w14:textId="77777777" w:rsidTr="002D5890">
        <w:tc>
          <w:tcPr>
            <w:tcW w:w="8771" w:type="dxa"/>
            <w:tcBorders>
              <w:top w:val="single" w:sz="6" w:space="0" w:color="78A22F"/>
              <w:left w:val="nil"/>
              <w:bottom w:val="nil"/>
              <w:right w:val="nil"/>
            </w:tcBorders>
            <w:shd w:val="clear" w:color="auto" w:fill="F2F2F2" w:themeFill="background1" w:themeFillShade="F2"/>
          </w:tcPr>
          <w:p w14:paraId="6161E6D2"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49A6AE0B" w14:textId="77777777" w:rsidTr="002D5890">
        <w:trPr>
          <w:cantSplit/>
        </w:trPr>
        <w:tc>
          <w:tcPr>
            <w:tcW w:w="8771" w:type="dxa"/>
            <w:tcBorders>
              <w:top w:val="nil"/>
              <w:left w:val="nil"/>
              <w:bottom w:val="nil"/>
              <w:right w:val="nil"/>
            </w:tcBorders>
            <w:shd w:val="clear" w:color="auto" w:fill="F2F2F2" w:themeFill="background1" w:themeFillShade="F2"/>
          </w:tcPr>
          <w:p w14:paraId="67C363F9"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4DDF3AFF"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07E725ED" w14:textId="77777777" w:rsidR="008A3857" w:rsidRDefault="008A3857" w:rsidP="00EC38C1">
            <w:pPr>
              <w:pStyle w:val="Box"/>
            </w:pPr>
            <w:r w:rsidRPr="00BB5DCF">
              <w:rPr>
                <w:szCs w:val="24"/>
              </w:rPr>
              <w:t>Further information on the Productivity Commission can be obtained from the Commission’s website (</w:t>
            </w:r>
            <w:hyperlink r:id="rId18" w:history="1">
              <w:r w:rsidRPr="00805FD7">
                <w:t>www.pc.gov.au</w:t>
              </w:r>
            </w:hyperlink>
            <w:r w:rsidRPr="00BB5DCF">
              <w:rPr>
                <w:szCs w:val="24"/>
              </w:rPr>
              <w:t>)</w:t>
            </w:r>
            <w:r w:rsidR="00EC38C1">
              <w:rPr>
                <w:szCs w:val="24"/>
              </w:rPr>
              <w:t>.</w:t>
            </w:r>
          </w:p>
        </w:tc>
      </w:tr>
      <w:tr w:rsidR="008A3857" w14:paraId="4AE4A14F" w14:textId="77777777" w:rsidTr="002D5890">
        <w:trPr>
          <w:cantSplit/>
        </w:trPr>
        <w:tc>
          <w:tcPr>
            <w:tcW w:w="8771" w:type="dxa"/>
            <w:tcBorders>
              <w:top w:val="nil"/>
              <w:left w:val="nil"/>
              <w:bottom w:val="single" w:sz="6" w:space="0" w:color="78A22F"/>
              <w:right w:val="nil"/>
            </w:tcBorders>
            <w:shd w:val="clear" w:color="auto" w:fill="F2F2F2" w:themeFill="background1" w:themeFillShade="F2"/>
          </w:tcPr>
          <w:p w14:paraId="1A6FB7A3" w14:textId="77777777" w:rsidR="008A3857" w:rsidRDefault="008A3857" w:rsidP="002D5890">
            <w:pPr>
              <w:pStyle w:val="Box"/>
              <w:spacing w:before="0" w:line="120" w:lineRule="exact"/>
            </w:pPr>
          </w:p>
        </w:tc>
      </w:tr>
    </w:tbl>
    <w:p w14:paraId="400D3D46"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14:paraId="56F47DA5" w14:textId="77777777" w:rsidR="001B7F1E" w:rsidRPr="008206EE" w:rsidRDefault="00735FEA" w:rsidP="008206EE">
      <w:pPr>
        <w:pStyle w:val="Heading1NotTOC"/>
      </w:pPr>
      <w:bookmarkStart w:id="4" w:name="Contents"/>
      <w:bookmarkEnd w:id="4"/>
      <w:r w:rsidRPr="00B153C3">
        <w:lastRenderedPageBreak/>
        <w:t>Contents</w:t>
      </w:r>
      <w:bookmarkStart w:id="5" w:name="InsertContents"/>
      <w:bookmarkEnd w:id="5"/>
    </w:p>
    <w:p w14:paraId="7C850D43" w14:textId="77777777" w:rsidR="00C058AB" w:rsidRDefault="00C058AB">
      <w:pPr>
        <w:pStyle w:val="BodyText"/>
      </w:pPr>
    </w:p>
    <w:p w14:paraId="7D673994" w14:textId="11760056" w:rsidR="00E368CF" w:rsidRDefault="00E368CF" w:rsidP="00E368CF">
      <w:pPr>
        <w:pStyle w:val="TOC1"/>
      </w:pPr>
      <w:r>
        <w:t>Executive summary</w:t>
      </w:r>
      <w:r>
        <w:tab/>
        <w:t>1</w:t>
      </w:r>
    </w:p>
    <w:p w14:paraId="7F3DBA38" w14:textId="7C18DB9F" w:rsidR="00E368CF" w:rsidRDefault="00E368CF" w:rsidP="00E368CF">
      <w:pPr>
        <w:pStyle w:val="TOC1"/>
      </w:pPr>
      <w:r>
        <w:t>1</w:t>
      </w:r>
      <w:r>
        <w:tab/>
        <w:t>Australia’s health system</w:t>
      </w:r>
      <w:r>
        <w:tab/>
        <w:t>7</w:t>
      </w:r>
    </w:p>
    <w:p w14:paraId="566F2E1A" w14:textId="77777777" w:rsidR="0076167D" w:rsidRDefault="0076167D" w:rsidP="0076167D">
      <w:pPr>
        <w:pStyle w:val="TOC1"/>
      </w:pPr>
      <w:r>
        <w:t>2</w:t>
      </w:r>
      <w:r>
        <w:tab/>
        <w:t>Promoting clinically and cost effective medicine</w:t>
      </w:r>
      <w:r>
        <w:tab/>
        <w:t>13</w:t>
      </w:r>
    </w:p>
    <w:p w14:paraId="02489210" w14:textId="77777777" w:rsidR="0076167D" w:rsidRDefault="0076167D" w:rsidP="0076167D">
      <w:pPr>
        <w:pStyle w:val="TOC2"/>
      </w:pPr>
      <w:r>
        <w:t>2.1</w:t>
      </w:r>
      <w:r>
        <w:tab/>
        <w:t>Health technology assessment</w:t>
      </w:r>
      <w:r>
        <w:tab/>
        <w:t>15</w:t>
      </w:r>
    </w:p>
    <w:p w14:paraId="35181188" w14:textId="505F90F1" w:rsidR="0076167D" w:rsidRDefault="00133B2B" w:rsidP="0076167D">
      <w:pPr>
        <w:pStyle w:val="TOC2"/>
      </w:pPr>
      <w:r>
        <w:t>2.2</w:t>
      </w:r>
      <w:r>
        <w:tab/>
        <w:t>Evidence-</w:t>
      </w:r>
      <w:r w:rsidR="0076167D">
        <w:t>based guidance for clinicians and patients</w:t>
      </w:r>
      <w:r w:rsidR="0076167D">
        <w:tab/>
        <w:t>25</w:t>
      </w:r>
    </w:p>
    <w:p w14:paraId="77655E34" w14:textId="77777777" w:rsidR="0076167D" w:rsidRDefault="0076167D" w:rsidP="0076167D">
      <w:pPr>
        <w:pStyle w:val="TOC2"/>
      </w:pPr>
      <w:r>
        <w:t>2.3</w:t>
      </w:r>
      <w:r>
        <w:tab/>
        <w:t>Provider payment models</w:t>
      </w:r>
      <w:r>
        <w:tab/>
        <w:t>30</w:t>
      </w:r>
    </w:p>
    <w:p w14:paraId="06DBF2E5" w14:textId="77777777" w:rsidR="0076167D" w:rsidRDefault="0076167D" w:rsidP="0076167D">
      <w:pPr>
        <w:pStyle w:val="TOC2"/>
      </w:pPr>
      <w:r>
        <w:t>2.4</w:t>
      </w:r>
      <w:r>
        <w:tab/>
        <w:t>Preventive health</w:t>
      </w:r>
      <w:r>
        <w:tab/>
        <w:t>39</w:t>
      </w:r>
    </w:p>
    <w:p w14:paraId="3F01F45D" w14:textId="77777777" w:rsidR="0076167D" w:rsidRDefault="0076167D" w:rsidP="0076167D">
      <w:pPr>
        <w:pStyle w:val="TOC1"/>
      </w:pPr>
      <w:r>
        <w:t>3</w:t>
      </w:r>
      <w:r>
        <w:tab/>
        <w:t>Opportunities for regulatory reform</w:t>
      </w:r>
      <w:r>
        <w:tab/>
        <w:t>45</w:t>
      </w:r>
    </w:p>
    <w:p w14:paraId="49085DF7" w14:textId="77777777" w:rsidR="0076167D" w:rsidRDefault="0076167D" w:rsidP="0076167D">
      <w:pPr>
        <w:pStyle w:val="TOC2"/>
      </w:pPr>
      <w:r>
        <w:t>3.1</w:t>
      </w:r>
      <w:r>
        <w:tab/>
        <w:t>Health workforce</w:t>
      </w:r>
      <w:r>
        <w:tab/>
        <w:t>45</w:t>
      </w:r>
    </w:p>
    <w:p w14:paraId="61099FD3" w14:textId="77777777" w:rsidR="0076167D" w:rsidRDefault="0076167D" w:rsidP="0076167D">
      <w:pPr>
        <w:pStyle w:val="TOC2"/>
      </w:pPr>
      <w:r>
        <w:t>3.2</w:t>
      </w:r>
      <w:r>
        <w:tab/>
        <w:t>Pharmacy</w:t>
      </w:r>
      <w:r>
        <w:tab/>
        <w:t>50</w:t>
      </w:r>
    </w:p>
    <w:p w14:paraId="49454C5A" w14:textId="77777777" w:rsidR="0076167D" w:rsidRDefault="0076167D" w:rsidP="0076167D">
      <w:pPr>
        <w:pStyle w:val="TOC2"/>
      </w:pPr>
      <w:r>
        <w:t>3.3</w:t>
      </w:r>
      <w:r>
        <w:tab/>
        <w:t>Pharmaceutical Benefits Scheme pricing</w:t>
      </w:r>
      <w:r>
        <w:tab/>
        <w:t>56</w:t>
      </w:r>
    </w:p>
    <w:p w14:paraId="028EE55A" w14:textId="77777777" w:rsidR="0076167D" w:rsidRDefault="0076167D" w:rsidP="0076167D">
      <w:pPr>
        <w:pStyle w:val="TOC2"/>
      </w:pPr>
      <w:r>
        <w:t>3.4</w:t>
      </w:r>
      <w:r>
        <w:tab/>
        <w:t>Private health insurance</w:t>
      </w:r>
      <w:r>
        <w:tab/>
        <w:t>63</w:t>
      </w:r>
    </w:p>
    <w:p w14:paraId="3F015A34" w14:textId="77777777" w:rsidR="0076167D" w:rsidRDefault="0076167D" w:rsidP="0076167D">
      <w:pPr>
        <w:pStyle w:val="TOC1"/>
      </w:pPr>
      <w:r>
        <w:t>4</w:t>
      </w:r>
      <w:r>
        <w:tab/>
        <w:t>Information and transparency</w:t>
      </w:r>
      <w:r>
        <w:tab/>
        <w:t>73</w:t>
      </w:r>
    </w:p>
    <w:p w14:paraId="31EE52B0" w14:textId="77777777" w:rsidR="0076167D" w:rsidRDefault="0076167D" w:rsidP="0076167D">
      <w:pPr>
        <w:pStyle w:val="TOC2"/>
      </w:pPr>
      <w:r>
        <w:t>4.1</w:t>
      </w:r>
      <w:r>
        <w:tab/>
        <w:t>Why does information matter?</w:t>
      </w:r>
      <w:r>
        <w:tab/>
        <w:t>73</w:t>
      </w:r>
    </w:p>
    <w:p w14:paraId="1EE6F398" w14:textId="77777777" w:rsidR="0076167D" w:rsidRDefault="0076167D" w:rsidP="0076167D">
      <w:pPr>
        <w:pStyle w:val="TOC2"/>
      </w:pPr>
      <w:r>
        <w:t>4.2</w:t>
      </w:r>
      <w:r>
        <w:tab/>
        <w:t>What information could be better collected or released?</w:t>
      </w:r>
      <w:r>
        <w:tab/>
        <w:t>76</w:t>
      </w:r>
    </w:p>
    <w:p w14:paraId="1D1BD6E7" w14:textId="77777777" w:rsidR="0076167D" w:rsidRDefault="0076167D" w:rsidP="0076167D">
      <w:pPr>
        <w:pStyle w:val="TOC2"/>
      </w:pPr>
      <w:r>
        <w:t>4.3</w:t>
      </w:r>
      <w:r>
        <w:tab/>
        <w:t>Overcoming impediments to reform</w:t>
      </w:r>
      <w:r>
        <w:tab/>
        <w:t>83</w:t>
      </w:r>
    </w:p>
    <w:p w14:paraId="501016BC" w14:textId="77777777" w:rsidR="0076167D" w:rsidRDefault="0076167D" w:rsidP="0076167D">
      <w:pPr>
        <w:pStyle w:val="TOC2"/>
      </w:pPr>
      <w:r>
        <w:t>4.4</w:t>
      </w:r>
      <w:r>
        <w:tab/>
        <w:t>The way forward</w:t>
      </w:r>
      <w:r>
        <w:tab/>
        <w:t>87</w:t>
      </w:r>
    </w:p>
    <w:p w14:paraId="14451AB1" w14:textId="77777777" w:rsidR="0076167D" w:rsidRDefault="0076167D" w:rsidP="0076167D">
      <w:pPr>
        <w:pStyle w:val="TOC1"/>
      </w:pPr>
      <w:r>
        <w:t>5</w:t>
      </w:r>
      <w:r>
        <w:tab/>
        <w:t>Summing up</w:t>
      </w:r>
      <w:r>
        <w:tab/>
        <w:t>91</w:t>
      </w:r>
    </w:p>
    <w:p w14:paraId="7BB904A6" w14:textId="3A1DBD76" w:rsidR="0076167D" w:rsidRPr="0076167D" w:rsidRDefault="0076167D" w:rsidP="0076167D">
      <w:pPr>
        <w:pStyle w:val="TOC1"/>
        <w:sectPr w:rsidR="0076167D" w:rsidRPr="0076167D" w:rsidSect="007448F7">
          <w:headerReference w:type="even" r:id="rId19"/>
          <w:headerReference w:type="default" r:id="rId20"/>
          <w:footerReference w:type="even" r:id="rId21"/>
          <w:footerReference w:type="default" r:id="rId22"/>
          <w:type w:val="oddPage"/>
          <w:pgSz w:w="11907" w:h="16840" w:code="9"/>
          <w:pgMar w:top="1985" w:right="1304" w:bottom="1247" w:left="1814" w:header="1701" w:footer="397" w:gutter="0"/>
          <w:pgNumType w:fmt="lowerRoman"/>
          <w:cols w:space="720"/>
        </w:sectPr>
      </w:pPr>
      <w:r>
        <w:t>References</w:t>
      </w:r>
      <w:r>
        <w:tab/>
        <w:t>97</w:t>
      </w:r>
    </w:p>
    <w:p w14:paraId="5BEF59C2" w14:textId="4EBE8C40" w:rsidR="00735FEA" w:rsidRDefault="00C1265A" w:rsidP="00F7477E">
      <w:pPr>
        <w:pStyle w:val="Heading1"/>
      </w:pPr>
      <w:bookmarkStart w:id="6" w:name="Abbreviations"/>
      <w:bookmarkStart w:id="7" w:name="RDnote"/>
      <w:bookmarkStart w:id="8" w:name="EndContents"/>
      <w:bookmarkEnd w:id="6"/>
      <w:bookmarkEnd w:id="7"/>
      <w:bookmarkEnd w:id="8"/>
      <w:r>
        <w:lastRenderedPageBreak/>
        <w:t>Abbreviations</w:t>
      </w:r>
    </w:p>
    <w:p w14:paraId="21F6CEB1" w14:textId="119587DD" w:rsidR="0078358D" w:rsidRDefault="0078358D">
      <w:pPr>
        <w:pStyle w:val="Abbreviation"/>
      </w:pPr>
      <w:r>
        <w:t>ABS</w:t>
      </w:r>
      <w:r>
        <w:tab/>
        <w:t>Australian Bureau of Statistics</w:t>
      </w:r>
    </w:p>
    <w:p w14:paraId="4E677054" w14:textId="1FCFB04D" w:rsidR="00975A17" w:rsidRDefault="00975A17">
      <w:pPr>
        <w:pStyle w:val="Abbreviation"/>
      </w:pPr>
      <w:r>
        <w:t>ARTG</w:t>
      </w:r>
      <w:r>
        <w:tab/>
      </w:r>
      <w:r w:rsidRPr="00975A17">
        <w:t>Australian Register of Therapeutic Goods</w:t>
      </w:r>
    </w:p>
    <w:p w14:paraId="08F01D12" w14:textId="0972999D" w:rsidR="00F0478A" w:rsidRDefault="00F0478A">
      <w:pPr>
        <w:pStyle w:val="Abbreviation"/>
      </w:pPr>
      <w:r>
        <w:t>COAG</w:t>
      </w:r>
      <w:r>
        <w:tab/>
        <w:t>Council of Australian Governments</w:t>
      </w:r>
    </w:p>
    <w:p w14:paraId="0C7BCBD8" w14:textId="5A144739" w:rsidR="00F0478A" w:rsidRDefault="00F0478A">
      <w:pPr>
        <w:pStyle w:val="Abbreviation"/>
      </w:pPr>
      <w:r>
        <w:t>GDP</w:t>
      </w:r>
      <w:r>
        <w:tab/>
        <w:t>Gross domestic product</w:t>
      </w:r>
    </w:p>
    <w:p w14:paraId="73E9324C" w14:textId="0A4966EC" w:rsidR="00C1265A" w:rsidRDefault="00C1265A">
      <w:pPr>
        <w:pStyle w:val="Abbreviation"/>
      </w:pPr>
      <w:r>
        <w:t>GP</w:t>
      </w:r>
      <w:r>
        <w:tab/>
        <w:t xml:space="preserve">General </w:t>
      </w:r>
      <w:proofErr w:type="gramStart"/>
      <w:r>
        <w:t>practitioner</w:t>
      </w:r>
      <w:proofErr w:type="gramEnd"/>
    </w:p>
    <w:p w14:paraId="614469E0" w14:textId="05E0F96F" w:rsidR="00A3285E" w:rsidRDefault="00A3285E">
      <w:pPr>
        <w:pStyle w:val="Abbreviation"/>
      </w:pPr>
      <w:r>
        <w:t>HTA</w:t>
      </w:r>
      <w:r>
        <w:tab/>
        <w:t>Health technology assessment</w:t>
      </w:r>
    </w:p>
    <w:p w14:paraId="3CFE194B" w14:textId="08AFDC64" w:rsidR="00C1265A" w:rsidRDefault="00C1265A">
      <w:pPr>
        <w:pStyle w:val="Abbreviation"/>
      </w:pPr>
      <w:r>
        <w:t>MBS</w:t>
      </w:r>
      <w:r>
        <w:tab/>
        <w:t>Medicare Benefits Schedule</w:t>
      </w:r>
    </w:p>
    <w:p w14:paraId="30780DA2" w14:textId="7C996526" w:rsidR="00C1265A" w:rsidRDefault="00C1265A">
      <w:pPr>
        <w:pStyle w:val="Abbreviation"/>
      </w:pPr>
      <w:r>
        <w:t>MSAC</w:t>
      </w:r>
      <w:r>
        <w:tab/>
        <w:t>Medical Services Advisory Committee</w:t>
      </w:r>
    </w:p>
    <w:p w14:paraId="1B4A7EF9" w14:textId="66E38C47" w:rsidR="00644A4D" w:rsidRDefault="00644A4D">
      <w:pPr>
        <w:pStyle w:val="Abbreviation"/>
      </w:pPr>
      <w:r>
        <w:t>NHPA</w:t>
      </w:r>
      <w:r>
        <w:tab/>
        <w:t>National Health Performance Authority</w:t>
      </w:r>
    </w:p>
    <w:p w14:paraId="39B6005D" w14:textId="543B8425" w:rsidR="00C1265A" w:rsidRDefault="00C1265A">
      <w:pPr>
        <w:pStyle w:val="Abbreviation"/>
      </w:pPr>
      <w:r>
        <w:t>OECD</w:t>
      </w:r>
      <w:r>
        <w:tab/>
        <w:t>Organisation for Economic Co</w:t>
      </w:r>
      <w:r>
        <w:noBreakHyphen/>
        <w:t>operation and Development</w:t>
      </w:r>
    </w:p>
    <w:p w14:paraId="279F9DBB" w14:textId="77777777" w:rsidR="002164C1" w:rsidRDefault="002164C1" w:rsidP="002164C1">
      <w:pPr>
        <w:pStyle w:val="Abbreviation"/>
      </w:pPr>
      <w:r>
        <w:t>PBAC</w:t>
      </w:r>
      <w:r>
        <w:tab/>
        <w:t>Pharmaceutical Benefits Advisory Committee</w:t>
      </w:r>
    </w:p>
    <w:p w14:paraId="21B5E281" w14:textId="68807937" w:rsidR="00C1265A" w:rsidRDefault="00C1265A">
      <w:pPr>
        <w:pStyle w:val="Abbreviation"/>
      </w:pPr>
      <w:r>
        <w:t>PBS</w:t>
      </w:r>
      <w:r>
        <w:tab/>
        <w:t>Pharmaceutical Benefits Scheme</w:t>
      </w:r>
    </w:p>
    <w:p w14:paraId="1A94222F" w14:textId="6275BB3E" w:rsidR="00C12497" w:rsidRDefault="00C12497">
      <w:pPr>
        <w:pStyle w:val="Abbreviation"/>
      </w:pPr>
      <w:r>
        <w:t>PHARMAC</w:t>
      </w:r>
      <w:r>
        <w:tab/>
        <w:t>Pharmaceutical Management Agency (New Zealand)</w:t>
      </w:r>
    </w:p>
    <w:p w14:paraId="6A014E37" w14:textId="77777777" w:rsidR="00735FEA" w:rsidRDefault="00735FEA">
      <w:pPr>
        <w:pStyle w:val="Abbreviation"/>
      </w:pPr>
      <w:r>
        <w:t>PC</w:t>
      </w:r>
      <w:r>
        <w:tab/>
        <w:t>Productivity Commission</w:t>
      </w:r>
    </w:p>
    <w:p w14:paraId="4CE28B7F" w14:textId="02020141" w:rsidR="0078358D" w:rsidRDefault="0078358D">
      <w:pPr>
        <w:pStyle w:val="Abbreviation"/>
      </w:pPr>
      <w:r>
        <w:t>PCEHR</w:t>
      </w:r>
      <w:r>
        <w:tab/>
        <w:t>Personally Controlled Electronic Health Record</w:t>
      </w:r>
    </w:p>
    <w:p w14:paraId="3152AC17" w14:textId="3C679839" w:rsidR="00B37C0E" w:rsidRDefault="00B37C0E">
      <w:pPr>
        <w:pStyle w:val="Abbreviation"/>
      </w:pPr>
      <w:r>
        <w:t>PIP</w:t>
      </w:r>
      <w:r>
        <w:tab/>
      </w:r>
      <w:r w:rsidRPr="00D92869">
        <w:t>Practice Incentives Program</w:t>
      </w:r>
    </w:p>
    <w:p w14:paraId="50433A4B" w14:textId="533831E5" w:rsidR="000A5E12" w:rsidRPr="000C2F93" w:rsidRDefault="00F0478A" w:rsidP="000C2F93">
      <w:pPr>
        <w:pStyle w:val="Abbreviation"/>
      </w:pPr>
      <w:r w:rsidRPr="00D92869">
        <w:t>QPACT</w:t>
      </w:r>
      <w:r>
        <w:tab/>
      </w:r>
      <w:bookmarkStart w:id="9" w:name="Glossary"/>
      <w:bookmarkEnd w:id="9"/>
      <w:r w:rsidR="004B72DF" w:rsidRPr="004B72DF">
        <w:t>Queensland Policy and Advisory Committee for New Technology</w:t>
      </w:r>
    </w:p>
    <w:sectPr w:rsidR="000A5E12" w:rsidRPr="000C2F93"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84383" w14:textId="77777777" w:rsidR="00EC45CF" w:rsidRDefault="00EC45CF">
      <w:r>
        <w:separator/>
      </w:r>
    </w:p>
    <w:p w14:paraId="3BE2A6AC" w14:textId="77777777" w:rsidR="00EC45CF" w:rsidRDefault="00EC45CF"/>
    <w:p w14:paraId="0120EEAA" w14:textId="77777777" w:rsidR="00EC45CF" w:rsidRDefault="00EC45CF"/>
  </w:endnote>
  <w:endnote w:type="continuationSeparator" w:id="0">
    <w:p w14:paraId="67CE3F7C" w14:textId="77777777" w:rsidR="00EC45CF" w:rsidRDefault="00EC45CF">
      <w:r>
        <w:continuationSeparator/>
      </w:r>
    </w:p>
    <w:p w14:paraId="6E66648A" w14:textId="77777777" w:rsidR="00EC45CF" w:rsidRDefault="00EC45CF"/>
    <w:p w14:paraId="692C02EF" w14:textId="77777777" w:rsidR="00EC45CF" w:rsidRDefault="00EC4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4AF36E7C" w14:textId="77777777" w:rsidTr="005F48ED">
      <w:trPr>
        <w:trHeight w:hRule="exact" w:val="567"/>
      </w:trPr>
      <w:tc>
        <w:tcPr>
          <w:tcW w:w="510" w:type="dxa"/>
        </w:tcPr>
        <w:p w14:paraId="65CF816A"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B508C">
            <w:rPr>
              <w:rStyle w:val="PageNumber"/>
              <w:caps w:val="0"/>
              <w:noProof/>
            </w:rPr>
            <w:t>iv</w:t>
          </w:r>
          <w:r w:rsidRPr="00A24443">
            <w:rPr>
              <w:rStyle w:val="PageNumber"/>
              <w:caps w:val="0"/>
            </w:rPr>
            <w:fldChar w:fldCharType="end"/>
          </w:r>
        </w:p>
      </w:tc>
      <w:tc>
        <w:tcPr>
          <w:tcW w:w="7767" w:type="dxa"/>
        </w:tcPr>
        <w:p w14:paraId="64A4B392" w14:textId="77777777"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C45CF">
            <w:rPr>
              <w:rFonts w:cs="Arial"/>
            </w:rPr>
            <w:t>Efficiency in Health</w:t>
          </w:r>
          <w:r w:rsidRPr="00BA5B14">
            <w:rPr>
              <w:rFonts w:cs="Arial"/>
            </w:rPr>
            <w:fldChar w:fldCharType="end"/>
          </w:r>
        </w:p>
      </w:tc>
      <w:tc>
        <w:tcPr>
          <w:tcW w:w="510" w:type="dxa"/>
        </w:tcPr>
        <w:p w14:paraId="1D89CFBE" w14:textId="77777777" w:rsidR="004D3F58" w:rsidRDefault="004D3F58" w:rsidP="0019293B">
          <w:pPr>
            <w:pStyle w:val="Footer"/>
          </w:pPr>
        </w:p>
      </w:tc>
    </w:tr>
  </w:tbl>
  <w:p w14:paraId="77E2694E" w14:textId="77777777" w:rsidR="004D3F58" w:rsidRDefault="004D3F58" w:rsidP="0019293B">
    <w:pPr>
      <w:pStyle w:val="FooterEnd"/>
    </w:pPr>
  </w:p>
  <w:p w14:paraId="43EEC282" w14:textId="77777777"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053F72E6" w14:textId="77777777" w:rsidTr="005F48ED">
      <w:trPr>
        <w:trHeight w:hRule="exact" w:val="567"/>
      </w:trPr>
      <w:tc>
        <w:tcPr>
          <w:tcW w:w="510" w:type="dxa"/>
        </w:tcPr>
        <w:p w14:paraId="1A1CE7DF" w14:textId="77777777" w:rsidR="007448F7" w:rsidRDefault="007448F7">
          <w:pPr>
            <w:pStyle w:val="Footer"/>
            <w:ind w:right="360" w:firstLine="360"/>
          </w:pPr>
        </w:p>
      </w:tc>
      <w:tc>
        <w:tcPr>
          <w:tcW w:w="7767" w:type="dxa"/>
        </w:tcPr>
        <w:p w14:paraId="61F80DAF" w14:textId="77777777"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1F33BD" w:rsidRPr="001F33BD">
            <w:rPr>
              <w:bCs/>
              <w:noProof/>
            </w:rPr>
            <w:t>Contents</w:t>
          </w:r>
          <w:r w:rsidRPr="008F7DB7">
            <w:rPr>
              <w:noProof/>
            </w:rPr>
            <w:fldChar w:fldCharType="end"/>
          </w:r>
          <w:r>
            <w:rPr>
              <w:rFonts w:cs="Arial"/>
            </w:rPr>
            <w:t xml:space="preserve"> </w:t>
          </w:r>
        </w:p>
      </w:tc>
      <w:tc>
        <w:tcPr>
          <w:tcW w:w="510" w:type="dxa"/>
        </w:tcPr>
        <w:p w14:paraId="0431CAD8"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F33BD">
            <w:rPr>
              <w:rStyle w:val="PageNumber"/>
              <w:caps w:val="0"/>
              <w:noProof/>
            </w:rPr>
            <w:t>iii</w:t>
          </w:r>
          <w:r w:rsidRPr="007448F7">
            <w:rPr>
              <w:rStyle w:val="PageNumber"/>
              <w:caps w:val="0"/>
            </w:rPr>
            <w:fldChar w:fldCharType="end"/>
          </w:r>
        </w:p>
      </w:tc>
    </w:tr>
  </w:tbl>
  <w:p w14:paraId="6E279E65" w14:textId="77777777" w:rsidR="007448F7" w:rsidRDefault="007448F7">
    <w:pPr>
      <w:pStyle w:val="FooterEnd"/>
    </w:pPr>
  </w:p>
  <w:p w14:paraId="00F4756B" w14:textId="77777777"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59A65A7F" w14:textId="77777777" w:rsidTr="005F48ED">
      <w:trPr>
        <w:trHeight w:hRule="exact" w:val="567"/>
      </w:trPr>
      <w:tc>
        <w:tcPr>
          <w:tcW w:w="510" w:type="dxa"/>
        </w:tcPr>
        <w:p w14:paraId="1BCC87F6"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F33BD">
            <w:rPr>
              <w:rStyle w:val="PageNumber"/>
              <w:caps w:val="0"/>
              <w:noProof/>
            </w:rPr>
            <w:t>iv</w:t>
          </w:r>
          <w:r w:rsidRPr="007448F7">
            <w:rPr>
              <w:rStyle w:val="PageNumber"/>
              <w:caps w:val="0"/>
            </w:rPr>
            <w:fldChar w:fldCharType="end"/>
          </w:r>
        </w:p>
      </w:tc>
      <w:tc>
        <w:tcPr>
          <w:tcW w:w="7767" w:type="dxa"/>
        </w:tcPr>
        <w:p w14:paraId="10889866" w14:textId="77777777"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C45CF">
            <w:rPr>
              <w:rFonts w:cs="Arial"/>
            </w:rPr>
            <w:t>Efficiency in Health</w:t>
          </w:r>
          <w:r w:rsidRPr="00BA5B14">
            <w:rPr>
              <w:rFonts w:cs="Arial"/>
            </w:rPr>
            <w:fldChar w:fldCharType="end"/>
          </w:r>
        </w:p>
      </w:tc>
      <w:tc>
        <w:tcPr>
          <w:tcW w:w="510" w:type="dxa"/>
        </w:tcPr>
        <w:p w14:paraId="634B4516" w14:textId="77777777" w:rsidR="007448F7" w:rsidRDefault="007448F7" w:rsidP="0019293B">
          <w:pPr>
            <w:pStyle w:val="Footer"/>
          </w:pPr>
        </w:p>
      </w:tc>
    </w:tr>
  </w:tbl>
  <w:p w14:paraId="5DEA9D7D" w14:textId="77777777" w:rsidR="007448F7" w:rsidRDefault="007448F7" w:rsidP="0019293B">
    <w:pPr>
      <w:pStyle w:val="FooterEnd"/>
    </w:pPr>
  </w:p>
  <w:p w14:paraId="0CA8BF12" w14:textId="77777777"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1823EF47" w14:textId="77777777" w:rsidTr="005F48ED">
      <w:trPr>
        <w:trHeight w:hRule="exact" w:val="567"/>
      </w:trPr>
      <w:tc>
        <w:tcPr>
          <w:tcW w:w="510" w:type="dxa"/>
        </w:tcPr>
        <w:p w14:paraId="4147393C" w14:textId="77777777" w:rsidR="00340511" w:rsidRDefault="00340511">
          <w:pPr>
            <w:pStyle w:val="Footer"/>
            <w:ind w:right="360" w:firstLine="360"/>
          </w:pPr>
        </w:p>
      </w:tc>
      <w:tc>
        <w:tcPr>
          <w:tcW w:w="7767" w:type="dxa"/>
        </w:tcPr>
        <w:p w14:paraId="646B8BA9" w14:textId="77777777"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78358D" w:rsidRPr="0078358D">
            <w:rPr>
              <w:bCs/>
              <w:noProof/>
              <w:lang w:val="en-US"/>
            </w:rPr>
            <w:t>Abbreviations</w:t>
          </w:r>
          <w:r w:rsidRPr="00340511">
            <w:rPr>
              <w:noProof/>
            </w:rPr>
            <w:fldChar w:fldCharType="end"/>
          </w:r>
        </w:p>
      </w:tc>
      <w:tc>
        <w:tcPr>
          <w:tcW w:w="510" w:type="dxa"/>
        </w:tcPr>
        <w:p w14:paraId="0CD9BC92"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8358D">
            <w:rPr>
              <w:rStyle w:val="PageNumber"/>
              <w:caps w:val="0"/>
              <w:noProof/>
            </w:rPr>
            <w:t>v</w:t>
          </w:r>
          <w:r w:rsidRPr="00A24443">
            <w:rPr>
              <w:rStyle w:val="PageNumber"/>
              <w:caps w:val="0"/>
            </w:rPr>
            <w:fldChar w:fldCharType="end"/>
          </w:r>
        </w:p>
      </w:tc>
    </w:tr>
  </w:tbl>
  <w:p w14:paraId="359F4026" w14:textId="77777777" w:rsidR="00340511" w:rsidRDefault="00340511">
    <w:pPr>
      <w:pStyle w:val="FooterEnd"/>
    </w:pPr>
  </w:p>
  <w:p w14:paraId="396CC4FA" w14:textId="77777777"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8B956" w14:textId="77777777" w:rsidR="00EC45CF" w:rsidRDefault="00EC45CF">
      <w:r>
        <w:separator/>
      </w:r>
    </w:p>
    <w:p w14:paraId="763B0F00" w14:textId="77777777" w:rsidR="00EC45CF" w:rsidRDefault="00EC45CF"/>
    <w:p w14:paraId="52BB6F75" w14:textId="77777777" w:rsidR="00EC45CF" w:rsidRDefault="00EC45CF"/>
  </w:footnote>
  <w:footnote w:type="continuationSeparator" w:id="0">
    <w:p w14:paraId="1D1D960B" w14:textId="77777777" w:rsidR="00EC45CF" w:rsidRDefault="00EC45CF">
      <w:r>
        <w:continuationSeparator/>
      </w:r>
    </w:p>
    <w:p w14:paraId="1311DB5F" w14:textId="77777777" w:rsidR="00EC45CF" w:rsidRDefault="00EC45CF"/>
    <w:p w14:paraId="2F1987E8" w14:textId="77777777" w:rsidR="00EC45CF" w:rsidRDefault="00EC45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7045DC10" w14:textId="77777777">
      <w:tc>
        <w:tcPr>
          <w:tcW w:w="2155" w:type="dxa"/>
          <w:tcBorders>
            <w:top w:val="single" w:sz="24" w:space="0" w:color="auto"/>
          </w:tcBorders>
        </w:tcPr>
        <w:p w14:paraId="457C0F65" w14:textId="77777777" w:rsidR="00D37AC2" w:rsidRDefault="00D37AC2">
          <w:pPr>
            <w:pStyle w:val="Header"/>
          </w:pPr>
        </w:p>
      </w:tc>
      <w:tc>
        <w:tcPr>
          <w:tcW w:w="6634" w:type="dxa"/>
          <w:tcBorders>
            <w:top w:val="single" w:sz="6" w:space="0" w:color="auto"/>
          </w:tcBorders>
        </w:tcPr>
        <w:p w14:paraId="436762CB" w14:textId="77777777" w:rsidR="00D37AC2" w:rsidRDefault="00D37AC2">
          <w:pPr>
            <w:pStyle w:val="Header"/>
          </w:pPr>
        </w:p>
      </w:tc>
    </w:tr>
  </w:tbl>
  <w:p w14:paraId="4318353E" w14:textId="77777777"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64B82278" w14:textId="77777777" w:rsidTr="005C68FE">
      <w:tc>
        <w:tcPr>
          <w:tcW w:w="6634" w:type="dxa"/>
          <w:tcBorders>
            <w:top w:val="single" w:sz="6" w:space="0" w:color="auto"/>
          </w:tcBorders>
        </w:tcPr>
        <w:p w14:paraId="53D9EFDF" w14:textId="77777777" w:rsidR="00D37AC2" w:rsidRDefault="00D37AC2" w:rsidP="005C68FE">
          <w:pPr>
            <w:pStyle w:val="HeaderOdd"/>
          </w:pPr>
        </w:p>
      </w:tc>
      <w:tc>
        <w:tcPr>
          <w:tcW w:w="2155" w:type="dxa"/>
          <w:tcBorders>
            <w:top w:val="single" w:sz="24" w:space="0" w:color="auto"/>
          </w:tcBorders>
        </w:tcPr>
        <w:p w14:paraId="6AD411B4" w14:textId="77777777" w:rsidR="00D37AC2" w:rsidRDefault="00D37AC2" w:rsidP="005C68FE">
          <w:pPr>
            <w:pStyle w:val="HeaderOdd"/>
          </w:pPr>
        </w:p>
      </w:tc>
    </w:tr>
  </w:tbl>
  <w:p w14:paraId="070F4E02" w14:textId="77777777"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3F49396D" w14:textId="77777777" w:rsidTr="005C68FE">
      <w:tc>
        <w:tcPr>
          <w:tcW w:w="2155" w:type="dxa"/>
          <w:tcBorders>
            <w:top w:val="single" w:sz="24" w:space="0" w:color="auto"/>
          </w:tcBorders>
        </w:tcPr>
        <w:p w14:paraId="20C27D69" w14:textId="77777777" w:rsidR="00D37AC2" w:rsidRDefault="00D37AC2" w:rsidP="005C68FE">
          <w:pPr>
            <w:pStyle w:val="HeaderEven"/>
          </w:pPr>
        </w:p>
      </w:tc>
      <w:tc>
        <w:tcPr>
          <w:tcW w:w="6634" w:type="dxa"/>
          <w:tcBorders>
            <w:top w:val="single" w:sz="6" w:space="0" w:color="auto"/>
          </w:tcBorders>
        </w:tcPr>
        <w:p w14:paraId="6051DAF1" w14:textId="77777777" w:rsidR="00D37AC2" w:rsidRDefault="00D37AC2" w:rsidP="005C68FE">
          <w:pPr>
            <w:pStyle w:val="HeaderEven"/>
          </w:pPr>
        </w:p>
      </w:tc>
    </w:tr>
  </w:tbl>
  <w:p w14:paraId="772CD752" w14:textId="77777777" w:rsidR="00D37AC2" w:rsidRDefault="00D37AC2"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28370E74" w14:textId="77777777">
      <w:tc>
        <w:tcPr>
          <w:tcW w:w="6634" w:type="dxa"/>
          <w:tcBorders>
            <w:top w:val="single" w:sz="6" w:space="0" w:color="auto"/>
          </w:tcBorders>
        </w:tcPr>
        <w:p w14:paraId="4A283605" w14:textId="77777777" w:rsidR="00D37AC2" w:rsidRDefault="00D37AC2">
          <w:pPr>
            <w:pStyle w:val="HeaderOdd"/>
          </w:pPr>
        </w:p>
      </w:tc>
      <w:tc>
        <w:tcPr>
          <w:tcW w:w="2155" w:type="dxa"/>
          <w:tcBorders>
            <w:top w:val="single" w:sz="24" w:space="0" w:color="auto"/>
          </w:tcBorders>
        </w:tcPr>
        <w:p w14:paraId="03AD3E2E" w14:textId="77777777" w:rsidR="00D37AC2" w:rsidRDefault="00D37AC2">
          <w:pPr>
            <w:pStyle w:val="HeaderOdd"/>
          </w:pPr>
        </w:p>
      </w:tc>
    </w:tr>
  </w:tbl>
  <w:p w14:paraId="63324444" w14:textId="77777777"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5CF"/>
    <w:rsid w:val="00017AFC"/>
    <w:rsid w:val="00025878"/>
    <w:rsid w:val="00026B38"/>
    <w:rsid w:val="000502D3"/>
    <w:rsid w:val="00052CB2"/>
    <w:rsid w:val="000623BF"/>
    <w:rsid w:val="000779EB"/>
    <w:rsid w:val="00095EEA"/>
    <w:rsid w:val="000973F0"/>
    <w:rsid w:val="00097C15"/>
    <w:rsid w:val="000A0A0E"/>
    <w:rsid w:val="000A5E12"/>
    <w:rsid w:val="000B416E"/>
    <w:rsid w:val="000C2F93"/>
    <w:rsid w:val="000F185F"/>
    <w:rsid w:val="000F2F5F"/>
    <w:rsid w:val="00106041"/>
    <w:rsid w:val="0010611E"/>
    <w:rsid w:val="00122FE9"/>
    <w:rsid w:val="00131572"/>
    <w:rsid w:val="00131D4F"/>
    <w:rsid w:val="0013399B"/>
    <w:rsid w:val="00133B2B"/>
    <w:rsid w:val="00162BFD"/>
    <w:rsid w:val="00180515"/>
    <w:rsid w:val="00181F4B"/>
    <w:rsid w:val="00190919"/>
    <w:rsid w:val="00196FB3"/>
    <w:rsid w:val="001A5071"/>
    <w:rsid w:val="001B4E73"/>
    <w:rsid w:val="001B7F1E"/>
    <w:rsid w:val="001D4B1F"/>
    <w:rsid w:val="001D6629"/>
    <w:rsid w:val="001E3390"/>
    <w:rsid w:val="001F2270"/>
    <w:rsid w:val="001F33BD"/>
    <w:rsid w:val="00203B40"/>
    <w:rsid w:val="00205A82"/>
    <w:rsid w:val="00211BEE"/>
    <w:rsid w:val="002164C1"/>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15678"/>
    <w:rsid w:val="00340511"/>
    <w:rsid w:val="0038647D"/>
    <w:rsid w:val="00393A49"/>
    <w:rsid w:val="003B41E0"/>
    <w:rsid w:val="003C3D73"/>
    <w:rsid w:val="003D624D"/>
    <w:rsid w:val="003E7802"/>
    <w:rsid w:val="0042007A"/>
    <w:rsid w:val="00433C81"/>
    <w:rsid w:val="00446D6B"/>
    <w:rsid w:val="00457B3F"/>
    <w:rsid w:val="00463022"/>
    <w:rsid w:val="00481CF0"/>
    <w:rsid w:val="004B492A"/>
    <w:rsid w:val="004B72DF"/>
    <w:rsid w:val="004C0B0C"/>
    <w:rsid w:val="004D151D"/>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D487A"/>
    <w:rsid w:val="005F7D30"/>
    <w:rsid w:val="00602523"/>
    <w:rsid w:val="006040CB"/>
    <w:rsid w:val="00604351"/>
    <w:rsid w:val="00607D8A"/>
    <w:rsid w:val="0061590F"/>
    <w:rsid w:val="00636497"/>
    <w:rsid w:val="00641AE2"/>
    <w:rsid w:val="0064456A"/>
    <w:rsid w:val="00644A4D"/>
    <w:rsid w:val="00650DDA"/>
    <w:rsid w:val="0065126A"/>
    <w:rsid w:val="00653FA6"/>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167D"/>
    <w:rsid w:val="00766DFB"/>
    <w:rsid w:val="007734B5"/>
    <w:rsid w:val="007809B8"/>
    <w:rsid w:val="007813A6"/>
    <w:rsid w:val="0078358D"/>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75A17"/>
    <w:rsid w:val="0098401D"/>
    <w:rsid w:val="009A789F"/>
    <w:rsid w:val="009B12EF"/>
    <w:rsid w:val="009B48F7"/>
    <w:rsid w:val="009B6185"/>
    <w:rsid w:val="009C6C6D"/>
    <w:rsid w:val="009E1E78"/>
    <w:rsid w:val="00A1597D"/>
    <w:rsid w:val="00A3285E"/>
    <w:rsid w:val="00A46989"/>
    <w:rsid w:val="00A469AA"/>
    <w:rsid w:val="00A71CE9"/>
    <w:rsid w:val="00A72A19"/>
    <w:rsid w:val="00A75A30"/>
    <w:rsid w:val="00A93C82"/>
    <w:rsid w:val="00AB2A48"/>
    <w:rsid w:val="00AC3236"/>
    <w:rsid w:val="00AD4874"/>
    <w:rsid w:val="00AE1F8A"/>
    <w:rsid w:val="00B036B2"/>
    <w:rsid w:val="00B04D19"/>
    <w:rsid w:val="00B153C3"/>
    <w:rsid w:val="00B22087"/>
    <w:rsid w:val="00B37C0E"/>
    <w:rsid w:val="00B722F2"/>
    <w:rsid w:val="00B80355"/>
    <w:rsid w:val="00B90958"/>
    <w:rsid w:val="00B95339"/>
    <w:rsid w:val="00BA0B81"/>
    <w:rsid w:val="00BB334E"/>
    <w:rsid w:val="00BB5DCF"/>
    <w:rsid w:val="00BC2476"/>
    <w:rsid w:val="00BF59EA"/>
    <w:rsid w:val="00BF79CD"/>
    <w:rsid w:val="00C058AB"/>
    <w:rsid w:val="00C0721B"/>
    <w:rsid w:val="00C12497"/>
    <w:rsid w:val="00C1265A"/>
    <w:rsid w:val="00C34C8C"/>
    <w:rsid w:val="00C50792"/>
    <w:rsid w:val="00C51371"/>
    <w:rsid w:val="00C55A45"/>
    <w:rsid w:val="00C904D9"/>
    <w:rsid w:val="00C94C06"/>
    <w:rsid w:val="00C966A9"/>
    <w:rsid w:val="00CA48BF"/>
    <w:rsid w:val="00CB3ACC"/>
    <w:rsid w:val="00CB4745"/>
    <w:rsid w:val="00CB508C"/>
    <w:rsid w:val="00CD2163"/>
    <w:rsid w:val="00CD4FE7"/>
    <w:rsid w:val="00CD5E6B"/>
    <w:rsid w:val="00CE4FBC"/>
    <w:rsid w:val="00CE5D96"/>
    <w:rsid w:val="00CE7344"/>
    <w:rsid w:val="00CF26EE"/>
    <w:rsid w:val="00D16DC3"/>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368CF"/>
    <w:rsid w:val="00E6632E"/>
    <w:rsid w:val="00E90CF2"/>
    <w:rsid w:val="00EC38C1"/>
    <w:rsid w:val="00EC45CF"/>
    <w:rsid w:val="00EC628B"/>
    <w:rsid w:val="00ED0F61"/>
    <w:rsid w:val="00EE3F6D"/>
    <w:rsid w:val="00EE73E1"/>
    <w:rsid w:val="00F0478A"/>
    <w:rsid w:val="00F12107"/>
    <w:rsid w:val="00F13165"/>
    <w:rsid w:val="00F4234E"/>
    <w:rsid w:val="00F61429"/>
    <w:rsid w:val="00F7477E"/>
    <w:rsid w:val="00F85393"/>
    <w:rsid w:val="00FA4A24"/>
    <w:rsid w:val="00FC41B4"/>
    <w:rsid w:val="00FC5A6B"/>
    <w:rsid w:val="00FD4728"/>
    <w:rsid w:val="00FD741A"/>
    <w:rsid w:val="00FF3342"/>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94B1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EC45CF"/>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EC45CF"/>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yperlink" Target="http://www.pc.gov.a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itsanhonour.gov.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tsanhonour.gov.au/coat-arms/index.cf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creativecommons.org/licenses/by/3.0/a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ct:contentTypeSchema xmlns:ct="http://schemas.microsoft.com/office/2006/metadata/contentType" xmlns:ma="http://schemas.microsoft.com/office/2006/metadata/properties/metaAttributes" ct:_="" ma:_="" ma:contentTypeName="Documents" ma:contentTypeID="0x0101001B057EA9251CD94E81E58E6726B9CC41" ma:contentTypeVersion="4" ma:contentTypeDescription="Create a new document." ma:contentTypeScope="" ma:versionID="b0aa0343160294f7a1562dd14a3bfda1">
  <xsd:schema xmlns:xsd="http://www.w3.org/2001/XMLSchema" xmlns:xs="http://www.w3.org/2001/XMLSchema" xmlns:p="http://schemas.microsoft.com/office/2006/metadata/properties" targetNamespace="http://schemas.microsoft.com/office/2006/metadata/properties" ma:root="true" ma:fieldsID="8b741d7760e7820ac40a9c32876c49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4C89361-673E-4AB7-9C98-0823439D3623}">
  <ds:schemaRefs>
    <ds:schemaRef ds:uri="http://schemas.microsoft.com/sharepoint/v3/contenttype/forms"/>
  </ds:schemaRefs>
</ds:datastoreItem>
</file>

<file path=customXml/itemProps2.xml><?xml version="1.0" encoding="utf-8"?>
<ds:datastoreItem xmlns:ds="http://schemas.openxmlformats.org/officeDocument/2006/customXml" ds:itemID="{36EAFE21-4F8C-4D68-A983-994F9C53578A}">
  <ds:schemaRefs>
    <ds:schemaRef ds:uri="http://schemas.microsoft.com/office/2006/metadata/customXsn"/>
  </ds:schemaRefs>
</ds:datastoreItem>
</file>

<file path=customXml/itemProps3.xml><?xml version="1.0" encoding="utf-8"?>
<ds:datastoreItem xmlns:ds="http://schemas.openxmlformats.org/officeDocument/2006/customXml" ds:itemID="{3E5F92E0-8CA4-405C-812C-99FCDD828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484FBB6-2875-4549-98DB-5DD04D8E24DB}">
  <ds:schemaRefs>
    <ds:schemaRef ds:uri="http://purl.org/dc/dcmityp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s>
</ds:datastoreItem>
</file>

<file path=customXml/itemProps5.xml><?xml version="1.0" encoding="utf-8"?>
<ds:datastoreItem xmlns:ds="http://schemas.openxmlformats.org/officeDocument/2006/customXml" ds:itemID="{F65E7BA5-1E3A-4196-ACBC-40DE9A46B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16</TotalTime>
  <Pages>4</Pages>
  <Words>504</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Efficiency in Health</vt:lpstr>
    </vt:vector>
  </TitlesOfParts>
  <Company>Productivity Commission</Company>
  <LinksUpToDate>false</LinksUpToDate>
  <CharactersWithSpaces>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Efficiency in Health</dc:title>
  <dc:creator>Productivity Commission</dc:creator>
  <cp:lastModifiedBy>Mark Pimperl</cp:lastModifiedBy>
  <cp:revision>6</cp:revision>
  <cp:lastPrinted>2009-07-15T23:41:00Z</cp:lastPrinted>
  <dcterms:created xsi:type="dcterms:W3CDTF">2015-04-20T01:20:00Z</dcterms:created>
  <dcterms:modified xsi:type="dcterms:W3CDTF">2015-04-20T04:46:00Z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0x0101001B057EA9251CD94E81E58E6726B9CC41</vt:lpwstr>
  </property>
</Properties>
</file>