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1F187B" w14:textId="77777777" w:rsidR="00DA3852" w:rsidRDefault="00DA3852" w:rsidP="00DA3852">
      <w:pPr>
        <w:pStyle w:val="Chapter"/>
        <w:ind w:left="907" w:hanging="907"/>
      </w:pPr>
      <w:r>
        <w:t>B</w:t>
      </w:r>
      <w:r>
        <w:tab/>
        <w:t>Eastern Australian gas market model</w:t>
      </w:r>
    </w:p>
    <w:p w14:paraId="33FAF090" w14:textId="77777777" w:rsidR="00DA3852" w:rsidRDefault="00DA3852" w:rsidP="00DA3852">
      <w:pPr>
        <w:pStyle w:val="BodyText"/>
      </w:pPr>
      <w:r>
        <w:t>The Productivity Commission has developed a partial equilibrium</w:t>
      </w:r>
      <w:r w:rsidRPr="00175523">
        <w:t xml:space="preserve"> model that </w:t>
      </w:r>
      <w:r>
        <w:t>is designed</w:t>
      </w:r>
      <w:r w:rsidRPr="00175523">
        <w:t xml:space="preserve"> to capture the </w:t>
      </w:r>
      <w:r w:rsidRPr="006D03FA">
        <w:t>underlying economic fundamentals</w:t>
      </w:r>
      <w:r w:rsidRPr="00175523">
        <w:t xml:space="preserve"> of the eastern Australian gas market</w:t>
      </w:r>
      <w:r>
        <w:t>.</w:t>
      </w:r>
    </w:p>
    <w:p w14:paraId="3CEBA1E6" w14:textId="77777777" w:rsidR="00DA3852" w:rsidRDefault="00DA3852" w:rsidP="00DA3852">
      <w:pPr>
        <w:pStyle w:val="BodyText"/>
      </w:pPr>
      <w:r>
        <w:t>The aim of the modelling work is to contribute to the Commission’s research and the policy debate more broadly through:</w:t>
      </w:r>
    </w:p>
    <w:p w14:paraId="36AEC960" w14:textId="77777777" w:rsidR="00DA3852" w:rsidRDefault="00DA3852" w:rsidP="00DA3852">
      <w:pPr>
        <w:pStyle w:val="ListNumber"/>
        <w:numPr>
          <w:ilvl w:val="0"/>
          <w:numId w:val="22"/>
        </w:numPr>
      </w:pPr>
      <w:r>
        <w:t>demonstrating the long</w:t>
      </w:r>
      <w:r>
        <w:noBreakHyphen/>
        <w:t>term effects of linkage to international gas markets through development of liquefied natural gas (LNG) export capacity, including the effects on various gas market participants in different parts of the eastern Australian gas market</w:t>
      </w:r>
    </w:p>
    <w:p w14:paraId="6A703307" w14:textId="77777777" w:rsidR="00DA3852" w:rsidRDefault="00DA3852" w:rsidP="00DA3852">
      <w:pPr>
        <w:pStyle w:val="ListNumber"/>
      </w:pPr>
      <w:r>
        <w:t xml:space="preserve">investigating the effects of current and proposed gas market policies, including coal seam gas (CSG) moratoria and domestic gas reservation, as well as the implications if gas market regulation were to cause delays in transmission pipeline investment </w:t>
      </w:r>
    </w:p>
    <w:p w14:paraId="6D62747F" w14:textId="77777777" w:rsidR="00DA3852" w:rsidRDefault="00DA3852" w:rsidP="00DA3852">
      <w:pPr>
        <w:pStyle w:val="ListNumber"/>
      </w:pPr>
      <w:proofErr w:type="gramStart"/>
      <w:r>
        <w:t>publishing</w:t>
      </w:r>
      <w:proofErr w:type="gramEnd"/>
      <w:r>
        <w:t xml:space="preserve"> the full details of the model to allow other users to extend and adapt the model for other purposes.</w:t>
      </w:r>
      <w:r w:rsidRPr="00D54D05">
        <w:rPr>
          <w:rStyle w:val="FootnoteReference"/>
        </w:rPr>
        <w:footnoteReference w:id="2"/>
      </w:r>
    </w:p>
    <w:p w14:paraId="751C2DFC" w14:textId="3A37D635" w:rsidR="00DA3852" w:rsidRDefault="00DA3852" w:rsidP="00DA3852">
      <w:pPr>
        <w:pStyle w:val="BodyText"/>
      </w:pPr>
      <w:r w:rsidRPr="004907D0">
        <w:t xml:space="preserve">Policy insights are the </w:t>
      </w:r>
      <w:r>
        <w:t>focus of the modelling work</w:t>
      </w:r>
      <w:r w:rsidRPr="004907D0">
        <w:t xml:space="preserve"> and </w:t>
      </w:r>
      <w:r>
        <w:t xml:space="preserve">priority has been given to ensuring that </w:t>
      </w:r>
      <w:r w:rsidRPr="004907D0">
        <w:t xml:space="preserve">the model </w:t>
      </w:r>
      <w:r>
        <w:t xml:space="preserve">is </w:t>
      </w:r>
      <w:r w:rsidRPr="004907D0">
        <w:t>as simple as possi</w:t>
      </w:r>
      <w:r>
        <w:t>ble to achieve this objective, facilitating transparency in the modelling approach and use of data. The model has not been designed to capture the full engineering detail of the gas transmission network or all the complexities of the eastern Australian gas market. Nor is the model intended to be used to optimise the operation and design of the transmission network, to forecast gas prices or to evaluate potential investment proposals.</w:t>
      </w:r>
      <w:r w:rsidRPr="00CD5ECD">
        <w:t xml:space="preserve"> </w:t>
      </w:r>
      <w:r>
        <w:t>The purpose of the model is to capture the economic fundamentals as they would apply in an efficient market or a market subject to policy intervention.</w:t>
      </w:r>
    </w:p>
    <w:p w14:paraId="551D1482" w14:textId="77777777" w:rsidR="00DA3852" w:rsidRDefault="00DA3852" w:rsidP="00DA3852">
      <w:pPr>
        <w:pStyle w:val="Heading2"/>
      </w:pPr>
      <w:bookmarkStart w:id="0" w:name="_Toc410222276"/>
      <w:r>
        <w:t>B.1</w:t>
      </w:r>
      <w:r>
        <w:tab/>
        <w:t>The model framework</w:t>
      </w:r>
      <w:bookmarkEnd w:id="0"/>
    </w:p>
    <w:p w14:paraId="57A891B9" w14:textId="7EF8C385" w:rsidR="00DA3852" w:rsidRDefault="00DA3852" w:rsidP="00DA3852">
      <w:pPr>
        <w:pStyle w:val="BodyText"/>
      </w:pPr>
      <w:r>
        <w:t xml:space="preserve">The model captures both the supply and demand sides of the eastern Australian gas market. Gas production, processing, transmission, storage and LNG conversion are identified as separate activities in the supply chain (figure B.1). Demand for gas is also disaggregated into demand from electricity generators, industry and mass market users. Gas distribution and retail are not explicitly identified. Retail margins and distribution costs are not expected to change substantially as a consequence of linking between the eastern </w:t>
      </w:r>
      <w:r>
        <w:lastRenderedPageBreak/>
        <w:t xml:space="preserve">Australian gas market and international markets or from the policy options investigated, so the focus is on the wholesale gas market. </w:t>
      </w:r>
    </w:p>
    <w:p w14:paraId="78EB3F85" w14:textId="77777777" w:rsidR="00DA3852" w:rsidRDefault="00DA3852" w:rsidP="00DA3852">
      <w:pPr>
        <w:pStyle w:val="Heading3"/>
        <w:spacing w:before="360"/>
      </w:pPr>
      <w:bookmarkStart w:id="1" w:name="_Toc410222277"/>
      <w:r>
        <w:t>Geographical and temporal detail in the model</w:t>
      </w:r>
      <w:bookmarkEnd w:id="1"/>
    </w:p>
    <w:p w14:paraId="73F0BEEF" w14:textId="65101B39" w:rsidR="00DA3852" w:rsidRDefault="00DA3852" w:rsidP="00DA3852">
      <w:pPr>
        <w:pStyle w:val="BodyText"/>
      </w:pPr>
      <w:r>
        <w:t>The level of geographical detail represented is illustrated in figure B.2. This simplified representation captures key transmission pipelines that link major supply basins and demand centres in the eastern Australian gas market. Supply basins and demand centres are represented by ‘nodes’ in the model. Each supply basin contains up to ten fields, with production from each field limited by the quantity of gas reserves recoverable from that field. The Moranbah Gas Project — as well as demand that this project serves at Moranbah and Townsville — is not included as it is not physically connected to the rest of the eastern Australian gas market. Other gas reserves in the Bowen basin are included as part of the Surat–Bowen basins.</w:t>
      </w:r>
      <w:r w:rsidRPr="00D54D05">
        <w:rPr>
          <w:rStyle w:val="FootnoteReference"/>
        </w:rPr>
        <w:footnoteReference w:id="3"/>
      </w:r>
      <w:r>
        <w:t xml:space="preserve"> </w:t>
      </w:r>
    </w:p>
    <w:p w14:paraId="75D9CD22" w14:textId="35F14155" w:rsidR="00DA3852" w:rsidRDefault="00DA3852" w:rsidP="00DA3852">
      <w:pPr>
        <w:pStyle w:val="BodyText"/>
      </w:pPr>
      <w:r w:rsidRPr="00D107E0">
        <w:t xml:space="preserve">The model is </w:t>
      </w:r>
      <w:r>
        <w:t>dynamic, covering a period</w:t>
      </w:r>
      <w:r w:rsidRPr="00D107E0">
        <w:t xml:space="preserve"> of 40 years. </w:t>
      </w:r>
      <w:r>
        <w:t>For</w:t>
      </w:r>
      <w:r w:rsidRPr="00D107E0">
        <w:t xml:space="preserve"> each year there are two seasons (a </w:t>
      </w:r>
      <w:r>
        <w:t>three</w:t>
      </w:r>
      <w:r w:rsidRPr="00D107E0">
        <w:t xml:space="preserve"> month winter from June to August and a 9 month ‘summer’ from September to May), with the </w:t>
      </w:r>
      <w:r>
        <w:t>first period</w:t>
      </w:r>
      <w:r w:rsidRPr="00D107E0">
        <w:t xml:space="preserve"> commencing </w:t>
      </w:r>
      <w:r>
        <w:t>in</w:t>
      </w:r>
      <w:r w:rsidRPr="00D107E0">
        <w:t xml:space="preserve"> September 2012. Data from the Australian Energy Market Operator (AEMO) indicate that in Melbourne and Sydney — the two cities that consume the most gas in the eastern market — mass market demand peaks over the three</w:t>
      </w:r>
      <w:r w:rsidRPr="00D107E0">
        <w:noBreakHyphen/>
        <w:t>month period between June and August each year (pers. comm., 12</w:t>
      </w:r>
      <w:r>
        <w:t> </w:t>
      </w:r>
      <w:r w:rsidRPr="00D107E0">
        <w:t xml:space="preserve">November 2014). Separating each year into two seasons allows pipeline and supply constraints during periods of high demand in winter to be captured without a substantial increase in the size and complexity of the model. The modelling is not designed to capture issues in meeting daily demand and so factors that are relevant for meeting daily peak flows but not seasonal peaks (in particular, </w:t>
      </w:r>
      <w:proofErr w:type="spellStart"/>
      <w:r w:rsidRPr="00D107E0">
        <w:t>linepack</w:t>
      </w:r>
      <w:proofErr w:type="spellEnd"/>
      <w:r w:rsidRPr="00D107E0">
        <w:t xml:space="preserve"> on transmission pipelines and LNG storage) are not </w:t>
      </w:r>
      <w:r>
        <w:t>included</w:t>
      </w:r>
      <w:r w:rsidRPr="00D107E0">
        <w:t>.</w:t>
      </w:r>
    </w:p>
    <w:p w14:paraId="3F9F8A5C" w14:textId="77777777" w:rsidR="00DA3852" w:rsidRDefault="00DA3852" w:rsidP="00DA3852">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DA3852" w14:paraId="1D20D5BC" w14:textId="77777777" w:rsidTr="00C03F9E">
        <w:tc>
          <w:tcPr>
            <w:tcW w:w="8771" w:type="dxa"/>
            <w:tcBorders>
              <w:top w:val="single" w:sz="6" w:space="0" w:color="78A22F"/>
              <w:left w:val="nil"/>
              <w:bottom w:val="nil"/>
              <w:right w:val="nil"/>
            </w:tcBorders>
            <w:shd w:val="clear" w:color="auto" w:fill="auto"/>
          </w:tcPr>
          <w:p w14:paraId="668BD2BF" w14:textId="7F222C8F" w:rsidR="00DA3852" w:rsidRPr="00176D3F" w:rsidRDefault="00DA3852" w:rsidP="00C03F9E">
            <w:pPr>
              <w:pStyle w:val="FigureTitle"/>
            </w:pPr>
            <w:r w:rsidRPr="00784A05">
              <w:rPr>
                <w:b w:val="0"/>
              </w:rPr>
              <w:t xml:space="preserve">Figure </w:t>
            </w:r>
            <w:r>
              <w:rPr>
                <w:b w:val="0"/>
              </w:rPr>
              <w:t>B.</w:t>
            </w:r>
            <w:r>
              <w:rPr>
                <w:b w:val="0"/>
                <w:noProof/>
              </w:rPr>
              <w:t>1</w:t>
            </w:r>
            <w:r>
              <w:tab/>
              <w:t>Gas supply chain as modelled</w:t>
            </w:r>
          </w:p>
        </w:tc>
      </w:tr>
      <w:tr w:rsidR="00DA3852" w14:paraId="700FD330" w14:textId="77777777" w:rsidTr="00C03F9E">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DA3852" w14:paraId="14E5D269" w14:textId="77777777" w:rsidTr="00C03F9E">
              <w:trPr>
                <w:jc w:val="center"/>
              </w:trPr>
              <w:tc>
                <w:tcPr>
                  <w:tcW w:w="5000" w:type="pct"/>
                  <w:tcBorders>
                    <w:top w:val="nil"/>
                    <w:bottom w:val="nil"/>
                  </w:tcBorders>
                </w:tcPr>
                <w:p w14:paraId="0FB459CD" w14:textId="77777777" w:rsidR="00DA3852" w:rsidRDefault="00DA3852" w:rsidP="00C03F9E">
                  <w:pPr>
                    <w:pStyle w:val="Figure"/>
                    <w:spacing w:before="60" w:after="60"/>
                  </w:pPr>
                  <w:r>
                    <w:rPr>
                      <w:noProof/>
                    </w:rPr>
                    <mc:AlternateContent>
                      <mc:Choice Requires="wps">
                        <w:drawing>
                          <wp:anchor distT="0" distB="0" distL="114300" distR="114300" simplePos="0" relativeHeight="251658247" behindDoc="0" locked="0" layoutInCell="1" allowOverlap="1" wp14:anchorId="7F14E23C" wp14:editId="5F381BBE">
                            <wp:simplePos x="0" y="0"/>
                            <wp:positionH relativeFrom="column">
                              <wp:posOffset>3192460</wp:posOffset>
                            </wp:positionH>
                            <wp:positionV relativeFrom="paragraph">
                              <wp:posOffset>61595</wp:posOffset>
                            </wp:positionV>
                            <wp:extent cx="297180" cy="245745"/>
                            <wp:effectExtent l="0" t="0" r="0" b="190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45745"/>
                                    </a:xfrm>
                                    <a:prstGeom prst="rect">
                                      <a:avLst/>
                                    </a:prstGeom>
                                    <a:noFill/>
                                    <a:ln w="9525">
                                      <a:noFill/>
                                      <a:miter lim="800000"/>
                                      <a:headEnd/>
                                      <a:tailEnd/>
                                    </a:ln>
                                  </wps:spPr>
                                  <wps:txbx>
                                    <w:txbxContent>
                                      <w:p w14:paraId="4ECD42F3" w14:textId="77777777" w:rsidR="00D90D06" w:rsidRDefault="00D90D06" w:rsidP="00DA3852">
                                        <w:proofErr w:type="gramStart"/>
                                        <w:r>
                                          <w:rPr>
                                            <w:rStyle w:val="NoteLabel"/>
                                          </w:rPr>
                                          <w:t>a</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1.35pt;margin-top:4.85pt;width:23.4pt;height:19.35pt;z-index:25165824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" filled="f" stroked="f">
                            <v:textbox style="mso-fit-shape-to-text:t">
                              <w:txbxContent>
                                <w:p w14:paraId="4ECD42F3" w14:textId="77777777" w:rsidR="00D90D06" w:rsidRDefault="00D90D06" w:rsidP="00DA3852">
                                  <w:r>
                                    <w:rPr>
                                      <w:rStyle w:val="NoteLabel"/>
                                    </w:rPr>
                                    <w:t>a</w:t>
                                  </w:r>
                                </w:p>
                              </w:txbxContent>
                            </v:textbox>
                          </v:shape>
                        </w:pict>
                      </mc:Fallback>
                    </mc:AlternateContent>
                  </w:r>
                  <w:r w:rsidRPr="00111A0E">
                    <w:rPr>
                      <w:rFonts w:asciiTheme="majorHAnsi" w:hAnsiTheme="majorHAnsi" w:cstheme="majorHAnsi"/>
                      <w:b/>
                      <w:i/>
                      <w:noProof/>
                      <w:sz w:val="22"/>
                      <w:szCs w:val="22"/>
                    </w:rPr>
                    <w:drawing>
                      <wp:anchor distT="0" distB="0" distL="114300" distR="114300" simplePos="0" relativeHeight="251658248" behindDoc="1" locked="0" layoutInCell="1" allowOverlap="1" wp14:anchorId="068D4349" wp14:editId="7310D05D">
                        <wp:simplePos x="0" y="0"/>
                        <wp:positionH relativeFrom="column">
                          <wp:posOffset>-2540</wp:posOffset>
                        </wp:positionH>
                        <wp:positionV relativeFrom="paragraph">
                          <wp:posOffset>-1905</wp:posOffset>
                        </wp:positionV>
                        <wp:extent cx="5343525" cy="1301115"/>
                        <wp:effectExtent l="0" t="0" r="0" b="0"/>
                        <wp:wrapSquare wrapText="bothSides"/>
                        <wp:docPr id="224" name="Picture 224" descr="The gas supply chain has a number of stages. Gas is extracted from reserves and then processed. Following processing, gas is typically transmitted through long-distance pipelines. Following transmission, gas is distributed to domestic consumers or converted to LNG for export. Storage can occur before or after transmiss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43525" cy="13011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FC5BDD1" w14:textId="77777777" w:rsidR="00DA3852" w:rsidRDefault="00DA3852" w:rsidP="00C03F9E">
            <w:pPr>
              <w:pStyle w:val="Figure"/>
            </w:pPr>
          </w:p>
        </w:tc>
      </w:tr>
      <w:tr w:rsidR="00DA3852" w:rsidRPr="00176D3F" w14:paraId="08CC9F24" w14:textId="77777777" w:rsidTr="00C03F9E">
        <w:tc>
          <w:tcPr>
            <w:tcW w:w="8771" w:type="dxa"/>
            <w:tcBorders>
              <w:top w:val="nil"/>
              <w:left w:val="nil"/>
              <w:bottom w:val="nil"/>
              <w:right w:val="nil"/>
            </w:tcBorders>
            <w:shd w:val="clear" w:color="auto" w:fill="auto"/>
          </w:tcPr>
          <w:p w14:paraId="2A25D798" w14:textId="3F6642A5" w:rsidR="00DA3852" w:rsidRPr="00176D3F" w:rsidRDefault="00DA3852" w:rsidP="00C03F9E">
            <w:pPr>
              <w:pStyle w:val="Source"/>
            </w:pPr>
            <w:proofErr w:type="gramStart"/>
            <w:r>
              <w:rPr>
                <w:rStyle w:val="NoteLabel"/>
              </w:rPr>
              <w:t>a</w:t>
            </w:r>
            <w:proofErr w:type="gramEnd"/>
            <w:r>
              <w:t> Storage can occur either after transmission (for example, at Brisbane) or prior to transmission (for example, in the Cooper basin).</w:t>
            </w:r>
          </w:p>
        </w:tc>
      </w:tr>
      <w:tr w:rsidR="00DA3852" w14:paraId="39709DDB" w14:textId="77777777" w:rsidTr="00C03F9E">
        <w:tc>
          <w:tcPr>
            <w:tcW w:w="8771" w:type="dxa"/>
            <w:tcBorders>
              <w:top w:val="nil"/>
              <w:left w:val="nil"/>
              <w:bottom w:val="single" w:sz="6" w:space="0" w:color="78A22F"/>
              <w:right w:val="nil"/>
            </w:tcBorders>
            <w:shd w:val="clear" w:color="auto" w:fill="auto"/>
          </w:tcPr>
          <w:p w14:paraId="2D01CF0B" w14:textId="77777777" w:rsidR="00DA3852" w:rsidRDefault="00DA3852" w:rsidP="00C03F9E">
            <w:pPr>
              <w:pStyle w:val="Figurespace"/>
            </w:pPr>
          </w:p>
        </w:tc>
      </w:tr>
      <w:tr w:rsidR="00DA3852" w:rsidRPr="000863A5" w14:paraId="21FF2384" w14:textId="77777777" w:rsidTr="00C03F9E">
        <w:tc>
          <w:tcPr>
            <w:tcW w:w="8771" w:type="dxa"/>
            <w:tcBorders>
              <w:top w:val="single" w:sz="6" w:space="0" w:color="78A22F"/>
              <w:left w:val="nil"/>
              <w:bottom w:val="nil"/>
              <w:right w:val="nil"/>
            </w:tcBorders>
          </w:tcPr>
          <w:p w14:paraId="3064B1A0" w14:textId="77777777" w:rsidR="00DA3852" w:rsidRPr="00626D32" w:rsidRDefault="00DA3852" w:rsidP="00C03F9E">
            <w:pPr>
              <w:pStyle w:val="BoxSpaceBelow"/>
            </w:pPr>
          </w:p>
        </w:tc>
      </w:tr>
    </w:tbl>
    <w:p w14:paraId="54023101" w14:textId="77777777" w:rsidR="00DA3852" w:rsidRDefault="00DA3852" w:rsidP="00DA3852">
      <w:pPr>
        <w:pStyle w:val="BoxSpaceAbove"/>
        <w:spacing w:before="120"/>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DA3852" w14:paraId="01A17F53" w14:textId="77777777" w:rsidTr="00C03F9E">
        <w:tc>
          <w:tcPr>
            <w:tcW w:w="8771" w:type="dxa"/>
            <w:tcBorders>
              <w:top w:val="single" w:sz="6" w:space="0" w:color="78A22F"/>
              <w:left w:val="nil"/>
              <w:bottom w:val="nil"/>
              <w:right w:val="nil"/>
            </w:tcBorders>
            <w:shd w:val="clear" w:color="auto" w:fill="auto"/>
          </w:tcPr>
          <w:p w14:paraId="731EDA16" w14:textId="18E25896" w:rsidR="00DA3852" w:rsidRPr="00176D3F" w:rsidRDefault="00DA3852" w:rsidP="00C03F9E">
            <w:pPr>
              <w:pStyle w:val="FigureTitle"/>
            </w:pPr>
            <w:r w:rsidRPr="00784A05">
              <w:rPr>
                <w:b w:val="0"/>
              </w:rPr>
              <w:t xml:space="preserve">Figure </w:t>
            </w:r>
            <w:r>
              <w:rPr>
                <w:b w:val="0"/>
              </w:rPr>
              <w:t>B.</w:t>
            </w:r>
            <w:r>
              <w:rPr>
                <w:b w:val="0"/>
                <w:noProof/>
              </w:rPr>
              <w:t>2</w:t>
            </w:r>
            <w:r>
              <w:tab/>
              <w:t>Eastern Australian gas market model topology</w:t>
            </w:r>
          </w:p>
        </w:tc>
      </w:tr>
      <w:tr w:rsidR="00DA3852" w14:paraId="63584E2A" w14:textId="77777777" w:rsidTr="00C03F9E">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DA3852" w14:paraId="6F39C07D" w14:textId="77777777" w:rsidTr="00C03F9E">
              <w:trPr>
                <w:jc w:val="center"/>
              </w:trPr>
              <w:tc>
                <w:tcPr>
                  <w:tcW w:w="5000" w:type="pct"/>
                  <w:tcBorders>
                    <w:top w:val="nil"/>
                    <w:bottom w:val="nil"/>
                  </w:tcBorders>
                </w:tcPr>
                <w:p w14:paraId="2B9E33E6" w14:textId="77777777" w:rsidR="00DA3852" w:rsidRDefault="00DA3852" w:rsidP="00C03F9E">
                  <w:pPr>
                    <w:pStyle w:val="Figure"/>
                    <w:spacing w:before="60" w:after="60"/>
                  </w:pPr>
                  <w:r>
                    <w:rPr>
                      <w:noProof/>
                    </w:rPr>
                    <mc:AlternateContent>
                      <mc:Choice Requires="wps">
                        <w:drawing>
                          <wp:anchor distT="0" distB="0" distL="114300" distR="114300" simplePos="0" relativeHeight="251658242" behindDoc="0" locked="0" layoutInCell="1" allowOverlap="1" wp14:anchorId="6033C7A1" wp14:editId="3D7E476D">
                            <wp:simplePos x="0" y="0"/>
                            <wp:positionH relativeFrom="column">
                              <wp:posOffset>3124136</wp:posOffset>
                            </wp:positionH>
                            <wp:positionV relativeFrom="paragraph">
                              <wp:posOffset>1279525</wp:posOffset>
                            </wp:positionV>
                            <wp:extent cx="297180" cy="245745"/>
                            <wp:effectExtent l="0" t="0" r="0" b="190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45745"/>
                                    </a:xfrm>
                                    <a:prstGeom prst="rect">
                                      <a:avLst/>
                                    </a:prstGeom>
                                    <a:noFill/>
                                    <a:ln w="9525">
                                      <a:noFill/>
                                      <a:miter lim="800000"/>
                                      <a:headEnd/>
                                      <a:tailEnd/>
                                    </a:ln>
                                  </wps:spPr>
                                  <wps:txbx>
                                    <w:txbxContent>
                                      <w:p w14:paraId="338E34C0" w14:textId="77777777" w:rsidR="00D90D06" w:rsidRDefault="00D90D06" w:rsidP="00DA3852">
                                        <w:proofErr w:type="gramStart"/>
                                        <w:r>
                                          <w:rPr>
                                            <w:rStyle w:val="NoteLabel"/>
                                          </w:rPr>
                                          <w:t>a</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46pt;margin-top:100.75pt;width:23.4pt;height:19.35pt;z-index:25165824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" filled="f" stroked="f">
                            <v:textbox style="mso-fit-shape-to-text:t">
                              <w:txbxContent>
                                <w:p w14:paraId="338E34C0" w14:textId="77777777" w:rsidR="00D90D06" w:rsidRDefault="00D90D06" w:rsidP="00DA3852">
                                  <w:r>
                                    <w:rPr>
                                      <w:rStyle w:val="NoteLabel"/>
                                    </w:rPr>
                                    <w:t>a</w:t>
                                  </w:r>
                                </w:p>
                              </w:txbxContent>
                            </v:textbox>
                          </v:shape>
                        </w:pict>
                      </mc:Fallback>
                    </mc:AlternateContent>
                  </w:r>
                  <w:r>
                    <w:rPr>
                      <w:noProof/>
                    </w:rPr>
                    <mc:AlternateContent>
                      <mc:Choice Requires="wps">
                        <w:drawing>
                          <wp:anchor distT="0" distB="0" distL="114300" distR="114300" simplePos="0" relativeHeight="251658246" behindDoc="0" locked="0" layoutInCell="1" allowOverlap="1" wp14:anchorId="3086F591" wp14:editId="448794C4">
                            <wp:simplePos x="0" y="0"/>
                            <wp:positionH relativeFrom="column">
                              <wp:posOffset>3282315</wp:posOffset>
                            </wp:positionH>
                            <wp:positionV relativeFrom="paragraph">
                              <wp:posOffset>2219389</wp:posOffset>
                            </wp:positionV>
                            <wp:extent cx="297180" cy="245745"/>
                            <wp:effectExtent l="0" t="0" r="0" b="190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45745"/>
                                    </a:xfrm>
                                    <a:prstGeom prst="rect">
                                      <a:avLst/>
                                    </a:prstGeom>
                                    <a:noFill/>
                                    <a:ln w="9525">
                                      <a:noFill/>
                                      <a:miter lim="800000"/>
                                      <a:headEnd/>
                                      <a:tailEnd/>
                                    </a:ln>
                                  </wps:spPr>
                                  <wps:txbx>
                                    <w:txbxContent>
                                      <w:p w14:paraId="718A86BC" w14:textId="77777777" w:rsidR="00D90D06" w:rsidRDefault="00D90D06" w:rsidP="00DA3852">
                                        <w:proofErr w:type="gramStart"/>
                                        <w:r>
                                          <w:rPr>
                                            <w:rStyle w:val="NoteLabel"/>
                                          </w:rPr>
                                          <w:t>b</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258.45pt;margin-top:174.75pt;width:23.4pt;height:19.35pt;z-index:25165824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" filled="f" stroked="f">
                            <v:textbox style="mso-fit-shape-to-text:t">
                              <w:txbxContent>
                                <w:p w14:paraId="718A86BC" w14:textId="77777777" w:rsidR="00D90D06" w:rsidRDefault="00D90D06" w:rsidP="00DA3852">
                                  <w:r>
                                    <w:rPr>
                                      <w:rStyle w:val="NoteLabel"/>
                                    </w:rPr>
                                    <w:t>b</w:t>
                                  </w:r>
                                </w:p>
                              </w:txbxContent>
                            </v:textbox>
                          </v:shape>
                        </w:pict>
                      </mc:Fallback>
                    </mc:AlternateContent>
                  </w:r>
                  <w:r>
                    <w:rPr>
                      <w:noProof/>
                    </w:rPr>
                    <mc:AlternateContent>
                      <mc:Choice Requires="wps">
                        <w:drawing>
                          <wp:anchor distT="0" distB="0" distL="114300" distR="114300" simplePos="0" relativeHeight="251658244" behindDoc="0" locked="0" layoutInCell="1" allowOverlap="1" wp14:anchorId="2062FBEC" wp14:editId="1067429C">
                            <wp:simplePos x="0" y="0"/>
                            <wp:positionH relativeFrom="column">
                              <wp:posOffset>3172524</wp:posOffset>
                            </wp:positionH>
                            <wp:positionV relativeFrom="paragraph">
                              <wp:posOffset>3549015</wp:posOffset>
                            </wp:positionV>
                            <wp:extent cx="297180" cy="245745"/>
                            <wp:effectExtent l="0" t="0" r="0" b="190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45745"/>
                                    </a:xfrm>
                                    <a:prstGeom prst="rect">
                                      <a:avLst/>
                                    </a:prstGeom>
                                    <a:noFill/>
                                    <a:ln w="9525">
                                      <a:noFill/>
                                      <a:miter lim="800000"/>
                                      <a:headEnd/>
                                      <a:tailEnd/>
                                    </a:ln>
                                  </wps:spPr>
                                  <wps:txbx>
                                    <w:txbxContent>
                                      <w:p w14:paraId="6A5FC418" w14:textId="77777777" w:rsidR="00D90D06" w:rsidRDefault="00D90D06" w:rsidP="00DA3852">
                                        <w:proofErr w:type="gramStart"/>
                                        <w:r>
                                          <w:rPr>
                                            <w:rStyle w:val="NoteLabel"/>
                                          </w:rPr>
                                          <w:t>d</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249.8pt;margin-top:279.45pt;width:23.4pt;height:19.35pt;z-index:2516582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" filled="f" stroked="f">
                            <v:textbox style="mso-fit-shape-to-text:t">
                              <w:txbxContent>
                                <w:p w14:paraId="6A5FC418" w14:textId="77777777" w:rsidR="00D90D06" w:rsidRDefault="00D90D06" w:rsidP="00DA3852">
                                  <w:r>
                                    <w:rPr>
                                      <w:rStyle w:val="NoteLabel"/>
                                    </w:rPr>
                                    <w:t>d</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64732526" wp14:editId="306511C6">
                            <wp:simplePos x="0" y="0"/>
                            <wp:positionH relativeFrom="column">
                              <wp:posOffset>4713669</wp:posOffset>
                            </wp:positionH>
                            <wp:positionV relativeFrom="paragraph">
                              <wp:posOffset>2667000</wp:posOffset>
                            </wp:positionV>
                            <wp:extent cx="297180" cy="245745"/>
                            <wp:effectExtent l="0" t="0" r="0" b="190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45745"/>
                                    </a:xfrm>
                                    <a:prstGeom prst="rect">
                                      <a:avLst/>
                                    </a:prstGeom>
                                    <a:noFill/>
                                    <a:ln w="9525">
                                      <a:noFill/>
                                      <a:miter lim="800000"/>
                                      <a:headEnd/>
                                      <a:tailEnd/>
                                    </a:ln>
                                  </wps:spPr>
                                  <wps:txbx>
                                    <w:txbxContent>
                                      <w:p w14:paraId="76F2B8D6" w14:textId="77777777" w:rsidR="00D90D06" w:rsidRDefault="00D90D06" w:rsidP="00DA3852">
                                        <w:proofErr w:type="gramStart"/>
                                        <w:r>
                                          <w:rPr>
                                            <w:rStyle w:val="NoteLabel"/>
                                          </w:rPr>
                                          <w:t>c</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371.15pt;margin-top:210pt;width:23.4pt;height:19.35pt;z-index:25165824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" filled="f" stroked="f">
                            <v:textbox style="mso-fit-shape-to-text:t">
                              <w:txbxContent>
                                <w:p w14:paraId="76F2B8D6" w14:textId="77777777" w:rsidR="00D90D06" w:rsidRDefault="00D90D06" w:rsidP="00DA3852">
                                  <w:r>
                                    <w:rPr>
                                      <w:rStyle w:val="NoteLabel"/>
                                    </w:rPr>
                                    <w:t>c</w:t>
                                  </w:r>
                                </w:p>
                              </w:txbxContent>
                            </v:textbox>
                          </v:shape>
                        </w:pict>
                      </mc:Fallback>
                    </mc:AlternateContent>
                  </w:r>
                  <w:r>
                    <w:rPr>
                      <w:noProof/>
                    </w:rPr>
                    <mc:AlternateContent>
                      <mc:Choice Requires="wps">
                        <w:drawing>
                          <wp:anchor distT="0" distB="0" distL="114300" distR="114300" simplePos="0" relativeHeight="251658245" behindDoc="0" locked="0" layoutInCell="1" allowOverlap="1" wp14:anchorId="3067B325" wp14:editId="15506098">
                            <wp:simplePos x="0" y="0"/>
                            <wp:positionH relativeFrom="column">
                              <wp:posOffset>2054860</wp:posOffset>
                            </wp:positionH>
                            <wp:positionV relativeFrom="paragraph">
                              <wp:posOffset>4076700</wp:posOffset>
                            </wp:positionV>
                            <wp:extent cx="297180" cy="245745"/>
                            <wp:effectExtent l="0" t="0" r="0" b="190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45745"/>
                                    </a:xfrm>
                                    <a:prstGeom prst="rect">
                                      <a:avLst/>
                                    </a:prstGeom>
                                    <a:noFill/>
                                    <a:ln w="9525">
                                      <a:noFill/>
                                      <a:miter lim="800000"/>
                                      <a:headEnd/>
                                      <a:tailEnd/>
                                    </a:ln>
                                  </wps:spPr>
                                  <wps:txbx>
                                    <w:txbxContent>
                                      <w:p w14:paraId="58A9EE10" w14:textId="77777777" w:rsidR="00D90D06" w:rsidRDefault="00D90D06" w:rsidP="00DA3852">
                                        <w:proofErr w:type="gramStart"/>
                                        <w:r>
                                          <w:rPr>
                                            <w:rStyle w:val="NoteLabel"/>
                                          </w:rPr>
                                          <w:t>e</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161.8pt;margin-top:321pt;width:23.4pt;height:19.35pt;z-index:25165824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" filled="f" stroked="f">
                            <v:textbox style="mso-fit-shape-to-text:t">
                              <w:txbxContent>
                                <w:p w14:paraId="58A9EE10" w14:textId="77777777" w:rsidR="00D90D06" w:rsidRDefault="00D90D06" w:rsidP="00DA3852">
                                  <w:r>
                                    <w:rPr>
                                      <w:rStyle w:val="NoteLabel"/>
                                    </w:rPr>
                                    <w:t>e</w:t>
                                  </w:r>
                                </w:p>
                              </w:txbxContent>
                            </v:textbox>
                          </v:shape>
                        </w:pict>
                      </mc:Fallback>
                    </mc:AlternateContent>
                  </w:r>
                  <w:r>
                    <w:t xml:space="preserve"> </w:t>
                  </w:r>
                  <w:r>
                    <w:rPr>
                      <w:noProof/>
                    </w:rPr>
                    <w:drawing>
                      <wp:inline distT="0" distB="0" distL="0" distR="0" wp14:anchorId="47966C01" wp14:editId="56A090F7">
                        <wp:extent cx="5191958" cy="6634800"/>
                        <wp:effectExtent l="0" t="0" r="8890" b="0"/>
                        <wp:docPr id="225" name="Picture 225" descr="Key supply basins and demand centres are represented by ‘nodes’ in the Commission’s model. Key transmission pipelines and storage facilities are also represented. The Bass, Clarence-Morton, Cooper, Gippsland, Gunnedah, Otway, Surat-Bowen, and Sydney supply nodes are represented in the model. The Adelaide, Brisbane, Gladstone, Melbourne, Otway, Surat-Bowen, Sydney, Tasmania and Young demand nodes. Storage is represented at the Brisbane, Cooper, Otway and Surat Bowen nodes. The following transmission pipelines are represented: the Carpentaria Gas Pipeline (CGP); Central West and Ranges pipelines (CWRP); Eastern Gas Pipeline (EGP); Longford to Melbourne Pipeline (LMP); Moomba to Adelaide Pipeline System (MAPS); Moomba to Sydney Pipeline (MSP); NSW-Victoria Interconnector (NVI); Queensland Gas Pipeline (QGP); South East Gas Pipeline; South West Pipeline (SWP); South West Queensland Pipeline (SWQP); and the Tasmanian Gas Pipeline (TG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91958" cy="6634800"/>
                                </a:xfrm>
                                <a:prstGeom prst="rect">
                                  <a:avLst/>
                                </a:prstGeom>
                                <a:noFill/>
                                <a:ln>
                                  <a:noFill/>
                                </a:ln>
                              </pic:spPr>
                            </pic:pic>
                          </a:graphicData>
                        </a:graphic>
                      </wp:inline>
                    </w:drawing>
                  </w:r>
                </w:p>
              </w:tc>
            </w:tr>
          </w:tbl>
          <w:p w14:paraId="159A811F" w14:textId="77777777" w:rsidR="00DA3852" w:rsidRDefault="00DA3852" w:rsidP="00C03F9E">
            <w:pPr>
              <w:pStyle w:val="Figure"/>
            </w:pPr>
          </w:p>
        </w:tc>
      </w:tr>
      <w:tr w:rsidR="00DA3852" w:rsidRPr="00176D3F" w14:paraId="2C711FA0" w14:textId="77777777" w:rsidTr="00C03F9E">
        <w:tc>
          <w:tcPr>
            <w:tcW w:w="8771" w:type="dxa"/>
            <w:tcBorders>
              <w:top w:val="nil"/>
              <w:left w:val="nil"/>
              <w:bottom w:val="nil"/>
              <w:right w:val="nil"/>
            </w:tcBorders>
            <w:shd w:val="clear" w:color="auto" w:fill="auto"/>
          </w:tcPr>
          <w:p w14:paraId="4DBB7B2C" w14:textId="4C874C63" w:rsidR="00DA3852" w:rsidRPr="00176D3F" w:rsidRDefault="00DA3852" w:rsidP="00C03F9E">
            <w:pPr>
              <w:pStyle w:val="Note"/>
            </w:pPr>
            <w:proofErr w:type="spellStart"/>
            <w:proofErr w:type="gramStart"/>
            <w:r>
              <w:rPr>
                <w:rStyle w:val="NoteLabel"/>
              </w:rPr>
              <w:t>a</w:t>
            </w:r>
            <w:proofErr w:type="spellEnd"/>
            <w:proofErr w:type="gramEnd"/>
            <w:r>
              <w:t xml:space="preserve"> Excludes the Moranbah Gas Project but includes potential new production in the northern Bowen basin. The Galilee basin was not modelled, as 2P reserves are not projected to be available before 2040. </w:t>
            </w:r>
            <w:proofErr w:type="gramStart"/>
            <w:r>
              <w:rPr>
                <w:rStyle w:val="NoteLabel"/>
              </w:rPr>
              <w:t>b</w:t>
            </w:r>
            <w:proofErr w:type="gramEnd"/>
            <w:r>
              <w:rPr>
                <w:rStyle w:val="NoteLabel"/>
              </w:rPr>
              <w:t> </w:t>
            </w:r>
            <w:r>
              <w:t xml:space="preserve">Central West and Central Ranges pipelines are modelled as a single pipeline connecting to the Moomba to Sydney Pipeline at Young. </w:t>
            </w:r>
            <w:proofErr w:type="gramStart"/>
            <w:r>
              <w:rPr>
                <w:rStyle w:val="NoteLabel"/>
              </w:rPr>
              <w:t>c</w:t>
            </w:r>
            <w:proofErr w:type="gramEnd"/>
            <w:r>
              <w:t xml:space="preserve"> The Sydney and Gloucester gas basins are modelled as part of the Sydney region, as is demand at Canberra and </w:t>
            </w:r>
            <w:proofErr w:type="spellStart"/>
            <w:r>
              <w:t>Hoskintown</w:t>
            </w:r>
            <w:proofErr w:type="spellEnd"/>
            <w:r>
              <w:t xml:space="preserve">. </w:t>
            </w:r>
            <w:proofErr w:type="gramStart"/>
            <w:r>
              <w:rPr>
                <w:rStyle w:val="NoteLabel"/>
              </w:rPr>
              <w:t>d</w:t>
            </w:r>
            <w:proofErr w:type="gramEnd"/>
            <w:r>
              <w:t xml:space="preserve"> Bass basin gas production and processing at Lang </w:t>
            </w:r>
            <w:proofErr w:type="spellStart"/>
            <w:r>
              <w:t>Lang</w:t>
            </w:r>
            <w:proofErr w:type="spellEnd"/>
            <w:r>
              <w:t xml:space="preserve"> modelled as part of the Melbourne region. </w:t>
            </w:r>
            <w:proofErr w:type="gramStart"/>
            <w:r>
              <w:rPr>
                <w:rStyle w:val="NoteLabel"/>
              </w:rPr>
              <w:t>e</w:t>
            </w:r>
            <w:proofErr w:type="gramEnd"/>
            <w:r>
              <w:rPr>
                <w:rStyle w:val="NoteLabel"/>
              </w:rPr>
              <w:t> </w:t>
            </w:r>
            <w:r>
              <w:t xml:space="preserve">Simplified representation but based on data for actual pipelines. For example, QSN Link is not modelled separately from the South West Queensland Pipeline. The Northern Queensland Gas Pipeline is not modelled. </w:t>
            </w:r>
          </w:p>
        </w:tc>
      </w:tr>
      <w:tr w:rsidR="00DA3852" w14:paraId="77E97B4A" w14:textId="77777777" w:rsidTr="00C03F9E">
        <w:tc>
          <w:tcPr>
            <w:tcW w:w="8771" w:type="dxa"/>
            <w:tcBorders>
              <w:top w:val="nil"/>
              <w:left w:val="nil"/>
              <w:bottom w:val="single" w:sz="6" w:space="0" w:color="78A22F"/>
              <w:right w:val="nil"/>
            </w:tcBorders>
            <w:shd w:val="clear" w:color="auto" w:fill="auto"/>
          </w:tcPr>
          <w:p w14:paraId="0AD71266" w14:textId="77777777" w:rsidR="00DA3852" w:rsidRDefault="00DA3852" w:rsidP="00C03F9E">
            <w:pPr>
              <w:pStyle w:val="Figurespace"/>
            </w:pPr>
          </w:p>
        </w:tc>
      </w:tr>
      <w:tr w:rsidR="00DA3852" w:rsidRPr="000863A5" w14:paraId="4EB78A0E" w14:textId="77777777" w:rsidTr="00C03F9E">
        <w:tc>
          <w:tcPr>
            <w:tcW w:w="8771" w:type="dxa"/>
            <w:tcBorders>
              <w:top w:val="single" w:sz="6" w:space="0" w:color="78A22F"/>
              <w:left w:val="nil"/>
              <w:bottom w:val="nil"/>
              <w:right w:val="nil"/>
            </w:tcBorders>
          </w:tcPr>
          <w:p w14:paraId="532BB47A" w14:textId="77777777" w:rsidR="00DA3852" w:rsidRPr="00626D32" w:rsidRDefault="00DA3852" w:rsidP="00C03F9E">
            <w:pPr>
              <w:pStyle w:val="BoxSpaceBelow"/>
            </w:pPr>
          </w:p>
        </w:tc>
      </w:tr>
    </w:tbl>
    <w:p w14:paraId="72381DD7" w14:textId="77777777" w:rsidR="00DA3852" w:rsidRPr="00616888" w:rsidRDefault="00DA3852" w:rsidP="00DA3852">
      <w:pPr>
        <w:pStyle w:val="Heading3"/>
      </w:pPr>
      <w:bookmarkStart w:id="2" w:name="_Toc410222278"/>
      <w:r>
        <w:lastRenderedPageBreak/>
        <w:t>Solving the model</w:t>
      </w:r>
      <w:bookmarkEnd w:id="2"/>
    </w:p>
    <w:p w14:paraId="6DDDAA61" w14:textId="77777777" w:rsidR="00DA3852" w:rsidRDefault="00DA3852" w:rsidP="00DA3852">
      <w:pPr>
        <w:pStyle w:val="BodyText"/>
      </w:pPr>
      <w:r>
        <w:t>The framework is that of a partial equilibrium model in the sense that not all industries in the economy are represented and there is no representation of income effects (such as changes in purchasing ability in other markets resulting from price changes in the eastern Australian gas market) and their second</w:t>
      </w:r>
      <w:r>
        <w:noBreakHyphen/>
        <w:t>round effects on consumption decisions. This approach is well</w:t>
      </w:r>
      <w:r>
        <w:noBreakHyphen/>
        <w:t>suited to modelling gas markets, as it allows explicit representation of spatial and temporal linkages. It also allows for physical constraints — such as gas basin reserves or transmission pipeline capacity limits — and policy constraints to be explicitly captured in a way that they are generally not in computable general equilibrium models.</w:t>
      </w:r>
    </w:p>
    <w:p w14:paraId="6BDE2D04" w14:textId="77777777" w:rsidR="00DA3852" w:rsidRDefault="00DA3852" w:rsidP="00DA3852">
      <w:pPr>
        <w:pStyle w:val="BodyText"/>
      </w:pPr>
      <w:r>
        <w:t xml:space="preserve">The theoretical framework for the model is based on the spatial and temporal equilibrium framework developed by </w:t>
      </w:r>
      <w:proofErr w:type="spellStart"/>
      <w:r>
        <w:t>Takayama</w:t>
      </w:r>
      <w:proofErr w:type="spellEnd"/>
      <w:r>
        <w:t xml:space="preserve"> and Judge </w:t>
      </w:r>
      <w:r w:rsidRPr="00034CDC">
        <w:t>(1971)</w:t>
      </w:r>
      <w:r>
        <w:t xml:space="preserve">. There is a wide body of literature applying this framework to various policy environments from airport regulation to agricultural, water and environmental issues. There have also been a number of Australian and international applications of this framework to natural gas supply and transportation </w:t>
      </w:r>
      <w:r w:rsidRPr="004F1A86">
        <w:rPr>
          <w:szCs w:val="24"/>
        </w:rPr>
        <w:t xml:space="preserve">(for example, ACIL Allen Consulting 2014b; Gabriel, </w:t>
      </w:r>
      <w:proofErr w:type="spellStart"/>
      <w:r w:rsidRPr="004F1A86">
        <w:rPr>
          <w:szCs w:val="24"/>
        </w:rPr>
        <w:t>Manik</w:t>
      </w:r>
      <w:proofErr w:type="spellEnd"/>
      <w:r w:rsidRPr="004F1A86">
        <w:rPr>
          <w:szCs w:val="24"/>
        </w:rPr>
        <w:t xml:space="preserve"> and </w:t>
      </w:r>
      <w:proofErr w:type="spellStart"/>
      <w:r w:rsidRPr="004F1A86">
        <w:rPr>
          <w:szCs w:val="24"/>
        </w:rPr>
        <w:t>Vikas</w:t>
      </w:r>
      <w:proofErr w:type="spellEnd"/>
      <w:r w:rsidRPr="004F1A86">
        <w:rPr>
          <w:szCs w:val="24"/>
        </w:rPr>
        <w:t xml:space="preserve"> 2003; </w:t>
      </w:r>
      <w:proofErr w:type="spellStart"/>
      <w:r w:rsidRPr="004F1A86">
        <w:rPr>
          <w:szCs w:val="24"/>
        </w:rPr>
        <w:t>Loulou</w:t>
      </w:r>
      <w:proofErr w:type="spellEnd"/>
      <w:r w:rsidRPr="004F1A86">
        <w:rPr>
          <w:szCs w:val="24"/>
        </w:rPr>
        <w:t xml:space="preserve"> et al. 2005; </w:t>
      </w:r>
      <w:proofErr w:type="spellStart"/>
      <w:r w:rsidRPr="004F1A86">
        <w:rPr>
          <w:szCs w:val="24"/>
        </w:rPr>
        <w:t>Sohl</w:t>
      </w:r>
      <w:proofErr w:type="spellEnd"/>
      <w:r w:rsidRPr="004F1A86">
        <w:rPr>
          <w:szCs w:val="24"/>
        </w:rPr>
        <w:t> 1985; Wagner 2014)</w:t>
      </w:r>
      <w:r>
        <w:t>. The model is solved in a primal (quantity) formulation, with prices (all in real 2014</w:t>
      </w:r>
      <w:r>
        <w:noBreakHyphen/>
        <w:t>15 dollars) given by the shadow prices (Lagrange multipliers) for constraints.</w:t>
      </w:r>
    </w:p>
    <w:p w14:paraId="4571F44E" w14:textId="49CD6324" w:rsidR="00DA3852" w:rsidRDefault="00DA3852" w:rsidP="00DA3852">
      <w:pPr>
        <w:pStyle w:val="BodyText"/>
      </w:pPr>
      <w:r>
        <w:t>Competitive market equilibrium in the eastern Australian gas market is computed by maximising the area under the demand functions less the cost of supplying gas, subject to any supply and policy constraints. This is equivalent to gross consumer benefit less total cost of supply, including any imputed economic rents from resource and policy constraints (Pressman 1970). This maximisation problem is subject to the commodity balance constraint, whereby the quantity of gas demanded at each node must be less than or equal to the quantity supplied (the quantity supplied includes the quantity of gas shipped to each node through transmission pipelines and excludes any gas shipped out of that node) (box B.1).</w:t>
      </w:r>
      <w:r w:rsidRPr="00364870">
        <w:t xml:space="preserve"> </w:t>
      </w:r>
      <w:r>
        <w:t xml:space="preserve">This approach allows for competing sources of supply to be evaluated simultaneously, with gas supplied from the least cost sources first. </w:t>
      </w:r>
    </w:p>
    <w:p w14:paraId="3FB625EF" w14:textId="77777777" w:rsidR="00DA3852" w:rsidRDefault="00DA3852" w:rsidP="00DA3852">
      <w:pPr>
        <w:pStyle w:val="BodyText"/>
      </w:pPr>
      <w:r>
        <w:t xml:space="preserve">The demand functions in the model represent the ‘willingness to pay’ for gas by gas users. Where gas is used as an input to produce other goods, the demand function incorporates the implicit value placed on the gas by purchasers of those other goods. For example, where gas is used as a feedstock to produce chemical or plastic products, the willingness to pay from firms that use gas as a feedstock partly reflects the value that their customers place on the chemical or plastic products that they produce (as well as the costs of production to meet downstream demand). </w:t>
      </w:r>
    </w:p>
    <w:p w14:paraId="49DA143F" w14:textId="77777777" w:rsidR="00DA3852" w:rsidRDefault="00DA3852" w:rsidP="00DA3852">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DA3852" w14:paraId="291BD42D" w14:textId="77777777" w:rsidTr="00C03F9E">
        <w:tc>
          <w:tcPr>
            <w:tcW w:w="8771" w:type="dxa"/>
            <w:tcBorders>
              <w:top w:val="single" w:sz="6" w:space="0" w:color="78A22F"/>
              <w:left w:val="nil"/>
              <w:bottom w:val="nil"/>
              <w:right w:val="nil"/>
            </w:tcBorders>
            <w:shd w:val="clear" w:color="auto" w:fill="F2F2F2"/>
          </w:tcPr>
          <w:p w14:paraId="4E47873B" w14:textId="75D23614" w:rsidR="00DA3852" w:rsidRDefault="00DA3852" w:rsidP="00C03F9E">
            <w:pPr>
              <w:pStyle w:val="BoxTitle"/>
            </w:pPr>
            <w:r>
              <w:rPr>
                <w:b w:val="0"/>
              </w:rPr>
              <w:t xml:space="preserve">Box </w:t>
            </w:r>
            <w:bookmarkStart w:id="3" w:name="OLE_LINK2"/>
            <w:r>
              <w:rPr>
                <w:b w:val="0"/>
              </w:rPr>
              <w:t>B.</w:t>
            </w:r>
            <w:r>
              <w:rPr>
                <w:b w:val="0"/>
                <w:noProof/>
              </w:rPr>
              <w:t>1</w:t>
            </w:r>
            <w:bookmarkEnd w:id="3"/>
            <w:r>
              <w:tab/>
              <w:t>Stylised representation of the modelling framework</w:t>
            </w:r>
          </w:p>
        </w:tc>
      </w:tr>
      <w:tr w:rsidR="00DA3852" w14:paraId="7CA63E48" w14:textId="77777777" w:rsidTr="00C03F9E">
        <w:tblPrEx>
          <w:tblCellMar>
            <w:left w:w="108" w:type="dxa"/>
            <w:right w:w="108" w:type="dxa"/>
          </w:tblCellMar>
        </w:tblPrEx>
        <w:trPr>
          <w:cantSplit/>
        </w:trPr>
        <w:tc>
          <w:tcPr>
            <w:tcW w:w="8771" w:type="dxa"/>
            <w:tcBorders>
              <w:top w:val="nil"/>
              <w:left w:val="nil"/>
              <w:bottom w:val="nil"/>
              <w:right w:val="nil"/>
            </w:tcBorders>
            <w:shd w:val="clear" w:color="auto" w:fill="F2F2F2"/>
          </w:tcPr>
          <w:p w14:paraId="2BA791D9" w14:textId="77777777" w:rsidR="00DA3852" w:rsidRPr="008E461E" w:rsidRDefault="00DA3852" w:rsidP="00C03F9E">
            <w:pPr>
              <w:pStyle w:val="Box"/>
            </w:pPr>
            <w:r w:rsidRPr="008E461E">
              <w:t>The figure below provides a stylised example of the supply</w:t>
            </w:r>
            <w:r>
              <w:t>–</w:t>
            </w:r>
            <w:r w:rsidRPr="008E461E">
              <w:t>demand balance in a gas market.</w:t>
            </w:r>
          </w:p>
          <w:p w14:paraId="569300F5" w14:textId="77777777" w:rsidR="00DA3852" w:rsidRDefault="00DA3852" w:rsidP="00C03F9E">
            <w:pPr>
              <w:pStyle w:val="Box"/>
              <w:jc w:val="center"/>
            </w:pPr>
            <w:r>
              <w:rPr>
                <w:noProof/>
              </w:rPr>
              <mc:AlternateContent>
                <mc:Choice Requires="wps">
                  <w:drawing>
                    <wp:anchor distT="0" distB="0" distL="114300" distR="114300" simplePos="0" relativeHeight="251658240" behindDoc="0" locked="0" layoutInCell="1" allowOverlap="1" wp14:anchorId="322EB960" wp14:editId="458A6FEA">
                      <wp:simplePos x="0" y="0"/>
                      <wp:positionH relativeFrom="column">
                        <wp:posOffset>3763645</wp:posOffset>
                      </wp:positionH>
                      <wp:positionV relativeFrom="paragraph">
                        <wp:posOffset>311187</wp:posOffset>
                      </wp:positionV>
                      <wp:extent cx="1200150" cy="266700"/>
                      <wp:effectExtent l="0" t="0" r="0" b="0"/>
                      <wp:wrapNone/>
                      <wp:docPr id="227" name="Text Box 227"/>
                      <wp:cNvGraphicFramePr/>
                      <a:graphic xmlns:a="http://schemas.openxmlformats.org/drawingml/2006/main">
                        <a:graphicData uri="http://schemas.microsoft.com/office/word/2010/wordprocessingShape">
                          <wps:wsp>
                            <wps:cNvSpPr txBox="1"/>
                            <wps:spPr>
                              <a:xfrm>
                                <a:off x="0" y="0"/>
                                <a:ext cx="120015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1ED37A" w14:textId="77777777" w:rsidR="00D90D06" w:rsidRPr="00BA4838" w:rsidRDefault="007231F7" w:rsidP="00DA3852">
                                  <w:pPr>
                                    <w:rPr>
                                      <w:rFonts w:ascii="Cambria Math" w:hAnsi="Cambria Math" w:cstheme="minorHAnsi"/>
                                      <w:sz w:val="18"/>
                                      <w:szCs w:val="18"/>
                                      <w:oMath/>
                                    </w:rPr>
                                  </w:pPr>
                                  <m:oMathPara>
                                    <m:oMath>
                                      <m:sSubSup>
                                        <m:sSubSupPr>
                                          <m:ctrlPr>
                                            <w:rPr>
                                              <w:rFonts w:ascii="Cambria Math" w:hAnsi="Cambria Math" w:cstheme="minorHAnsi"/>
                                              <w:i/>
                                              <w:sz w:val="18"/>
                                              <w:szCs w:val="18"/>
                                            </w:rPr>
                                          </m:ctrlPr>
                                        </m:sSubSupPr>
                                        <m:e>
                                          <m:r>
                                            <w:rPr>
                                              <w:rFonts w:ascii="Cambria Math" w:hAnsi="Cambria Math" w:cstheme="minorHAnsi"/>
                                              <w:sz w:val="18"/>
                                              <w:szCs w:val="18"/>
                                            </w:rPr>
                                            <m:t>P</m:t>
                                          </m:r>
                                        </m:e>
                                        <m:sub>
                                          <m:r>
                                            <w:rPr>
                                              <w:rFonts w:ascii="Cambria Math" w:hAnsi="Cambria Math" w:cstheme="minorHAnsi"/>
                                              <w:sz w:val="18"/>
                                              <w:szCs w:val="18"/>
                                            </w:rPr>
                                            <m:t>n</m:t>
                                          </m:r>
                                        </m:sub>
                                        <m:sup>
                                          <m:r>
                                            <w:rPr>
                                              <w:rFonts w:ascii="Cambria Math" w:hAnsi="Cambria Math" w:cstheme="minorHAnsi"/>
                                              <w:sz w:val="18"/>
                                              <w:szCs w:val="18"/>
                                            </w:rPr>
                                            <m:t>S</m:t>
                                          </m:r>
                                        </m:sup>
                                      </m:sSubSup>
                                      <m:d>
                                        <m:dPr>
                                          <m:ctrlPr>
                                            <w:rPr>
                                              <w:rFonts w:ascii="Cambria Math" w:hAnsi="Cambria Math" w:cstheme="minorHAnsi"/>
                                              <w:sz w:val="18"/>
                                              <w:szCs w:val="18"/>
                                            </w:rPr>
                                          </m:ctrlPr>
                                        </m:dPr>
                                        <m:e>
                                          <m:sSubSup>
                                            <m:sSubSupPr>
                                              <m:ctrlPr>
                                                <w:rPr>
                                                  <w:rFonts w:ascii="Cambria Math" w:hAnsi="Cambria Math" w:cstheme="minorHAnsi"/>
                                                  <w:i/>
                                                  <w:sz w:val="18"/>
                                                  <w:szCs w:val="18"/>
                                                </w:rPr>
                                              </m:ctrlPr>
                                            </m:sSubSupPr>
                                            <m:e>
                                              <m:r>
                                                <w:rPr>
                                                  <w:rFonts w:ascii="Cambria Math" w:hAnsi="Cambria Math" w:cstheme="minorHAnsi"/>
                                                  <w:sz w:val="18"/>
                                                  <w:szCs w:val="18"/>
                                                </w:rPr>
                                                <m:t>Q</m:t>
                                              </m:r>
                                            </m:e>
                                            <m:sub>
                                              <m:r>
                                                <w:rPr>
                                                  <w:rFonts w:ascii="Cambria Math" w:hAnsi="Cambria Math" w:cstheme="minorHAnsi"/>
                                                  <w:sz w:val="18"/>
                                                  <w:szCs w:val="18"/>
                                                </w:rPr>
                                                <m:t>n</m:t>
                                              </m:r>
                                            </m:sub>
                                            <m:sup>
                                              <m:r>
                                                <w:rPr>
                                                  <w:rFonts w:ascii="Cambria Math" w:hAnsi="Cambria Math" w:cstheme="minorHAnsi"/>
                                                  <w:sz w:val="18"/>
                                                  <w:szCs w:val="18"/>
                                                </w:rPr>
                                                <m:t>S</m:t>
                                              </m:r>
                                            </m:sup>
                                          </m:sSubSup>
                                        </m:e>
                                      </m:d>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7" o:spid="_x0000_s1032" type="#_x0000_t202" style="position:absolute;left:0;text-align:left;margin-left:296.35pt;margin-top:24.5pt;width:94.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" filled="f" stroked="f" strokeweight=".5pt">
                      <v:textbox>
                        <w:txbxContent>
                          <w:p w14:paraId="0A1ED37A" w14:textId="77777777" w:rsidR="00D90D06" w:rsidRPr="00BA4838" w:rsidRDefault="00D90D06" w:rsidP="00DA3852">
                            <w:pPr>
                              <w:rPr>
                                <w:rFonts w:ascii="Cambria Math" w:hAnsi="Cambria Math" w:cstheme="minorHAnsi"/>
                                <w:sz w:val="18"/>
                                <w:szCs w:val="18"/>
                                <w:oMath/>
                              </w:rPr>
                            </w:pPr>
                            <m:oMathPara>
                              <m:oMath>
                                <m:sSubSup>
                                  <m:sSubSupPr>
                                    <m:ctrlPr>
                                      <w:rPr>
                                        <w:rFonts w:ascii="Cambria Math" w:hAnsi="Cambria Math" w:cstheme="minorHAnsi"/>
                                        <w:i/>
                                        <w:sz w:val="18"/>
                                        <w:szCs w:val="18"/>
                                      </w:rPr>
                                    </m:ctrlPr>
                                  </m:sSubSupPr>
                                  <m:e>
                                    <m:r>
                                      <w:rPr>
                                        <w:rFonts w:ascii="Cambria Math" w:hAnsi="Cambria Math" w:cstheme="minorHAnsi"/>
                                        <w:sz w:val="18"/>
                                        <w:szCs w:val="18"/>
                                      </w:rPr>
                                      <m:t>P</m:t>
                                    </m:r>
                                  </m:e>
                                  <m:sub>
                                    <m:r>
                                      <w:rPr>
                                        <w:rFonts w:ascii="Cambria Math" w:hAnsi="Cambria Math" w:cstheme="minorHAnsi"/>
                                        <w:sz w:val="18"/>
                                        <w:szCs w:val="18"/>
                                      </w:rPr>
                                      <m:t>n</m:t>
                                    </m:r>
                                  </m:sub>
                                  <m:sup>
                                    <m:r>
                                      <w:rPr>
                                        <w:rFonts w:ascii="Cambria Math" w:hAnsi="Cambria Math" w:cstheme="minorHAnsi"/>
                                        <w:sz w:val="18"/>
                                        <w:szCs w:val="18"/>
                                      </w:rPr>
                                      <m:t>S</m:t>
                                    </m:r>
                                  </m:sup>
                                </m:sSubSup>
                                <m:d>
                                  <m:dPr>
                                    <m:ctrlPr>
                                      <w:rPr>
                                        <w:rFonts w:ascii="Cambria Math" w:hAnsi="Cambria Math" w:cstheme="minorHAnsi"/>
                                        <w:sz w:val="18"/>
                                        <w:szCs w:val="18"/>
                                      </w:rPr>
                                    </m:ctrlPr>
                                  </m:dPr>
                                  <m:e>
                                    <m:sSubSup>
                                      <m:sSubSupPr>
                                        <m:ctrlPr>
                                          <w:rPr>
                                            <w:rFonts w:ascii="Cambria Math" w:hAnsi="Cambria Math" w:cstheme="minorHAnsi"/>
                                            <w:i/>
                                            <w:sz w:val="18"/>
                                            <w:szCs w:val="18"/>
                                          </w:rPr>
                                        </m:ctrlPr>
                                      </m:sSubSupPr>
                                      <m:e>
                                        <m:r>
                                          <w:rPr>
                                            <w:rFonts w:ascii="Cambria Math" w:hAnsi="Cambria Math" w:cstheme="minorHAnsi"/>
                                            <w:sz w:val="18"/>
                                            <w:szCs w:val="18"/>
                                          </w:rPr>
                                          <m:t>Q</m:t>
                                        </m:r>
                                      </m:e>
                                      <m:sub>
                                        <m:r>
                                          <w:rPr>
                                            <w:rFonts w:ascii="Cambria Math" w:hAnsi="Cambria Math" w:cstheme="minorHAnsi"/>
                                            <w:sz w:val="18"/>
                                            <w:szCs w:val="18"/>
                                          </w:rPr>
                                          <m:t>n</m:t>
                                        </m:r>
                                      </m:sub>
                                      <m:sup>
                                        <m:r>
                                          <w:rPr>
                                            <w:rFonts w:ascii="Cambria Math" w:hAnsi="Cambria Math" w:cstheme="minorHAnsi"/>
                                            <w:sz w:val="18"/>
                                            <w:szCs w:val="18"/>
                                          </w:rPr>
                                          <m:t>S</m:t>
                                        </m:r>
                                      </m:sup>
                                    </m:sSubSup>
                                  </m:e>
                                </m:d>
                              </m:oMath>
                            </m:oMathPara>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6AF44E41" wp14:editId="396B032F">
                      <wp:simplePos x="0" y="0"/>
                      <wp:positionH relativeFrom="column">
                        <wp:posOffset>4066458</wp:posOffset>
                      </wp:positionH>
                      <wp:positionV relativeFrom="paragraph">
                        <wp:posOffset>2336165</wp:posOffset>
                      </wp:positionV>
                      <wp:extent cx="1200150" cy="2667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120015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A3A5DE" w14:textId="77777777" w:rsidR="00D90D06" w:rsidRPr="00BA4838" w:rsidRDefault="007231F7" w:rsidP="00DA3852">
                                  <w:pPr>
                                    <w:rPr>
                                      <w:rFonts w:ascii="Cambria Math" w:hAnsi="Cambria Math" w:cstheme="minorHAnsi"/>
                                      <w:sz w:val="18"/>
                                      <w:szCs w:val="18"/>
                                      <w:oMath/>
                                    </w:rPr>
                                  </w:pPr>
                                  <m:oMathPara>
                                    <m:oMath>
                                      <m:sSubSup>
                                        <m:sSubSupPr>
                                          <m:ctrlPr>
                                            <w:rPr>
                                              <w:rFonts w:ascii="Cambria Math" w:hAnsi="Cambria Math" w:cstheme="minorHAnsi"/>
                                              <w:i/>
                                              <w:sz w:val="18"/>
                                              <w:szCs w:val="18"/>
                                            </w:rPr>
                                          </m:ctrlPr>
                                        </m:sSubSupPr>
                                        <m:e>
                                          <m:r>
                                            <w:rPr>
                                              <w:rFonts w:ascii="Cambria Math" w:hAnsi="Cambria Math" w:cstheme="minorHAnsi"/>
                                              <w:sz w:val="18"/>
                                              <w:szCs w:val="18"/>
                                            </w:rPr>
                                            <m:t>P</m:t>
                                          </m:r>
                                        </m:e>
                                        <m:sub>
                                          <m:r>
                                            <w:rPr>
                                              <w:rFonts w:ascii="Cambria Math" w:hAnsi="Cambria Math" w:cstheme="minorHAnsi"/>
                                              <w:sz w:val="18"/>
                                              <w:szCs w:val="18"/>
                                            </w:rPr>
                                            <m:t>n</m:t>
                                          </m:r>
                                        </m:sub>
                                        <m:sup>
                                          <m:r>
                                            <w:rPr>
                                              <w:rFonts w:ascii="Cambria Math" w:hAnsi="Cambria Math" w:cstheme="minorHAnsi"/>
                                              <w:sz w:val="18"/>
                                              <w:szCs w:val="18"/>
                                            </w:rPr>
                                            <m:t>D</m:t>
                                          </m:r>
                                        </m:sup>
                                      </m:sSubSup>
                                      <m:d>
                                        <m:dPr>
                                          <m:ctrlPr>
                                            <w:rPr>
                                              <w:rFonts w:ascii="Cambria Math" w:hAnsi="Cambria Math" w:cstheme="minorHAnsi"/>
                                              <w:sz w:val="18"/>
                                              <w:szCs w:val="18"/>
                                            </w:rPr>
                                          </m:ctrlPr>
                                        </m:dPr>
                                        <m:e>
                                          <m:sSubSup>
                                            <m:sSubSupPr>
                                              <m:ctrlPr>
                                                <w:rPr>
                                                  <w:rFonts w:ascii="Cambria Math" w:hAnsi="Cambria Math" w:cstheme="minorHAnsi"/>
                                                  <w:i/>
                                                  <w:sz w:val="18"/>
                                                  <w:szCs w:val="18"/>
                                                </w:rPr>
                                              </m:ctrlPr>
                                            </m:sSubSupPr>
                                            <m:e>
                                              <m:r>
                                                <w:rPr>
                                                  <w:rFonts w:ascii="Cambria Math" w:hAnsi="Cambria Math" w:cstheme="minorHAnsi"/>
                                                  <w:sz w:val="18"/>
                                                  <w:szCs w:val="18"/>
                                                </w:rPr>
                                                <m:t>Q</m:t>
                                              </m:r>
                                            </m:e>
                                            <m:sub>
                                              <m:r>
                                                <w:rPr>
                                                  <w:rFonts w:ascii="Cambria Math" w:hAnsi="Cambria Math" w:cstheme="minorHAnsi"/>
                                                  <w:sz w:val="18"/>
                                                  <w:szCs w:val="18"/>
                                                </w:rPr>
                                                <m:t>n</m:t>
                                              </m:r>
                                            </m:sub>
                                            <m:sup>
                                              <m:r>
                                                <w:rPr>
                                                  <w:rFonts w:ascii="Cambria Math" w:hAnsi="Cambria Math" w:cstheme="minorHAnsi"/>
                                                  <w:sz w:val="18"/>
                                                  <w:szCs w:val="18"/>
                                                </w:rPr>
                                                <m:t>D</m:t>
                                              </m:r>
                                            </m:sup>
                                          </m:sSubSup>
                                        </m:e>
                                      </m:d>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1" o:spid="_x0000_s1033" type="#_x0000_t202" style="position:absolute;left:0;text-align:left;margin-left:320.2pt;margin-top:183.95pt;width:94.5pt;height:2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" filled="f" stroked="f" strokeweight=".5pt">
                      <v:textbox>
                        <w:txbxContent>
                          <w:p w14:paraId="5BA3A5DE" w14:textId="77777777" w:rsidR="00D90D06" w:rsidRPr="00BA4838" w:rsidRDefault="00D90D06" w:rsidP="00DA3852">
                            <w:pPr>
                              <w:rPr>
                                <w:rFonts w:ascii="Cambria Math" w:hAnsi="Cambria Math" w:cstheme="minorHAnsi"/>
                                <w:sz w:val="18"/>
                                <w:szCs w:val="18"/>
                                <w:oMath/>
                              </w:rPr>
                            </w:pPr>
                            <m:oMathPara>
                              <m:oMath>
                                <m:sSubSup>
                                  <m:sSubSupPr>
                                    <m:ctrlPr>
                                      <w:rPr>
                                        <w:rFonts w:ascii="Cambria Math" w:hAnsi="Cambria Math" w:cstheme="minorHAnsi"/>
                                        <w:i/>
                                        <w:sz w:val="18"/>
                                        <w:szCs w:val="18"/>
                                      </w:rPr>
                                    </m:ctrlPr>
                                  </m:sSubSupPr>
                                  <m:e>
                                    <m:r>
                                      <w:rPr>
                                        <w:rFonts w:ascii="Cambria Math" w:hAnsi="Cambria Math" w:cstheme="minorHAnsi"/>
                                        <w:sz w:val="18"/>
                                        <w:szCs w:val="18"/>
                                      </w:rPr>
                                      <m:t>P</m:t>
                                    </m:r>
                                  </m:e>
                                  <m:sub>
                                    <m:r>
                                      <w:rPr>
                                        <w:rFonts w:ascii="Cambria Math" w:hAnsi="Cambria Math" w:cstheme="minorHAnsi"/>
                                        <w:sz w:val="18"/>
                                        <w:szCs w:val="18"/>
                                      </w:rPr>
                                      <m:t>n</m:t>
                                    </m:r>
                                  </m:sub>
                                  <m:sup>
                                    <m:r>
                                      <w:rPr>
                                        <w:rFonts w:ascii="Cambria Math" w:hAnsi="Cambria Math" w:cstheme="minorHAnsi"/>
                                        <w:sz w:val="18"/>
                                        <w:szCs w:val="18"/>
                                      </w:rPr>
                                      <m:t>D</m:t>
                                    </m:r>
                                  </m:sup>
                                </m:sSubSup>
                                <m:d>
                                  <m:dPr>
                                    <m:ctrlPr>
                                      <w:rPr>
                                        <w:rFonts w:ascii="Cambria Math" w:hAnsi="Cambria Math" w:cstheme="minorHAnsi"/>
                                        <w:sz w:val="18"/>
                                        <w:szCs w:val="18"/>
                                      </w:rPr>
                                    </m:ctrlPr>
                                  </m:dPr>
                                  <m:e>
                                    <m:sSubSup>
                                      <m:sSubSupPr>
                                        <m:ctrlPr>
                                          <w:rPr>
                                            <w:rFonts w:ascii="Cambria Math" w:hAnsi="Cambria Math" w:cstheme="minorHAnsi"/>
                                            <w:i/>
                                            <w:sz w:val="18"/>
                                            <w:szCs w:val="18"/>
                                          </w:rPr>
                                        </m:ctrlPr>
                                      </m:sSubSupPr>
                                      <m:e>
                                        <m:r>
                                          <w:rPr>
                                            <w:rFonts w:ascii="Cambria Math" w:hAnsi="Cambria Math" w:cstheme="minorHAnsi"/>
                                            <w:sz w:val="18"/>
                                            <w:szCs w:val="18"/>
                                          </w:rPr>
                                          <m:t>Q</m:t>
                                        </m:r>
                                      </m:e>
                                      <m:sub>
                                        <m:r>
                                          <w:rPr>
                                            <w:rFonts w:ascii="Cambria Math" w:hAnsi="Cambria Math" w:cstheme="minorHAnsi"/>
                                            <w:sz w:val="18"/>
                                            <w:szCs w:val="18"/>
                                          </w:rPr>
                                          <m:t>n</m:t>
                                        </m:r>
                                      </m:sub>
                                      <m:sup>
                                        <m:r>
                                          <w:rPr>
                                            <w:rFonts w:ascii="Cambria Math" w:hAnsi="Cambria Math" w:cstheme="minorHAnsi"/>
                                            <w:sz w:val="18"/>
                                            <w:szCs w:val="18"/>
                                          </w:rPr>
                                          <m:t>D</m:t>
                                        </m:r>
                                      </m:sup>
                                    </m:sSubSup>
                                  </m:e>
                                </m:d>
                              </m:oMath>
                            </m:oMathPara>
                          </w:p>
                        </w:txbxContent>
                      </v:textbox>
                    </v:shape>
                  </w:pict>
                </mc:Fallback>
              </mc:AlternateContent>
            </w:r>
            <w:r>
              <w:rPr>
                <w:noProof/>
              </w:rPr>
              <w:t xml:space="preserve"> </w:t>
            </w:r>
            <w:bookmarkStart w:id="4" w:name="_GoBack"/>
            <w:r>
              <w:rPr>
                <w:noProof/>
              </w:rPr>
              <w:drawing>
                <wp:inline distT="0" distB="0" distL="0" distR="0" wp14:anchorId="5965E762" wp14:editId="523DDD4A">
                  <wp:extent cx="4306262" cy="2871757"/>
                  <wp:effectExtent l="0" t="0" r="0" b="5080"/>
                  <wp:docPr id="226" name="Chart 226" descr="The price and quantity of gas supplied in a market are determined by where the supply and demand curves intersect. "/>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End w:id="4"/>
          </w:p>
          <w:p w14:paraId="609889A6" w14:textId="4FA32544" w:rsidR="00DA3852" w:rsidRDefault="00DA3852" w:rsidP="00C03F9E">
            <w:pPr>
              <w:pStyle w:val="Box"/>
            </w:pPr>
            <w:r>
              <w:t>The point at which demand intersects supply (market equilibrium) can be found by maximising the area under the demand function less the area under the supply function and solving for the equilibrium quantity. This is equivalent to maximising net social welfare (NSW):</w:t>
            </w:r>
          </w:p>
          <w:p w14:paraId="56E58C8E" w14:textId="77777777" w:rsidR="00DA3852" w:rsidRDefault="00DA3852" w:rsidP="00C03F9E">
            <w:pPr>
              <w:pStyle w:val="Box"/>
            </w:pPr>
            <m:oMathPara>
              <m:oMath>
                <m:r>
                  <w:rPr>
                    <w:rFonts w:ascii="Cambria Math" w:hAnsi="Cambria Math"/>
                  </w:rPr>
                  <m:t>Max NSW=</m:t>
                </m:r>
                <m:nary>
                  <m:naryPr>
                    <m:chr m:val="∑"/>
                    <m:limLoc m:val="undOvr"/>
                    <m:supHide m:val="1"/>
                    <m:ctrlPr>
                      <w:rPr>
                        <w:rFonts w:ascii="Cambria Math" w:hAnsi="Cambria Math"/>
                        <w:i/>
                      </w:rPr>
                    </m:ctrlPr>
                  </m:naryPr>
                  <m:sub>
                    <m:r>
                      <w:rPr>
                        <w:rFonts w:ascii="Cambria Math" w:hAnsi="Cambria Math"/>
                      </w:rPr>
                      <m:t>n</m:t>
                    </m:r>
                  </m:sub>
                  <m:sup/>
                  <m:e>
                    <m:nary>
                      <m:naryPr>
                        <m:limLoc m:val="undOvr"/>
                        <m:subHide m:val="1"/>
                        <m:supHide m:val="1"/>
                        <m:ctrlPr>
                          <w:rPr>
                            <w:rFonts w:ascii="Cambria Math" w:hAnsi="Cambria Math"/>
                            <w:i/>
                          </w:rPr>
                        </m:ctrlPr>
                      </m:naryPr>
                      <m:sub/>
                      <m:sup/>
                      <m:e>
                        <m:sSubSup>
                          <m:sSubSupPr>
                            <m:ctrlPr>
                              <w:rPr>
                                <w:rFonts w:ascii="Cambria Math" w:hAnsi="Cambria Math" w:cstheme="minorHAnsi"/>
                                <w:i/>
                                <w:sz w:val="18"/>
                                <w:szCs w:val="18"/>
                              </w:rPr>
                            </m:ctrlPr>
                          </m:sSubSupPr>
                          <m:e>
                            <m:r>
                              <w:rPr>
                                <w:rFonts w:ascii="Cambria Math" w:hAnsi="Cambria Math" w:cstheme="minorHAnsi"/>
                                <w:sz w:val="18"/>
                                <w:szCs w:val="18"/>
                              </w:rPr>
                              <m:t>P</m:t>
                            </m:r>
                          </m:e>
                          <m:sub>
                            <m:r>
                              <w:rPr>
                                <w:rFonts w:ascii="Cambria Math" w:hAnsi="Cambria Math" w:cstheme="minorHAnsi"/>
                                <w:sz w:val="18"/>
                                <w:szCs w:val="18"/>
                              </w:rPr>
                              <m:t>n</m:t>
                            </m:r>
                          </m:sub>
                          <m:sup>
                            <m:r>
                              <w:rPr>
                                <w:rFonts w:ascii="Cambria Math" w:hAnsi="Cambria Math" w:cstheme="minorHAnsi"/>
                                <w:sz w:val="18"/>
                                <w:szCs w:val="18"/>
                              </w:rPr>
                              <m:t>D</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Q</m:t>
                                </m:r>
                              </m:e>
                              <m:sub>
                                <m:r>
                                  <w:rPr>
                                    <w:rFonts w:ascii="Cambria Math" w:hAnsi="Cambria Math"/>
                                  </w:rPr>
                                  <m:t>n</m:t>
                                </m:r>
                              </m:sub>
                              <m:sup>
                                <m:r>
                                  <w:rPr>
                                    <w:rFonts w:ascii="Cambria Math" w:hAnsi="Cambria Math"/>
                                  </w:rPr>
                                  <m:t>D</m:t>
                                </m:r>
                              </m:sup>
                            </m:sSubSup>
                          </m:e>
                        </m:d>
                        <m:r>
                          <w:rPr>
                            <w:rFonts w:ascii="Cambria Math" w:hAnsi="Cambria Math"/>
                          </w:rPr>
                          <m:t>d</m:t>
                        </m:r>
                        <m:sSubSup>
                          <m:sSubSupPr>
                            <m:ctrlPr>
                              <w:rPr>
                                <w:rFonts w:ascii="Cambria Math" w:hAnsi="Cambria Math"/>
                                <w:i/>
                              </w:rPr>
                            </m:ctrlPr>
                          </m:sSubSupPr>
                          <m:e>
                            <m:r>
                              <w:rPr>
                                <w:rFonts w:ascii="Cambria Math" w:hAnsi="Cambria Math"/>
                              </w:rPr>
                              <m:t>Q</m:t>
                            </m:r>
                          </m:e>
                          <m:sub>
                            <m:r>
                              <w:rPr>
                                <w:rFonts w:ascii="Cambria Math" w:hAnsi="Cambria Math"/>
                              </w:rPr>
                              <m:t>n</m:t>
                            </m:r>
                          </m:sub>
                          <m:sup>
                            <m:r>
                              <w:rPr>
                                <w:rFonts w:ascii="Cambria Math" w:hAnsi="Cambria Math"/>
                              </w:rPr>
                              <m:t>D</m:t>
                            </m:r>
                          </m:sup>
                        </m:sSubSup>
                      </m:e>
                    </m:nary>
                  </m:e>
                </m:nary>
                <m:r>
                  <w:rPr>
                    <w:rFonts w:ascii="Cambria Math" w:hAnsi="Cambria Math"/>
                  </w:rPr>
                  <m:t>-</m:t>
                </m:r>
                <m:nary>
                  <m:naryPr>
                    <m:chr m:val="∑"/>
                    <m:limLoc m:val="undOvr"/>
                    <m:supHide m:val="1"/>
                    <m:ctrlPr>
                      <w:rPr>
                        <w:rFonts w:ascii="Cambria Math" w:hAnsi="Cambria Math"/>
                        <w:i/>
                      </w:rPr>
                    </m:ctrlPr>
                  </m:naryPr>
                  <m:sub>
                    <m:r>
                      <w:rPr>
                        <w:rFonts w:ascii="Cambria Math" w:hAnsi="Cambria Math"/>
                      </w:rPr>
                      <m:t>n</m:t>
                    </m:r>
                  </m:sub>
                  <m:sup/>
                  <m:e>
                    <m:nary>
                      <m:naryPr>
                        <m:limLoc m:val="undOvr"/>
                        <m:subHide m:val="1"/>
                        <m:supHide m:val="1"/>
                        <m:ctrlPr>
                          <w:rPr>
                            <w:rFonts w:ascii="Cambria Math" w:hAnsi="Cambria Math"/>
                            <w:i/>
                          </w:rPr>
                        </m:ctrlPr>
                      </m:naryPr>
                      <m:sub/>
                      <m:sup/>
                      <m:e>
                        <m:sSubSup>
                          <m:sSubSupPr>
                            <m:ctrlPr>
                              <w:rPr>
                                <w:rFonts w:ascii="Cambria Math" w:hAnsi="Cambria Math" w:cstheme="minorHAnsi"/>
                                <w:i/>
                                <w:sz w:val="18"/>
                                <w:szCs w:val="18"/>
                              </w:rPr>
                            </m:ctrlPr>
                          </m:sSubSupPr>
                          <m:e>
                            <m:r>
                              <w:rPr>
                                <w:rFonts w:ascii="Cambria Math" w:hAnsi="Cambria Math" w:cstheme="minorHAnsi"/>
                                <w:sz w:val="18"/>
                                <w:szCs w:val="18"/>
                              </w:rPr>
                              <m:t>P</m:t>
                            </m:r>
                          </m:e>
                          <m:sub>
                            <m:r>
                              <w:rPr>
                                <w:rFonts w:ascii="Cambria Math" w:hAnsi="Cambria Math" w:cstheme="minorHAnsi"/>
                                <w:sz w:val="18"/>
                                <w:szCs w:val="18"/>
                              </w:rPr>
                              <m:t>n</m:t>
                            </m:r>
                          </m:sub>
                          <m:sup>
                            <m:r>
                              <w:rPr>
                                <w:rFonts w:ascii="Cambria Math" w:hAnsi="Cambria Math" w:cstheme="minorHAnsi"/>
                                <w:sz w:val="18"/>
                                <w:szCs w:val="18"/>
                              </w:rPr>
                              <m:t>S</m:t>
                            </m:r>
                          </m:sup>
                        </m:sSubSup>
                        <m:d>
                          <m:dPr>
                            <m:ctrlPr>
                              <w:rPr>
                                <w:rFonts w:ascii="Cambria Math" w:hAnsi="Cambria Math" w:cstheme="minorHAnsi"/>
                                <w:sz w:val="18"/>
                                <w:szCs w:val="18"/>
                              </w:rPr>
                            </m:ctrlPr>
                          </m:dPr>
                          <m:e>
                            <m:sSubSup>
                              <m:sSubSupPr>
                                <m:ctrlPr>
                                  <w:rPr>
                                    <w:rFonts w:ascii="Cambria Math" w:hAnsi="Cambria Math" w:cstheme="minorHAnsi"/>
                                    <w:i/>
                                    <w:sz w:val="18"/>
                                    <w:szCs w:val="18"/>
                                  </w:rPr>
                                </m:ctrlPr>
                              </m:sSubSupPr>
                              <m:e>
                                <m:r>
                                  <w:rPr>
                                    <w:rFonts w:ascii="Cambria Math" w:hAnsi="Cambria Math" w:cstheme="minorHAnsi"/>
                                    <w:sz w:val="18"/>
                                    <w:szCs w:val="18"/>
                                  </w:rPr>
                                  <m:t>Q</m:t>
                                </m:r>
                              </m:e>
                              <m:sub>
                                <m:r>
                                  <w:rPr>
                                    <w:rFonts w:ascii="Cambria Math" w:hAnsi="Cambria Math" w:cstheme="minorHAnsi"/>
                                    <w:sz w:val="18"/>
                                    <w:szCs w:val="18"/>
                                  </w:rPr>
                                  <m:t>n</m:t>
                                </m:r>
                              </m:sub>
                              <m:sup>
                                <m:r>
                                  <w:rPr>
                                    <w:rFonts w:ascii="Cambria Math" w:hAnsi="Cambria Math" w:cstheme="minorHAnsi"/>
                                    <w:sz w:val="18"/>
                                    <w:szCs w:val="18"/>
                                  </w:rPr>
                                  <m:t>S</m:t>
                                </m:r>
                              </m:sup>
                            </m:sSubSup>
                          </m:e>
                        </m:d>
                        <m:r>
                          <w:rPr>
                            <w:rFonts w:ascii="Cambria Math" w:hAnsi="Cambria Math"/>
                          </w:rPr>
                          <m:t>d</m:t>
                        </m:r>
                        <m:sSubSup>
                          <m:sSubSupPr>
                            <m:ctrlPr>
                              <w:rPr>
                                <w:rFonts w:ascii="Cambria Math" w:hAnsi="Cambria Math" w:cstheme="minorHAnsi"/>
                                <w:i/>
                                <w:sz w:val="18"/>
                                <w:szCs w:val="18"/>
                              </w:rPr>
                            </m:ctrlPr>
                          </m:sSubSupPr>
                          <m:e>
                            <m:r>
                              <w:rPr>
                                <w:rFonts w:ascii="Cambria Math" w:hAnsi="Cambria Math" w:cstheme="minorHAnsi"/>
                                <w:sz w:val="18"/>
                                <w:szCs w:val="18"/>
                              </w:rPr>
                              <m:t>Q</m:t>
                            </m:r>
                          </m:e>
                          <m:sub>
                            <m:r>
                              <w:rPr>
                                <w:rFonts w:ascii="Cambria Math" w:hAnsi="Cambria Math" w:cstheme="minorHAnsi"/>
                                <w:sz w:val="18"/>
                                <w:szCs w:val="18"/>
                              </w:rPr>
                              <m:t>n</m:t>
                            </m:r>
                          </m:sub>
                          <m:sup>
                            <m:r>
                              <w:rPr>
                                <w:rFonts w:ascii="Cambria Math" w:hAnsi="Cambria Math" w:cstheme="minorHAnsi"/>
                                <w:sz w:val="18"/>
                                <w:szCs w:val="18"/>
                              </w:rPr>
                              <m:t>S</m:t>
                            </m:r>
                          </m:sup>
                        </m:sSubSup>
                      </m:e>
                    </m:nary>
                  </m:e>
                </m:nary>
              </m:oMath>
            </m:oMathPara>
          </w:p>
          <w:p w14:paraId="3F4E08F7" w14:textId="77777777" w:rsidR="00DA3852" w:rsidRDefault="00DA3852" w:rsidP="00C03F9E">
            <w:pPr>
              <w:pStyle w:val="Box"/>
            </w:pPr>
            <w:r>
              <w:t>This is subject to the supply–demand balance constraints for each point in the network (node) in each time period:</w:t>
            </w:r>
          </w:p>
          <w:p w14:paraId="2FBABC5B" w14:textId="77777777" w:rsidR="00DA3852" w:rsidRDefault="007231F7" w:rsidP="00C03F9E">
            <w:pPr>
              <w:pStyle w:val="Box"/>
            </w:pPr>
            <m:oMathPara>
              <m:oMath>
                <m:sSubSup>
                  <m:sSubSupPr>
                    <m:ctrlPr>
                      <w:rPr>
                        <w:rFonts w:ascii="Cambria Math" w:hAnsi="Cambria Math"/>
                        <w:i/>
                      </w:rPr>
                    </m:ctrlPr>
                  </m:sSubSupPr>
                  <m:e>
                    <m:r>
                      <w:rPr>
                        <w:rFonts w:ascii="Cambria Math" w:hAnsi="Cambria Math"/>
                      </w:rPr>
                      <m:t>Q</m:t>
                    </m:r>
                  </m:e>
                  <m:sub>
                    <m:r>
                      <w:rPr>
                        <w:rFonts w:ascii="Cambria Math" w:hAnsi="Cambria Math"/>
                      </w:rPr>
                      <m:t>n</m:t>
                    </m:r>
                  </m:sub>
                  <m:sup>
                    <m:r>
                      <w:rPr>
                        <w:rFonts w:ascii="Cambria Math" w:hAnsi="Cambria Math"/>
                      </w:rPr>
                      <m:t>D</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n</m:t>
                    </m:r>
                  </m:sub>
                  <m:sup>
                    <m:r>
                      <w:rPr>
                        <w:rFonts w:ascii="Cambria Math" w:hAnsi="Cambria Math"/>
                      </w:rPr>
                      <m:t>S</m:t>
                    </m:r>
                  </m:sup>
                </m:sSubSup>
                <m:r>
                  <w:rPr>
                    <w:rFonts w:ascii="Cambria Math" w:hAnsi="Cambria Math"/>
                  </w:rPr>
                  <m:t>+</m:t>
                </m:r>
                <m:nary>
                  <m:naryPr>
                    <m:chr m:val="∑"/>
                    <m:limLoc m:val="undOvr"/>
                    <m:supHide m:val="1"/>
                    <m:ctrlPr>
                      <w:rPr>
                        <w:rFonts w:ascii="Cambria Math" w:hAnsi="Cambria Math"/>
                        <w:i/>
                      </w:rPr>
                    </m:ctrlPr>
                  </m:naryPr>
                  <m:sub>
                    <m:r>
                      <w:rPr>
                        <w:rFonts w:ascii="Cambria Math" w:hAnsi="Cambria Math"/>
                      </w:rPr>
                      <m:t>m</m:t>
                    </m:r>
                  </m:sub>
                  <m:sup/>
                  <m:e>
                    <m:r>
                      <w:rPr>
                        <w:rFonts w:ascii="Cambria Math" w:hAnsi="Cambria Math"/>
                      </w:rPr>
                      <m:t>(1-</m:t>
                    </m:r>
                    <m:sSub>
                      <m:sSubPr>
                        <m:ctrlPr>
                          <w:rPr>
                            <w:rFonts w:ascii="Cambria Math" w:hAnsi="Cambria Math"/>
                            <w:i/>
                          </w:rPr>
                        </m:ctrlPr>
                      </m:sSubPr>
                      <m:e>
                        <m:r>
                          <w:rPr>
                            <w:rFonts w:ascii="Cambria Math" w:hAnsi="Cambria Math"/>
                          </w:rPr>
                          <m:t>loss</m:t>
                        </m:r>
                      </m:e>
                      <m:sub>
                        <m:r>
                          <w:rPr>
                            <w:rFonts w:ascii="Cambria Math" w:hAnsi="Cambria Math"/>
                          </w:rPr>
                          <m:t>m,n</m:t>
                        </m:r>
                      </m:sub>
                    </m:sSub>
                    <m:r>
                      <w:rPr>
                        <w:rFonts w:ascii="Cambria Math" w:hAnsi="Cambria Math"/>
                      </w:rPr>
                      <m:t>)</m:t>
                    </m:r>
                    <m:sSub>
                      <m:sSubPr>
                        <m:ctrlPr>
                          <w:rPr>
                            <w:rFonts w:ascii="Cambria Math" w:hAnsi="Cambria Math"/>
                            <w:i/>
                          </w:rPr>
                        </m:ctrlPr>
                      </m:sSubPr>
                      <m:e>
                        <m:r>
                          <w:rPr>
                            <w:rFonts w:ascii="Cambria Math" w:hAnsi="Cambria Math"/>
                          </w:rPr>
                          <m:t>TRANS</m:t>
                        </m:r>
                      </m:e>
                      <m:sub>
                        <m:r>
                          <w:rPr>
                            <w:rFonts w:ascii="Cambria Math" w:hAnsi="Cambria Math"/>
                          </w:rPr>
                          <m:t>m,n</m:t>
                        </m:r>
                      </m:sub>
                    </m:sSub>
                  </m:e>
                </m:nary>
                <m:r>
                  <w:rPr>
                    <w:rFonts w:ascii="Cambria Math" w:hAnsi="Cambria Math"/>
                  </w:rPr>
                  <m:t>-</m:t>
                </m:r>
                <m:nary>
                  <m:naryPr>
                    <m:chr m:val="∑"/>
                    <m:limLoc m:val="undOvr"/>
                    <m:supHide m:val="1"/>
                    <m:ctrlPr>
                      <w:rPr>
                        <w:rFonts w:ascii="Cambria Math" w:hAnsi="Cambria Math"/>
                        <w:i/>
                      </w:rPr>
                    </m:ctrlPr>
                  </m:naryPr>
                  <m:sub>
                    <m:r>
                      <w:rPr>
                        <w:rFonts w:ascii="Cambria Math" w:hAnsi="Cambria Math"/>
                      </w:rPr>
                      <m:t>m</m:t>
                    </m:r>
                  </m:sub>
                  <m:sup/>
                  <m:e>
                    <m:sSub>
                      <m:sSubPr>
                        <m:ctrlPr>
                          <w:rPr>
                            <w:rFonts w:ascii="Cambria Math" w:hAnsi="Cambria Math"/>
                            <w:i/>
                          </w:rPr>
                        </m:ctrlPr>
                      </m:sSubPr>
                      <m:e>
                        <m:r>
                          <w:rPr>
                            <w:rFonts w:ascii="Cambria Math" w:hAnsi="Cambria Math"/>
                          </w:rPr>
                          <m:t>TRANS</m:t>
                        </m:r>
                      </m:e>
                      <m:sub>
                        <m:r>
                          <w:rPr>
                            <w:rFonts w:ascii="Cambria Math" w:hAnsi="Cambria Math"/>
                          </w:rPr>
                          <m:t>n,m</m:t>
                        </m:r>
                      </m:sub>
                    </m:sSub>
                  </m:e>
                </m:nary>
              </m:oMath>
            </m:oMathPara>
          </w:p>
          <w:p w14:paraId="29D8B39F" w14:textId="77777777" w:rsidR="00DA3852" w:rsidRDefault="00DA3852" w:rsidP="00C03F9E">
            <w:pPr>
              <w:pStyle w:val="Box"/>
              <w:spacing w:before="0"/>
            </w:pPr>
            <w:r>
              <w:t>and other constraints on the quantity of gas supplied and flows on each pipeline route:</w:t>
            </w:r>
          </w:p>
          <w:p w14:paraId="796F95F4" w14:textId="77777777" w:rsidR="00DA3852" w:rsidRPr="00FC3A05" w:rsidRDefault="007231F7" w:rsidP="00C03F9E">
            <w:pPr>
              <w:pStyle w:val="Box"/>
              <w:jc w:val="center"/>
            </w:pPr>
            <m:oMath>
              <m:sSub>
                <m:sSubPr>
                  <m:ctrlPr>
                    <w:rPr>
                      <w:rFonts w:ascii="Cambria Math" w:hAnsi="Cambria Math"/>
                      <w:i/>
                    </w:rPr>
                  </m:ctrlPr>
                </m:sSubPr>
                <m:e>
                  <m:r>
                    <w:rPr>
                      <w:rFonts w:ascii="Cambria Math" w:hAnsi="Cambria Math"/>
                    </w:rPr>
                    <m:t>TRANS</m:t>
                  </m:r>
                </m:e>
                <m:sub>
                  <m:r>
                    <w:rPr>
                      <w:rFonts w:ascii="Cambria Math" w:hAnsi="Cambria Math"/>
                    </w:rPr>
                    <m:t>m,n</m:t>
                  </m:r>
                </m:sub>
              </m:sSub>
              <m:r>
                <w:rPr>
                  <w:rFonts w:ascii="Cambria Math" w:hAnsi="Cambria Math"/>
                </w:rPr>
                <m:t>≤</m:t>
              </m:r>
              <m:sSub>
                <m:sSubPr>
                  <m:ctrlPr>
                    <w:rPr>
                      <w:rFonts w:ascii="Cambria Math" w:hAnsi="Cambria Math"/>
                      <w:i/>
                    </w:rPr>
                  </m:ctrlPr>
                </m:sSubPr>
                <m:e>
                  <m:r>
                    <w:rPr>
                      <w:rFonts w:ascii="Cambria Math" w:hAnsi="Cambria Math"/>
                    </w:rPr>
                    <m:t>PIPECAP</m:t>
                  </m:r>
                </m:e>
                <m:sub>
                  <m:r>
                    <w:rPr>
                      <w:rFonts w:ascii="Cambria Math" w:hAnsi="Cambria Math"/>
                    </w:rPr>
                    <m:t>m,n</m:t>
                  </m:r>
                </m:sub>
              </m:sSub>
            </m:oMath>
            <w:r w:rsidR="00DA3852">
              <w:t xml:space="preserve">; </w:t>
            </w:r>
          </w:p>
          <w:p w14:paraId="48D89E83" w14:textId="77777777" w:rsidR="00DA3852" w:rsidRDefault="007231F7" w:rsidP="00C03F9E">
            <w:pPr>
              <w:pStyle w:val="Box"/>
              <w:jc w:val="center"/>
              <w:rPr>
                <w:szCs w:val="24"/>
              </w:rPr>
            </w:pPr>
            <m:oMathPara>
              <m:oMath>
                <m:sSubSup>
                  <m:sSubSupPr>
                    <m:ctrlPr>
                      <w:rPr>
                        <w:rFonts w:ascii="Cambria Math" w:hAnsi="Cambria Math"/>
                        <w:i/>
                      </w:rPr>
                    </m:ctrlPr>
                  </m:sSubSupPr>
                  <m:e>
                    <m:r>
                      <w:rPr>
                        <w:rFonts w:ascii="Cambria Math" w:hAnsi="Cambria Math"/>
                      </w:rPr>
                      <m:t>Q</m:t>
                    </m:r>
                  </m:e>
                  <m:sub>
                    <m:r>
                      <w:rPr>
                        <w:rFonts w:ascii="Cambria Math" w:hAnsi="Cambria Math"/>
                      </w:rPr>
                      <m:t>n</m:t>
                    </m:r>
                  </m:sub>
                  <m:sup>
                    <m:r>
                      <w:rPr>
                        <w:rFonts w:ascii="Cambria Math" w:hAnsi="Cambria Math"/>
                      </w:rPr>
                      <m:t>S</m:t>
                    </m:r>
                  </m:sup>
                </m:sSubSup>
                <m:r>
                  <w:rPr>
                    <w:rFonts w:ascii="Cambria Math" w:hAnsi="Cambria Math"/>
                  </w:rPr>
                  <m:t>≤</m:t>
                </m:r>
                <m:sSub>
                  <m:sSubPr>
                    <m:ctrlPr>
                      <w:rPr>
                        <w:rFonts w:ascii="Cambria Math" w:hAnsi="Cambria Math"/>
                        <w:i/>
                      </w:rPr>
                    </m:ctrlPr>
                  </m:sSubPr>
                  <m:e>
                    <m:r>
                      <w:rPr>
                        <w:rFonts w:ascii="Cambria Math" w:hAnsi="Cambria Math"/>
                      </w:rPr>
                      <m:t>SUPCAP</m:t>
                    </m:r>
                  </m:e>
                  <m:sub>
                    <m:r>
                      <w:rPr>
                        <w:rFonts w:ascii="Cambria Math" w:hAnsi="Cambria Math"/>
                      </w:rPr>
                      <m:t>n</m:t>
                    </m:r>
                  </m:sub>
                </m:sSub>
              </m:oMath>
            </m:oMathPara>
          </w:p>
          <w:p w14:paraId="3945DE95" w14:textId="77777777" w:rsidR="00DA3852" w:rsidRDefault="00DA3852" w:rsidP="00C03F9E">
            <w:pPr>
              <w:pStyle w:val="Box"/>
              <w:spacing w:before="0"/>
            </w:pPr>
            <w:r>
              <w:t>where:</w:t>
            </w:r>
          </w:p>
          <w:p w14:paraId="4878CF8C" w14:textId="2812E11E" w:rsidR="00DA3852" w:rsidRDefault="007231F7" w:rsidP="00C03F9E">
            <w:pPr>
              <w:pStyle w:val="Box"/>
              <w:rPr>
                <w:i/>
              </w:rPr>
            </w:pPr>
            <m:oMath>
              <m:sSubSup>
                <m:sSubSupPr>
                  <m:ctrlPr>
                    <w:rPr>
                      <w:rFonts w:ascii="Cambria Math" w:hAnsi="Cambria Math"/>
                      <w:i/>
                    </w:rPr>
                  </m:ctrlPr>
                </m:sSubSupPr>
                <m:e>
                  <m:r>
                    <w:rPr>
                      <w:rFonts w:ascii="Cambria Math" w:hAnsi="Cambria Math"/>
                    </w:rPr>
                    <m:t>Q</m:t>
                  </m:r>
                </m:e>
                <m:sub>
                  <m:r>
                    <w:rPr>
                      <w:rFonts w:ascii="Cambria Math" w:hAnsi="Cambria Math"/>
                    </w:rPr>
                    <m:t>n</m:t>
                  </m:r>
                </m:sub>
                <m:sup>
                  <m:r>
                    <w:rPr>
                      <w:rFonts w:ascii="Cambria Math" w:hAnsi="Cambria Math"/>
                    </w:rPr>
                    <m:t>D</m:t>
                  </m:r>
                </m:sup>
              </m:sSubSup>
              <m:r>
                <w:rPr>
                  <w:rFonts w:ascii="Cambria Math" w:hAnsi="Cambria Math"/>
                </w:rPr>
                <m:t xml:space="preserve"> </m:t>
              </m:r>
            </m:oMath>
            <w:r w:rsidR="00DA3852">
              <w:t xml:space="preserve">, </w:t>
            </w:r>
            <m:oMath>
              <m:sSubSup>
                <m:sSubSupPr>
                  <m:ctrlPr>
                    <w:rPr>
                      <w:rFonts w:ascii="Cambria Math" w:hAnsi="Cambria Math"/>
                      <w:i/>
                    </w:rPr>
                  </m:ctrlPr>
                </m:sSubSupPr>
                <m:e>
                  <m:r>
                    <w:rPr>
                      <w:rFonts w:ascii="Cambria Math" w:hAnsi="Cambria Math"/>
                    </w:rPr>
                    <m:t>Q</m:t>
                  </m:r>
                </m:e>
                <m:sub>
                  <m:r>
                    <w:rPr>
                      <w:rFonts w:ascii="Cambria Math" w:hAnsi="Cambria Math"/>
                    </w:rPr>
                    <m:t>n</m:t>
                  </m:r>
                </m:sub>
                <m:sup>
                  <m:r>
                    <w:rPr>
                      <w:rFonts w:ascii="Cambria Math" w:hAnsi="Cambria Math"/>
                    </w:rPr>
                    <m:t>S</m:t>
                  </m:r>
                </m:sup>
              </m:sSubSup>
            </m:oMath>
            <w:r w:rsidR="00DA3852">
              <w:t xml:space="preserve"> </w:t>
            </w:r>
            <w:r w:rsidR="00DA3852">
              <w:tab/>
            </w:r>
            <w:r w:rsidR="00DA3852">
              <w:tab/>
              <w:t xml:space="preserve">= quantity demanded and supplied at node </w:t>
            </w:r>
            <w:r w:rsidR="00DA3852">
              <w:rPr>
                <w:i/>
              </w:rPr>
              <w:t>n</w:t>
            </w:r>
            <w:r w:rsidR="00DA3852">
              <w:t xml:space="preserve"> (also </w:t>
            </w:r>
            <m:oMath>
              <m:sSubSup>
                <m:sSubSupPr>
                  <m:ctrlPr>
                    <w:rPr>
                      <w:rFonts w:ascii="Cambria Math" w:hAnsi="Cambria Math"/>
                      <w:i/>
                    </w:rPr>
                  </m:ctrlPr>
                </m:sSubSupPr>
                <m:e>
                  <m:r>
                    <w:rPr>
                      <w:rFonts w:ascii="Cambria Math" w:hAnsi="Cambria Math"/>
                    </w:rPr>
                    <m:t>Q</m:t>
                  </m:r>
                </m:e>
                <m:sub>
                  <m:r>
                    <w:rPr>
                      <w:rFonts w:ascii="Cambria Math" w:hAnsi="Cambria Math"/>
                    </w:rPr>
                    <m:t>n</m:t>
                  </m:r>
                </m:sub>
                <m:sup>
                  <m:r>
                    <w:rPr>
                      <w:rFonts w:ascii="Cambria Math" w:hAnsi="Cambria Math"/>
                    </w:rPr>
                    <m:t>D</m:t>
                  </m:r>
                </m:sup>
              </m:sSubSup>
              <m:r>
                <w:rPr>
                  <w:rFonts w:ascii="Cambria Math" w:hAnsi="Cambria Math"/>
                </w:rPr>
                <m:t>≥0</m:t>
              </m:r>
            </m:oMath>
            <w:r w:rsidR="00DA3852">
              <w:t xml:space="preserve"> and </w:t>
            </w:r>
            <m:oMath>
              <m:sSubSup>
                <m:sSubSupPr>
                  <m:ctrlPr>
                    <w:rPr>
                      <w:rFonts w:ascii="Cambria Math" w:hAnsi="Cambria Math"/>
                      <w:i/>
                    </w:rPr>
                  </m:ctrlPr>
                </m:sSubSupPr>
                <m:e>
                  <m:r>
                    <w:rPr>
                      <w:rFonts w:ascii="Cambria Math" w:hAnsi="Cambria Math"/>
                    </w:rPr>
                    <m:t>Q</m:t>
                  </m:r>
                </m:e>
                <m:sub>
                  <m:r>
                    <w:rPr>
                      <w:rFonts w:ascii="Cambria Math" w:hAnsi="Cambria Math"/>
                    </w:rPr>
                    <m:t>n</m:t>
                  </m:r>
                </m:sub>
                <m:sup>
                  <m:r>
                    <w:rPr>
                      <w:rFonts w:ascii="Cambria Math" w:hAnsi="Cambria Math"/>
                    </w:rPr>
                    <m:t>S</m:t>
                  </m:r>
                </m:sup>
              </m:sSubSup>
              <m:r>
                <w:rPr>
                  <w:rFonts w:ascii="Cambria Math" w:hAnsi="Cambria Math"/>
                </w:rPr>
                <m:t>≥0</m:t>
              </m:r>
            </m:oMath>
            <w:r w:rsidR="00DA3852">
              <w:t>)</w:t>
            </w:r>
          </w:p>
          <w:p w14:paraId="5DBF0A65" w14:textId="77777777" w:rsidR="00DA3852" w:rsidRDefault="007231F7" w:rsidP="00C03F9E">
            <w:pPr>
              <w:pStyle w:val="Box"/>
              <w:rPr>
                <w:i/>
              </w:rPr>
            </w:pPr>
            <m:oMath>
              <m:sSubSup>
                <m:sSubSupPr>
                  <m:ctrlPr>
                    <w:rPr>
                      <w:rFonts w:ascii="Cambria Math" w:hAnsi="Cambria Math"/>
                      <w:i/>
                    </w:rPr>
                  </m:ctrlPr>
                </m:sSubSupPr>
                <m:e>
                  <m:r>
                    <w:rPr>
                      <w:rFonts w:ascii="Cambria Math" w:hAnsi="Cambria Math"/>
                    </w:rPr>
                    <m:t>P</m:t>
                  </m:r>
                </m:e>
                <m:sub>
                  <m:r>
                    <w:rPr>
                      <w:rFonts w:ascii="Cambria Math" w:hAnsi="Cambria Math"/>
                    </w:rPr>
                    <m:t>n</m:t>
                  </m:r>
                </m:sub>
                <m:sup>
                  <m:r>
                    <w:rPr>
                      <w:rFonts w:ascii="Cambria Math" w:hAnsi="Cambria Math"/>
                    </w:rPr>
                    <m:t>D</m:t>
                  </m:r>
                </m:sup>
              </m:sSubSup>
              <m:r>
                <w:rPr>
                  <w:rFonts w:ascii="Cambria Math" w:hAnsi="Cambria Math"/>
                </w:rPr>
                <m:t xml:space="preserve"> </m:t>
              </m:r>
              <m:r>
                <m:rPr>
                  <m:sty m:val="p"/>
                </m:rPr>
                <w:rPr>
                  <w:rFonts w:ascii="Cambria Math" w:hAnsi="Cambria Math"/>
                </w:rPr>
                <m:t xml:space="preserve">, </m:t>
              </m:r>
              <m:sSubSup>
                <m:sSubSupPr>
                  <m:ctrlPr>
                    <w:rPr>
                      <w:rFonts w:ascii="Cambria Math" w:hAnsi="Cambria Math"/>
                      <w:i/>
                    </w:rPr>
                  </m:ctrlPr>
                </m:sSubSupPr>
                <m:e>
                  <m:r>
                    <w:rPr>
                      <w:rFonts w:ascii="Cambria Math" w:hAnsi="Cambria Math"/>
                    </w:rPr>
                    <m:t>P</m:t>
                  </m:r>
                </m:e>
                <m:sub>
                  <m:r>
                    <w:rPr>
                      <w:rFonts w:ascii="Cambria Math" w:hAnsi="Cambria Math"/>
                    </w:rPr>
                    <m:t>n</m:t>
                  </m:r>
                </m:sub>
                <m:sup>
                  <m:r>
                    <w:rPr>
                      <w:rFonts w:ascii="Cambria Math" w:hAnsi="Cambria Math"/>
                    </w:rPr>
                    <m:t>S</m:t>
                  </m:r>
                </m:sup>
              </m:sSubSup>
            </m:oMath>
            <w:r w:rsidR="00DA3852">
              <w:rPr>
                <w:i/>
              </w:rPr>
              <w:tab/>
            </w:r>
            <w:r w:rsidR="00DA3852">
              <w:tab/>
            </w:r>
            <w:r w:rsidR="00DA3852">
              <w:rPr>
                <w:i/>
              </w:rPr>
              <w:t xml:space="preserve">= </w:t>
            </w:r>
            <w:r w:rsidR="00DA3852">
              <w:t xml:space="preserve">price of demand and supply at node </w:t>
            </w:r>
            <w:r w:rsidR="00DA3852">
              <w:rPr>
                <w:i/>
              </w:rPr>
              <w:t>n</w:t>
            </w:r>
            <w:r w:rsidR="00DA3852">
              <w:t xml:space="preserve"> </w:t>
            </w:r>
          </w:p>
          <w:p w14:paraId="04FEAB0C" w14:textId="77777777" w:rsidR="00DA3852" w:rsidRDefault="007231F7" w:rsidP="00C03F9E">
            <w:pPr>
              <w:pStyle w:val="Box"/>
            </w:pPr>
            <m:oMath>
              <m:sSub>
                <m:sSubPr>
                  <m:ctrlPr>
                    <w:rPr>
                      <w:rFonts w:ascii="Cambria Math" w:hAnsi="Cambria Math"/>
                      <w:i/>
                    </w:rPr>
                  </m:ctrlPr>
                </m:sSubPr>
                <m:e>
                  <m:r>
                    <w:rPr>
                      <w:rFonts w:ascii="Cambria Math" w:hAnsi="Cambria Math"/>
                    </w:rPr>
                    <m:t>loss</m:t>
                  </m:r>
                </m:e>
                <m:sub>
                  <m:r>
                    <w:rPr>
                      <w:rFonts w:ascii="Cambria Math" w:hAnsi="Cambria Math"/>
                    </w:rPr>
                    <m:t>m,n</m:t>
                  </m:r>
                </m:sub>
              </m:sSub>
            </m:oMath>
            <w:r w:rsidR="00DA3852">
              <w:rPr>
                <w:i/>
              </w:rPr>
              <w:tab/>
            </w:r>
            <w:r w:rsidR="00DA3852">
              <w:rPr>
                <w:i/>
              </w:rPr>
              <w:tab/>
              <w:t xml:space="preserve">= </w:t>
            </w:r>
            <w:r w:rsidR="00DA3852">
              <w:t>s</w:t>
            </w:r>
            <w:r w:rsidR="00DA3852" w:rsidRPr="00E663FB">
              <w:t>ystem use of gas</w:t>
            </w:r>
            <w:r w:rsidR="00DA3852">
              <w:t xml:space="preserve"> on pipeline from node </w:t>
            </w:r>
            <w:r w:rsidR="00DA3852">
              <w:rPr>
                <w:i/>
              </w:rPr>
              <w:t>m</w:t>
            </w:r>
            <w:r w:rsidR="00DA3852">
              <w:t xml:space="preserve"> to </w:t>
            </w:r>
            <w:r w:rsidR="00DA3852">
              <w:rPr>
                <w:i/>
              </w:rPr>
              <w:t xml:space="preserve">n </w:t>
            </w:r>
          </w:p>
          <w:p w14:paraId="38F4A37B" w14:textId="77777777" w:rsidR="00DA3852" w:rsidRDefault="007231F7" w:rsidP="00C03F9E">
            <w:pPr>
              <w:pStyle w:val="Box"/>
              <w:rPr>
                <w:i/>
              </w:rPr>
            </w:pPr>
            <m:oMath>
              <m:sSub>
                <m:sSubPr>
                  <m:ctrlPr>
                    <w:rPr>
                      <w:rFonts w:ascii="Cambria Math" w:hAnsi="Cambria Math"/>
                      <w:i/>
                    </w:rPr>
                  </m:ctrlPr>
                </m:sSubPr>
                <m:e>
                  <m:r>
                    <w:rPr>
                      <w:rFonts w:ascii="Cambria Math" w:hAnsi="Cambria Math"/>
                    </w:rPr>
                    <m:t>TRANS</m:t>
                  </m:r>
                </m:e>
                <m:sub>
                  <m:r>
                    <w:rPr>
                      <w:rFonts w:ascii="Cambria Math" w:hAnsi="Cambria Math"/>
                    </w:rPr>
                    <m:t>m,n</m:t>
                  </m:r>
                </m:sub>
              </m:sSub>
            </m:oMath>
            <w:r w:rsidR="00DA3852">
              <w:tab/>
              <w:t xml:space="preserve">= quantity of gas transported from </w:t>
            </w:r>
            <w:r w:rsidR="00DA3852">
              <w:rPr>
                <w:i/>
              </w:rPr>
              <w:t xml:space="preserve">m </w:t>
            </w:r>
            <w:r w:rsidR="00DA3852">
              <w:t xml:space="preserve">to </w:t>
            </w:r>
            <w:r w:rsidR="00DA3852">
              <w:rPr>
                <w:i/>
              </w:rPr>
              <w:t>n</w:t>
            </w:r>
            <w:r w:rsidR="00DA3852">
              <w:t xml:space="preserve"> </w:t>
            </w:r>
          </w:p>
          <w:p w14:paraId="1C308166" w14:textId="77777777" w:rsidR="00DA3852" w:rsidRPr="00763705" w:rsidRDefault="007231F7" w:rsidP="00C03F9E">
            <w:pPr>
              <w:pStyle w:val="Box"/>
            </w:pPr>
            <m:oMath>
              <m:sSub>
                <m:sSubPr>
                  <m:ctrlPr>
                    <w:rPr>
                      <w:rFonts w:ascii="Cambria Math" w:hAnsi="Cambria Math"/>
                      <w:i/>
                    </w:rPr>
                  </m:ctrlPr>
                </m:sSubPr>
                <m:e>
                  <m:r>
                    <w:rPr>
                      <w:rFonts w:ascii="Cambria Math" w:hAnsi="Cambria Math"/>
                    </w:rPr>
                    <m:t>PIPECAP</m:t>
                  </m:r>
                </m:e>
                <m:sub>
                  <m:r>
                    <w:rPr>
                      <w:rFonts w:ascii="Cambria Math" w:hAnsi="Cambria Math"/>
                    </w:rPr>
                    <m:t>m,n</m:t>
                  </m:r>
                </m:sub>
              </m:sSub>
            </m:oMath>
            <w:r w:rsidR="00DA3852">
              <w:rPr>
                <w:i/>
              </w:rPr>
              <w:tab/>
              <w:t xml:space="preserve">= </w:t>
            </w:r>
            <w:r w:rsidR="00DA3852">
              <w:t xml:space="preserve">pipeline capacity from </w:t>
            </w:r>
            <w:r w:rsidR="00DA3852">
              <w:rPr>
                <w:i/>
              </w:rPr>
              <w:t xml:space="preserve">m </w:t>
            </w:r>
            <w:r w:rsidR="00DA3852">
              <w:t xml:space="preserve">to </w:t>
            </w:r>
            <w:r w:rsidR="00DA3852">
              <w:rPr>
                <w:i/>
              </w:rPr>
              <w:t>n</w:t>
            </w:r>
            <w:r w:rsidR="00DA3852">
              <w:t xml:space="preserve"> </w:t>
            </w:r>
          </w:p>
          <w:p w14:paraId="0BE0E61F" w14:textId="41070CB0" w:rsidR="00DA3852" w:rsidRDefault="007231F7" w:rsidP="00C03F9E">
            <w:pPr>
              <w:pStyle w:val="Box"/>
              <w:rPr>
                <w:i/>
              </w:rPr>
            </w:pPr>
            <m:oMath>
              <m:sSub>
                <m:sSubPr>
                  <m:ctrlPr>
                    <w:rPr>
                      <w:rFonts w:ascii="Cambria Math" w:hAnsi="Cambria Math"/>
                      <w:i/>
                    </w:rPr>
                  </m:ctrlPr>
                </m:sSubPr>
                <m:e>
                  <m:r>
                    <w:rPr>
                      <w:rFonts w:ascii="Cambria Math" w:hAnsi="Cambria Math"/>
                    </w:rPr>
                    <m:t>SUPCAP</m:t>
                  </m:r>
                </m:e>
                <m:sub>
                  <m:r>
                    <w:rPr>
                      <w:rFonts w:ascii="Cambria Math" w:hAnsi="Cambria Math"/>
                    </w:rPr>
                    <m:t>n</m:t>
                  </m:r>
                </m:sub>
              </m:sSub>
            </m:oMath>
            <w:r w:rsidR="00DA3852">
              <w:tab/>
              <w:t xml:space="preserve">= supply capacity from node </w:t>
            </w:r>
            <w:r w:rsidR="00DA3852">
              <w:rPr>
                <w:i/>
              </w:rPr>
              <w:t xml:space="preserve">n </w:t>
            </w:r>
          </w:p>
          <w:p w14:paraId="4DE8F25A" w14:textId="77777777" w:rsidR="00DA3852" w:rsidRPr="00E663FB" w:rsidRDefault="00DA3852" w:rsidP="00C03F9E">
            <w:pPr>
              <w:pStyle w:val="Box"/>
              <w:spacing w:line="20" w:lineRule="atLeast"/>
              <w:rPr>
                <w:szCs w:val="24"/>
              </w:rPr>
            </w:pPr>
            <w:proofErr w:type="spellStart"/>
            <w:r>
              <w:t>Karush</w:t>
            </w:r>
            <w:proofErr w:type="spellEnd"/>
            <w:r>
              <w:t xml:space="preserve">–Kuhn–Tucker conditions define the necessary conditions for a solution to this stylised model, which reveal the equilibrium conditions imbedded in the model, key elements of which </w:t>
            </w:r>
            <w:r>
              <w:br/>
            </w:r>
          </w:p>
        </w:tc>
      </w:tr>
      <w:tr w:rsidR="00DA3852" w14:paraId="58F8F4B8" w14:textId="77777777" w:rsidTr="00C03F9E">
        <w:trPr>
          <w:cantSplit/>
        </w:trPr>
        <w:tc>
          <w:tcPr>
            <w:tcW w:w="8771" w:type="dxa"/>
            <w:tcBorders>
              <w:top w:val="nil"/>
              <w:left w:val="nil"/>
              <w:bottom w:val="nil"/>
              <w:right w:val="nil"/>
            </w:tcBorders>
            <w:shd w:val="clear" w:color="auto" w:fill="F2F2F2"/>
          </w:tcPr>
          <w:p w14:paraId="10B05D53" w14:textId="77777777" w:rsidR="00DA3852" w:rsidRDefault="00DA3852" w:rsidP="00662ACE">
            <w:pPr>
              <w:pStyle w:val="Continued"/>
              <w:spacing w:before="0"/>
              <w:rPr>
                <w:i/>
              </w:rPr>
            </w:pPr>
            <w:r>
              <w:t>(continued next page)</w:t>
            </w:r>
          </w:p>
        </w:tc>
      </w:tr>
      <w:tr w:rsidR="00DA3852" w14:paraId="2ECCE07A" w14:textId="77777777" w:rsidTr="00C03F9E">
        <w:trPr>
          <w:cantSplit/>
        </w:trPr>
        <w:tc>
          <w:tcPr>
            <w:tcW w:w="8771" w:type="dxa"/>
            <w:tcBorders>
              <w:top w:val="nil"/>
              <w:left w:val="nil"/>
              <w:bottom w:val="single" w:sz="6" w:space="0" w:color="78A22F"/>
              <w:right w:val="nil"/>
            </w:tcBorders>
            <w:shd w:val="clear" w:color="auto" w:fill="F2F2F2"/>
          </w:tcPr>
          <w:p w14:paraId="61D12031" w14:textId="77777777" w:rsidR="00DA3852" w:rsidRDefault="00DA3852" w:rsidP="00C03F9E">
            <w:pPr>
              <w:pStyle w:val="Box"/>
              <w:spacing w:before="0" w:line="120" w:lineRule="exact"/>
            </w:pPr>
          </w:p>
        </w:tc>
      </w:tr>
      <w:tr w:rsidR="00DA3852" w:rsidRPr="000863A5" w14:paraId="333D20FE" w14:textId="77777777" w:rsidTr="00C03F9E">
        <w:tc>
          <w:tcPr>
            <w:tcW w:w="8771" w:type="dxa"/>
            <w:tcBorders>
              <w:top w:val="single" w:sz="6" w:space="0" w:color="78A22F"/>
              <w:left w:val="nil"/>
              <w:bottom w:val="nil"/>
              <w:right w:val="nil"/>
            </w:tcBorders>
          </w:tcPr>
          <w:p w14:paraId="04CC78A6" w14:textId="77777777" w:rsidR="00DA3852" w:rsidRPr="00626D32" w:rsidRDefault="00DA3852" w:rsidP="00C03F9E">
            <w:pPr>
              <w:pStyle w:val="BoxSpaceBelow"/>
            </w:pPr>
          </w:p>
        </w:tc>
      </w:tr>
    </w:tbl>
    <w:p w14:paraId="4B277BF3" w14:textId="77777777" w:rsidR="00DA3852" w:rsidRDefault="00DA3852" w:rsidP="00DA3852">
      <w:pPr>
        <w:pStyle w:val="BoxSpaceAbove"/>
        <w:spacing w:line="20" w:lineRule="exact"/>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DA3852" w14:paraId="3B7E394F" w14:textId="77777777" w:rsidTr="00C03F9E">
        <w:tc>
          <w:tcPr>
            <w:tcW w:w="8771" w:type="dxa"/>
            <w:tcBorders>
              <w:top w:val="single" w:sz="6" w:space="0" w:color="78A22F"/>
              <w:left w:val="nil"/>
              <w:bottom w:val="nil"/>
              <w:right w:val="nil"/>
            </w:tcBorders>
            <w:shd w:val="clear" w:color="auto" w:fill="F2F2F2"/>
          </w:tcPr>
          <w:p w14:paraId="44CB04A6" w14:textId="77777777" w:rsidR="00DA3852" w:rsidRDefault="00DA3852" w:rsidP="00C03F9E">
            <w:pPr>
              <w:pStyle w:val="BoxTitle"/>
            </w:pPr>
            <w:r>
              <w:rPr>
                <w:b w:val="0"/>
              </w:rPr>
              <w:t>Box B.1</w:t>
            </w:r>
            <w:r>
              <w:tab/>
            </w:r>
            <w:r w:rsidRPr="00FF5CC2">
              <w:rPr>
                <w:b w:val="0"/>
                <w:sz w:val="18"/>
                <w:szCs w:val="20"/>
              </w:rPr>
              <w:t>(continued)</w:t>
            </w:r>
          </w:p>
        </w:tc>
      </w:tr>
      <w:tr w:rsidR="00DA3852" w14:paraId="3E087AE0" w14:textId="77777777" w:rsidTr="00C03F9E">
        <w:trPr>
          <w:cantSplit/>
        </w:trPr>
        <w:tc>
          <w:tcPr>
            <w:tcW w:w="8771" w:type="dxa"/>
            <w:tcBorders>
              <w:top w:val="nil"/>
              <w:left w:val="nil"/>
              <w:bottom w:val="nil"/>
              <w:right w:val="nil"/>
            </w:tcBorders>
            <w:shd w:val="clear" w:color="auto" w:fill="F2F2F2"/>
          </w:tcPr>
          <w:p w14:paraId="74695FD7" w14:textId="77777777" w:rsidR="00DA3852" w:rsidRDefault="00DA3852" w:rsidP="00C03F9E">
            <w:pPr>
              <w:pStyle w:val="Box"/>
            </w:pPr>
            <w:proofErr w:type="gramStart"/>
            <w:r>
              <w:t>are</w:t>
            </w:r>
            <w:proofErr w:type="gramEnd"/>
            <w:r>
              <w:t xml:space="preserve"> set out in selected complementary slackness and first order conditions below (derived by taking the derivative of the </w:t>
            </w:r>
            <w:proofErr w:type="spellStart"/>
            <w:r>
              <w:t>Lagrangian</w:t>
            </w:r>
            <w:proofErr w:type="spellEnd"/>
            <w:r>
              <w:t xml:space="preserve"> (</w:t>
            </w:r>
            <m:oMath>
              <m:r>
                <m:rPr>
                  <m:scr m:val="script"/>
                </m:rPr>
                <w:rPr>
                  <w:rFonts w:ascii="Cambria Math" w:hAnsi="Cambria Math"/>
                </w:rPr>
                <m:t>L</m:t>
              </m:r>
            </m:oMath>
            <w:r>
              <w:t xml:space="preserve">) with respect to </w:t>
            </w:r>
            <m:oMath>
              <m:sSubSup>
                <m:sSubSupPr>
                  <m:ctrlPr>
                    <w:rPr>
                      <w:rFonts w:ascii="Cambria Math" w:hAnsi="Cambria Math" w:cstheme="minorHAnsi"/>
                      <w:i/>
                      <w:sz w:val="18"/>
                      <w:szCs w:val="18"/>
                    </w:rPr>
                  </m:ctrlPr>
                </m:sSubSupPr>
                <m:e>
                  <m:r>
                    <w:rPr>
                      <w:rFonts w:ascii="Cambria Math" w:hAnsi="Cambria Math" w:cstheme="minorHAnsi"/>
                      <w:sz w:val="18"/>
                      <w:szCs w:val="18"/>
                    </w:rPr>
                    <m:t>Q</m:t>
                  </m:r>
                </m:e>
                <m:sub>
                  <m:r>
                    <w:rPr>
                      <w:rFonts w:ascii="Cambria Math" w:hAnsi="Cambria Math" w:cstheme="minorHAnsi"/>
                      <w:sz w:val="18"/>
                      <w:szCs w:val="18"/>
                    </w:rPr>
                    <m:t>n</m:t>
                  </m:r>
                </m:sub>
                <m:sup>
                  <m:r>
                    <w:rPr>
                      <w:rFonts w:ascii="Cambria Math" w:hAnsi="Cambria Math" w:cstheme="minorHAnsi"/>
                      <w:sz w:val="18"/>
                      <w:szCs w:val="18"/>
                    </w:rPr>
                    <m:t>S</m:t>
                  </m:r>
                </m:sup>
              </m:sSubSup>
            </m:oMath>
            <w:r>
              <w:rPr>
                <w:sz w:val="18"/>
                <w:szCs w:val="18"/>
              </w:rPr>
              <w:t xml:space="preserve"> and </w:t>
            </w:r>
            <m:oMath>
              <m:sSub>
                <m:sSubPr>
                  <m:ctrlPr>
                    <w:rPr>
                      <w:rFonts w:ascii="Cambria Math" w:hAnsi="Cambria Math"/>
                      <w:i/>
                    </w:rPr>
                  </m:ctrlPr>
                </m:sSubPr>
                <m:e>
                  <m:r>
                    <w:rPr>
                      <w:rFonts w:ascii="Cambria Math" w:hAnsi="Cambria Math"/>
                    </w:rPr>
                    <m:t>TRANS</m:t>
                  </m:r>
                </m:e>
                <m:sub>
                  <m:r>
                    <w:rPr>
                      <w:rFonts w:ascii="Cambria Math" w:hAnsi="Cambria Math"/>
                    </w:rPr>
                    <m:t>m,n</m:t>
                  </m:r>
                </m:sub>
              </m:sSub>
            </m:oMath>
            <w:r>
              <w:t xml:space="preserve"> respectively).</w:t>
            </w:r>
          </w:p>
          <w:p w14:paraId="098EBAA3" w14:textId="77777777" w:rsidR="00DA3852" w:rsidRPr="003D1D01" w:rsidRDefault="00DA3852" w:rsidP="00C03F9E">
            <w:pPr>
              <w:pStyle w:val="Box"/>
              <w:jc w:val="center"/>
              <w:rPr>
                <w:b/>
              </w:rPr>
            </w:pPr>
            <m:oMathPara>
              <m:oMath>
                <m:r>
                  <w:rPr>
                    <w:rFonts w:ascii="Cambria Math" w:hAnsi="Cambria Math"/>
                  </w:rPr>
                  <m:t xml:space="preserve">                           </m:t>
                </m:r>
                <m:d>
                  <m:dPr>
                    <m:ctrlPr>
                      <w:rPr>
                        <w:rFonts w:ascii="Cambria Math" w:hAnsi="Cambria Math"/>
                        <w:i/>
                      </w:rPr>
                    </m:ctrlPr>
                  </m:dPr>
                  <m:e>
                    <m:f>
                      <m:fPr>
                        <m:ctrlPr>
                          <w:rPr>
                            <w:rFonts w:ascii="Cambria Math" w:hAnsi="Cambria Math"/>
                            <w:i/>
                          </w:rPr>
                        </m:ctrlPr>
                      </m:fPr>
                      <m:num>
                        <m:r>
                          <w:rPr>
                            <w:rFonts w:ascii="Cambria Math" w:hAnsi="Cambria Math"/>
                          </w:rPr>
                          <m:t>d</m:t>
                        </m:r>
                        <m:r>
                          <m:rPr>
                            <m:scr m:val="script"/>
                          </m:rPr>
                          <w:rPr>
                            <w:rFonts w:ascii="Cambria Math" w:hAnsi="Cambria Math"/>
                          </w:rPr>
                          <m:t>L</m:t>
                        </m:r>
                      </m:num>
                      <m:den>
                        <m:sSubSup>
                          <m:sSubSupPr>
                            <m:ctrlPr>
                              <w:rPr>
                                <w:rFonts w:ascii="Cambria Math" w:hAnsi="Cambria Math" w:cstheme="minorHAnsi"/>
                                <w:i/>
                                <w:sz w:val="18"/>
                                <w:szCs w:val="18"/>
                              </w:rPr>
                            </m:ctrlPr>
                          </m:sSubSupPr>
                          <m:e>
                            <m:r>
                              <w:rPr>
                                <w:rFonts w:ascii="Cambria Math" w:hAnsi="Cambria Math" w:cstheme="minorHAnsi"/>
                                <w:sz w:val="18"/>
                                <w:szCs w:val="18"/>
                              </w:rPr>
                              <m:t>Q</m:t>
                            </m:r>
                          </m:e>
                          <m:sub>
                            <m:r>
                              <w:rPr>
                                <w:rFonts w:ascii="Cambria Math" w:hAnsi="Cambria Math" w:cstheme="minorHAnsi"/>
                                <w:sz w:val="18"/>
                                <w:szCs w:val="18"/>
                              </w:rPr>
                              <m:t>n</m:t>
                            </m:r>
                          </m:sub>
                          <m:sup>
                            <m:r>
                              <w:rPr>
                                <w:rFonts w:ascii="Cambria Math" w:hAnsi="Cambria Math" w:cstheme="minorHAnsi"/>
                                <w:sz w:val="18"/>
                                <w:szCs w:val="18"/>
                              </w:rPr>
                              <m:t>S</m:t>
                            </m:r>
                          </m:sup>
                        </m:sSubSup>
                      </m:den>
                    </m:f>
                  </m:e>
                </m:d>
                <m:r>
                  <w:rPr>
                    <w:rFonts w:ascii="Cambria Math" w:hAnsi="Cambria Math"/>
                  </w:rPr>
                  <m:t xml:space="preserve"> </m:t>
                </m:r>
                <m:sSubSup>
                  <m:sSubSupPr>
                    <m:ctrlPr>
                      <w:rPr>
                        <w:rFonts w:ascii="Cambria Math" w:hAnsi="Cambria Math"/>
                        <w:i/>
                      </w:rPr>
                    </m:ctrlPr>
                  </m:sSubSupPr>
                  <m:e>
                    <m:r>
                      <w:rPr>
                        <w:rFonts w:ascii="Cambria Math" w:hAnsi="Cambria Math"/>
                      </w:rPr>
                      <m:t>Q</m:t>
                    </m:r>
                  </m:e>
                  <m:sub>
                    <m:r>
                      <w:rPr>
                        <w:rFonts w:ascii="Cambria Math" w:hAnsi="Cambria Math"/>
                      </w:rPr>
                      <m:t>n</m:t>
                    </m:r>
                  </m:sub>
                  <m:sup>
                    <m:r>
                      <w:rPr>
                        <w:rFonts w:ascii="Cambria Math" w:hAnsi="Cambria Math"/>
                      </w:rPr>
                      <m:t>S</m:t>
                    </m:r>
                  </m:sup>
                </m:sSubSup>
                <m:r>
                  <w:rPr>
                    <w:rFonts w:ascii="Cambria Math" w:hAnsi="Cambria Math"/>
                  </w:rPr>
                  <m:t xml:space="preserve">=0             </m:t>
                </m:r>
                <m:r>
                  <m:rPr>
                    <m:sty m:val="bi"/>
                  </m:rPr>
                  <w:rPr>
                    <w:rFonts w:ascii="Cambria Math" w:hAnsi="Cambria Math"/>
                  </w:rPr>
                  <m:t xml:space="preserve"> </m:t>
                </m:r>
                <m:r>
                  <m:rPr>
                    <m:sty m:val="b"/>
                  </m:rPr>
                  <w:rPr>
                    <w:rFonts w:ascii="Cambria Math" w:hAnsi="Cambria Math"/>
                  </w:rPr>
                  <m:t xml:space="preserve">      </m:t>
                </m:r>
                <m:r>
                  <m:rPr>
                    <m:sty m:val="p"/>
                  </m:rPr>
                  <w:rPr>
                    <w:rFonts w:ascii="Cambria Math" w:hAnsi="Cambria Math"/>
                  </w:rPr>
                  <m:t>and</m:t>
                </m:r>
                <m:r>
                  <m:rPr>
                    <m:sty m:val="b"/>
                  </m:rPr>
                  <w:rPr>
                    <w:rFonts w:ascii="Cambria Math" w:hAnsi="Cambria Math"/>
                  </w:rPr>
                  <m:t xml:space="preserve">                                   </m:t>
                </m:r>
                <m:r>
                  <w:rPr>
                    <w:rFonts w:ascii="Cambria Math" w:hAnsi="Cambria Math"/>
                  </w:rPr>
                  <m:t xml:space="preserve"> </m:t>
                </m:r>
                <m:sSubSup>
                  <m:sSubSupPr>
                    <m:ctrlPr>
                      <w:rPr>
                        <w:rFonts w:ascii="Cambria Math" w:hAnsi="Cambria Math" w:cstheme="minorHAnsi"/>
                        <w:i/>
                        <w:sz w:val="18"/>
                        <w:szCs w:val="18"/>
                      </w:rPr>
                    </m:ctrlPr>
                  </m:sSubSupPr>
                  <m:e>
                    <m:r>
                      <w:rPr>
                        <w:rFonts w:ascii="Cambria Math" w:hAnsi="Cambria Math" w:cstheme="minorHAnsi"/>
                        <w:sz w:val="18"/>
                        <w:szCs w:val="18"/>
                      </w:rPr>
                      <m:t>λ</m:t>
                    </m:r>
                  </m:e>
                  <m:sub>
                    <m:r>
                      <w:rPr>
                        <w:rFonts w:ascii="Cambria Math" w:hAnsi="Cambria Math" w:cstheme="minorHAnsi"/>
                        <w:sz w:val="18"/>
                        <w:szCs w:val="18"/>
                      </w:rPr>
                      <m:t>n</m:t>
                    </m:r>
                  </m:sub>
                  <m:sup>
                    <m:r>
                      <w:rPr>
                        <w:rFonts w:ascii="Cambria Math" w:hAnsi="Cambria Math" w:cstheme="minorHAnsi"/>
                        <w:sz w:val="18"/>
                        <w:szCs w:val="18"/>
                      </w:rPr>
                      <m:t>DSBAL</m:t>
                    </m:r>
                  </m:sup>
                </m:sSubSup>
                <m:r>
                  <w:rPr>
                    <w:rFonts w:ascii="Cambria Math" w:hAnsi="Cambria Math"/>
                  </w:rPr>
                  <m:t>-</m:t>
                </m:r>
                <m:sSubSup>
                  <m:sSubSupPr>
                    <m:ctrlPr>
                      <w:rPr>
                        <w:rFonts w:ascii="Cambria Math" w:hAnsi="Cambria Math" w:cstheme="minorHAnsi"/>
                        <w:i/>
                        <w:sz w:val="18"/>
                        <w:szCs w:val="18"/>
                      </w:rPr>
                    </m:ctrlPr>
                  </m:sSubSupPr>
                  <m:e>
                    <m:r>
                      <w:rPr>
                        <w:rFonts w:ascii="Cambria Math" w:hAnsi="Cambria Math" w:cstheme="minorHAnsi"/>
                        <w:sz w:val="18"/>
                        <w:szCs w:val="18"/>
                      </w:rPr>
                      <m:t>λ</m:t>
                    </m:r>
                  </m:e>
                  <m:sub>
                    <m:r>
                      <w:rPr>
                        <w:rFonts w:ascii="Cambria Math" w:hAnsi="Cambria Math" w:cstheme="minorHAnsi"/>
                        <w:sz w:val="18"/>
                        <w:szCs w:val="18"/>
                      </w:rPr>
                      <m:t>n</m:t>
                    </m:r>
                  </m:sub>
                  <m:sup>
                    <m:r>
                      <w:rPr>
                        <w:rFonts w:ascii="Cambria Math" w:hAnsi="Cambria Math" w:cstheme="minorHAnsi"/>
                        <w:sz w:val="18"/>
                        <w:szCs w:val="18"/>
                      </w:rPr>
                      <m:t>SUP</m:t>
                    </m:r>
                  </m:sup>
                </m:sSubSup>
                <m:r>
                  <w:rPr>
                    <w:rFonts w:ascii="Cambria Math" w:hAnsi="Cambria Math"/>
                  </w:rPr>
                  <m:t xml:space="preserve">- </m:t>
                </m:r>
                <m:sSubSup>
                  <m:sSubSupPr>
                    <m:ctrlPr>
                      <w:rPr>
                        <w:rFonts w:ascii="Cambria Math" w:hAnsi="Cambria Math"/>
                        <w:i/>
                      </w:rPr>
                    </m:ctrlPr>
                  </m:sSubSupPr>
                  <m:e>
                    <m:r>
                      <w:rPr>
                        <w:rFonts w:ascii="Cambria Math" w:hAnsi="Cambria Math"/>
                      </w:rPr>
                      <m:t>P</m:t>
                    </m:r>
                  </m:e>
                  <m:sub>
                    <m:r>
                      <w:rPr>
                        <w:rFonts w:ascii="Cambria Math" w:hAnsi="Cambria Math"/>
                      </w:rPr>
                      <m:t>n</m:t>
                    </m:r>
                  </m:sub>
                  <m:sup>
                    <m:r>
                      <w:rPr>
                        <w:rFonts w:ascii="Cambria Math" w:hAnsi="Cambria Math"/>
                      </w:rPr>
                      <m:t>S</m:t>
                    </m:r>
                  </m:sup>
                </m:sSubSup>
                <m:r>
                  <w:rPr>
                    <w:rFonts w:ascii="Cambria Math" w:hAnsi="Cambria Math"/>
                  </w:rPr>
                  <m:t>≤0</m:t>
                </m:r>
              </m:oMath>
            </m:oMathPara>
          </w:p>
          <w:p w14:paraId="439AB889" w14:textId="77777777" w:rsidR="00DA3852" w:rsidRPr="003D1D01" w:rsidRDefault="007231F7" w:rsidP="00C03F9E">
            <w:pPr>
              <w:pStyle w:val="Box"/>
              <w:jc w:val="center"/>
              <w:rPr>
                <w:b/>
              </w:rPr>
            </w:pPr>
            <m:oMathPara>
              <m:oMath>
                <m:d>
                  <m:dPr>
                    <m:ctrlPr>
                      <w:rPr>
                        <w:rFonts w:ascii="Cambria Math" w:hAnsi="Cambria Math"/>
                        <w:i/>
                      </w:rPr>
                    </m:ctrlPr>
                  </m:dPr>
                  <m:e>
                    <m:f>
                      <m:fPr>
                        <m:ctrlPr>
                          <w:rPr>
                            <w:rFonts w:ascii="Cambria Math" w:hAnsi="Cambria Math"/>
                            <w:i/>
                          </w:rPr>
                        </m:ctrlPr>
                      </m:fPr>
                      <m:num>
                        <m:r>
                          <w:rPr>
                            <w:rFonts w:ascii="Cambria Math" w:hAnsi="Cambria Math"/>
                          </w:rPr>
                          <m:t>d</m:t>
                        </m:r>
                        <m:r>
                          <m:rPr>
                            <m:scr m:val="script"/>
                          </m:rPr>
                          <w:rPr>
                            <w:rFonts w:ascii="Cambria Math" w:hAnsi="Cambria Math"/>
                          </w:rPr>
                          <m:t>L</m:t>
                        </m:r>
                      </m:num>
                      <m:den>
                        <m:r>
                          <w:rPr>
                            <w:rFonts w:ascii="Cambria Math" w:hAnsi="Cambria Math" w:cstheme="minorHAnsi"/>
                            <w:sz w:val="18"/>
                            <w:szCs w:val="18"/>
                          </w:rPr>
                          <m:t>d</m:t>
                        </m:r>
                        <m:sSub>
                          <m:sSubPr>
                            <m:ctrlPr>
                              <w:rPr>
                                <w:rFonts w:ascii="Cambria Math" w:hAnsi="Cambria Math" w:cstheme="minorHAnsi"/>
                                <w:i/>
                                <w:sz w:val="18"/>
                                <w:szCs w:val="18"/>
                              </w:rPr>
                            </m:ctrlPr>
                          </m:sSubPr>
                          <m:e>
                            <m:r>
                              <w:rPr>
                                <w:rFonts w:ascii="Cambria Math" w:hAnsi="Cambria Math" w:cstheme="minorHAnsi"/>
                                <w:sz w:val="18"/>
                                <w:szCs w:val="18"/>
                              </w:rPr>
                              <m:t>TRANS</m:t>
                            </m:r>
                          </m:e>
                          <m:sub>
                            <m:r>
                              <w:rPr>
                                <w:rFonts w:ascii="Cambria Math" w:hAnsi="Cambria Math" w:cstheme="minorHAnsi"/>
                                <w:sz w:val="18"/>
                                <w:szCs w:val="18"/>
                              </w:rPr>
                              <m:t>m,n</m:t>
                            </m:r>
                          </m:sub>
                        </m:sSub>
                      </m:den>
                    </m:f>
                  </m:e>
                </m:d>
                <m:sSub>
                  <m:sSubPr>
                    <m:ctrlPr>
                      <w:rPr>
                        <w:rFonts w:ascii="Cambria Math" w:hAnsi="Cambria Math"/>
                        <w:i/>
                      </w:rPr>
                    </m:ctrlPr>
                  </m:sSubPr>
                  <m:e>
                    <m:r>
                      <w:rPr>
                        <w:rFonts w:ascii="Cambria Math" w:hAnsi="Cambria Math"/>
                      </w:rPr>
                      <m:t>TRANS</m:t>
                    </m:r>
                  </m:e>
                  <m:sub>
                    <m:r>
                      <w:rPr>
                        <w:rFonts w:ascii="Cambria Math" w:hAnsi="Cambria Math"/>
                      </w:rPr>
                      <m:t>m,n</m:t>
                    </m:r>
                  </m:sub>
                </m:sSub>
                <m:r>
                  <w:rPr>
                    <w:rFonts w:ascii="Cambria Math" w:hAnsi="Cambria Math"/>
                  </w:rPr>
                  <m:t xml:space="preserve">=0                    </m:t>
                </m:r>
                <m:r>
                  <m:rPr>
                    <m:sty m:val="p"/>
                  </m:rPr>
                  <w:rPr>
                    <w:rFonts w:ascii="Cambria Math" w:hAnsi="Cambria Math"/>
                  </w:rPr>
                  <m:t>and</m:t>
                </m:r>
                <m:r>
                  <w:rPr>
                    <w:rFonts w:ascii="Cambria Math" w:hAnsi="Cambria Math"/>
                  </w:rPr>
                  <m:t xml:space="preserve">   </m:t>
                </m:r>
                <m:sSubSup>
                  <m:sSubSupPr>
                    <m:ctrlPr>
                      <w:rPr>
                        <w:rFonts w:ascii="Cambria Math" w:hAnsi="Cambria Math" w:cstheme="minorHAnsi"/>
                        <w:i/>
                        <w:sz w:val="18"/>
                        <w:szCs w:val="18"/>
                      </w:rPr>
                    </m:ctrlPr>
                  </m:sSubSupPr>
                  <m:e>
                    <m:r>
                      <w:rPr>
                        <w:rFonts w:ascii="Cambria Math" w:hAnsi="Cambria Math" w:cstheme="minorHAnsi"/>
                        <w:sz w:val="18"/>
                        <w:szCs w:val="18"/>
                      </w:rPr>
                      <m:t>λ</m:t>
                    </m:r>
                  </m:e>
                  <m:sub>
                    <m:r>
                      <w:rPr>
                        <w:rFonts w:ascii="Cambria Math" w:hAnsi="Cambria Math" w:cstheme="minorHAnsi"/>
                        <w:sz w:val="18"/>
                        <w:szCs w:val="18"/>
                      </w:rPr>
                      <m:t>n</m:t>
                    </m:r>
                  </m:sub>
                  <m:sup>
                    <m:r>
                      <w:rPr>
                        <w:rFonts w:ascii="Cambria Math" w:hAnsi="Cambria Math" w:cstheme="minorHAnsi"/>
                        <w:sz w:val="18"/>
                        <w:szCs w:val="18"/>
                      </w:rPr>
                      <m:t>DSBAL</m:t>
                    </m:r>
                  </m:sup>
                </m:sSubSup>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loss</m:t>
                        </m:r>
                      </m:e>
                      <m:sub>
                        <m:r>
                          <w:rPr>
                            <w:rFonts w:ascii="Cambria Math" w:hAnsi="Cambria Math"/>
                          </w:rPr>
                          <m:t>m,n</m:t>
                        </m:r>
                      </m:sub>
                    </m:sSub>
                  </m:e>
                </m:d>
                <m:r>
                  <w:rPr>
                    <w:rFonts w:ascii="Cambria Math" w:hAnsi="Cambria Math"/>
                  </w:rPr>
                  <m:t>-</m:t>
                </m:r>
                <m:sSubSup>
                  <m:sSubSupPr>
                    <m:ctrlPr>
                      <w:rPr>
                        <w:rFonts w:ascii="Cambria Math" w:hAnsi="Cambria Math" w:cstheme="minorHAnsi"/>
                        <w:i/>
                        <w:sz w:val="18"/>
                        <w:szCs w:val="18"/>
                      </w:rPr>
                    </m:ctrlPr>
                  </m:sSubSupPr>
                  <m:e>
                    <m:r>
                      <w:rPr>
                        <w:rFonts w:ascii="Cambria Math" w:hAnsi="Cambria Math" w:cstheme="minorHAnsi"/>
                        <w:sz w:val="18"/>
                        <w:szCs w:val="18"/>
                      </w:rPr>
                      <m:t>λ</m:t>
                    </m:r>
                  </m:e>
                  <m:sub>
                    <m:r>
                      <w:rPr>
                        <w:rFonts w:ascii="Cambria Math" w:hAnsi="Cambria Math" w:cstheme="minorHAnsi"/>
                        <w:sz w:val="18"/>
                        <w:szCs w:val="18"/>
                      </w:rPr>
                      <m:t>m</m:t>
                    </m:r>
                  </m:sub>
                  <m:sup>
                    <m:r>
                      <w:rPr>
                        <w:rFonts w:ascii="Cambria Math" w:hAnsi="Cambria Math" w:cstheme="minorHAnsi"/>
                        <w:sz w:val="18"/>
                        <w:szCs w:val="18"/>
                      </w:rPr>
                      <m:t>DSBAL</m:t>
                    </m:r>
                  </m:sup>
                </m:sSubSup>
                <m:r>
                  <w:rPr>
                    <w:rFonts w:ascii="Cambria Math" w:hAnsi="Cambria Math"/>
                  </w:rPr>
                  <m:t xml:space="preserve">- </m:t>
                </m:r>
                <m:sSubSup>
                  <m:sSubSupPr>
                    <m:ctrlPr>
                      <w:rPr>
                        <w:rFonts w:ascii="Cambria Math" w:hAnsi="Cambria Math" w:cstheme="minorHAnsi"/>
                        <w:i/>
                        <w:sz w:val="18"/>
                        <w:szCs w:val="18"/>
                      </w:rPr>
                    </m:ctrlPr>
                  </m:sSubSupPr>
                  <m:e>
                    <m:r>
                      <w:rPr>
                        <w:rFonts w:ascii="Cambria Math" w:hAnsi="Cambria Math" w:cstheme="minorHAnsi"/>
                        <w:sz w:val="18"/>
                        <w:szCs w:val="18"/>
                      </w:rPr>
                      <m:t>λ</m:t>
                    </m:r>
                  </m:e>
                  <m:sub>
                    <m:r>
                      <w:rPr>
                        <w:rFonts w:ascii="Cambria Math" w:hAnsi="Cambria Math" w:cstheme="minorHAnsi"/>
                        <w:sz w:val="18"/>
                        <w:szCs w:val="18"/>
                      </w:rPr>
                      <m:t>m,n</m:t>
                    </m:r>
                  </m:sub>
                  <m:sup>
                    <m:r>
                      <w:rPr>
                        <w:rFonts w:ascii="Cambria Math" w:hAnsi="Cambria Math" w:cstheme="minorHAnsi"/>
                        <w:sz w:val="18"/>
                        <w:szCs w:val="18"/>
                      </w:rPr>
                      <m:t>PIPE</m:t>
                    </m:r>
                  </m:sup>
                </m:sSubSup>
                <m:r>
                  <w:rPr>
                    <w:rFonts w:ascii="Cambria Math" w:hAnsi="Cambria Math"/>
                  </w:rPr>
                  <m:t>≤0</m:t>
                </m:r>
              </m:oMath>
            </m:oMathPara>
          </w:p>
          <w:p w14:paraId="21A637E3" w14:textId="77777777" w:rsidR="00DA3852" w:rsidRDefault="00DA3852" w:rsidP="00C03F9E">
            <w:pPr>
              <w:pStyle w:val="Box"/>
            </w:pPr>
            <w:r>
              <w:t>where:</w:t>
            </w:r>
          </w:p>
          <w:p w14:paraId="00BACA53" w14:textId="77777777" w:rsidR="00DA3852" w:rsidRDefault="007231F7" w:rsidP="00C03F9E">
            <w:pPr>
              <w:pStyle w:val="Box"/>
            </w:pPr>
            <m:oMath>
              <m:sSubSup>
                <m:sSubSupPr>
                  <m:ctrlPr>
                    <w:rPr>
                      <w:rFonts w:ascii="Cambria Math" w:hAnsi="Cambria Math" w:cstheme="minorHAnsi"/>
                      <w:i/>
                      <w:sz w:val="18"/>
                      <w:szCs w:val="18"/>
                    </w:rPr>
                  </m:ctrlPr>
                </m:sSubSupPr>
                <m:e>
                  <m:r>
                    <w:rPr>
                      <w:rFonts w:ascii="Cambria Math" w:hAnsi="Cambria Math" w:cstheme="minorHAnsi"/>
                      <w:sz w:val="18"/>
                      <w:szCs w:val="18"/>
                    </w:rPr>
                    <m:t>λ</m:t>
                  </m:r>
                </m:e>
                <m:sub>
                  <m:r>
                    <w:rPr>
                      <w:rFonts w:ascii="Cambria Math" w:hAnsi="Cambria Math" w:cstheme="minorHAnsi"/>
                      <w:sz w:val="18"/>
                      <w:szCs w:val="18"/>
                    </w:rPr>
                    <m:t>n</m:t>
                  </m:r>
                </m:sub>
                <m:sup>
                  <m:r>
                    <w:rPr>
                      <w:rFonts w:ascii="Cambria Math" w:hAnsi="Cambria Math" w:cstheme="minorHAnsi"/>
                      <w:sz w:val="18"/>
                      <w:szCs w:val="18"/>
                    </w:rPr>
                    <m:t>DSBAL</m:t>
                  </m:r>
                </m:sup>
              </m:sSubSup>
            </m:oMath>
            <w:r w:rsidR="00DA3852">
              <w:rPr>
                <w:i/>
              </w:rPr>
              <w:tab/>
            </w:r>
            <w:r w:rsidR="00DA3852">
              <w:rPr>
                <w:i/>
              </w:rPr>
              <w:tab/>
              <w:t>= </w:t>
            </w:r>
            <w:proofErr w:type="spellStart"/>
            <w:r w:rsidR="00DA3852">
              <w:t>lagrange</w:t>
            </w:r>
            <w:proofErr w:type="spellEnd"/>
            <w:r w:rsidR="00DA3852">
              <w:t xml:space="preserve"> multiplier on supply–demand balance equation, equal to the</w:t>
            </w:r>
            <w:r w:rsidR="00DA3852">
              <w:br/>
            </w:r>
            <w:r w:rsidR="00DA3852">
              <w:rPr>
                <w:i/>
              </w:rPr>
              <w:tab/>
            </w:r>
            <w:r w:rsidR="00DA3852">
              <w:rPr>
                <w:i/>
              </w:rPr>
              <w:tab/>
              <w:t xml:space="preserve">   </w:t>
            </w:r>
            <w:r w:rsidR="00DA3852">
              <w:t>demand price to gas users</w:t>
            </w:r>
          </w:p>
          <w:p w14:paraId="18F070E0" w14:textId="77777777" w:rsidR="00DA3852" w:rsidRDefault="007231F7" w:rsidP="00C03F9E">
            <w:pPr>
              <w:pStyle w:val="Box"/>
            </w:pPr>
            <m:oMath>
              <m:sSubSup>
                <m:sSubSupPr>
                  <m:ctrlPr>
                    <w:rPr>
                      <w:rFonts w:ascii="Cambria Math" w:hAnsi="Cambria Math" w:cstheme="minorHAnsi"/>
                      <w:i/>
                      <w:sz w:val="18"/>
                      <w:szCs w:val="18"/>
                    </w:rPr>
                  </m:ctrlPr>
                </m:sSubSupPr>
                <m:e>
                  <m:r>
                    <w:rPr>
                      <w:rFonts w:ascii="Cambria Math" w:hAnsi="Cambria Math" w:cstheme="minorHAnsi"/>
                      <w:sz w:val="18"/>
                      <w:szCs w:val="18"/>
                    </w:rPr>
                    <m:t>λ</m:t>
                  </m:r>
                </m:e>
                <m:sub>
                  <m:r>
                    <w:rPr>
                      <w:rFonts w:ascii="Cambria Math" w:hAnsi="Cambria Math" w:cstheme="minorHAnsi"/>
                      <w:sz w:val="18"/>
                      <w:szCs w:val="18"/>
                    </w:rPr>
                    <m:t>m,n</m:t>
                  </m:r>
                </m:sub>
                <m:sup>
                  <m:r>
                    <w:rPr>
                      <w:rFonts w:ascii="Cambria Math" w:hAnsi="Cambria Math" w:cstheme="minorHAnsi"/>
                      <w:sz w:val="18"/>
                      <w:szCs w:val="18"/>
                    </w:rPr>
                    <m:t>SUP</m:t>
                  </m:r>
                </m:sup>
              </m:sSubSup>
            </m:oMath>
            <w:r w:rsidR="00DA3852">
              <w:rPr>
                <w:i/>
                <w:sz w:val="18"/>
                <w:szCs w:val="18"/>
              </w:rPr>
              <w:t>,</w:t>
            </w:r>
            <m:oMath>
              <m:r>
                <w:rPr>
                  <w:rFonts w:ascii="Cambria Math" w:hAnsi="Cambria Math" w:cstheme="minorHAnsi"/>
                  <w:sz w:val="18"/>
                  <w:szCs w:val="18"/>
                </w:rPr>
                <m:t xml:space="preserve"> </m:t>
              </m:r>
              <m:sSubSup>
                <m:sSubSupPr>
                  <m:ctrlPr>
                    <w:rPr>
                      <w:rFonts w:ascii="Cambria Math" w:hAnsi="Cambria Math" w:cstheme="minorHAnsi"/>
                      <w:i/>
                      <w:sz w:val="18"/>
                      <w:szCs w:val="18"/>
                    </w:rPr>
                  </m:ctrlPr>
                </m:sSubSupPr>
                <m:e>
                  <m:r>
                    <w:rPr>
                      <w:rFonts w:ascii="Cambria Math" w:hAnsi="Cambria Math" w:cstheme="minorHAnsi"/>
                      <w:sz w:val="18"/>
                      <w:szCs w:val="18"/>
                    </w:rPr>
                    <m:t>λ</m:t>
                  </m:r>
                </m:e>
                <m:sub>
                  <m:r>
                    <w:rPr>
                      <w:rFonts w:ascii="Cambria Math" w:hAnsi="Cambria Math" w:cstheme="minorHAnsi"/>
                      <w:sz w:val="18"/>
                      <w:szCs w:val="18"/>
                    </w:rPr>
                    <m:t>n</m:t>
                  </m:r>
                </m:sub>
                <m:sup>
                  <m:r>
                    <w:rPr>
                      <w:rFonts w:ascii="Cambria Math" w:hAnsi="Cambria Math" w:cstheme="minorHAnsi"/>
                      <w:sz w:val="18"/>
                      <w:szCs w:val="18"/>
                    </w:rPr>
                    <m:t>PIPE</m:t>
                  </m:r>
                </m:sup>
              </m:sSubSup>
            </m:oMath>
            <w:r w:rsidR="00DA3852">
              <w:rPr>
                <w:i/>
              </w:rPr>
              <w:tab/>
              <w:t>= </w:t>
            </w:r>
            <w:r w:rsidR="00DA3852">
              <w:t>shadow price of gas supply and transmission pipeline constraints.</w:t>
            </w:r>
          </w:p>
          <w:p w14:paraId="5B2706FC" w14:textId="77777777" w:rsidR="00DA3852" w:rsidRDefault="00DA3852" w:rsidP="00C03F9E">
            <w:pPr>
              <w:pStyle w:val="Box"/>
            </w:pPr>
            <w:r>
              <w:t xml:space="preserve">The first set of conditions indicate that if a positive quantity of gas is supplied, then the demand price is equal to the cost of supply (the supply price plus the shadow price of any supply </w:t>
            </w:r>
            <w:r w:rsidRPr="00B00A7D">
              <w:rPr>
                <w:spacing w:val="-4"/>
              </w:rPr>
              <w:t>constraints). If no gas is supplied</w:t>
            </w:r>
            <w:r>
              <w:rPr>
                <w:spacing w:val="-4"/>
              </w:rPr>
              <w:t>,</w:t>
            </w:r>
            <w:r w:rsidRPr="00B00A7D">
              <w:rPr>
                <w:spacing w:val="-4"/>
              </w:rPr>
              <w:t xml:space="preserve"> then the demand price is less than or equal to the cost of</w:t>
            </w:r>
            <w:r>
              <w:t xml:space="preserve"> supply.</w:t>
            </w:r>
          </w:p>
          <w:p w14:paraId="0343CD13" w14:textId="77777777" w:rsidR="00DA3852" w:rsidRDefault="00DA3852" w:rsidP="00C03F9E">
            <w:pPr>
              <w:pStyle w:val="Box"/>
            </w:pPr>
            <w:r>
              <w:t xml:space="preserve">The second set of conditions indicate that if gas is transported between two different locations, then prices at those two locations will diverge by an amount equal to the system use of gas multiplied by the gas price at the receiving end, plus the shadow price of any transmission pipeline constraints. If no gas is transported, then prices at those two locations must diverge by this amount or less. </w:t>
            </w:r>
          </w:p>
          <w:p w14:paraId="5B1F13C3" w14:textId="77777777" w:rsidR="00DA3852" w:rsidRDefault="00DA3852" w:rsidP="00C03F9E">
            <w:pPr>
              <w:pStyle w:val="Box"/>
            </w:pPr>
            <w:r>
              <w:t xml:space="preserve">Although the model is more complex than this stylised illustration, the principles are the same. Demand functions are represented by a linear approximation of constant elasticity of demand functions, with demand functions </w:t>
            </w:r>
            <w:proofErr w:type="spellStart"/>
            <w:r>
              <w:t>linearised</w:t>
            </w:r>
            <w:proofErr w:type="spellEnd"/>
            <w:r>
              <w:t xml:space="preserve"> using the approach set out in PC (2011). The equilibrium prices and quantities in each season and market are those that maximise the objective function subject to the following constraints:</w:t>
            </w:r>
          </w:p>
          <w:p w14:paraId="52461315" w14:textId="77777777" w:rsidR="00DA3852" w:rsidRDefault="00DA3852" w:rsidP="00C03F9E">
            <w:pPr>
              <w:pStyle w:val="BoxListBullet"/>
              <w:spacing w:before="80"/>
            </w:pPr>
            <w:r>
              <w:t>the quantity of gas demanded at each node in each season is less than or equal to the quantity of gas supplied to each node in each season (after accounting for shipping, storage and system use of gas in transmission)</w:t>
            </w:r>
          </w:p>
          <w:p w14:paraId="6556E50B" w14:textId="77777777" w:rsidR="00DA3852" w:rsidRDefault="00DA3852" w:rsidP="00C03F9E">
            <w:pPr>
              <w:pStyle w:val="BoxListBullet"/>
              <w:spacing w:before="80"/>
            </w:pPr>
            <w:r>
              <w:t xml:space="preserve">the total quantity of gas produced at each field is less than or equal </w:t>
            </w:r>
            <w:proofErr w:type="spellStart"/>
            <w:r>
              <w:t>to proved</w:t>
            </w:r>
            <w:proofErr w:type="spellEnd"/>
            <w:r>
              <w:t xml:space="preserve"> and probable reserves in each field</w:t>
            </w:r>
          </w:p>
          <w:p w14:paraId="519DBDB9" w14:textId="77777777" w:rsidR="00DA3852" w:rsidRDefault="00DA3852" w:rsidP="00C03F9E">
            <w:pPr>
              <w:pStyle w:val="BoxListBullet"/>
              <w:spacing w:before="80"/>
            </w:pPr>
            <w:r>
              <w:t>the quantity of gas produced, processed, transmitted, stored or liquefied in any season is less than or equal to the relevant capacity for a given field, processing plant, pipeline, storage facility or liquefaction plant (respectively) in that season</w:t>
            </w:r>
          </w:p>
          <w:p w14:paraId="2B843D2C" w14:textId="77777777" w:rsidR="00DA3852" w:rsidRDefault="00DA3852" w:rsidP="00C03F9E">
            <w:pPr>
              <w:pStyle w:val="BoxListBullet"/>
              <w:spacing w:before="80"/>
            </w:pPr>
            <w:r>
              <w:t>the quantity of gas in storage is greater than or equal to zero at each storage facility in each season</w:t>
            </w:r>
          </w:p>
          <w:p w14:paraId="0B2B8818" w14:textId="77777777" w:rsidR="00DA3852" w:rsidRDefault="00DA3852" w:rsidP="00C03F9E">
            <w:pPr>
              <w:pStyle w:val="BoxListBullet"/>
              <w:spacing w:before="80"/>
            </w:pPr>
            <w:proofErr w:type="gramStart"/>
            <w:r>
              <w:t>cumulative</w:t>
            </w:r>
            <w:proofErr w:type="gramEnd"/>
            <w:r>
              <w:t xml:space="preserve"> investment to expand pipelines and to add trains to existing LNG facilities is less than or equal to physical limits on expansion; investment in new storage capacity is constrained to locations where there is already existing underground storage. (There are no constraints placed on investments to increase production, processing or new LNG capacity.)</w:t>
            </w:r>
          </w:p>
          <w:p w14:paraId="2010C2A8" w14:textId="77777777" w:rsidR="00DA3852" w:rsidRDefault="00DA3852" w:rsidP="00C03F9E">
            <w:pPr>
              <w:pStyle w:val="BoxListBullet"/>
              <w:spacing w:before="80"/>
            </w:pPr>
            <w:proofErr w:type="gramStart"/>
            <w:r>
              <w:t>new</w:t>
            </w:r>
            <w:proofErr w:type="gramEnd"/>
            <w:r>
              <w:t xml:space="preserve"> pipelines must be built according to a binary yes/no decision to build a particular pipeline size.</w:t>
            </w:r>
            <w:r w:rsidRPr="00504242">
              <w:rPr>
                <w:rStyle w:val="FootnoteReference"/>
                <w:sz w:val="16"/>
                <w:szCs w:val="16"/>
              </w:rPr>
              <w:footnoteReference w:id="4"/>
            </w:r>
          </w:p>
        </w:tc>
      </w:tr>
      <w:tr w:rsidR="00DA3852" w14:paraId="5D0647B6" w14:textId="77777777" w:rsidTr="00C03F9E">
        <w:trPr>
          <w:cantSplit/>
        </w:trPr>
        <w:tc>
          <w:tcPr>
            <w:tcW w:w="8771" w:type="dxa"/>
            <w:tcBorders>
              <w:top w:val="nil"/>
              <w:left w:val="nil"/>
              <w:bottom w:val="single" w:sz="6" w:space="0" w:color="78A22F"/>
              <w:right w:val="nil"/>
            </w:tcBorders>
            <w:shd w:val="clear" w:color="auto" w:fill="F2F2F2"/>
          </w:tcPr>
          <w:p w14:paraId="665EC707" w14:textId="77777777" w:rsidR="00DA3852" w:rsidRDefault="00DA3852" w:rsidP="00C03F9E">
            <w:pPr>
              <w:pStyle w:val="Box"/>
              <w:spacing w:before="0" w:line="120" w:lineRule="exact"/>
            </w:pPr>
          </w:p>
        </w:tc>
      </w:tr>
    </w:tbl>
    <w:p w14:paraId="207C1EF1" w14:textId="77777777" w:rsidR="00DA3852" w:rsidRDefault="00DA3852" w:rsidP="00DA3852">
      <w:pPr>
        <w:pStyle w:val="BodyText"/>
      </w:pPr>
      <w:r>
        <w:lastRenderedPageBreak/>
        <w:t>A competitive equilibrium is used to generate outcomes in an efficient market. The aim is not to predict short</w:t>
      </w:r>
      <w:r>
        <w:noBreakHyphen/>
        <w:t xml:space="preserve">term prices and volumes. Further, the approach does not reflect a judgment that the eastern Australian gas market achieves a competitive equilibrium in practice. </w:t>
      </w:r>
      <w:r w:rsidRPr="0014613C">
        <w:rPr>
          <w:spacing w:val="-2"/>
        </w:rPr>
        <w:t>A comprehensive assessment o</w:t>
      </w:r>
      <w:r>
        <w:rPr>
          <w:spacing w:val="-2"/>
        </w:rPr>
        <w:t>f</w:t>
      </w:r>
      <w:r w:rsidRPr="0014613C">
        <w:rPr>
          <w:spacing w:val="-2"/>
        </w:rPr>
        <w:t xml:space="preserve"> the existence </w:t>
      </w:r>
      <w:r>
        <w:rPr>
          <w:spacing w:val="-2"/>
        </w:rPr>
        <w:t>and exercise of</w:t>
      </w:r>
      <w:r w:rsidRPr="0014613C">
        <w:rPr>
          <w:spacing w:val="-2"/>
        </w:rPr>
        <w:t xml:space="preserve"> market power in upstream gas markets is outside the scope of this </w:t>
      </w:r>
      <w:r>
        <w:rPr>
          <w:spacing w:val="-2"/>
        </w:rPr>
        <w:t>project</w:t>
      </w:r>
      <w:r>
        <w:t>. Nonetheless, the framework adopted is useful to illustrate the underlying economic fundamentals of the eastern Australian gas market following linkage to the Asia–Pacific market, and the effects of selected policies. A competitive market model is used on the basis that this does not invalidate the use of the model to demonstrate the long</w:t>
      </w:r>
      <w:r>
        <w:noBreakHyphen/>
        <w:t>term effects of linkage to international gas markets and to investigate the effects of current and proposed gas market policies.</w:t>
      </w:r>
    </w:p>
    <w:p w14:paraId="54BBC1AA" w14:textId="77777777" w:rsidR="00DA3852" w:rsidRPr="00616888" w:rsidRDefault="00DA3852" w:rsidP="00DA3852">
      <w:pPr>
        <w:pStyle w:val="Heading3"/>
      </w:pPr>
      <w:r>
        <w:t>Relationship between gas prices across geographical locations and time</w:t>
      </w:r>
    </w:p>
    <w:p w14:paraId="420186DA" w14:textId="77777777" w:rsidR="00DA3852" w:rsidRDefault="00DA3852" w:rsidP="00DA3852">
      <w:pPr>
        <w:pStyle w:val="BodyText"/>
      </w:pPr>
      <w:r>
        <w:t>The model yields information about gas supply, demand, prices and investment across geographical locations within the eastern Australian gas market. Gas is allocated across space and time so that arbitrage opportunities are exploited fully and there are no further gains from trade possible.</w:t>
      </w:r>
    </w:p>
    <w:p w14:paraId="4F9F28D8" w14:textId="77777777" w:rsidR="00DA3852" w:rsidRDefault="00DA3852" w:rsidP="00DA3852">
      <w:pPr>
        <w:pStyle w:val="Heading4"/>
      </w:pPr>
      <w:r>
        <w:t>Gas prices in different locations</w:t>
      </w:r>
    </w:p>
    <w:p w14:paraId="27EEC388" w14:textId="77777777" w:rsidR="00DA3852" w:rsidRDefault="00DA3852" w:rsidP="00DA3852">
      <w:pPr>
        <w:pStyle w:val="BodyText"/>
      </w:pPr>
      <w:r>
        <w:t>The constraints in box B.1 are a stylised representation of the model, but nonetheless the equilibrium conditions capture the key arbitrage conditions that determine prices across different locations in the model. The key points of these conditions are outlined below.</w:t>
      </w:r>
    </w:p>
    <w:p w14:paraId="0DD002D0" w14:textId="77777777" w:rsidR="00DA3852" w:rsidRPr="00005F03" w:rsidRDefault="00DA3852" w:rsidP="00DA3852">
      <w:pPr>
        <w:pStyle w:val="BodyText"/>
      </w:pPr>
      <w:r w:rsidRPr="00005F03">
        <w:t>Where there is sufficient pipeline capacity, gas will be transported from locations where gas is cheaper to locations where gas is more expensive</w:t>
      </w:r>
      <w:r>
        <w:t>, provided that the difference in price exceeds the cost of transport</w:t>
      </w:r>
      <w:r w:rsidRPr="00005F03">
        <w:t xml:space="preserve">. </w:t>
      </w:r>
      <w:r>
        <w:t xml:space="preserve">The opportunity cost of transport is derived from the </w:t>
      </w:r>
      <w:r w:rsidRPr="00551460">
        <w:t>system use of gas</w:t>
      </w:r>
      <w:r w:rsidRPr="00005F03">
        <w:t>. This means that in a network with ample spare pipeline capacity, price differences across regions will be less than or equal to the variable cost of transmission.</w:t>
      </w:r>
    </w:p>
    <w:p w14:paraId="0008A734" w14:textId="77777777" w:rsidR="00DA3852" w:rsidRPr="00005F03" w:rsidRDefault="00DA3852" w:rsidP="00DA3852">
      <w:pPr>
        <w:pStyle w:val="BodyText"/>
      </w:pPr>
      <w:r>
        <w:t xml:space="preserve">Where the demand to ship gas exceeds pipeline capacity, the pipeline will operate at capacity and a capacity rent will be set that rations use of the pipeline to the highest bidders (taking into account the potential for customers to source gas from elsewhere). The price then charged for the use of the pipeline will exceed </w:t>
      </w:r>
      <w:r w:rsidRPr="00CF0479">
        <w:t>the variable cost of transmission</w:t>
      </w:r>
      <w:r>
        <w:t>. P</w:t>
      </w:r>
      <w:r w:rsidRPr="00CF0479">
        <w:t xml:space="preserve">rice differences across regions </w:t>
      </w:r>
      <w:r>
        <w:t>can exceed</w:t>
      </w:r>
      <w:r w:rsidRPr="00CF0479">
        <w:t xml:space="preserve"> the variable cost of transmission</w:t>
      </w:r>
      <w:r>
        <w:t xml:space="preserve"> and there might be an incentive for investment in new transmission capacity (discussed below).</w:t>
      </w:r>
    </w:p>
    <w:p w14:paraId="67032DDC" w14:textId="77777777" w:rsidR="00DA3852" w:rsidRDefault="00DA3852" w:rsidP="00DA3852">
      <w:pPr>
        <w:pStyle w:val="Heading4"/>
      </w:pPr>
      <w:r>
        <w:t>Gas prices and storage</w:t>
      </w:r>
    </w:p>
    <w:p w14:paraId="00034511" w14:textId="77777777" w:rsidR="00DA3852" w:rsidRDefault="00DA3852" w:rsidP="00DA3852">
      <w:pPr>
        <w:pStyle w:val="BodyText"/>
      </w:pPr>
      <w:r>
        <w:t>Gas storage provides a means to arbitrage between gas prices over time. Again, different outcomes are possible depending on how much storage capacity is available.</w:t>
      </w:r>
    </w:p>
    <w:p w14:paraId="187D4CC2" w14:textId="77777777" w:rsidR="00DA3852" w:rsidRDefault="00DA3852" w:rsidP="00DA3852">
      <w:pPr>
        <w:pStyle w:val="BodyText"/>
      </w:pPr>
      <w:r>
        <w:lastRenderedPageBreak/>
        <w:t>Where there is sufficient storage capacity, gas will be injected into storage during periods where gas prices are low and extracted during periods where prices are higher. If gas storage is not constrained, prices across different periods will not diverge by more than the variable cost of storage.</w:t>
      </w:r>
    </w:p>
    <w:p w14:paraId="19F66F12" w14:textId="77777777" w:rsidR="00DA3852" w:rsidRDefault="00DA3852" w:rsidP="00DA3852">
      <w:pPr>
        <w:pStyle w:val="BodyText"/>
      </w:pPr>
      <w:r>
        <w:t xml:space="preserve">Gas in storage will have lower (cushion gas) and upper (maximum storage) limits that may constrain the use of storage to limit price fluctuations over time. Under these circumstances capacity rents accrue to storages that are constrained, prices across different periods can diverge by more than the variable cost of storage and there might be incentives for investment in additional storage capacity. </w:t>
      </w:r>
    </w:p>
    <w:p w14:paraId="1E0FB687" w14:textId="77777777" w:rsidR="00DA3852" w:rsidRDefault="00DA3852" w:rsidP="00DA3852">
      <w:pPr>
        <w:pStyle w:val="Heading4"/>
      </w:pPr>
      <w:r>
        <w:t>Investment decisions</w:t>
      </w:r>
    </w:p>
    <w:p w14:paraId="5BDA0C6C" w14:textId="77777777" w:rsidR="00DA3852" w:rsidRDefault="00DA3852" w:rsidP="00DA3852">
      <w:pPr>
        <w:pStyle w:val="BodyText"/>
      </w:pPr>
      <w:r>
        <w:t>Investment in new production, processing, transmission, storage and LNG facilities is also an important factor in determining gas prices over time and across geographic locations. The quantity and timing of investment to increase capacity in each of these parts of the gas supply chain is determined endogenously. Investment decisions are dynamically efficient in that investments are made when the total expected benefits (in terms of greater gas production, transmission, storage or liquefaction capacity) outweigh the full economic investment costs in net present value terms.</w:t>
      </w:r>
    </w:p>
    <w:p w14:paraId="571B842B" w14:textId="77777777" w:rsidR="00DA3852" w:rsidRDefault="00DA3852" w:rsidP="00DA3852">
      <w:pPr>
        <w:pStyle w:val="BodyText"/>
      </w:pPr>
      <w:r>
        <w:t xml:space="preserve">For example, transmission investment occurs when the present value of future capacity rents associated with constraints on pipeline capacity exceed the cost of new investment. Where investment is not constrained, pipeline investment occurs up to the point where the pipeline owner just recoups their investment costs. Investment will not remove capacity constraints (and rents) altogether as this would mean the investor would not be able to recoup their investment costs. </w:t>
      </w:r>
    </w:p>
    <w:p w14:paraId="55AA45E7" w14:textId="77777777" w:rsidR="00DA3852" w:rsidRDefault="00DA3852" w:rsidP="00DA3852">
      <w:pPr>
        <w:pStyle w:val="Heading3"/>
      </w:pPr>
      <w:bookmarkStart w:id="5" w:name="_Toc410222279"/>
      <w:r>
        <w:t>Policy options</w:t>
      </w:r>
      <w:bookmarkEnd w:id="5"/>
    </w:p>
    <w:p w14:paraId="0048986C" w14:textId="77777777" w:rsidR="00DA3852" w:rsidRDefault="00DA3852" w:rsidP="00DA3852">
      <w:pPr>
        <w:pStyle w:val="BodyText"/>
      </w:pPr>
      <w:r>
        <w:t>The approach taken allows the effects of policies to be evaluated by imposing constraints on the model and for the effects of any policies on market prices (the ‘shadow price’ associated with the policy constraint) to be determined. Differences between policy and baseline simulations can be used to estimate the effects of policy settings on the welfare of consumers and producers in the eastern Australian gas market,</w:t>
      </w:r>
      <w:r w:rsidRPr="00D54D05">
        <w:rPr>
          <w:rStyle w:val="FootnoteReference"/>
        </w:rPr>
        <w:footnoteReference w:id="5"/>
      </w:r>
      <w:r>
        <w:t xml:space="preserve"> and on market outcomes including prices, production and investment.</w:t>
      </w:r>
    </w:p>
    <w:p w14:paraId="2A303505" w14:textId="77777777" w:rsidR="003F3B28" w:rsidRDefault="003F3B28">
      <w:pPr>
        <w:rPr>
          <w:szCs w:val="20"/>
        </w:rPr>
      </w:pPr>
      <w:r>
        <w:br w:type="page"/>
      </w:r>
    </w:p>
    <w:p w14:paraId="7C0C111E" w14:textId="0FE39DFA" w:rsidR="00DA3852" w:rsidRDefault="00DA3852" w:rsidP="00DA3852">
      <w:pPr>
        <w:pStyle w:val="BodyText"/>
      </w:pPr>
      <w:r>
        <w:lastRenderedPageBreak/>
        <w:t>The following policy options have been modelled.</w:t>
      </w:r>
    </w:p>
    <w:p w14:paraId="75F99A57" w14:textId="77777777" w:rsidR="00DA3852" w:rsidRDefault="00DA3852" w:rsidP="00DA3852">
      <w:pPr>
        <w:pStyle w:val="ListBullet"/>
      </w:pPr>
      <w:r w:rsidRPr="003234A6">
        <w:rPr>
          <w:i/>
        </w:rPr>
        <w:t>CSG moratoria</w:t>
      </w:r>
      <w:r>
        <w:t>: no investment in new CSG production is allowed in New South Wales or Victoria</w:t>
      </w:r>
    </w:p>
    <w:p w14:paraId="03A30028" w14:textId="77777777" w:rsidR="00DA3852" w:rsidRPr="009B0662" w:rsidRDefault="00DA3852" w:rsidP="00DA3852">
      <w:pPr>
        <w:pStyle w:val="ListBullet2"/>
      </w:pPr>
      <w:r>
        <w:t>in baseline scenarios, no investment in new CSG production is allowed in New South Wales or Victoria before September 2015, reflecting current policy settings in those states (chapter 5)</w:t>
      </w:r>
    </w:p>
    <w:p w14:paraId="1F49BE73" w14:textId="77777777" w:rsidR="00DA3852" w:rsidRPr="009B0662" w:rsidRDefault="00DA3852" w:rsidP="00DA3852">
      <w:pPr>
        <w:pStyle w:val="ListBullet2"/>
      </w:pPr>
      <w:proofErr w:type="gramStart"/>
      <w:r>
        <w:t>under</w:t>
      </w:r>
      <w:proofErr w:type="gramEnd"/>
      <w:r>
        <w:t xml:space="preserve"> the policy simulation, no investment in new CSG production is allowed in New South Wales or Victoria throughout the entire simulation period.</w:t>
      </w:r>
    </w:p>
    <w:p w14:paraId="6B1BF2EE" w14:textId="77777777" w:rsidR="00DA3852" w:rsidRDefault="00DA3852" w:rsidP="00DA3852">
      <w:pPr>
        <w:pStyle w:val="ListBullet"/>
      </w:pPr>
      <w:r w:rsidRPr="003234A6">
        <w:rPr>
          <w:i/>
        </w:rPr>
        <w:t>Domestic gas reservation</w:t>
      </w:r>
      <w:r>
        <w:t>: any new fields not producing gas in year one are required to supply a specified proportion of their gas production to domestic users as they begin production (that is, fields that are already producing gas are not subject to reservation).</w:t>
      </w:r>
    </w:p>
    <w:p w14:paraId="2A43744C" w14:textId="77777777" w:rsidR="00DA3852" w:rsidRDefault="00DA3852" w:rsidP="00DA3852">
      <w:pPr>
        <w:pStyle w:val="ListBullet"/>
      </w:pPr>
      <w:r w:rsidRPr="003877B4">
        <w:rPr>
          <w:i/>
        </w:rPr>
        <w:t>Delays in transmission pipeline investment</w:t>
      </w:r>
      <w:r>
        <w:t xml:space="preserve">: </w:t>
      </w:r>
      <w:proofErr w:type="gramStart"/>
      <w:r>
        <w:t>investment</w:t>
      </w:r>
      <w:proofErr w:type="gramEnd"/>
      <w:r>
        <w:t xml:space="preserve"> in expansion or construction of transmission pipelines that are potentially subject to regulatory coverage are delayed by 5 years between investment and commissioning (in addition to the usual time taken to build and operationalise new transmission assets).</w:t>
      </w:r>
    </w:p>
    <w:p w14:paraId="78D1475F" w14:textId="77777777" w:rsidR="00DA3852" w:rsidRPr="00016D8A" w:rsidRDefault="00DA3852" w:rsidP="00DA3852">
      <w:pPr>
        <w:pStyle w:val="BodyText"/>
      </w:pPr>
      <w:r w:rsidRPr="00016D8A">
        <w:t xml:space="preserve">For each policy option, three different scenarios have been considered based on different estimates for LNG prices: a ‘low LNG price’ scenario, a ‘central LNG price’ scenario and a ‘high LNG price’ scenario. </w:t>
      </w:r>
    </w:p>
    <w:p w14:paraId="0FABF775" w14:textId="77777777" w:rsidR="00DA3852" w:rsidRPr="00016D8A" w:rsidRDefault="00DA3852" w:rsidP="00DA3852">
      <w:pPr>
        <w:pStyle w:val="BodyText"/>
      </w:pPr>
      <w:r w:rsidRPr="00016D8A">
        <w:t xml:space="preserve">The purpose of these three scenarios is to capture </w:t>
      </w:r>
      <w:r>
        <w:t>the implications</w:t>
      </w:r>
      <w:r w:rsidRPr="00016D8A">
        <w:t xml:space="preserve"> of uncertainty regarding the future price of LNG exports. For other key parameters, such as future reserves growth, gas production costs and price </w:t>
      </w:r>
      <w:proofErr w:type="spellStart"/>
      <w:r w:rsidRPr="00016D8A">
        <w:t>elasticities</w:t>
      </w:r>
      <w:proofErr w:type="spellEnd"/>
      <w:r w:rsidRPr="00016D8A">
        <w:t xml:space="preserve"> of demand, sensitivity analysis has been conducted and is reported in appendix C. </w:t>
      </w:r>
    </w:p>
    <w:p w14:paraId="53410537" w14:textId="7001E345" w:rsidR="00DA3852" w:rsidRPr="0038253F" w:rsidRDefault="00CC518F" w:rsidP="00DA3852">
      <w:pPr>
        <w:pStyle w:val="Heading2"/>
      </w:pPr>
      <w:bookmarkStart w:id="6" w:name="_Toc410222280"/>
      <w:r>
        <w:t>B.2</w:t>
      </w:r>
      <w:r>
        <w:tab/>
      </w:r>
      <w:r w:rsidR="00DA3852" w:rsidRPr="0038253F">
        <w:t>Data</w:t>
      </w:r>
      <w:r w:rsidR="00DA3852">
        <w:t xml:space="preserve"> used for model calibration</w:t>
      </w:r>
      <w:bookmarkEnd w:id="6"/>
    </w:p>
    <w:p w14:paraId="0071F44A" w14:textId="77777777" w:rsidR="00DA3852" w:rsidRDefault="00DA3852" w:rsidP="00DA3852">
      <w:pPr>
        <w:pStyle w:val="BodyText"/>
      </w:pPr>
      <w:r>
        <w:t>The level of geographical, temporal and supply chain detail in the model determines the data requirements to calibrate the model. For each stage of the supply chain (production, processing, transmission, storage and LNG conversion) there is a need to specify:</w:t>
      </w:r>
    </w:p>
    <w:p w14:paraId="2EB55E2D" w14:textId="77777777" w:rsidR="00DA3852" w:rsidRDefault="00DA3852" w:rsidP="00DA3852">
      <w:pPr>
        <w:pStyle w:val="ListBullet"/>
      </w:pPr>
      <w:r>
        <w:t>variable and fixed operating costs (including gas usage in transmission and LNG conversion)</w:t>
      </w:r>
      <w:r w:rsidRPr="00D54D05">
        <w:rPr>
          <w:rStyle w:val="FootnoteReference"/>
        </w:rPr>
        <w:footnoteReference w:id="6"/>
      </w:r>
    </w:p>
    <w:p w14:paraId="7EEAAD07" w14:textId="77777777" w:rsidR="00DA3852" w:rsidRDefault="00DA3852" w:rsidP="00DA3852">
      <w:pPr>
        <w:pStyle w:val="ListBullet"/>
      </w:pPr>
      <w:r>
        <w:t>current seasonal throughput or storage capacity</w:t>
      </w:r>
    </w:p>
    <w:p w14:paraId="0BFCD23B" w14:textId="77777777" w:rsidR="00DA3852" w:rsidRDefault="00DA3852" w:rsidP="00DA3852">
      <w:pPr>
        <w:pStyle w:val="ListBullet"/>
      </w:pPr>
      <w:proofErr w:type="gramStart"/>
      <w:r>
        <w:t>investment</w:t>
      </w:r>
      <w:proofErr w:type="gramEnd"/>
      <w:r>
        <w:t xml:space="preserve"> cost, build time, lifetime and any investment limits for investment to expand capacity.</w:t>
      </w:r>
    </w:p>
    <w:p w14:paraId="7D19D3B5" w14:textId="77777777" w:rsidR="00DA3852" w:rsidRDefault="00DA3852" w:rsidP="00DA3852">
      <w:pPr>
        <w:pStyle w:val="BodyText"/>
      </w:pPr>
      <w:r>
        <w:lastRenderedPageBreak/>
        <w:t>Demand data are required for electricity generation, industry and mass market use at each demand location. Data are also required for projections of exogenous parameters over the 40 year simulation period. For example, demand growth, international LNG prices and any increases in gas reserves from exploration are required to calibrate parameters in the model.</w:t>
      </w:r>
    </w:p>
    <w:p w14:paraId="62DBC262" w14:textId="77777777" w:rsidR="00DA3852" w:rsidRDefault="00DA3852" w:rsidP="00DA3852">
      <w:pPr>
        <w:pStyle w:val="Heading3"/>
      </w:pPr>
      <w:bookmarkStart w:id="7" w:name="_Toc410222281"/>
      <w:r>
        <w:t>Approach to data compilation</w:t>
      </w:r>
      <w:bookmarkEnd w:id="7"/>
    </w:p>
    <w:p w14:paraId="23BD1E91" w14:textId="77777777" w:rsidR="00DA3852" w:rsidRDefault="00DA3852" w:rsidP="00DA3852">
      <w:pPr>
        <w:pStyle w:val="BodyText"/>
      </w:pPr>
      <w:r>
        <w:t>The objective in compiling data for model calibration has been to collect the best publicly available data that can be referenced to reputable sources. The following steps have been taken to ensure the best available data were used.</w:t>
      </w:r>
    </w:p>
    <w:p w14:paraId="294A68E9" w14:textId="77777777" w:rsidR="00DA3852" w:rsidRDefault="00DA3852" w:rsidP="00DA3852">
      <w:pPr>
        <w:pStyle w:val="ListBullet"/>
      </w:pPr>
      <w:r>
        <w:t>Detailed review of publicly available data sources, with comparison across multiple sources where possible.</w:t>
      </w:r>
    </w:p>
    <w:p w14:paraId="26A76A05" w14:textId="77777777" w:rsidR="00DA3852" w:rsidRDefault="00DA3852" w:rsidP="00DA3852">
      <w:pPr>
        <w:pStyle w:val="ListBullet"/>
      </w:pPr>
      <w:r>
        <w:t>Consultation with industry participants as part of the project.</w:t>
      </w:r>
    </w:p>
    <w:p w14:paraId="7F9AFE34" w14:textId="77777777" w:rsidR="00DA3852" w:rsidRDefault="00DA3852" w:rsidP="00DA3852">
      <w:pPr>
        <w:pStyle w:val="ListBullet"/>
      </w:pPr>
      <w:r>
        <w:t>Feedback from two referees and other participants at a modelling workshop held on 4 February 2015, based on a workshop paper that set out the database used for preliminary modelling work.</w:t>
      </w:r>
    </w:p>
    <w:p w14:paraId="78172086" w14:textId="77777777" w:rsidR="00DA3852" w:rsidRDefault="00DA3852" w:rsidP="00DA3852">
      <w:pPr>
        <w:pStyle w:val="ListBullet"/>
      </w:pPr>
      <w:r>
        <w:t>Assistance and additional data from AEMO on pipeline flows and gas demand forecasts.</w:t>
      </w:r>
    </w:p>
    <w:p w14:paraId="2A47BCD3" w14:textId="77777777" w:rsidR="00DA3852" w:rsidRDefault="00DA3852" w:rsidP="00DA3852">
      <w:pPr>
        <w:pStyle w:val="ListBullet"/>
      </w:pPr>
      <w:r>
        <w:t>Support from the Core Energy Group in developing updated estimates of the costs of gas production.</w:t>
      </w:r>
    </w:p>
    <w:p w14:paraId="1D23C624" w14:textId="77777777" w:rsidR="00DA3852" w:rsidRDefault="00DA3852" w:rsidP="00DA3852">
      <w:pPr>
        <w:pStyle w:val="BodyText"/>
      </w:pPr>
      <w:r>
        <w:t>Data sources and methodology are presented below for demand for gas and for each of the components of the gas supply chain modelled. A real discount rate of 6 per cent was used to aggregate the objective function over time.</w:t>
      </w:r>
    </w:p>
    <w:p w14:paraId="0075249B" w14:textId="77777777" w:rsidR="00DA3852" w:rsidRDefault="00DA3852" w:rsidP="00DA3852">
      <w:pPr>
        <w:pStyle w:val="Heading3"/>
      </w:pPr>
      <w:bookmarkStart w:id="8" w:name="_Toc410222282"/>
      <w:r>
        <w:t>Gas production</w:t>
      </w:r>
      <w:bookmarkEnd w:id="8"/>
    </w:p>
    <w:p w14:paraId="2909F366" w14:textId="77777777" w:rsidR="00DA3852" w:rsidRPr="000269C4" w:rsidRDefault="00DA3852" w:rsidP="00DA3852">
      <w:pPr>
        <w:pStyle w:val="BodyText"/>
      </w:pPr>
      <w:r>
        <w:t>In the long term, gas production is constrained according to gas reserves in each field. In the short term, gas production is constrained by well deliverability limits, captured in initial production capacity for each field.</w:t>
      </w:r>
    </w:p>
    <w:p w14:paraId="7DCB6685" w14:textId="77777777" w:rsidR="00DA3852" w:rsidRDefault="00DA3852" w:rsidP="00DA3852">
      <w:pPr>
        <w:pStyle w:val="Heading4"/>
      </w:pPr>
      <w:r>
        <w:t>Gas reserves</w:t>
      </w:r>
    </w:p>
    <w:p w14:paraId="7F28F92E" w14:textId="77777777" w:rsidR="00DA3852" w:rsidRDefault="00DA3852" w:rsidP="00DA3852">
      <w:pPr>
        <w:pStyle w:val="BodyText"/>
      </w:pPr>
      <w:r>
        <w:t>Data on gas reserves for each of the 35 fields are required to set constraints on the total amount of gas that can be produced from each field (table B.1).</w:t>
      </w:r>
      <w:r w:rsidRPr="00D54D05">
        <w:rPr>
          <w:rStyle w:val="FootnoteReference"/>
        </w:rPr>
        <w:footnoteReference w:id="7"/>
      </w:r>
      <w:r>
        <w:t xml:space="preserve"> There are a range of </w:t>
      </w:r>
      <w:r>
        <w:lastRenderedPageBreak/>
        <w:t xml:space="preserve">different gas resource estimates, which are generally classified according to the Petroleum Resources Management System </w:t>
      </w:r>
      <w:r w:rsidRPr="00EC00C7">
        <w:rPr>
          <w:szCs w:val="24"/>
        </w:rPr>
        <w:t>(SPE 2007)</w:t>
      </w:r>
      <w:r>
        <w:t>.</w:t>
      </w:r>
    </w:p>
    <w:p w14:paraId="61EC61B4" w14:textId="77777777" w:rsidR="00DA3852" w:rsidRDefault="00DA3852" w:rsidP="00DA3852">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DA3852" w14:paraId="2AFCCC1A" w14:textId="77777777" w:rsidTr="00C03F9E">
        <w:tc>
          <w:tcPr>
            <w:tcW w:w="8771" w:type="dxa"/>
            <w:tcBorders>
              <w:top w:val="single" w:sz="6" w:space="0" w:color="78A22F"/>
              <w:left w:val="nil"/>
              <w:bottom w:val="nil"/>
              <w:right w:val="nil"/>
            </w:tcBorders>
            <w:shd w:val="clear" w:color="auto" w:fill="auto"/>
          </w:tcPr>
          <w:p w14:paraId="446D2A4E" w14:textId="01C004F4" w:rsidR="00DA3852" w:rsidRPr="00784A05" w:rsidRDefault="00DA3852" w:rsidP="00C03F9E">
            <w:pPr>
              <w:pStyle w:val="TableTitle"/>
            </w:pPr>
            <w:r>
              <w:rPr>
                <w:b w:val="0"/>
              </w:rPr>
              <w:t>Table B.</w:t>
            </w:r>
            <w:r>
              <w:rPr>
                <w:b w:val="0"/>
                <w:noProof/>
              </w:rPr>
              <w:t>1</w:t>
            </w:r>
            <w:r>
              <w:tab/>
              <w:t>Data used for reserves and growth in reserves</w:t>
            </w:r>
          </w:p>
        </w:tc>
      </w:tr>
      <w:tr w:rsidR="00DA3852" w14:paraId="734A979E" w14:textId="77777777" w:rsidTr="00C03F9E">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804"/>
              <w:gridCol w:w="2285"/>
              <w:gridCol w:w="1701"/>
              <w:gridCol w:w="1417"/>
              <w:gridCol w:w="1280"/>
            </w:tblGrid>
            <w:tr w:rsidR="00DA3852" w14:paraId="3A6D04AC" w14:textId="77777777" w:rsidTr="000A13FB">
              <w:tc>
                <w:tcPr>
                  <w:tcW w:w="1062" w:type="pct"/>
                  <w:tcBorders>
                    <w:top w:val="single" w:sz="6" w:space="0" w:color="BFBFBF"/>
                    <w:bottom w:val="single" w:sz="6" w:space="0" w:color="BFBFBF"/>
                  </w:tcBorders>
                  <w:shd w:val="clear" w:color="auto" w:fill="auto"/>
                  <w:tcMar>
                    <w:top w:w="28" w:type="dxa"/>
                  </w:tcMar>
                </w:tcPr>
                <w:p w14:paraId="3F2ECC26" w14:textId="259B084F" w:rsidR="00DA3852" w:rsidRDefault="00CF3121">
                  <w:pPr>
                    <w:pStyle w:val="TableColumnHeading"/>
                    <w:jc w:val="left"/>
                  </w:pPr>
                  <w:r>
                    <w:t>B</w:t>
                  </w:r>
                  <w:r w:rsidR="00DA3852">
                    <w:t>asin</w:t>
                  </w:r>
                </w:p>
              </w:tc>
              <w:tc>
                <w:tcPr>
                  <w:tcW w:w="1346" w:type="pct"/>
                  <w:tcBorders>
                    <w:top w:val="single" w:sz="6" w:space="0" w:color="BFBFBF"/>
                    <w:bottom w:val="single" w:sz="6" w:space="0" w:color="BFBFBF"/>
                  </w:tcBorders>
                  <w:shd w:val="clear" w:color="auto" w:fill="auto"/>
                </w:tcPr>
                <w:p w14:paraId="015AAB52" w14:textId="77777777" w:rsidR="00DA3852" w:rsidRDefault="00DA3852" w:rsidP="00C03F9E">
                  <w:pPr>
                    <w:pStyle w:val="TableColumnHeading"/>
                    <w:jc w:val="left"/>
                  </w:pPr>
                  <w:r>
                    <w:t>Field</w:t>
                  </w:r>
                </w:p>
              </w:tc>
              <w:tc>
                <w:tcPr>
                  <w:tcW w:w="1002" w:type="pct"/>
                  <w:tcBorders>
                    <w:top w:val="single" w:sz="6" w:space="0" w:color="BFBFBF"/>
                    <w:bottom w:val="single" w:sz="6" w:space="0" w:color="BFBFBF"/>
                  </w:tcBorders>
                  <w:shd w:val="clear" w:color="auto" w:fill="auto"/>
                  <w:tcMar>
                    <w:top w:w="28" w:type="dxa"/>
                  </w:tcMar>
                </w:tcPr>
                <w:p w14:paraId="0E6B1048" w14:textId="77777777" w:rsidR="00DA3852" w:rsidRDefault="00DA3852" w:rsidP="00C03F9E">
                  <w:pPr>
                    <w:pStyle w:val="TableColumnHeading"/>
                    <w:jc w:val="left"/>
                  </w:pPr>
                  <w:r>
                    <w:t>Gas source</w:t>
                  </w:r>
                </w:p>
              </w:tc>
              <w:tc>
                <w:tcPr>
                  <w:tcW w:w="835" w:type="pct"/>
                  <w:tcBorders>
                    <w:top w:val="single" w:sz="6" w:space="0" w:color="BFBFBF"/>
                    <w:bottom w:val="single" w:sz="6" w:space="0" w:color="BFBFBF"/>
                  </w:tcBorders>
                  <w:shd w:val="clear" w:color="auto" w:fill="auto"/>
                </w:tcPr>
                <w:p w14:paraId="3C5C4312" w14:textId="77777777" w:rsidR="00DA3852" w:rsidRDefault="00DA3852" w:rsidP="00C03F9E">
                  <w:pPr>
                    <w:pStyle w:val="TableColumnHeading"/>
                  </w:pPr>
                  <w:r>
                    <w:t xml:space="preserve">2P reserves </w:t>
                  </w:r>
                  <w:r>
                    <w:br/>
                    <w:t>(PJ, Jun 2014)</w:t>
                  </w:r>
                </w:p>
              </w:tc>
              <w:tc>
                <w:tcPr>
                  <w:tcW w:w="754" w:type="pct"/>
                  <w:tcBorders>
                    <w:top w:val="single" w:sz="6" w:space="0" w:color="BFBFBF"/>
                    <w:bottom w:val="single" w:sz="6" w:space="0" w:color="BFBFBF"/>
                  </w:tcBorders>
                  <w:shd w:val="clear" w:color="auto" w:fill="auto"/>
                  <w:tcMar>
                    <w:top w:w="28" w:type="dxa"/>
                  </w:tcMar>
                </w:tcPr>
                <w:p w14:paraId="3A85CF43" w14:textId="77777777" w:rsidR="00DA3852" w:rsidRDefault="00DA3852" w:rsidP="00C03F9E">
                  <w:pPr>
                    <w:pStyle w:val="TableColumnHeading"/>
                    <w:ind w:right="28"/>
                  </w:pPr>
                  <w:r w:rsidRPr="00815D7E">
                    <w:t>Annua</w:t>
                  </w:r>
                  <w:r>
                    <w:t>l  </w:t>
                  </w:r>
                  <w:r>
                    <w:br/>
                    <w:t>increase in 2P  </w:t>
                  </w:r>
                  <w:r>
                    <w:br/>
                    <w:t>reserves (PJ)</w:t>
                  </w:r>
                  <w:r w:rsidRPr="008E77FE">
                    <w:rPr>
                      <w:rStyle w:val="NoteLabel"/>
                    </w:rPr>
                    <w:t>a</w:t>
                  </w:r>
                </w:p>
              </w:tc>
            </w:tr>
            <w:tr w:rsidR="00DA3852" w14:paraId="75304595" w14:textId="77777777" w:rsidTr="000A13FB">
              <w:tc>
                <w:tcPr>
                  <w:tcW w:w="1062" w:type="pct"/>
                  <w:tcBorders>
                    <w:top w:val="single" w:sz="6" w:space="0" w:color="BFBFBF"/>
                  </w:tcBorders>
                  <w:shd w:val="clear" w:color="auto" w:fill="auto"/>
                </w:tcPr>
                <w:p w14:paraId="03591155" w14:textId="77777777" w:rsidR="00DA3852" w:rsidRDefault="00DA3852" w:rsidP="00C03F9E">
                  <w:pPr>
                    <w:pStyle w:val="TableBodyText"/>
                    <w:spacing w:before="40"/>
                    <w:jc w:val="left"/>
                    <w:rPr>
                      <w:szCs w:val="24"/>
                    </w:rPr>
                  </w:pPr>
                  <w:r>
                    <w:t>Bass</w:t>
                  </w:r>
                </w:p>
              </w:tc>
              <w:tc>
                <w:tcPr>
                  <w:tcW w:w="1346" w:type="pct"/>
                  <w:tcBorders>
                    <w:top w:val="single" w:sz="6" w:space="0" w:color="BFBFBF"/>
                  </w:tcBorders>
                  <w:shd w:val="clear" w:color="auto" w:fill="auto"/>
                </w:tcPr>
                <w:p w14:paraId="0AFA8B00" w14:textId="77777777" w:rsidR="00DA3852" w:rsidRDefault="00DA3852" w:rsidP="00C03F9E">
                  <w:pPr>
                    <w:pStyle w:val="TableBodyText"/>
                    <w:spacing w:before="40"/>
                    <w:jc w:val="left"/>
                    <w:rPr>
                      <w:i/>
                    </w:rPr>
                  </w:pPr>
                  <w:r>
                    <w:t>Yolla</w:t>
                  </w:r>
                </w:p>
              </w:tc>
              <w:tc>
                <w:tcPr>
                  <w:tcW w:w="1002" w:type="pct"/>
                  <w:tcBorders>
                    <w:top w:val="single" w:sz="6" w:space="0" w:color="BFBFBF"/>
                  </w:tcBorders>
                  <w:shd w:val="clear" w:color="auto" w:fill="auto"/>
                </w:tcPr>
                <w:p w14:paraId="48B33D6A" w14:textId="77777777" w:rsidR="00DA3852" w:rsidRDefault="00DA3852" w:rsidP="00C03F9E">
                  <w:pPr>
                    <w:pStyle w:val="TableBodyText"/>
                    <w:spacing w:before="40"/>
                    <w:jc w:val="left"/>
                    <w:rPr>
                      <w:i/>
                    </w:rPr>
                  </w:pPr>
                  <w:r>
                    <w:t>Conventional</w:t>
                  </w:r>
                </w:p>
              </w:tc>
              <w:tc>
                <w:tcPr>
                  <w:tcW w:w="835" w:type="pct"/>
                  <w:tcBorders>
                    <w:top w:val="single" w:sz="6" w:space="0" w:color="BFBFBF"/>
                  </w:tcBorders>
                  <w:shd w:val="clear" w:color="auto" w:fill="auto"/>
                  <w:vAlign w:val="bottom"/>
                </w:tcPr>
                <w:p w14:paraId="1F47F11D" w14:textId="77777777" w:rsidR="00DA3852" w:rsidRPr="00C10B5A" w:rsidRDefault="00DA3852" w:rsidP="00C03F9E">
                  <w:pPr>
                    <w:pStyle w:val="TableBodyText"/>
                  </w:pPr>
                  <w:r w:rsidRPr="00C10B5A">
                    <w:t>221</w:t>
                  </w:r>
                </w:p>
              </w:tc>
              <w:tc>
                <w:tcPr>
                  <w:tcW w:w="754" w:type="pct"/>
                  <w:tcBorders>
                    <w:top w:val="single" w:sz="6" w:space="0" w:color="BFBFBF"/>
                  </w:tcBorders>
                  <w:vAlign w:val="bottom"/>
                </w:tcPr>
                <w:p w14:paraId="25F9A4B4" w14:textId="77777777" w:rsidR="00DA3852" w:rsidRPr="00C10B5A" w:rsidRDefault="00DA3852" w:rsidP="00C03F9E">
                  <w:pPr>
                    <w:pStyle w:val="TableBodyText"/>
                    <w:ind w:right="0"/>
                  </w:pPr>
                  <w:r w:rsidRPr="00C10B5A">
                    <w:t>8</w:t>
                  </w:r>
                </w:p>
              </w:tc>
            </w:tr>
            <w:tr w:rsidR="00DA3852" w14:paraId="3E4FEA87" w14:textId="77777777" w:rsidTr="000A13FB">
              <w:tc>
                <w:tcPr>
                  <w:tcW w:w="1062" w:type="pct"/>
                  <w:shd w:val="clear" w:color="auto" w:fill="auto"/>
                </w:tcPr>
                <w:p w14:paraId="57EA6E2C" w14:textId="77777777" w:rsidR="00DA3852" w:rsidRDefault="00DA3852" w:rsidP="00C03F9E">
                  <w:pPr>
                    <w:pStyle w:val="TableBodyText"/>
                    <w:jc w:val="left"/>
                  </w:pPr>
                  <w:r>
                    <w:t>Bass</w:t>
                  </w:r>
                </w:p>
              </w:tc>
              <w:tc>
                <w:tcPr>
                  <w:tcW w:w="1346" w:type="pct"/>
                  <w:shd w:val="clear" w:color="auto" w:fill="auto"/>
                </w:tcPr>
                <w:p w14:paraId="5791705D" w14:textId="77777777" w:rsidR="00DA3852" w:rsidRDefault="00DA3852" w:rsidP="00C03F9E">
                  <w:pPr>
                    <w:pStyle w:val="TableBodyText"/>
                    <w:jc w:val="left"/>
                  </w:pPr>
                  <w:r>
                    <w:t>New offshore</w:t>
                  </w:r>
                </w:p>
              </w:tc>
              <w:tc>
                <w:tcPr>
                  <w:tcW w:w="1002" w:type="pct"/>
                  <w:shd w:val="clear" w:color="auto" w:fill="auto"/>
                </w:tcPr>
                <w:p w14:paraId="01908C96" w14:textId="77777777" w:rsidR="00DA3852" w:rsidRDefault="00DA3852" w:rsidP="00C03F9E">
                  <w:pPr>
                    <w:pStyle w:val="TableBodyText"/>
                    <w:jc w:val="left"/>
                  </w:pPr>
                  <w:r>
                    <w:t>Conventional</w:t>
                  </w:r>
                </w:p>
              </w:tc>
              <w:tc>
                <w:tcPr>
                  <w:tcW w:w="835" w:type="pct"/>
                  <w:shd w:val="clear" w:color="auto" w:fill="auto"/>
                  <w:vAlign w:val="bottom"/>
                </w:tcPr>
                <w:p w14:paraId="216E0014" w14:textId="77777777" w:rsidR="00DA3852" w:rsidRPr="00C10B5A" w:rsidRDefault="00DA3852" w:rsidP="00C03F9E">
                  <w:pPr>
                    <w:pStyle w:val="TableBodyText"/>
                  </w:pPr>
                  <w:r w:rsidRPr="00C10B5A">
                    <w:t>0</w:t>
                  </w:r>
                </w:p>
              </w:tc>
              <w:tc>
                <w:tcPr>
                  <w:tcW w:w="754" w:type="pct"/>
                  <w:vAlign w:val="bottom"/>
                </w:tcPr>
                <w:p w14:paraId="1405D1D7" w14:textId="77777777" w:rsidR="00DA3852" w:rsidRPr="00C10B5A" w:rsidRDefault="00DA3852" w:rsidP="00C03F9E">
                  <w:pPr>
                    <w:pStyle w:val="TableBodyText"/>
                    <w:ind w:right="0"/>
                  </w:pPr>
                  <w:r w:rsidRPr="00C10B5A">
                    <w:t>144</w:t>
                  </w:r>
                </w:p>
              </w:tc>
            </w:tr>
            <w:tr w:rsidR="00DA3852" w14:paraId="0C3B6F7A" w14:textId="77777777" w:rsidTr="00C03F9E">
              <w:tc>
                <w:tcPr>
                  <w:tcW w:w="1062" w:type="pct"/>
                  <w:shd w:val="clear" w:color="auto" w:fill="auto"/>
                </w:tcPr>
                <w:p w14:paraId="1AE50ED4" w14:textId="77777777" w:rsidR="00DA3852" w:rsidRDefault="00DA3852" w:rsidP="00C03F9E">
                  <w:pPr>
                    <w:pStyle w:val="TableBodyText"/>
                    <w:jc w:val="left"/>
                  </w:pPr>
                  <w:r>
                    <w:t>Clarence</w:t>
                  </w:r>
                  <w:r>
                    <w:noBreakHyphen/>
                    <w:t>Moreton</w:t>
                  </w:r>
                </w:p>
              </w:tc>
              <w:tc>
                <w:tcPr>
                  <w:tcW w:w="1346" w:type="pct"/>
                  <w:shd w:val="clear" w:color="auto" w:fill="auto"/>
                </w:tcPr>
                <w:p w14:paraId="6076ABB6" w14:textId="77777777" w:rsidR="00DA3852" w:rsidRDefault="00DA3852" w:rsidP="00C03F9E">
                  <w:pPr>
                    <w:pStyle w:val="TableBodyText"/>
                    <w:jc w:val="left"/>
                  </w:pPr>
                  <w:r>
                    <w:t>New CSG</w:t>
                  </w:r>
                </w:p>
              </w:tc>
              <w:tc>
                <w:tcPr>
                  <w:tcW w:w="1002" w:type="pct"/>
                  <w:shd w:val="clear" w:color="auto" w:fill="auto"/>
                </w:tcPr>
                <w:p w14:paraId="43A65702" w14:textId="77777777" w:rsidR="00DA3852" w:rsidRDefault="00DA3852" w:rsidP="00C03F9E">
                  <w:pPr>
                    <w:pStyle w:val="TableBodyText"/>
                    <w:jc w:val="left"/>
                  </w:pPr>
                  <w:r>
                    <w:t>CSG</w:t>
                  </w:r>
                </w:p>
              </w:tc>
              <w:tc>
                <w:tcPr>
                  <w:tcW w:w="835" w:type="pct"/>
                  <w:shd w:val="clear" w:color="auto" w:fill="auto"/>
                  <w:vAlign w:val="bottom"/>
                </w:tcPr>
                <w:p w14:paraId="5F64C529" w14:textId="77777777" w:rsidR="00DA3852" w:rsidRPr="00C10B5A" w:rsidRDefault="00DA3852" w:rsidP="00C03F9E">
                  <w:pPr>
                    <w:pStyle w:val="TableBodyText"/>
                  </w:pPr>
                  <w:r w:rsidRPr="00C10B5A">
                    <w:t>17</w:t>
                  </w:r>
                </w:p>
              </w:tc>
              <w:tc>
                <w:tcPr>
                  <w:tcW w:w="754" w:type="pct"/>
                  <w:vAlign w:val="bottom"/>
                </w:tcPr>
                <w:p w14:paraId="37ECA324" w14:textId="77777777" w:rsidR="00DA3852" w:rsidRPr="00C10B5A" w:rsidRDefault="00DA3852" w:rsidP="00C03F9E">
                  <w:pPr>
                    <w:pStyle w:val="TableBodyText"/>
                    <w:ind w:right="0"/>
                  </w:pPr>
                  <w:r w:rsidRPr="00C10B5A">
                    <w:t>83</w:t>
                  </w:r>
                </w:p>
              </w:tc>
            </w:tr>
            <w:tr w:rsidR="00DA3852" w14:paraId="5B8EEEE9" w14:textId="77777777" w:rsidTr="00C03F9E">
              <w:tc>
                <w:tcPr>
                  <w:tcW w:w="1062" w:type="pct"/>
                  <w:shd w:val="clear" w:color="auto" w:fill="auto"/>
                </w:tcPr>
                <w:p w14:paraId="5F30552A" w14:textId="77777777" w:rsidR="00DA3852" w:rsidRDefault="00DA3852" w:rsidP="00C03F9E">
                  <w:pPr>
                    <w:pStyle w:val="TableBodyText"/>
                    <w:jc w:val="left"/>
                  </w:pPr>
                  <w:r>
                    <w:t>Cooper</w:t>
                  </w:r>
                </w:p>
              </w:tc>
              <w:tc>
                <w:tcPr>
                  <w:tcW w:w="1346" w:type="pct"/>
                  <w:shd w:val="clear" w:color="auto" w:fill="auto"/>
                </w:tcPr>
                <w:p w14:paraId="5C400ECA" w14:textId="77777777" w:rsidR="00DA3852" w:rsidRDefault="00DA3852" w:rsidP="00C03F9E">
                  <w:pPr>
                    <w:pStyle w:val="TableBodyText"/>
                    <w:jc w:val="left"/>
                  </w:pPr>
                  <w:r>
                    <w:t>Conventional</w:t>
                  </w:r>
                </w:p>
              </w:tc>
              <w:tc>
                <w:tcPr>
                  <w:tcW w:w="1002" w:type="pct"/>
                  <w:shd w:val="clear" w:color="auto" w:fill="auto"/>
                </w:tcPr>
                <w:p w14:paraId="20842FC1" w14:textId="77777777" w:rsidR="00DA3852" w:rsidRDefault="00DA3852" w:rsidP="00C03F9E">
                  <w:pPr>
                    <w:pStyle w:val="TableBodyText"/>
                    <w:jc w:val="left"/>
                  </w:pPr>
                  <w:r>
                    <w:t>Conventional</w:t>
                  </w:r>
                </w:p>
              </w:tc>
              <w:tc>
                <w:tcPr>
                  <w:tcW w:w="835" w:type="pct"/>
                  <w:shd w:val="clear" w:color="auto" w:fill="auto"/>
                  <w:vAlign w:val="bottom"/>
                </w:tcPr>
                <w:p w14:paraId="0A28C6D3" w14:textId="77777777" w:rsidR="00DA3852" w:rsidRPr="00C10B5A" w:rsidRDefault="00DA3852" w:rsidP="00C03F9E">
                  <w:pPr>
                    <w:pStyle w:val="TableBodyText"/>
                  </w:pPr>
                  <w:r w:rsidRPr="00C10B5A">
                    <w:t>1</w:t>
                  </w:r>
                  <w:r>
                    <w:t xml:space="preserve"> </w:t>
                  </w:r>
                  <w:r w:rsidRPr="00C10B5A">
                    <w:t>047</w:t>
                  </w:r>
                </w:p>
              </w:tc>
              <w:tc>
                <w:tcPr>
                  <w:tcW w:w="754" w:type="pct"/>
                  <w:vAlign w:val="bottom"/>
                </w:tcPr>
                <w:p w14:paraId="5960399C" w14:textId="77777777" w:rsidR="00DA3852" w:rsidRPr="00C10B5A" w:rsidRDefault="00DA3852" w:rsidP="00C03F9E">
                  <w:pPr>
                    <w:pStyle w:val="TableBodyText"/>
                    <w:ind w:right="0"/>
                  </w:pPr>
                  <w:r w:rsidRPr="00C10B5A">
                    <w:t>1</w:t>
                  </w:r>
                </w:p>
              </w:tc>
            </w:tr>
            <w:tr w:rsidR="00DA3852" w14:paraId="39CBDACE" w14:textId="77777777" w:rsidTr="00C03F9E">
              <w:tc>
                <w:tcPr>
                  <w:tcW w:w="1062" w:type="pct"/>
                  <w:shd w:val="clear" w:color="auto" w:fill="auto"/>
                </w:tcPr>
                <w:p w14:paraId="1570474D" w14:textId="77777777" w:rsidR="00DA3852" w:rsidRDefault="00DA3852" w:rsidP="00C03F9E">
                  <w:pPr>
                    <w:pStyle w:val="TableBodyText"/>
                    <w:jc w:val="left"/>
                  </w:pPr>
                  <w:r>
                    <w:t>Cooper</w:t>
                  </w:r>
                </w:p>
              </w:tc>
              <w:tc>
                <w:tcPr>
                  <w:tcW w:w="1346" w:type="pct"/>
                  <w:shd w:val="clear" w:color="auto" w:fill="auto"/>
                </w:tcPr>
                <w:p w14:paraId="0F6C029B" w14:textId="77777777" w:rsidR="00DA3852" w:rsidRDefault="00DA3852" w:rsidP="00C03F9E">
                  <w:pPr>
                    <w:pStyle w:val="TableBodyText"/>
                    <w:jc w:val="left"/>
                  </w:pPr>
                  <w:r>
                    <w:t>New shale</w:t>
                  </w:r>
                </w:p>
              </w:tc>
              <w:tc>
                <w:tcPr>
                  <w:tcW w:w="1002" w:type="pct"/>
                  <w:shd w:val="clear" w:color="auto" w:fill="auto"/>
                </w:tcPr>
                <w:p w14:paraId="3DACBF89" w14:textId="77777777" w:rsidR="00DA3852" w:rsidRDefault="00DA3852" w:rsidP="00C03F9E">
                  <w:pPr>
                    <w:pStyle w:val="TableBodyText"/>
                    <w:jc w:val="left"/>
                  </w:pPr>
                  <w:r>
                    <w:t>Shale</w:t>
                  </w:r>
                </w:p>
              </w:tc>
              <w:tc>
                <w:tcPr>
                  <w:tcW w:w="835" w:type="pct"/>
                  <w:shd w:val="clear" w:color="auto" w:fill="auto"/>
                  <w:vAlign w:val="bottom"/>
                </w:tcPr>
                <w:p w14:paraId="273CD2B2" w14:textId="77777777" w:rsidR="00DA3852" w:rsidRPr="00C10B5A" w:rsidRDefault="00DA3852" w:rsidP="00C03F9E">
                  <w:pPr>
                    <w:pStyle w:val="TableBodyText"/>
                  </w:pPr>
                  <w:r w:rsidRPr="00C10B5A">
                    <w:t>5</w:t>
                  </w:r>
                </w:p>
              </w:tc>
              <w:tc>
                <w:tcPr>
                  <w:tcW w:w="754" w:type="pct"/>
                  <w:vAlign w:val="bottom"/>
                </w:tcPr>
                <w:p w14:paraId="636BCE07" w14:textId="77777777" w:rsidR="00DA3852" w:rsidRPr="00C10B5A" w:rsidRDefault="00DA3852" w:rsidP="00C03F9E">
                  <w:pPr>
                    <w:pStyle w:val="TableBodyText"/>
                    <w:ind w:right="0"/>
                  </w:pPr>
                  <w:r w:rsidRPr="00C10B5A">
                    <w:t>168</w:t>
                  </w:r>
                </w:p>
              </w:tc>
            </w:tr>
            <w:tr w:rsidR="00DA3852" w14:paraId="039ACC88" w14:textId="77777777" w:rsidTr="00C03F9E">
              <w:tc>
                <w:tcPr>
                  <w:tcW w:w="1062" w:type="pct"/>
                  <w:shd w:val="clear" w:color="auto" w:fill="auto"/>
                </w:tcPr>
                <w:p w14:paraId="5C95D8C4" w14:textId="77777777" w:rsidR="00DA3852" w:rsidRDefault="00DA3852" w:rsidP="00C03F9E">
                  <w:pPr>
                    <w:pStyle w:val="TableBodyText"/>
                    <w:jc w:val="left"/>
                  </w:pPr>
                  <w:r>
                    <w:t>Cooper</w:t>
                  </w:r>
                </w:p>
              </w:tc>
              <w:tc>
                <w:tcPr>
                  <w:tcW w:w="1346" w:type="pct"/>
                  <w:shd w:val="clear" w:color="auto" w:fill="auto"/>
                </w:tcPr>
                <w:p w14:paraId="7BA9BF6D" w14:textId="77777777" w:rsidR="00DA3852" w:rsidRDefault="00DA3852" w:rsidP="00C03F9E">
                  <w:pPr>
                    <w:pStyle w:val="TableBodyText"/>
                    <w:jc w:val="left"/>
                  </w:pPr>
                  <w:r>
                    <w:t>New infill</w:t>
                  </w:r>
                </w:p>
              </w:tc>
              <w:tc>
                <w:tcPr>
                  <w:tcW w:w="1002" w:type="pct"/>
                  <w:shd w:val="clear" w:color="auto" w:fill="auto"/>
                </w:tcPr>
                <w:p w14:paraId="3A21ABD7" w14:textId="77777777" w:rsidR="00DA3852" w:rsidRDefault="00DA3852" w:rsidP="00C03F9E">
                  <w:pPr>
                    <w:pStyle w:val="TableBodyText"/>
                    <w:jc w:val="left"/>
                  </w:pPr>
                  <w:r>
                    <w:t>Conventional</w:t>
                  </w:r>
                </w:p>
              </w:tc>
              <w:tc>
                <w:tcPr>
                  <w:tcW w:w="835" w:type="pct"/>
                  <w:shd w:val="clear" w:color="auto" w:fill="auto"/>
                  <w:vAlign w:val="bottom"/>
                </w:tcPr>
                <w:p w14:paraId="38CA1885" w14:textId="77777777" w:rsidR="00DA3852" w:rsidRPr="00C10B5A" w:rsidRDefault="00DA3852" w:rsidP="00C03F9E">
                  <w:pPr>
                    <w:pStyle w:val="TableBodyText"/>
                  </w:pPr>
                  <w:r w:rsidRPr="00C10B5A">
                    <w:t>0</w:t>
                  </w:r>
                </w:p>
              </w:tc>
              <w:tc>
                <w:tcPr>
                  <w:tcW w:w="754" w:type="pct"/>
                  <w:vAlign w:val="bottom"/>
                </w:tcPr>
                <w:p w14:paraId="3C1B6FBF" w14:textId="77777777" w:rsidR="00DA3852" w:rsidRPr="00C10B5A" w:rsidRDefault="00DA3852" w:rsidP="00C03F9E">
                  <w:pPr>
                    <w:pStyle w:val="TableBodyText"/>
                    <w:ind w:right="0"/>
                  </w:pPr>
                  <w:r w:rsidRPr="00C10B5A">
                    <w:t>36</w:t>
                  </w:r>
                </w:p>
              </w:tc>
            </w:tr>
            <w:tr w:rsidR="00DA3852" w14:paraId="0A57FA67" w14:textId="77777777" w:rsidTr="00C03F9E">
              <w:tc>
                <w:tcPr>
                  <w:tcW w:w="1062" w:type="pct"/>
                  <w:shd w:val="clear" w:color="auto" w:fill="auto"/>
                </w:tcPr>
                <w:p w14:paraId="64A51E39" w14:textId="77777777" w:rsidR="00DA3852" w:rsidRDefault="00DA3852" w:rsidP="00C03F9E">
                  <w:pPr>
                    <w:pStyle w:val="TableBodyText"/>
                    <w:jc w:val="left"/>
                  </w:pPr>
                  <w:r>
                    <w:t>Cooper</w:t>
                  </w:r>
                </w:p>
              </w:tc>
              <w:tc>
                <w:tcPr>
                  <w:tcW w:w="1346" w:type="pct"/>
                  <w:shd w:val="clear" w:color="auto" w:fill="auto"/>
                </w:tcPr>
                <w:p w14:paraId="2D855FFA" w14:textId="77777777" w:rsidR="00DA3852" w:rsidRDefault="00DA3852" w:rsidP="00C03F9E">
                  <w:pPr>
                    <w:pStyle w:val="TableBodyText"/>
                    <w:jc w:val="left"/>
                  </w:pPr>
                  <w:r>
                    <w:t>New CSG</w:t>
                  </w:r>
                </w:p>
              </w:tc>
              <w:tc>
                <w:tcPr>
                  <w:tcW w:w="1002" w:type="pct"/>
                  <w:shd w:val="clear" w:color="auto" w:fill="auto"/>
                </w:tcPr>
                <w:p w14:paraId="70BFC98B" w14:textId="77777777" w:rsidR="00DA3852" w:rsidRDefault="00DA3852" w:rsidP="00C03F9E">
                  <w:pPr>
                    <w:pStyle w:val="TableBodyText"/>
                    <w:jc w:val="left"/>
                  </w:pPr>
                  <w:r>
                    <w:t>CSG</w:t>
                  </w:r>
                </w:p>
              </w:tc>
              <w:tc>
                <w:tcPr>
                  <w:tcW w:w="835" w:type="pct"/>
                  <w:shd w:val="clear" w:color="auto" w:fill="auto"/>
                  <w:vAlign w:val="bottom"/>
                </w:tcPr>
                <w:p w14:paraId="08A3BD87" w14:textId="77777777" w:rsidR="00DA3852" w:rsidRPr="00C10B5A" w:rsidRDefault="00DA3852" w:rsidP="00C03F9E">
                  <w:pPr>
                    <w:pStyle w:val="TableBodyText"/>
                  </w:pPr>
                  <w:r w:rsidRPr="00C10B5A">
                    <w:t>0</w:t>
                  </w:r>
                </w:p>
              </w:tc>
              <w:tc>
                <w:tcPr>
                  <w:tcW w:w="754" w:type="pct"/>
                  <w:vAlign w:val="bottom"/>
                </w:tcPr>
                <w:p w14:paraId="0CAAAA67" w14:textId="77777777" w:rsidR="00DA3852" w:rsidRPr="00C10B5A" w:rsidRDefault="00DA3852" w:rsidP="00C03F9E">
                  <w:pPr>
                    <w:pStyle w:val="TableBodyText"/>
                    <w:ind w:right="0"/>
                  </w:pPr>
                  <w:r w:rsidRPr="00C10B5A">
                    <w:t>49</w:t>
                  </w:r>
                </w:p>
              </w:tc>
            </w:tr>
            <w:tr w:rsidR="00DA3852" w14:paraId="7B9EDEEF" w14:textId="77777777" w:rsidTr="00C03F9E">
              <w:tc>
                <w:tcPr>
                  <w:tcW w:w="1062" w:type="pct"/>
                  <w:shd w:val="clear" w:color="auto" w:fill="auto"/>
                </w:tcPr>
                <w:p w14:paraId="6C2DF1BF" w14:textId="77777777" w:rsidR="00DA3852" w:rsidRDefault="00DA3852" w:rsidP="00C03F9E">
                  <w:pPr>
                    <w:pStyle w:val="TableBodyText"/>
                    <w:jc w:val="left"/>
                  </w:pPr>
                  <w:r>
                    <w:t>Cooper</w:t>
                  </w:r>
                </w:p>
              </w:tc>
              <w:tc>
                <w:tcPr>
                  <w:tcW w:w="1346" w:type="pct"/>
                  <w:shd w:val="clear" w:color="auto" w:fill="auto"/>
                </w:tcPr>
                <w:p w14:paraId="39A00C4C" w14:textId="77777777" w:rsidR="00DA3852" w:rsidRDefault="00DA3852" w:rsidP="00C03F9E">
                  <w:pPr>
                    <w:pStyle w:val="TableBodyText"/>
                    <w:jc w:val="left"/>
                  </w:pPr>
                  <w:r>
                    <w:t>GLNG</w:t>
                  </w:r>
                </w:p>
              </w:tc>
              <w:tc>
                <w:tcPr>
                  <w:tcW w:w="1002" w:type="pct"/>
                  <w:shd w:val="clear" w:color="auto" w:fill="auto"/>
                </w:tcPr>
                <w:p w14:paraId="4C048644" w14:textId="77777777" w:rsidR="00DA3852" w:rsidRDefault="00DA3852" w:rsidP="00C03F9E">
                  <w:pPr>
                    <w:pStyle w:val="TableBodyText"/>
                    <w:jc w:val="left"/>
                  </w:pPr>
                  <w:r>
                    <w:t>Conventional</w:t>
                  </w:r>
                </w:p>
              </w:tc>
              <w:tc>
                <w:tcPr>
                  <w:tcW w:w="835" w:type="pct"/>
                  <w:shd w:val="clear" w:color="auto" w:fill="auto"/>
                  <w:vAlign w:val="bottom"/>
                </w:tcPr>
                <w:p w14:paraId="649FC38E" w14:textId="77777777" w:rsidR="00DA3852" w:rsidRPr="00C10B5A" w:rsidRDefault="00DA3852" w:rsidP="00C03F9E">
                  <w:pPr>
                    <w:pStyle w:val="TableBodyText"/>
                  </w:pPr>
                  <w:r w:rsidRPr="00C10B5A">
                    <w:t>745</w:t>
                  </w:r>
                </w:p>
              </w:tc>
              <w:tc>
                <w:tcPr>
                  <w:tcW w:w="754" w:type="pct"/>
                  <w:vAlign w:val="bottom"/>
                </w:tcPr>
                <w:p w14:paraId="601E0B28" w14:textId="77777777" w:rsidR="00DA3852" w:rsidRPr="00C10B5A" w:rsidRDefault="00DA3852" w:rsidP="00C03F9E">
                  <w:pPr>
                    <w:pStyle w:val="TableBodyText"/>
                    <w:ind w:right="0"/>
                  </w:pPr>
                  <w:r w:rsidRPr="00C10B5A">
                    <w:t>0</w:t>
                  </w:r>
                </w:p>
              </w:tc>
            </w:tr>
            <w:tr w:rsidR="00DA3852" w14:paraId="7B7EE77D" w14:textId="77777777" w:rsidTr="00C03F9E">
              <w:tc>
                <w:tcPr>
                  <w:tcW w:w="1062" w:type="pct"/>
                  <w:shd w:val="clear" w:color="auto" w:fill="auto"/>
                </w:tcPr>
                <w:p w14:paraId="18DB7C20" w14:textId="77777777" w:rsidR="00DA3852" w:rsidRDefault="00DA3852" w:rsidP="00C03F9E">
                  <w:pPr>
                    <w:pStyle w:val="TableBodyText"/>
                    <w:jc w:val="left"/>
                  </w:pPr>
                  <w:r>
                    <w:t>Gippsland</w:t>
                  </w:r>
                </w:p>
              </w:tc>
              <w:tc>
                <w:tcPr>
                  <w:tcW w:w="1346" w:type="pct"/>
                  <w:shd w:val="clear" w:color="auto" w:fill="auto"/>
                </w:tcPr>
                <w:p w14:paraId="3735907F" w14:textId="77777777" w:rsidR="00DA3852" w:rsidRDefault="00DA3852" w:rsidP="00C03F9E">
                  <w:pPr>
                    <w:pStyle w:val="TableBodyText"/>
                    <w:jc w:val="left"/>
                  </w:pPr>
                  <w:r>
                    <w:t xml:space="preserve">GBJV and Turrum </w:t>
                  </w:r>
                </w:p>
              </w:tc>
              <w:tc>
                <w:tcPr>
                  <w:tcW w:w="1002" w:type="pct"/>
                  <w:shd w:val="clear" w:color="auto" w:fill="auto"/>
                </w:tcPr>
                <w:p w14:paraId="1CF52CCF" w14:textId="77777777" w:rsidR="00DA3852" w:rsidRDefault="00DA3852" w:rsidP="00C03F9E">
                  <w:pPr>
                    <w:pStyle w:val="TableBodyText"/>
                    <w:jc w:val="left"/>
                  </w:pPr>
                  <w:r>
                    <w:t>Conventional</w:t>
                  </w:r>
                </w:p>
              </w:tc>
              <w:tc>
                <w:tcPr>
                  <w:tcW w:w="835" w:type="pct"/>
                  <w:shd w:val="clear" w:color="auto" w:fill="auto"/>
                  <w:vAlign w:val="bottom"/>
                </w:tcPr>
                <w:p w14:paraId="04C4BE6B" w14:textId="77777777" w:rsidR="00DA3852" w:rsidRPr="00C10B5A" w:rsidRDefault="00DA3852" w:rsidP="00C03F9E">
                  <w:pPr>
                    <w:pStyle w:val="TableBodyText"/>
                  </w:pPr>
                  <w:r w:rsidRPr="00C10B5A">
                    <w:t>2</w:t>
                  </w:r>
                  <w:r>
                    <w:t xml:space="preserve"> </w:t>
                  </w:r>
                  <w:r w:rsidRPr="00C10B5A">
                    <w:t>854</w:t>
                  </w:r>
                </w:p>
              </w:tc>
              <w:tc>
                <w:tcPr>
                  <w:tcW w:w="754" w:type="pct"/>
                  <w:vAlign w:val="bottom"/>
                </w:tcPr>
                <w:p w14:paraId="0AC9D1B6" w14:textId="77777777" w:rsidR="00DA3852" w:rsidRPr="00C10B5A" w:rsidRDefault="00DA3852" w:rsidP="00C03F9E">
                  <w:pPr>
                    <w:pStyle w:val="TableBodyText"/>
                    <w:ind w:right="0"/>
                  </w:pPr>
                  <w:r w:rsidRPr="00C10B5A">
                    <w:t>58</w:t>
                  </w:r>
                </w:p>
              </w:tc>
            </w:tr>
            <w:tr w:rsidR="00DA3852" w14:paraId="08840EF2" w14:textId="77777777" w:rsidTr="00C03F9E">
              <w:tc>
                <w:tcPr>
                  <w:tcW w:w="1062" w:type="pct"/>
                  <w:shd w:val="clear" w:color="auto" w:fill="auto"/>
                </w:tcPr>
                <w:p w14:paraId="4E83A557" w14:textId="77777777" w:rsidR="00DA3852" w:rsidRDefault="00DA3852" w:rsidP="00C03F9E">
                  <w:pPr>
                    <w:pStyle w:val="TableBodyText"/>
                    <w:jc w:val="left"/>
                  </w:pPr>
                  <w:r>
                    <w:t>Gippsland</w:t>
                  </w:r>
                </w:p>
              </w:tc>
              <w:tc>
                <w:tcPr>
                  <w:tcW w:w="1346" w:type="pct"/>
                  <w:shd w:val="clear" w:color="auto" w:fill="auto"/>
                </w:tcPr>
                <w:p w14:paraId="2B6AC8E8" w14:textId="77777777" w:rsidR="00DA3852" w:rsidRDefault="00DA3852" w:rsidP="00C03F9E">
                  <w:pPr>
                    <w:pStyle w:val="TableBodyText"/>
                    <w:jc w:val="left"/>
                  </w:pPr>
                  <w:r>
                    <w:t>Kipper</w:t>
                  </w:r>
                </w:p>
              </w:tc>
              <w:tc>
                <w:tcPr>
                  <w:tcW w:w="1002" w:type="pct"/>
                  <w:shd w:val="clear" w:color="auto" w:fill="auto"/>
                </w:tcPr>
                <w:p w14:paraId="3AAA3F01" w14:textId="77777777" w:rsidR="00DA3852" w:rsidRDefault="00DA3852" w:rsidP="00C03F9E">
                  <w:pPr>
                    <w:pStyle w:val="TableBodyText"/>
                    <w:jc w:val="left"/>
                  </w:pPr>
                  <w:r>
                    <w:t>Conventional</w:t>
                  </w:r>
                </w:p>
              </w:tc>
              <w:tc>
                <w:tcPr>
                  <w:tcW w:w="835" w:type="pct"/>
                  <w:shd w:val="clear" w:color="auto" w:fill="auto"/>
                  <w:vAlign w:val="bottom"/>
                </w:tcPr>
                <w:p w14:paraId="303FD139" w14:textId="77777777" w:rsidR="00DA3852" w:rsidRPr="00C10B5A" w:rsidRDefault="00DA3852" w:rsidP="00C03F9E">
                  <w:pPr>
                    <w:pStyle w:val="TableBodyText"/>
                  </w:pPr>
                  <w:r w:rsidRPr="00C10B5A">
                    <w:t>558</w:t>
                  </w:r>
                </w:p>
              </w:tc>
              <w:tc>
                <w:tcPr>
                  <w:tcW w:w="754" w:type="pct"/>
                  <w:vAlign w:val="bottom"/>
                </w:tcPr>
                <w:p w14:paraId="1B4A329A" w14:textId="77777777" w:rsidR="00DA3852" w:rsidRPr="00C10B5A" w:rsidRDefault="00DA3852" w:rsidP="00C03F9E">
                  <w:pPr>
                    <w:pStyle w:val="TableBodyText"/>
                    <w:ind w:right="0"/>
                  </w:pPr>
                  <w:r w:rsidRPr="00C10B5A">
                    <w:t>8</w:t>
                  </w:r>
                </w:p>
              </w:tc>
            </w:tr>
            <w:tr w:rsidR="00DA3852" w14:paraId="1FE918A7" w14:textId="77777777" w:rsidTr="00C03F9E">
              <w:tc>
                <w:tcPr>
                  <w:tcW w:w="1062" w:type="pct"/>
                  <w:shd w:val="clear" w:color="auto" w:fill="auto"/>
                </w:tcPr>
                <w:p w14:paraId="4D3E1AF4" w14:textId="77777777" w:rsidR="00DA3852" w:rsidRDefault="00DA3852" w:rsidP="00C03F9E">
                  <w:pPr>
                    <w:pStyle w:val="TableBodyText"/>
                    <w:jc w:val="left"/>
                  </w:pPr>
                  <w:r>
                    <w:t>Gippsland</w:t>
                  </w:r>
                </w:p>
              </w:tc>
              <w:tc>
                <w:tcPr>
                  <w:tcW w:w="1346" w:type="pct"/>
                  <w:shd w:val="clear" w:color="auto" w:fill="auto"/>
                </w:tcPr>
                <w:p w14:paraId="629CCF97" w14:textId="77777777" w:rsidR="00DA3852" w:rsidRDefault="00DA3852" w:rsidP="00C03F9E">
                  <w:pPr>
                    <w:pStyle w:val="TableBodyText"/>
                    <w:jc w:val="left"/>
                  </w:pPr>
                  <w:proofErr w:type="spellStart"/>
                  <w:r>
                    <w:t>Longtom</w:t>
                  </w:r>
                  <w:proofErr w:type="spellEnd"/>
                </w:p>
              </w:tc>
              <w:tc>
                <w:tcPr>
                  <w:tcW w:w="1002" w:type="pct"/>
                  <w:shd w:val="clear" w:color="auto" w:fill="auto"/>
                </w:tcPr>
                <w:p w14:paraId="34D4C29A" w14:textId="77777777" w:rsidR="00DA3852" w:rsidRDefault="00DA3852" w:rsidP="00C03F9E">
                  <w:pPr>
                    <w:pStyle w:val="TableBodyText"/>
                    <w:jc w:val="left"/>
                  </w:pPr>
                  <w:r>
                    <w:t>Conventional</w:t>
                  </w:r>
                </w:p>
              </w:tc>
              <w:tc>
                <w:tcPr>
                  <w:tcW w:w="835" w:type="pct"/>
                  <w:shd w:val="clear" w:color="auto" w:fill="auto"/>
                  <w:vAlign w:val="bottom"/>
                </w:tcPr>
                <w:p w14:paraId="613A5341" w14:textId="77777777" w:rsidR="00DA3852" w:rsidRPr="00C10B5A" w:rsidRDefault="00DA3852" w:rsidP="00C03F9E">
                  <w:pPr>
                    <w:pStyle w:val="TableBodyText"/>
                  </w:pPr>
                  <w:r w:rsidRPr="00C10B5A">
                    <w:t>116</w:t>
                  </w:r>
                </w:p>
              </w:tc>
              <w:tc>
                <w:tcPr>
                  <w:tcW w:w="754" w:type="pct"/>
                  <w:vAlign w:val="bottom"/>
                </w:tcPr>
                <w:p w14:paraId="1598BF21" w14:textId="77777777" w:rsidR="00DA3852" w:rsidRPr="00C10B5A" w:rsidRDefault="00DA3852" w:rsidP="00C03F9E">
                  <w:pPr>
                    <w:pStyle w:val="TableBodyText"/>
                    <w:ind w:right="0"/>
                  </w:pPr>
                  <w:r w:rsidRPr="00C10B5A">
                    <w:t>3</w:t>
                  </w:r>
                </w:p>
              </w:tc>
            </w:tr>
            <w:tr w:rsidR="00DA3852" w14:paraId="33CAAD3B" w14:textId="77777777" w:rsidTr="00C03F9E">
              <w:tc>
                <w:tcPr>
                  <w:tcW w:w="1062" w:type="pct"/>
                  <w:shd w:val="clear" w:color="auto" w:fill="auto"/>
                </w:tcPr>
                <w:p w14:paraId="4C6372F8" w14:textId="77777777" w:rsidR="00DA3852" w:rsidRDefault="00DA3852" w:rsidP="00C03F9E">
                  <w:pPr>
                    <w:pStyle w:val="TableBodyText"/>
                    <w:jc w:val="left"/>
                  </w:pPr>
                  <w:r>
                    <w:t>Gippsland</w:t>
                  </w:r>
                </w:p>
              </w:tc>
              <w:tc>
                <w:tcPr>
                  <w:tcW w:w="1346" w:type="pct"/>
                  <w:shd w:val="clear" w:color="auto" w:fill="auto"/>
                </w:tcPr>
                <w:p w14:paraId="1E3E65B1" w14:textId="77777777" w:rsidR="00DA3852" w:rsidRDefault="00DA3852" w:rsidP="00C03F9E">
                  <w:pPr>
                    <w:pStyle w:val="TableBodyText"/>
                    <w:jc w:val="left"/>
                  </w:pPr>
                  <w:r>
                    <w:t>New unconventional</w:t>
                  </w:r>
                </w:p>
              </w:tc>
              <w:tc>
                <w:tcPr>
                  <w:tcW w:w="1002" w:type="pct"/>
                  <w:shd w:val="clear" w:color="auto" w:fill="auto"/>
                </w:tcPr>
                <w:p w14:paraId="5AD009B8" w14:textId="77777777" w:rsidR="00DA3852" w:rsidRDefault="00DA3852" w:rsidP="00C03F9E">
                  <w:pPr>
                    <w:pStyle w:val="TableBodyText"/>
                    <w:jc w:val="left"/>
                  </w:pPr>
                  <w:r>
                    <w:t>CSG</w:t>
                  </w:r>
                </w:p>
              </w:tc>
              <w:tc>
                <w:tcPr>
                  <w:tcW w:w="835" w:type="pct"/>
                  <w:shd w:val="clear" w:color="auto" w:fill="auto"/>
                  <w:vAlign w:val="bottom"/>
                </w:tcPr>
                <w:p w14:paraId="7A11D08D" w14:textId="77777777" w:rsidR="00DA3852" w:rsidRPr="00C10B5A" w:rsidRDefault="00DA3852" w:rsidP="00C03F9E">
                  <w:pPr>
                    <w:pStyle w:val="TableBodyText"/>
                  </w:pPr>
                  <w:r w:rsidRPr="00C10B5A">
                    <w:t>0</w:t>
                  </w:r>
                </w:p>
              </w:tc>
              <w:tc>
                <w:tcPr>
                  <w:tcW w:w="754" w:type="pct"/>
                  <w:vAlign w:val="bottom"/>
                </w:tcPr>
                <w:p w14:paraId="187AA2F7" w14:textId="77777777" w:rsidR="00DA3852" w:rsidRPr="00C10B5A" w:rsidRDefault="00DA3852" w:rsidP="00C03F9E">
                  <w:pPr>
                    <w:pStyle w:val="TableBodyText"/>
                    <w:ind w:right="0"/>
                  </w:pPr>
                  <w:r w:rsidRPr="00C10B5A">
                    <w:t>15</w:t>
                  </w:r>
                </w:p>
              </w:tc>
            </w:tr>
            <w:tr w:rsidR="00DA3852" w14:paraId="6CA87E71" w14:textId="77777777" w:rsidTr="00C03F9E">
              <w:tc>
                <w:tcPr>
                  <w:tcW w:w="1062" w:type="pct"/>
                  <w:shd w:val="clear" w:color="auto" w:fill="auto"/>
                </w:tcPr>
                <w:p w14:paraId="01647F90" w14:textId="77777777" w:rsidR="00DA3852" w:rsidRDefault="00DA3852" w:rsidP="00C03F9E">
                  <w:pPr>
                    <w:pStyle w:val="TableBodyText"/>
                    <w:jc w:val="left"/>
                  </w:pPr>
                  <w:r>
                    <w:t>Gippsland</w:t>
                  </w:r>
                </w:p>
              </w:tc>
              <w:tc>
                <w:tcPr>
                  <w:tcW w:w="1346" w:type="pct"/>
                  <w:shd w:val="clear" w:color="auto" w:fill="auto"/>
                </w:tcPr>
                <w:p w14:paraId="077E6399" w14:textId="77777777" w:rsidR="00DA3852" w:rsidRDefault="00DA3852" w:rsidP="00C03F9E">
                  <w:pPr>
                    <w:pStyle w:val="TableBodyText"/>
                    <w:jc w:val="left"/>
                  </w:pPr>
                  <w:r>
                    <w:t>New offshore</w:t>
                  </w:r>
                </w:p>
              </w:tc>
              <w:tc>
                <w:tcPr>
                  <w:tcW w:w="1002" w:type="pct"/>
                  <w:shd w:val="clear" w:color="auto" w:fill="auto"/>
                </w:tcPr>
                <w:p w14:paraId="16BFA579" w14:textId="77777777" w:rsidR="00DA3852" w:rsidRDefault="00DA3852" w:rsidP="00C03F9E">
                  <w:pPr>
                    <w:pStyle w:val="TableBodyText"/>
                    <w:jc w:val="left"/>
                  </w:pPr>
                  <w:r>
                    <w:t>Conventional</w:t>
                  </w:r>
                </w:p>
              </w:tc>
              <w:tc>
                <w:tcPr>
                  <w:tcW w:w="835" w:type="pct"/>
                  <w:shd w:val="clear" w:color="auto" w:fill="auto"/>
                  <w:vAlign w:val="bottom"/>
                </w:tcPr>
                <w:p w14:paraId="513BDD79" w14:textId="77777777" w:rsidR="00DA3852" w:rsidRPr="00C10B5A" w:rsidRDefault="00DA3852" w:rsidP="00C03F9E">
                  <w:pPr>
                    <w:pStyle w:val="TableBodyText"/>
                  </w:pPr>
                  <w:r w:rsidRPr="00C10B5A">
                    <w:t>0</w:t>
                  </w:r>
                </w:p>
              </w:tc>
              <w:tc>
                <w:tcPr>
                  <w:tcW w:w="754" w:type="pct"/>
                  <w:vAlign w:val="bottom"/>
                </w:tcPr>
                <w:p w14:paraId="00AC4A3C" w14:textId="77777777" w:rsidR="00DA3852" w:rsidRPr="00C10B5A" w:rsidRDefault="00DA3852" w:rsidP="00C03F9E">
                  <w:pPr>
                    <w:pStyle w:val="TableBodyText"/>
                    <w:ind w:right="0"/>
                  </w:pPr>
                  <w:r w:rsidRPr="00C10B5A">
                    <w:t>74</w:t>
                  </w:r>
                </w:p>
              </w:tc>
            </w:tr>
            <w:tr w:rsidR="00DA3852" w14:paraId="5F892DF7" w14:textId="77777777" w:rsidTr="00C03F9E">
              <w:tc>
                <w:tcPr>
                  <w:tcW w:w="1062" w:type="pct"/>
                  <w:shd w:val="clear" w:color="auto" w:fill="auto"/>
                </w:tcPr>
                <w:p w14:paraId="17079A0F" w14:textId="77777777" w:rsidR="00DA3852" w:rsidRDefault="00DA3852" w:rsidP="00C03F9E">
                  <w:pPr>
                    <w:pStyle w:val="TableBodyText"/>
                    <w:jc w:val="left"/>
                  </w:pPr>
                  <w:r>
                    <w:t>Gloucester</w:t>
                  </w:r>
                </w:p>
              </w:tc>
              <w:tc>
                <w:tcPr>
                  <w:tcW w:w="1346" w:type="pct"/>
                  <w:shd w:val="clear" w:color="auto" w:fill="auto"/>
                </w:tcPr>
                <w:p w14:paraId="19ADEAC6" w14:textId="77777777" w:rsidR="00DA3852" w:rsidRDefault="00DA3852" w:rsidP="00C03F9E">
                  <w:pPr>
                    <w:pStyle w:val="TableBodyText"/>
                    <w:jc w:val="left"/>
                  </w:pPr>
                  <w:r>
                    <w:t>Gloucester (CSG)</w:t>
                  </w:r>
                </w:p>
              </w:tc>
              <w:tc>
                <w:tcPr>
                  <w:tcW w:w="1002" w:type="pct"/>
                  <w:shd w:val="clear" w:color="auto" w:fill="auto"/>
                </w:tcPr>
                <w:p w14:paraId="40145FAF" w14:textId="77777777" w:rsidR="00DA3852" w:rsidRDefault="00DA3852" w:rsidP="00C03F9E">
                  <w:pPr>
                    <w:pStyle w:val="TableBodyText"/>
                    <w:jc w:val="left"/>
                  </w:pPr>
                  <w:r>
                    <w:t>CSG</w:t>
                  </w:r>
                </w:p>
              </w:tc>
              <w:tc>
                <w:tcPr>
                  <w:tcW w:w="835" w:type="pct"/>
                  <w:shd w:val="clear" w:color="auto" w:fill="auto"/>
                  <w:vAlign w:val="bottom"/>
                </w:tcPr>
                <w:p w14:paraId="68A7876D" w14:textId="77777777" w:rsidR="00DA3852" w:rsidRPr="00C10B5A" w:rsidRDefault="00DA3852" w:rsidP="00C03F9E">
                  <w:pPr>
                    <w:pStyle w:val="TableBodyText"/>
                  </w:pPr>
                  <w:r w:rsidRPr="00C10B5A">
                    <w:t>527</w:t>
                  </w:r>
                </w:p>
              </w:tc>
              <w:tc>
                <w:tcPr>
                  <w:tcW w:w="754" w:type="pct"/>
                  <w:vAlign w:val="bottom"/>
                </w:tcPr>
                <w:p w14:paraId="7E034C0B" w14:textId="77777777" w:rsidR="00DA3852" w:rsidRPr="00C10B5A" w:rsidRDefault="00DA3852" w:rsidP="00C03F9E">
                  <w:pPr>
                    <w:pStyle w:val="TableBodyText"/>
                    <w:ind w:right="0"/>
                  </w:pPr>
                  <w:r w:rsidRPr="00C10B5A">
                    <w:t>11</w:t>
                  </w:r>
                </w:p>
              </w:tc>
            </w:tr>
            <w:tr w:rsidR="00DA3852" w14:paraId="0706886F" w14:textId="77777777" w:rsidTr="00C03F9E">
              <w:tc>
                <w:tcPr>
                  <w:tcW w:w="1062" w:type="pct"/>
                  <w:shd w:val="clear" w:color="auto" w:fill="auto"/>
                </w:tcPr>
                <w:p w14:paraId="2CB55332" w14:textId="77777777" w:rsidR="00DA3852" w:rsidRDefault="00DA3852" w:rsidP="00C03F9E">
                  <w:pPr>
                    <w:pStyle w:val="TableBodyText"/>
                    <w:jc w:val="left"/>
                  </w:pPr>
                  <w:r>
                    <w:t>Gunnedah</w:t>
                  </w:r>
                </w:p>
              </w:tc>
              <w:tc>
                <w:tcPr>
                  <w:tcW w:w="1346" w:type="pct"/>
                  <w:shd w:val="clear" w:color="auto" w:fill="auto"/>
                </w:tcPr>
                <w:p w14:paraId="43455F4F" w14:textId="77777777" w:rsidR="00DA3852" w:rsidRDefault="00DA3852" w:rsidP="00C03F9E">
                  <w:pPr>
                    <w:pStyle w:val="TableBodyText"/>
                    <w:jc w:val="left"/>
                  </w:pPr>
                  <w:r>
                    <w:t>New CSG tier 1</w:t>
                  </w:r>
                </w:p>
              </w:tc>
              <w:tc>
                <w:tcPr>
                  <w:tcW w:w="1002" w:type="pct"/>
                  <w:shd w:val="clear" w:color="auto" w:fill="auto"/>
                </w:tcPr>
                <w:p w14:paraId="576631BD" w14:textId="77777777" w:rsidR="00DA3852" w:rsidRDefault="00DA3852" w:rsidP="00C03F9E">
                  <w:pPr>
                    <w:pStyle w:val="TableBodyText"/>
                    <w:jc w:val="left"/>
                  </w:pPr>
                  <w:r>
                    <w:t>CSG</w:t>
                  </w:r>
                </w:p>
              </w:tc>
              <w:tc>
                <w:tcPr>
                  <w:tcW w:w="835" w:type="pct"/>
                  <w:shd w:val="clear" w:color="auto" w:fill="auto"/>
                  <w:vAlign w:val="bottom"/>
                </w:tcPr>
                <w:p w14:paraId="068F09EA" w14:textId="77777777" w:rsidR="00DA3852" w:rsidRPr="00C10B5A" w:rsidRDefault="00DA3852" w:rsidP="00C03F9E">
                  <w:pPr>
                    <w:pStyle w:val="TableBodyText"/>
                  </w:pPr>
                  <w:r w:rsidRPr="00C10B5A">
                    <w:t>799</w:t>
                  </w:r>
                </w:p>
              </w:tc>
              <w:tc>
                <w:tcPr>
                  <w:tcW w:w="754" w:type="pct"/>
                  <w:vAlign w:val="bottom"/>
                </w:tcPr>
                <w:p w14:paraId="387BF8DA" w14:textId="77777777" w:rsidR="00DA3852" w:rsidRPr="00C10B5A" w:rsidRDefault="00DA3852" w:rsidP="00C03F9E">
                  <w:pPr>
                    <w:pStyle w:val="TableBodyText"/>
                    <w:ind w:right="0"/>
                  </w:pPr>
                  <w:r w:rsidRPr="00C10B5A">
                    <w:t>135</w:t>
                  </w:r>
                </w:p>
              </w:tc>
            </w:tr>
            <w:tr w:rsidR="00DA3852" w14:paraId="457243A6" w14:textId="77777777" w:rsidTr="00C03F9E">
              <w:tc>
                <w:tcPr>
                  <w:tcW w:w="1062" w:type="pct"/>
                  <w:shd w:val="clear" w:color="auto" w:fill="auto"/>
                </w:tcPr>
                <w:p w14:paraId="20ACB782" w14:textId="77777777" w:rsidR="00DA3852" w:rsidRDefault="00DA3852" w:rsidP="00C03F9E">
                  <w:pPr>
                    <w:pStyle w:val="TableBodyText"/>
                    <w:jc w:val="left"/>
                  </w:pPr>
                  <w:r>
                    <w:t>Gunnedah</w:t>
                  </w:r>
                </w:p>
              </w:tc>
              <w:tc>
                <w:tcPr>
                  <w:tcW w:w="1346" w:type="pct"/>
                  <w:shd w:val="clear" w:color="auto" w:fill="auto"/>
                </w:tcPr>
                <w:p w14:paraId="1D08BE03" w14:textId="77777777" w:rsidR="00DA3852" w:rsidRDefault="00DA3852" w:rsidP="00C03F9E">
                  <w:pPr>
                    <w:pStyle w:val="TableBodyText"/>
                    <w:jc w:val="left"/>
                  </w:pPr>
                  <w:r>
                    <w:t>New CSG tier 2</w:t>
                  </w:r>
                </w:p>
              </w:tc>
              <w:tc>
                <w:tcPr>
                  <w:tcW w:w="1002" w:type="pct"/>
                  <w:shd w:val="clear" w:color="auto" w:fill="auto"/>
                </w:tcPr>
                <w:p w14:paraId="736E2D03" w14:textId="77777777" w:rsidR="00DA3852" w:rsidRDefault="00DA3852" w:rsidP="00C03F9E">
                  <w:pPr>
                    <w:pStyle w:val="TableBodyText"/>
                    <w:jc w:val="left"/>
                  </w:pPr>
                  <w:r>
                    <w:t>CSG</w:t>
                  </w:r>
                </w:p>
              </w:tc>
              <w:tc>
                <w:tcPr>
                  <w:tcW w:w="835" w:type="pct"/>
                  <w:shd w:val="clear" w:color="auto" w:fill="auto"/>
                  <w:vAlign w:val="bottom"/>
                </w:tcPr>
                <w:p w14:paraId="64C1C792" w14:textId="77777777" w:rsidR="00DA3852" w:rsidRPr="00C10B5A" w:rsidRDefault="00DA3852" w:rsidP="00C03F9E">
                  <w:pPr>
                    <w:pStyle w:val="TableBodyText"/>
                  </w:pPr>
                  <w:r w:rsidRPr="00C10B5A">
                    <w:t>0</w:t>
                  </w:r>
                </w:p>
              </w:tc>
              <w:tc>
                <w:tcPr>
                  <w:tcW w:w="754" w:type="pct"/>
                  <w:vAlign w:val="bottom"/>
                </w:tcPr>
                <w:p w14:paraId="79121310" w14:textId="77777777" w:rsidR="00DA3852" w:rsidRPr="00C10B5A" w:rsidRDefault="00DA3852" w:rsidP="00C03F9E">
                  <w:pPr>
                    <w:pStyle w:val="TableBodyText"/>
                    <w:ind w:right="0"/>
                  </w:pPr>
                  <w:r w:rsidRPr="00C10B5A">
                    <w:t>17</w:t>
                  </w:r>
                </w:p>
              </w:tc>
            </w:tr>
            <w:tr w:rsidR="00DA3852" w14:paraId="5AC86438" w14:textId="77777777" w:rsidTr="00C03F9E">
              <w:tc>
                <w:tcPr>
                  <w:tcW w:w="1062" w:type="pct"/>
                  <w:shd w:val="clear" w:color="auto" w:fill="auto"/>
                </w:tcPr>
                <w:p w14:paraId="4B9A144A" w14:textId="77777777" w:rsidR="00DA3852" w:rsidRDefault="00DA3852" w:rsidP="00C03F9E">
                  <w:pPr>
                    <w:pStyle w:val="TableBodyText"/>
                    <w:jc w:val="left"/>
                  </w:pPr>
                  <w:r>
                    <w:t>Otway</w:t>
                  </w:r>
                </w:p>
              </w:tc>
              <w:tc>
                <w:tcPr>
                  <w:tcW w:w="1346" w:type="pct"/>
                  <w:shd w:val="clear" w:color="auto" w:fill="auto"/>
                </w:tcPr>
                <w:p w14:paraId="710944AE" w14:textId="77777777" w:rsidR="00DA3852" w:rsidRDefault="00DA3852" w:rsidP="00C03F9E">
                  <w:pPr>
                    <w:pStyle w:val="TableBodyText"/>
                    <w:jc w:val="left"/>
                  </w:pPr>
                  <w:r>
                    <w:t>Casino/Henry/Netherby</w:t>
                  </w:r>
                </w:p>
              </w:tc>
              <w:tc>
                <w:tcPr>
                  <w:tcW w:w="1002" w:type="pct"/>
                  <w:shd w:val="clear" w:color="auto" w:fill="auto"/>
                </w:tcPr>
                <w:p w14:paraId="0B9CB356" w14:textId="77777777" w:rsidR="00DA3852" w:rsidRDefault="00DA3852" w:rsidP="00C03F9E">
                  <w:pPr>
                    <w:pStyle w:val="TableBodyText"/>
                    <w:jc w:val="left"/>
                  </w:pPr>
                  <w:r>
                    <w:t>Conventional</w:t>
                  </w:r>
                </w:p>
              </w:tc>
              <w:tc>
                <w:tcPr>
                  <w:tcW w:w="835" w:type="pct"/>
                  <w:shd w:val="clear" w:color="auto" w:fill="auto"/>
                  <w:vAlign w:val="bottom"/>
                </w:tcPr>
                <w:p w14:paraId="1598A1EB" w14:textId="77777777" w:rsidR="00DA3852" w:rsidRPr="00C10B5A" w:rsidRDefault="00DA3852" w:rsidP="00C03F9E">
                  <w:pPr>
                    <w:pStyle w:val="TableBodyText"/>
                  </w:pPr>
                  <w:r w:rsidRPr="00C10B5A">
                    <w:t>189</w:t>
                  </w:r>
                </w:p>
              </w:tc>
              <w:tc>
                <w:tcPr>
                  <w:tcW w:w="754" w:type="pct"/>
                  <w:vAlign w:val="bottom"/>
                </w:tcPr>
                <w:p w14:paraId="1B886647" w14:textId="77777777" w:rsidR="00DA3852" w:rsidRPr="00C10B5A" w:rsidRDefault="00DA3852" w:rsidP="00C03F9E">
                  <w:pPr>
                    <w:pStyle w:val="TableBodyText"/>
                    <w:ind w:right="0"/>
                  </w:pPr>
                  <w:r w:rsidRPr="00C10B5A">
                    <w:t>3</w:t>
                  </w:r>
                </w:p>
              </w:tc>
            </w:tr>
            <w:tr w:rsidR="00DA3852" w14:paraId="396379D2" w14:textId="77777777" w:rsidTr="00C03F9E">
              <w:tc>
                <w:tcPr>
                  <w:tcW w:w="1062" w:type="pct"/>
                  <w:shd w:val="clear" w:color="auto" w:fill="auto"/>
                </w:tcPr>
                <w:p w14:paraId="54B99B8C" w14:textId="77777777" w:rsidR="00DA3852" w:rsidRDefault="00DA3852" w:rsidP="00C03F9E">
                  <w:pPr>
                    <w:pStyle w:val="TableBodyText"/>
                    <w:jc w:val="left"/>
                  </w:pPr>
                  <w:r>
                    <w:t>Otway</w:t>
                  </w:r>
                </w:p>
              </w:tc>
              <w:tc>
                <w:tcPr>
                  <w:tcW w:w="1346" w:type="pct"/>
                  <w:shd w:val="clear" w:color="auto" w:fill="auto"/>
                </w:tcPr>
                <w:p w14:paraId="6F913694" w14:textId="77777777" w:rsidR="00DA3852" w:rsidRDefault="00DA3852" w:rsidP="00C03F9E">
                  <w:pPr>
                    <w:pStyle w:val="TableBodyText"/>
                    <w:jc w:val="left"/>
                  </w:pPr>
                  <w:r>
                    <w:t>Otway Gas Project</w:t>
                  </w:r>
                </w:p>
              </w:tc>
              <w:tc>
                <w:tcPr>
                  <w:tcW w:w="1002" w:type="pct"/>
                  <w:shd w:val="clear" w:color="auto" w:fill="auto"/>
                </w:tcPr>
                <w:p w14:paraId="30E7BB1C" w14:textId="77777777" w:rsidR="00DA3852" w:rsidRDefault="00DA3852" w:rsidP="00C03F9E">
                  <w:pPr>
                    <w:pStyle w:val="TableBodyText"/>
                    <w:jc w:val="left"/>
                  </w:pPr>
                  <w:r>
                    <w:t>Conventional</w:t>
                  </w:r>
                </w:p>
              </w:tc>
              <w:tc>
                <w:tcPr>
                  <w:tcW w:w="835" w:type="pct"/>
                  <w:shd w:val="clear" w:color="auto" w:fill="auto"/>
                  <w:vAlign w:val="bottom"/>
                </w:tcPr>
                <w:p w14:paraId="4501F7DD" w14:textId="77777777" w:rsidR="00DA3852" w:rsidRPr="00C10B5A" w:rsidRDefault="00DA3852" w:rsidP="00C03F9E">
                  <w:pPr>
                    <w:pStyle w:val="TableBodyText"/>
                  </w:pPr>
                  <w:r w:rsidRPr="00C10B5A">
                    <w:t>453</w:t>
                  </w:r>
                </w:p>
              </w:tc>
              <w:tc>
                <w:tcPr>
                  <w:tcW w:w="754" w:type="pct"/>
                  <w:vAlign w:val="bottom"/>
                </w:tcPr>
                <w:p w14:paraId="778EB931" w14:textId="77777777" w:rsidR="00DA3852" w:rsidRPr="00C10B5A" w:rsidRDefault="00DA3852" w:rsidP="00C03F9E">
                  <w:pPr>
                    <w:pStyle w:val="TableBodyText"/>
                    <w:ind w:right="0"/>
                  </w:pPr>
                  <w:r w:rsidRPr="00C10B5A">
                    <w:t>2</w:t>
                  </w:r>
                </w:p>
              </w:tc>
            </w:tr>
            <w:tr w:rsidR="00DA3852" w14:paraId="6A47B8B5" w14:textId="77777777" w:rsidTr="00C03F9E">
              <w:tc>
                <w:tcPr>
                  <w:tcW w:w="1062" w:type="pct"/>
                  <w:shd w:val="clear" w:color="auto" w:fill="auto"/>
                </w:tcPr>
                <w:p w14:paraId="38455238" w14:textId="77777777" w:rsidR="00DA3852" w:rsidRDefault="00DA3852" w:rsidP="00C03F9E">
                  <w:pPr>
                    <w:pStyle w:val="TableBodyText"/>
                    <w:jc w:val="left"/>
                  </w:pPr>
                  <w:r>
                    <w:t>Otway</w:t>
                  </w:r>
                </w:p>
              </w:tc>
              <w:tc>
                <w:tcPr>
                  <w:tcW w:w="1346" w:type="pct"/>
                  <w:shd w:val="clear" w:color="auto" w:fill="auto"/>
                </w:tcPr>
                <w:p w14:paraId="566FFB85" w14:textId="77777777" w:rsidR="00DA3852" w:rsidRDefault="00DA3852" w:rsidP="00C03F9E">
                  <w:pPr>
                    <w:pStyle w:val="TableBodyText"/>
                    <w:jc w:val="left"/>
                  </w:pPr>
                  <w:r>
                    <w:t>Minerva</w:t>
                  </w:r>
                </w:p>
              </w:tc>
              <w:tc>
                <w:tcPr>
                  <w:tcW w:w="1002" w:type="pct"/>
                  <w:shd w:val="clear" w:color="auto" w:fill="auto"/>
                </w:tcPr>
                <w:p w14:paraId="2110FA9B" w14:textId="77777777" w:rsidR="00DA3852" w:rsidRDefault="00DA3852" w:rsidP="00C03F9E">
                  <w:pPr>
                    <w:pStyle w:val="TableBodyText"/>
                    <w:jc w:val="left"/>
                  </w:pPr>
                  <w:r>
                    <w:t>Conventional</w:t>
                  </w:r>
                </w:p>
              </w:tc>
              <w:tc>
                <w:tcPr>
                  <w:tcW w:w="835" w:type="pct"/>
                  <w:shd w:val="clear" w:color="auto" w:fill="auto"/>
                  <w:vAlign w:val="bottom"/>
                </w:tcPr>
                <w:p w14:paraId="236AC542" w14:textId="77777777" w:rsidR="00DA3852" w:rsidRPr="00C10B5A" w:rsidRDefault="00DA3852" w:rsidP="00C03F9E">
                  <w:pPr>
                    <w:pStyle w:val="TableBodyText"/>
                  </w:pPr>
                  <w:r w:rsidRPr="00C10B5A">
                    <w:t>76</w:t>
                  </w:r>
                </w:p>
              </w:tc>
              <w:tc>
                <w:tcPr>
                  <w:tcW w:w="754" w:type="pct"/>
                  <w:vAlign w:val="bottom"/>
                </w:tcPr>
                <w:p w14:paraId="521E2A40" w14:textId="77777777" w:rsidR="00DA3852" w:rsidRPr="00C10B5A" w:rsidRDefault="00DA3852" w:rsidP="00C03F9E">
                  <w:pPr>
                    <w:pStyle w:val="TableBodyText"/>
                    <w:ind w:right="0"/>
                  </w:pPr>
                  <w:r w:rsidRPr="00C10B5A">
                    <w:t>0</w:t>
                  </w:r>
                </w:p>
              </w:tc>
            </w:tr>
            <w:tr w:rsidR="00DA3852" w14:paraId="3C5D8114" w14:textId="77777777" w:rsidTr="00C03F9E">
              <w:tc>
                <w:tcPr>
                  <w:tcW w:w="1062" w:type="pct"/>
                  <w:shd w:val="clear" w:color="auto" w:fill="auto"/>
                </w:tcPr>
                <w:p w14:paraId="5C85E154" w14:textId="77777777" w:rsidR="00DA3852" w:rsidRDefault="00DA3852" w:rsidP="00C03F9E">
                  <w:pPr>
                    <w:pStyle w:val="TableBodyText"/>
                    <w:jc w:val="left"/>
                  </w:pPr>
                  <w:r>
                    <w:t>Otway</w:t>
                  </w:r>
                </w:p>
              </w:tc>
              <w:tc>
                <w:tcPr>
                  <w:tcW w:w="1346" w:type="pct"/>
                  <w:shd w:val="clear" w:color="auto" w:fill="auto"/>
                </w:tcPr>
                <w:p w14:paraId="17222ABC" w14:textId="77777777" w:rsidR="00DA3852" w:rsidRDefault="00DA3852" w:rsidP="00C03F9E">
                  <w:pPr>
                    <w:pStyle w:val="TableBodyText"/>
                    <w:jc w:val="left"/>
                  </w:pPr>
                  <w:r>
                    <w:t>Halladale/</w:t>
                  </w:r>
                  <w:proofErr w:type="spellStart"/>
                  <w:r>
                    <w:t>Blackwatch</w:t>
                  </w:r>
                  <w:proofErr w:type="spellEnd"/>
                </w:p>
              </w:tc>
              <w:tc>
                <w:tcPr>
                  <w:tcW w:w="1002" w:type="pct"/>
                  <w:shd w:val="clear" w:color="auto" w:fill="auto"/>
                </w:tcPr>
                <w:p w14:paraId="14CE3243" w14:textId="77777777" w:rsidR="00DA3852" w:rsidRDefault="00DA3852" w:rsidP="00C03F9E">
                  <w:pPr>
                    <w:pStyle w:val="TableBodyText"/>
                    <w:jc w:val="left"/>
                  </w:pPr>
                  <w:r>
                    <w:t>Conventional</w:t>
                  </w:r>
                </w:p>
              </w:tc>
              <w:tc>
                <w:tcPr>
                  <w:tcW w:w="835" w:type="pct"/>
                  <w:shd w:val="clear" w:color="auto" w:fill="auto"/>
                  <w:vAlign w:val="bottom"/>
                </w:tcPr>
                <w:p w14:paraId="456ADE26" w14:textId="77777777" w:rsidR="00DA3852" w:rsidRPr="00C10B5A" w:rsidRDefault="00DA3852" w:rsidP="00C03F9E">
                  <w:pPr>
                    <w:pStyle w:val="TableBodyText"/>
                  </w:pPr>
                  <w:r w:rsidRPr="00C10B5A">
                    <w:t>0</w:t>
                  </w:r>
                </w:p>
              </w:tc>
              <w:tc>
                <w:tcPr>
                  <w:tcW w:w="754" w:type="pct"/>
                  <w:vAlign w:val="bottom"/>
                </w:tcPr>
                <w:p w14:paraId="2FD93F48" w14:textId="77777777" w:rsidR="00DA3852" w:rsidRPr="00C10B5A" w:rsidRDefault="00DA3852" w:rsidP="00C03F9E">
                  <w:pPr>
                    <w:pStyle w:val="TableBodyText"/>
                    <w:ind w:right="0"/>
                  </w:pPr>
                  <w:r w:rsidRPr="00C10B5A">
                    <w:t>1</w:t>
                  </w:r>
                </w:p>
              </w:tc>
            </w:tr>
            <w:tr w:rsidR="00DA3852" w14:paraId="57FE84D6" w14:textId="77777777" w:rsidTr="00C03F9E">
              <w:tc>
                <w:tcPr>
                  <w:tcW w:w="1062" w:type="pct"/>
                  <w:shd w:val="clear" w:color="auto" w:fill="auto"/>
                </w:tcPr>
                <w:p w14:paraId="6A2DA086" w14:textId="77777777" w:rsidR="00DA3852" w:rsidRDefault="00DA3852" w:rsidP="00C03F9E">
                  <w:pPr>
                    <w:pStyle w:val="TableBodyText"/>
                    <w:jc w:val="left"/>
                  </w:pPr>
                  <w:r>
                    <w:t>Otway</w:t>
                  </w:r>
                </w:p>
              </w:tc>
              <w:tc>
                <w:tcPr>
                  <w:tcW w:w="1346" w:type="pct"/>
                  <w:shd w:val="clear" w:color="auto" w:fill="auto"/>
                </w:tcPr>
                <w:p w14:paraId="737420B9" w14:textId="77777777" w:rsidR="00DA3852" w:rsidRDefault="00DA3852" w:rsidP="00C03F9E">
                  <w:pPr>
                    <w:pStyle w:val="TableBodyText"/>
                    <w:jc w:val="left"/>
                  </w:pPr>
                  <w:r>
                    <w:t>New CSG</w:t>
                  </w:r>
                </w:p>
              </w:tc>
              <w:tc>
                <w:tcPr>
                  <w:tcW w:w="1002" w:type="pct"/>
                  <w:shd w:val="clear" w:color="auto" w:fill="auto"/>
                </w:tcPr>
                <w:p w14:paraId="49185690" w14:textId="77777777" w:rsidR="00DA3852" w:rsidRDefault="00DA3852" w:rsidP="00C03F9E">
                  <w:pPr>
                    <w:pStyle w:val="TableBodyText"/>
                    <w:jc w:val="left"/>
                  </w:pPr>
                  <w:r>
                    <w:t>CSG</w:t>
                  </w:r>
                </w:p>
              </w:tc>
              <w:tc>
                <w:tcPr>
                  <w:tcW w:w="835" w:type="pct"/>
                  <w:shd w:val="clear" w:color="auto" w:fill="auto"/>
                  <w:vAlign w:val="bottom"/>
                </w:tcPr>
                <w:p w14:paraId="45BDA7CE" w14:textId="77777777" w:rsidR="00DA3852" w:rsidRPr="00C10B5A" w:rsidRDefault="00DA3852" w:rsidP="00C03F9E">
                  <w:pPr>
                    <w:pStyle w:val="TableBodyText"/>
                  </w:pPr>
                  <w:r w:rsidRPr="00C10B5A">
                    <w:t>1</w:t>
                  </w:r>
                </w:p>
              </w:tc>
              <w:tc>
                <w:tcPr>
                  <w:tcW w:w="754" w:type="pct"/>
                  <w:vAlign w:val="bottom"/>
                </w:tcPr>
                <w:p w14:paraId="17DB6D58" w14:textId="77777777" w:rsidR="00DA3852" w:rsidRPr="00C10B5A" w:rsidRDefault="00DA3852" w:rsidP="00C03F9E">
                  <w:pPr>
                    <w:pStyle w:val="TableBodyText"/>
                    <w:ind w:right="0"/>
                  </w:pPr>
                  <w:r w:rsidRPr="00C10B5A">
                    <w:t>0</w:t>
                  </w:r>
                </w:p>
              </w:tc>
            </w:tr>
            <w:tr w:rsidR="00DA3852" w14:paraId="6117E0AD" w14:textId="77777777" w:rsidTr="00C03F9E">
              <w:tc>
                <w:tcPr>
                  <w:tcW w:w="1062" w:type="pct"/>
                  <w:shd w:val="clear" w:color="auto" w:fill="auto"/>
                </w:tcPr>
                <w:p w14:paraId="5A3AE49A" w14:textId="57D94221" w:rsidR="00DA3852" w:rsidRDefault="00DA3852" w:rsidP="00C03F9E">
                  <w:pPr>
                    <w:pStyle w:val="TableBodyText"/>
                    <w:jc w:val="left"/>
                  </w:pPr>
                  <w:r>
                    <w:t>Surat–Bowen</w:t>
                  </w:r>
                </w:p>
              </w:tc>
              <w:tc>
                <w:tcPr>
                  <w:tcW w:w="1346" w:type="pct"/>
                  <w:shd w:val="clear" w:color="auto" w:fill="auto"/>
                </w:tcPr>
                <w:p w14:paraId="2060C023" w14:textId="77777777" w:rsidR="00DA3852" w:rsidRDefault="00DA3852" w:rsidP="00C03F9E">
                  <w:pPr>
                    <w:pStyle w:val="TableBodyText"/>
                    <w:jc w:val="left"/>
                  </w:pPr>
                  <w:r>
                    <w:t>Conventional</w:t>
                  </w:r>
                </w:p>
              </w:tc>
              <w:tc>
                <w:tcPr>
                  <w:tcW w:w="1002" w:type="pct"/>
                  <w:shd w:val="clear" w:color="auto" w:fill="auto"/>
                </w:tcPr>
                <w:p w14:paraId="3AB7D08A" w14:textId="77777777" w:rsidR="00DA3852" w:rsidRDefault="00DA3852" w:rsidP="00C03F9E">
                  <w:pPr>
                    <w:pStyle w:val="TableBodyText"/>
                    <w:jc w:val="left"/>
                  </w:pPr>
                  <w:r>
                    <w:t>Conventional</w:t>
                  </w:r>
                </w:p>
              </w:tc>
              <w:tc>
                <w:tcPr>
                  <w:tcW w:w="835" w:type="pct"/>
                  <w:shd w:val="clear" w:color="auto" w:fill="auto"/>
                  <w:vAlign w:val="bottom"/>
                </w:tcPr>
                <w:p w14:paraId="38C7FF19" w14:textId="77777777" w:rsidR="00DA3852" w:rsidRPr="00C10B5A" w:rsidRDefault="00DA3852" w:rsidP="00C03F9E">
                  <w:pPr>
                    <w:pStyle w:val="TableBodyText"/>
                  </w:pPr>
                  <w:r w:rsidRPr="00691096">
                    <w:t>97</w:t>
                  </w:r>
                </w:p>
              </w:tc>
              <w:tc>
                <w:tcPr>
                  <w:tcW w:w="754" w:type="pct"/>
                  <w:vAlign w:val="bottom"/>
                </w:tcPr>
                <w:p w14:paraId="6B922810" w14:textId="77777777" w:rsidR="00DA3852" w:rsidRPr="00C10B5A" w:rsidRDefault="00DA3852" w:rsidP="00C03F9E">
                  <w:pPr>
                    <w:pStyle w:val="TableBodyText"/>
                    <w:ind w:right="0"/>
                  </w:pPr>
                  <w:r w:rsidRPr="00354C3B">
                    <w:t>6</w:t>
                  </w:r>
                </w:p>
              </w:tc>
            </w:tr>
            <w:tr w:rsidR="00DA3852" w14:paraId="24992E0D" w14:textId="77777777" w:rsidTr="00C03F9E">
              <w:tc>
                <w:tcPr>
                  <w:tcW w:w="1062" w:type="pct"/>
                  <w:shd w:val="clear" w:color="auto" w:fill="auto"/>
                  <w:vAlign w:val="center"/>
                </w:tcPr>
                <w:p w14:paraId="6C133838" w14:textId="7B83416B" w:rsidR="00DA3852" w:rsidRDefault="00DA3852" w:rsidP="00C03F9E">
                  <w:pPr>
                    <w:pStyle w:val="TableBodyText"/>
                    <w:jc w:val="left"/>
                  </w:pPr>
                  <w:r>
                    <w:t>Surat–Bowen</w:t>
                  </w:r>
                </w:p>
              </w:tc>
              <w:tc>
                <w:tcPr>
                  <w:tcW w:w="1346" w:type="pct"/>
                  <w:shd w:val="clear" w:color="auto" w:fill="auto"/>
                </w:tcPr>
                <w:p w14:paraId="3860A159" w14:textId="77777777" w:rsidR="00DA3852" w:rsidRDefault="00DA3852" w:rsidP="00C03F9E">
                  <w:pPr>
                    <w:pStyle w:val="TableBodyText"/>
                    <w:spacing w:after="0"/>
                    <w:jc w:val="left"/>
                  </w:pPr>
                  <w:r>
                    <w:t>Moranbah</w:t>
                  </w:r>
                  <w:r>
                    <w:rPr>
                      <w:rStyle w:val="NoteLabel"/>
                    </w:rPr>
                    <w:t>b</w:t>
                  </w:r>
                </w:p>
              </w:tc>
              <w:tc>
                <w:tcPr>
                  <w:tcW w:w="1002" w:type="pct"/>
                  <w:shd w:val="clear" w:color="auto" w:fill="auto"/>
                  <w:vAlign w:val="center"/>
                </w:tcPr>
                <w:p w14:paraId="6E1AA779" w14:textId="77777777" w:rsidR="00DA3852" w:rsidRDefault="00DA3852" w:rsidP="00C03F9E">
                  <w:pPr>
                    <w:pStyle w:val="TableBodyText"/>
                    <w:jc w:val="left"/>
                  </w:pPr>
                  <w:r>
                    <w:t>CSG</w:t>
                  </w:r>
                </w:p>
              </w:tc>
              <w:tc>
                <w:tcPr>
                  <w:tcW w:w="835" w:type="pct"/>
                  <w:shd w:val="clear" w:color="auto" w:fill="auto"/>
                  <w:vAlign w:val="bottom"/>
                </w:tcPr>
                <w:p w14:paraId="0F97CC7D" w14:textId="77777777" w:rsidR="00DA3852" w:rsidRPr="00C10B5A" w:rsidRDefault="00DA3852" w:rsidP="00C03F9E">
                  <w:pPr>
                    <w:pStyle w:val="TableBodyText"/>
                  </w:pPr>
                  <w:r w:rsidRPr="00691096">
                    <w:t>847</w:t>
                  </w:r>
                </w:p>
              </w:tc>
              <w:tc>
                <w:tcPr>
                  <w:tcW w:w="754" w:type="pct"/>
                  <w:vAlign w:val="bottom"/>
                </w:tcPr>
                <w:p w14:paraId="4D8C90BB" w14:textId="77777777" w:rsidR="00DA3852" w:rsidRPr="00C10B5A" w:rsidRDefault="00DA3852" w:rsidP="00C03F9E">
                  <w:pPr>
                    <w:pStyle w:val="TableBodyText"/>
                    <w:ind w:right="0"/>
                  </w:pPr>
                  <w:r w:rsidRPr="00354C3B">
                    <w:t>14</w:t>
                  </w:r>
                </w:p>
              </w:tc>
            </w:tr>
            <w:tr w:rsidR="00DA3852" w14:paraId="409A4F1B" w14:textId="77777777" w:rsidTr="00C03F9E">
              <w:tc>
                <w:tcPr>
                  <w:tcW w:w="1062" w:type="pct"/>
                  <w:shd w:val="clear" w:color="auto" w:fill="auto"/>
                </w:tcPr>
                <w:p w14:paraId="23887394" w14:textId="6C762D47" w:rsidR="00DA3852" w:rsidRDefault="00DA3852" w:rsidP="00C03F9E">
                  <w:pPr>
                    <w:pStyle w:val="TableBodyText"/>
                    <w:jc w:val="left"/>
                  </w:pPr>
                  <w:r>
                    <w:t>Surat–Bowen</w:t>
                  </w:r>
                </w:p>
              </w:tc>
              <w:tc>
                <w:tcPr>
                  <w:tcW w:w="1346" w:type="pct"/>
                  <w:shd w:val="clear" w:color="auto" w:fill="auto"/>
                </w:tcPr>
                <w:p w14:paraId="44C6B9D9" w14:textId="77777777" w:rsidR="00DA3852" w:rsidRDefault="00DA3852" w:rsidP="00C03F9E">
                  <w:pPr>
                    <w:pStyle w:val="TableBodyText"/>
                    <w:jc w:val="left"/>
                  </w:pPr>
                  <w:r>
                    <w:t>Fairview/Spring Gully</w:t>
                  </w:r>
                </w:p>
              </w:tc>
              <w:tc>
                <w:tcPr>
                  <w:tcW w:w="1002" w:type="pct"/>
                  <w:shd w:val="clear" w:color="auto" w:fill="auto"/>
                </w:tcPr>
                <w:p w14:paraId="16D4A5CE" w14:textId="77777777" w:rsidR="00DA3852" w:rsidRDefault="00DA3852" w:rsidP="00C03F9E">
                  <w:pPr>
                    <w:pStyle w:val="TableBodyText"/>
                    <w:jc w:val="left"/>
                  </w:pPr>
                  <w:r>
                    <w:t>CSG</w:t>
                  </w:r>
                </w:p>
              </w:tc>
              <w:tc>
                <w:tcPr>
                  <w:tcW w:w="835" w:type="pct"/>
                  <w:shd w:val="clear" w:color="auto" w:fill="auto"/>
                  <w:vAlign w:val="bottom"/>
                </w:tcPr>
                <w:p w14:paraId="76E99FDB" w14:textId="77777777" w:rsidR="00DA3852" w:rsidRPr="00C10B5A" w:rsidRDefault="00DA3852" w:rsidP="00C03F9E">
                  <w:pPr>
                    <w:pStyle w:val="TableBodyText"/>
                  </w:pPr>
                  <w:r w:rsidRPr="00691096">
                    <w:t>1</w:t>
                  </w:r>
                  <w:r>
                    <w:t xml:space="preserve"> </w:t>
                  </w:r>
                  <w:r w:rsidRPr="00691096">
                    <w:t>501</w:t>
                  </w:r>
                </w:p>
              </w:tc>
              <w:tc>
                <w:tcPr>
                  <w:tcW w:w="754" w:type="pct"/>
                  <w:vAlign w:val="bottom"/>
                </w:tcPr>
                <w:p w14:paraId="7BA69475" w14:textId="77777777" w:rsidR="00DA3852" w:rsidRPr="00C10B5A" w:rsidRDefault="00DA3852" w:rsidP="00C03F9E">
                  <w:pPr>
                    <w:pStyle w:val="TableBodyText"/>
                    <w:ind w:right="0"/>
                  </w:pPr>
                  <w:r w:rsidRPr="00C10B5A">
                    <w:t>0</w:t>
                  </w:r>
                </w:p>
              </w:tc>
            </w:tr>
            <w:tr w:rsidR="00DA3852" w14:paraId="1A3EDDC6" w14:textId="77777777" w:rsidTr="00C03F9E">
              <w:tc>
                <w:tcPr>
                  <w:tcW w:w="1062" w:type="pct"/>
                  <w:shd w:val="clear" w:color="auto" w:fill="auto"/>
                </w:tcPr>
                <w:p w14:paraId="7AD9895C" w14:textId="4ADB64FA" w:rsidR="00DA3852" w:rsidRDefault="00DA3852" w:rsidP="00C03F9E">
                  <w:pPr>
                    <w:pStyle w:val="TableBodyText"/>
                    <w:jc w:val="left"/>
                  </w:pPr>
                  <w:r>
                    <w:t>Surat–Bowen</w:t>
                  </w:r>
                </w:p>
              </w:tc>
              <w:tc>
                <w:tcPr>
                  <w:tcW w:w="1346" w:type="pct"/>
                  <w:shd w:val="clear" w:color="auto" w:fill="auto"/>
                </w:tcPr>
                <w:p w14:paraId="0677845D" w14:textId="77777777" w:rsidR="00DA3852" w:rsidRDefault="00DA3852" w:rsidP="00C03F9E">
                  <w:pPr>
                    <w:pStyle w:val="TableBodyText"/>
                    <w:jc w:val="left"/>
                  </w:pPr>
                  <w:r>
                    <w:t>Walloons East</w:t>
                  </w:r>
                </w:p>
              </w:tc>
              <w:tc>
                <w:tcPr>
                  <w:tcW w:w="1002" w:type="pct"/>
                  <w:shd w:val="clear" w:color="auto" w:fill="auto"/>
                </w:tcPr>
                <w:p w14:paraId="321D9384" w14:textId="77777777" w:rsidR="00DA3852" w:rsidRDefault="00DA3852" w:rsidP="00C03F9E">
                  <w:pPr>
                    <w:pStyle w:val="TableBodyText"/>
                    <w:jc w:val="left"/>
                  </w:pPr>
                  <w:r>
                    <w:t>CSG</w:t>
                  </w:r>
                </w:p>
              </w:tc>
              <w:tc>
                <w:tcPr>
                  <w:tcW w:w="835" w:type="pct"/>
                  <w:shd w:val="clear" w:color="auto" w:fill="auto"/>
                  <w:vAlign w:val="bottom"/>
                </w:tcPr>
                <w:p w14:paraId="33B0FD7B" w14:textId="77777777" w:rsidR="00DA3852" w:rsidRPr="00C10B5A" w:rsidRDefault="00DA3852" w:rsidP="00C03F9E">
                  <w:pPr>
                    <w:pStyle w:val="TableBodyText"/>
                  </w:pPr>
                  <w:r w:rsidRPr="00691096">
                    <w:t>2</w:t>
                  </w:r>
                  <w:r>
                    <w:t xml:space="preserve"> </w:t>
                  </w:r>
                  <w:r w:rsidRPr="00691096">
                    <w:t>665</w:t>
                  </w:r>
                </w:p>
              </w:tc>
              <w:tc>
                <w:tcPr>
                  <w:tcW w:w="754" w:type="pct"/>
                  <w:vAlign w:val="bottom"/>
                </w:tcPr>
                <w:p w14:paraId="27F918F3" w14:textId="77777777" w:rsidR="00DA3852" w:rsidRPr="00C10B5A" w:rsidRDefault="00DA3852" w:rsidP="00C03F9E">
                  <w:pPr>
                    <w:pStyle w:val="TableBodyText"/>
                    <w:ind w:right="0"/>
                  </w:pPr>
                  <w:r w:rsidRPr="00C10B5A">
                    <w:t>0</w:t>
                  </w:r>
                </w:p>
              </w:tc>
            </w:tr>
            <w:tr w:rsidR="00DA3852" w14:paraId="149408A0" w14:textId="77777777" w:rsidTr="00C03F9E">
              <w:tc>
                <w:tcPr>
                  <w:tcW w:w="1062" w:type="pct"/>
                  <w:shd w:val="clear" w:color="auto" w:fill="auto"/>
                </w:tcPr>
                <w:p w14:paraId="78CEB0F2" w14:textId="30EFF9F9" w:rsidR="00DA3852" w:rsidRDefault="00DA3852" w:rsidP="00C03F9E">
                  <w:pPr>
                    <w:pStyle w:val="TableBodyText"/>
                    <w:jc w:val="left"/>
                  </w:pPr>
                  <w:r>
                    <w:t>Surat–Bowen</w:t>
                  </w:r>
                </w:p>
              </w:tc>
              <w:tc>
                <w:tcPr>
                  <w:tcW w:w="1346" w:type="pct"/>
                  <w:shd w:val="clear" w:color="auto" w:fill="auto"/>
                </w:tcPr>
                <w:p w14:paraId="2C6720B6" w14:textId="77777777" w:rsidR="00DA3852" w:rsidRDefault="00DA3852" w:rsidP="00C03F9E">
                  <w:pPr>
                    <w:pStyle w:val="TableBodyText"/>
                    <w:jc w:val="left"/>
                  </w:pPr>
                  <w:r>
                    <w:t>Walloons Mid</w:t>
                  </w:r>
                </w:p>
              </w:tc>
              <w:tc>
                <w:tcPr>
                  <w:tcW w:w="1002" w:type="pct"/>
                  <w:shd w:val="clear" w:color="auto" w:fill="auto"/>
                </w:tcPr>
                <w:p w14:paraId="0B5EB612" w14:textId="77777777" w:rsidR="00DA3852" w:rsidRDefault="00DA3852" w:rsidP="00C03F9E">
                  <w:pPr>
                    <w:pStyle w:val="TableBodyText"/>
                    <w:jc w:val="left"/>
                  </w:pPr>
                  <w:r>
                    <w:t>CSG</w:t>
                  </w:r>
                </w:p>
              </w:tc>
              <w:tc>
                <w:tcPr>
                  <w:tcW w:w="835" w:type="pct"/>
                  <w:shd w:val="clear" w:color="auto" w:fill="auto"/>
                  <w:vAlign w:val="bottom"/>
                </w:tcPr>
                <w:p w14:paraId="4B7B7CBF" w14:textId="77777777" w:rsidR="00DA3852" w:rsidRPr="00C10B5A" w:rsidRDefault="00DA3852" w:rsidP="00C03F9E">
                  <w:pPr>
                    <w:pStyle w:val="TableBodyText"/>
                  </w:pPr>
                  <w:r w:rsidRPr="00691096">
                    <w:t>367</w:t>
                  </w:r>
                </w:p>
              </w:tc>
              <w:tc>
                <w:tcPr>
                  <w:tcW w:w="754" w:type="pct"/>
                  <w:vAlign w:val="bottom"/>
                </w:tcPr>
                <w:p w14:paraId="5B6D8BAB" w14:textId="77777777" w:rsidR="00DA3852" w:rsidRPr="00C10B5A" w:rsidRDefault="00DA3852" w:rsidP="00C03F9E">
                  <w:pPr>
                    <w:pStyle w:val="TableBodyText"/>
                    <w:ind w:right="0"/>
                  </w:pPr>
                  <w:r w:rsidRPr="00354C3B">
                    <w:t>72</w:t>
                  </w:r>
                </w:p>
              </w:tc>
            </w:tr>
            <w:tr w:rsidR="00DA3852" w14:paraId="444D188D" w14:textId="77777777" w:rsidTr="00C03F9E">
              <w:tc>
                <w:tcPr>
                  <w:tcW w:w="1062" w:type="pct"/>
                  <w:shd w:val="clear" w:color="auto" w:fill="auto"/>
                </w:tcPr>
                <w:p w14:paraId="0E1B8C03" w14:textId="5255FEB3" w:rsidR="00DA3852" w:rsidRDefault="00DA3852" w:rsidP="00C03F9E">
                  <w:pPr>
                    <w:pStyle w:val="TableBodyText"/>
                    <w:jc w:val="left"/>
                  </w:pPr>
                  <w:r>
                    <w:t>Surat–Bowen</w:t>
                  </w:r>
                </w:p>
              </w:tc>
              <w:tc>
                <w:tcPr>
                  <w:tcW w:w="1346" w:type="pct"/>
                  <w:shd w:val="clear" w:color="auto" w:fill="auto"/>
                </w:tcPr>
                <w:p w14:paraId="51D7172C" w14:textId="77777777" w:rsidR="00DA3852" w:rsidRDefault="00DA3852" w:rsidP="00C03F9E">
                  <w:pPr>
                    <w:pStyle w:val="TableBodyText"/>
                    <w:jc w:val="left"/>
                  </w:pPr>
                  <w:r>
                    <w:t>Walloons West</w:t>
                  </w:r>
                </w:p>
              </w:tc>
              <w:tc>
                <w:tcPr>
                  <w:tcW w:w="1002" w:type="pct"/>
                  <w:shd w:val="clear" w:color="auto" w:fill="auto"/>
                </w:tcPr>
                <w:p w14:paraId="43A0C2C8" w14:textId="77777777" w:rsidR="00DA3852" w:rsidRDefault="00DA3852" w:rsidP="00C03F9E">
                  <w:pPr>
                    <w:pStyle w:val="TableBodyText"/>
                    <w:jc w:val="left"/>
                  </w:pPr>
                  <w:r>
                    <w:t>CSG</w:t>
                  </w:r>
                </w:p>
              </w:tc>
              <w:tc>
                <w:tcPr>
                  <w:tcW w:w="835" w:type="pct"/>
                  <w:shd w:val="clear" w:color="auto" w:fill="auto"/>
                  <w:vAlign w:val="bottom"/>
                </w:tcPr>
                <w:p w14:paraId="095D5DA8" w14:textId="77777777" w:rsidR="00DA3852" w:rsidRPr="00C10B5A" w:rsidRDefault="00DA3852" w:rsidP="00C03F9E">
                  <w:pPr>
                    <w:pStyle w:val="TableBodyText"/>
                  </w:pPr>
                  <w:r w:rsidRPr="00691096">
                    <w:t>461</w:t>
                  </w:r>
                </w:p>
              </w:tc>
              <w:tc>
                <w:tcPr>
                  <w:tcW w:w="754" w:type="pct"/>
                  <w:vAlign w:val="bottom"/>
                </w:tcPr>
                <w:p w14:paraId="5DDEB831" w14:textId="77777777" w:rsidR="00DA3852" w:rsidRPr="00C10B5A" w:rsidRDefault="00DA3852" w:rsidP="00C03F9E">
                  <w:pPr>
                    <w:pStyle w:val="TableBodyText"/>
                    <w:ind w:right="0"/>
                  </w:pPr>
                  <w:r w:rsidRPr="00354C3B">
                    <w:t>111</w:t>
                  </w:r>
                </w:p>
              </w:tc>
            </w:tr>
            <w:tr w:rsidR="00DA3852" w14:paraId="3CCA01E4" w14:textId="77777777" w:rsidTr="00C03F9E">
              <w:tc>
                <w:tcPr>
                  <w:tcW w:w="1062" w:type="pct"/>
                  <w:shd w:val="clear" w:color="auto" w:fill="auto"/>
                </w:tcPr>
                <w:p w14:paraId="5CB3B083" w14:textId="1B2A8E30" w:rsidR="00DA3852" w:rsidRDefault="00DA3852" w:rsidP="00C03F9E">
                  <w:pPr>
                    <w:pStyle w:val="TableBodyText"/>
                    <w:jc w:val="left"/>
                  </w:pPr>
                  <w:r>
                    <w:t>Surat–Bowen</w:t>
                  </w:r>
                </w:p>
              </w:tc>
              <w:tc>
                <w:tcPr>
                  <w:tcW w:w="1346" w:type="pct"/>
                  <w:shd w:val="clear" w:color="auto" w:fill="auto"/>
                </w:tcPr>
                <w:p w14:paraId="748782E1" w14:textId="77777777" w:rsidR="00DA3852" w:rsidRDefault="00DA3852" w:rsidP="00C03F9E">
                  <w:pPr>
                    <w:pStyle w:val="TableBodyText"/>
                    <w:jc w:val="left"/>
                  </w:pPr>
                  <w:r>
                    <w:t>Ironbark</w:t>
                  </w:r>
                </w:p>
              </w:tc>
              <w:tc>
                <w:tcPr>
                  <w:tcW w:w="1002" w:type="pct"/>
                  <w:shd w:val="clear" w:color="auto" w:fill="auto"/>
                </w:tcPr>
                <w:p w14:paraId="0DB4E428" w14:textId="77777777" w:rsidR="00DA3852" w:rsidRDefault="00DA3852" w:rsidP="00C03F9E">
                  <w:pPr>
                    <w:pStyle w:val="TableBodyText"/>
                    <w:jc w:val="left"/>
                  </w:pPr>
                  <w:r>
                    <w:t>CSG</w:t>
                  </w:r>
                </w:p>
              </w:tc>
              <w:tc>
                <w:tcPr>
                  <w:tcW w:w="835" w:type="pct"/>
                  <w:shd w:val="clear" w:color="auto" w:fill="auto"/>
                  <w:vAlign w:val="bottom"/>
                </w:tcPr>
                <w:p w14:paraId="6FA19417" w14:textId="77777777" w:rsidR="00DA3852" w:rsidRPr="00C10B5A" w:rsidRDefault="00DA3852" w:rsidP="00C03F9E">
                  <w:pPr>
                    <w:pStyle w:val="TableBodyText"/>
                  </w:pPr>
                  <w:r w:rsidRPr="00691096">
                    <w:t>229</w:t>
                  </w:r>
                </w:p>
              </w:tc>
              <w:tc>
                <w:tcPr>
                  <w:tcW w:w="754" w:type="pct"/>
                  <w:vAlign w:val="bottom"/>
                </w:tcPr>
                <w:p w14:paraId="24BB3416" w14:textId="77777777" w:rsidR="00DA3852" w:rsidRPr="00C10B5A" w:rsidRDefault="00DA3852" w:rsidP="00C03F9E">
                  <w:pPr>
                    <w:pStyle w:val="TableBodyText"/>
                    <w:ind w:right="0"/>
                  </w:pPr>
                  <w:r w:rsidRPr="00354C3B">
                    <w:t>33</w:t>
                  </w:r>
                </w:p>
              </w:tc>
            </w:tr>
            <w:tr w:rsidR="00DA3852" w14:paraId="249C7DAD" w14:textId="77777777" w:rsidTr="00C03F9E">
              <w:tc>
                <w:tcPr>
                  <w:tcW w:w="1062" w:type="pct"/>
                  <w:shd w:val="clear" w:color="auto" w:fill="auto"/>
                </w:tcPr>
                <w:p w14:paraId="2CB74FC3" w14:textId="2FD87ADD" w:rsidR="00DA3852" w:rsidRDefault="00DA3852" w:rsidP="00C03F9E">
                  <w:pPr>
                    <w:pStyle w:val="TableBodyText"/>
                    <w:jc w:val="left"/>
                  </w:pPr>
                  <w:r>
                    <w:t>Surat–Bowen</w:t>
                  </w:r>
                </w:p>
              </w:tc>
              <w:tc>
                <w:tcPr>
                  <w:tcW w:w="1346" w:type="pct"/>
                  <w:shd w:val="clear" w:color="auto" w:fill="auto"/>
                </w:tcPr>
                <w:p w14:paraId="0F7BADB5" w14:textId="77777777" w:rsidR="00DA3852" w:rsidRDefault="00DA3852" w:rsidP="00C03F9E">
                  <w:pPr>
                    <w:pStyle w:val="TableBodyText"/>
                    <w:jc w:val="left"/>
                  </w:pPr>
                  <w:r>
                    <w:t xml:space="preserve">QCLNG </w:t>
                  </w:r>
                </w:p>
              </w:tc>
              <w:tc>
                <w:tcPr>
                  <w:tcW w:w="1002" w:type="pct"/>
                  <w:shd w:val="clear" w:color="auto" w:fill="auto"/>
                </w:tcPr>
                <w:p w14:paraId="16C39F45" w14:textId="77777777" w:rsidR="00DA3852" w:rsidRDefault="00DA3852" w:rsidP="00C03F9E">
                  <w:pPr>
                    <w:pStyle w:val="TableBodyText"/>
                    <w:jc w:val="left"/>
                  </w:pPr>
                  <w:r>
                    <w:t>CSG</w:t>
                  </w:r>
                </w:p>
              </w:tc>
              <w:tc>
                <w:tcPr>
                  <w:tcW w:w="835" w:type="pct"/>
                  <w:shd w:val="clear" w:color="auto" w:fill="auto"/>
                  <w:vAlign w:val="bottom"/>
                </w:tcPr>
                <w:p w14:paraId="69C1DB7A" w14:textId="77777777" w:rsidR="00DA3852" w:rsidRPr="00C10B5A" w:rsidRDefault="00DA3852" w:rsidP="00C03F9E">
                  <w:pPr>
                    <w:pStyle w:val="TableBodyText"/>
                  </w:pPr>
                  <w:r w:rsidRPr="00691096">
                    <w:t>13</w:t>
                  </w:r>
                  <w:r>
                    <w:t xml:space="preserve"> </w:t>
                  </w:r>
                  <w:r w:rsidRPr="00691096">
                    <w:t>293</w:t>
                  </w:r>
                </w:p>
              </w:tc>
              <w:tc>
                <w:tcPr>
                  <w:tcW w:w="754" w:type="pct"/>
                  <w:vAlign w:val="bottom"/>
                </w:tcPr>
                <w:p w14:paraId="4D0DC71D" w14:textId="77777777" w:rsidR="00DA3852" w:rsidRPr="00C10B5A" w:rsidRDefault="00DA3852" w:rsidP="00C03F9E">
                  <w:pPr>
                    <w:pStyle w:val="TableBodyText"/>
                    <w:ind w:right="0"/>
                  </w:pPr>
                  <w:r w:rsidRPr="00354C3B">
                    <w:t>167</w:t>
                  </w:r>
                </w:p>
              </w:tc>
            </w:tr>
            <w:tr w:rsidR="00DA3852" w14:paraId="742C473C" w14:textId="77777777" w:rsidTr="00C03F9E">
              <w:tc>
                <w:tcPr>
                  <w:tcW w:w="1062" w:type="pct"/>
                  <w:shd w:val="clear" w:color="auto" w:fill="auto"/>
                </w:tcPr>
                <w:p w14:paraId="228E1D08" w14:textId="5C637181" w:rsidR="00DA3852" w:rsidRDefault="00DA3852" w:rsidP="00C03F9E">
                  <w:pPr>
                    <w:pStyle w:val="TableBodyText"/>
                    <w:jc w:val="left"/>
                  </w:pPr>
                  <w:r>
                    <w:t>Surat–Bowen</w:t>
                  </w:r>
                </w:p>
              </w:tc>
              <w:tc>
                <w:tcPr>
                  <w:tcW w:w="1346" w:type="pct"/>
                  <w:shd w:val="clear" w:color="auto" w:fill="auto"/>
                </w:tcPr>
                <w:p w14:paraId="40FC84D0" w14:textId="77777777" w:rsidR="00DA3852" w:rsidRDefault="00DA3852" w:rsidP="00C03F9E">
                  <w:pPr>
                    <w:pStyle w:val="TableBodyText"/>
                    <w:jc w:val="left"/>
                  </w:pPr>
                  <w:r>
                    <w:t>APLNG</w:t>
                  </w:r>
                </w:p>
              </w:tc>
              <w:tc>
                <w:tcPr>
                  <w:tcW w:w="1002" w:type="pct"/>
                  <w:shd w:val="clear" w:color="auto" w:fill="auto"/>
                </w:tcPr>
                <w:p w14:paraId="327FEF4A" w14:textId="77777777" w:rsidR="00DA3852" w:rsidRDefault="00DA3852" w:rsidP="00C03F9E">
                  <w:pPr>
                    <w:pStyle w:val="TableBodyText"/>
                    <w:jc w:val="left"/>
                  </w:pPr>
                  <w:r>
                    <w:t>CSG</w:t>
                  </w:r>
                </w:p>
              </w:tc>
              <w:tc>
                <w:tcPr>
                  <w:tcW w:w="835" w:type="pct"/>
                  <w:shd w:val="clear" w:color="auto" w:fill="auto"/>
                  <w:vAlign w:val="bottom"/>
                </w:tcPr>
                <w:p w14:paraId="710BA78C" w14:textId="77777777" w:rsidR="00DA3852" w:rsidRPr="00C10B5A" w:rsidRDefault="00DA3852" w:rsidP="00C03F9E">
                  <w:pPr>
                    <w:pStyle w:val="TableBodyText"/>
                  </w:pPr>
                  <w:r w:rsidRPr="00691096">
                    <w:t>11</w:t>
                  </w:r>
                  <w:r>
                    <w:t xml:space="preserve"> </w:t>
                  </w:r>
                  <w:r w:rsidRPr="00691096">
                    <w:t>189</w:t>
                  </w:r>
                </w:p>
              </w:tc>
              <w:tc>
                <w:tcPr>
                  <w:tcW w:w="754" w:type="pct"/>
                  <w:vAlign w:val="bottom"/>
                </w:tcPr>
                <w:p w14:paraId="67279281" w14:textId="77777777" w:rsidR="00DA3852" w:rsidRPr="00C10B5A" w:rsidRDefault="00DA3852" w:rsidP="00C03F9E">
                  <w:pPr>
                    <w:pStyle w:val="TableBodyText"/>
                    <w:ind w:right="0"/>
                  </w:pPr>
                  <w:r w:rsidRPr="00354C3B">
                    <w:t>318</w:t>
                  </w:r>
                </w:p>
              </w:tc>
            </w:tr>
            <w:tr w:rsidR="00DA3852" w14:paraId="1D746FCA" w14:textId="77777777" w:rsidTr="00C03F9E">
              <w:tc>
                <w:tcPr>
                  <w:tcW w:w="1062" w:type="pct"/>
                  <w:shd w:val="clear" w:color="auto" w:fill="auto"/>
                </w:tcPr>
                <w:p w14:paraId="61B5C9F9" w14:textId="3243E3BF" w:rsidR="00DA3852" w:rsidRDefault="00DA3852" w:rsidP="00C03F9E">
                  <w:pPr>
                    <w:pStyle w:val="TableBodyText"/>
                    <w:jc w:val="left"/>
                  </w:pPr>
                  <w:r>
                    <w:t>Surat–Bowen</w:t>
                  </w:r>
                </w:p>
              </w:tc>
              <w:tc>
                <w:tcPr>
                  <w:tcW w:w="1346" w:type="pct"/>
                  <w:shd w:val="clear" w:color="auto" w:fill="auto"/>
                </w:tcPr>
                <w:p w14:paraId="161234FE" w14:textId="77777777" w:rsidR="00DA3852" w:rsidRDefault="00DA3852" w:rsidP="00C03F9E">
                  <w:pPr>
                    <w:pStyle w:val="TableBodyText"/>
                    <w:jc w:val="left"/>
                  </w:pPr>
                  <w:r>
                    <w:t>GLNG</w:t>
                  </w:r>
                </w:p>
              </w:tc>
              <w:tc>
                <w:tcPr>
                  <w:tcW w:w="1002" w:type="pct"/>
                  <w:shd w:val="clear" w:color="auto" w:fill="auto"/>
                </w:tcPr>
                <w:p w14:paraId="5387BE74" w14:textId="77777777" w:rsidR="00DA3852" w:rsidRDefault="00DA3852" w:rsidP="00C03F9E">
                  <w:pPr>
                    <w:pStyle w:val="TableBodyText"/>
                    <w:jc w:val="left"/>
                  </w:pPr>
                  <w:r>
                    <w:t>CSG</w:t>
                  </w:r>
                </w:p>
              </w:tc>
              <w:tc>
                <w:tcPr>
                  <w:tcW w:w="835" w:type="pct"/>
                  <w:shd w:val="clear" w:color="auto" w:fill="auto"/>
                  <w:vAlign w:val="bottom"/>
                </w:tcPr>
                <w:p w14:paraId="19A23B3D" w14:textId="77777777" w:rsidR="00DA3852" w:rsidRPr="00C10B5A" w:rsidRDefault="00DA3852" w:rsidP="00C03F9E">
                  <w:pPr>
                    <w:pStyle w:val="TableBodyText"/>
                  </w:pPr>
                  <w:r w:rsidRPr="00691096">
                    <w:t>6</w:t>
                  </w:r>
                  <w:r>
                    <w:t xml:space="preserve"> </w:t>
                  </w:r>
                  <w:r w:rsidRPr="00691096">
                    <w:t>239</w:t>
                  </w:r>
                </w:p>
              </w:tc>
              <w:tc>
                <w:tcPr>
                  <w:tcW w:w="754" w:type="pct"/>
                  <w:vAlign w:val="bottom"/>
                </w:tcPr>
                <w:p w14:paraId="7FC7577E" w14:textId="77777777" w:rsidR="00DA3852" w:rsidRPr="00C10B5A" w:rsidRDefault="00DA3852" w:rsidP="00C03F9E">
                  <w:pPr>
                    <w:pStyle w:val="TableBodyText"/>
                    <w:ind w:right="0"/>
                  </w:pPr>
                  <w:r w:rsidRPr="00354C3B">
                    <w:t>60</w:t>
                  </w:r>
                </w:p>
              </w:tc>
            </w:tr>
            <w:tr w:rsidR="00DA3852" w14:paraId="01C28463" w14:textId="77777777" w:rsidTr="00C03F9E">
              <w:tc>
                <w:tcPr>
                  <w:tcW w:w="1062" w:type="pct"/>
                  <w:shd w:val="clear" w:color="auto" w:fill="auto"/>
                </w:tcPr>
                <w:p w14:paraId="16F16B55" w14:textId="1F8D6418" w:rsidR="00DA3852" w:rsidRDefault="00DA3852" w:rsidP="00C03F9E">
                  <w:pPr>
                    <w:pStyle w:val="TableBodyText"/>
                    <w:jc w:val="left"/>
                  </w:pPr>
                  <w:r>
                    <w:t>Surat–Bowen</w:t>
                  </w:r>
                </w:p>
              </w:tc>
              <w:tc>
                <w:tcPr>
                  <w:tcW w:w="1346" w:type="pct"/>
                  <w:shd w:val="clear" w:color="auto" w:fill="auto"/>
                </w:tcPr>
                <w:p w14:paraId="46AF5247" w14:textId="77777777" w:rsidR="00DA3852" w:rsidRDefault="00DA3852" w:rsidP="00C03F9E">
                  <w:pPr>
                    <w:pStyle w:val="TableBodyText"/>
                    <w:jc w:val="left"/>
                  </w:pPr>
                  <w:r>
                    <w:t>Arrow Energy</w:t>
                  </w:r>
                </w:p>
              </w:tc>
              <w:tc>
                <w:tcPr>
                  <w:tcW w:w="1002" w:type="pct"/>
                  <w:shd w:val="clear" w:color="auto" w:fill="auto"/>
                </w:tcPr>
                <w:p w14:paraId="4EF442B0" w14:textId="77777777" w:rsidR="00DA3852" w:rsidRDefault="00DA3852" w:rsidP="00C03F9E">
                  <w:pPr>
                    <w:pStyle w:val="TableBodyText"/>
                    <w:jc w:val="left"/>
                  </w:pPr>
                  <w:r>
                    <w:t>CSG</w:t>
                  </w:r>
                </w:p>
              </w:tc>
              <w:tc>
                <w:tcPr>
                  <w:tcW w:w="835" w:type="pct"/>
                  <w:shd w:val="clear" w:color="auto" w:fill="auto"/>
                  <w:vAlign w:val="bottom"/>
                </w:tcPr>
                <w:p w14:paraId="0BAF2C10" w14:textId="77777777" w:rsidR="00DA3852" w:rsidRPr="00C10B5A" w:rsidRDefault="00DA3852" w:rsidP="00C03F9E">
                  <w:pPr>
                    <w:pStyle w:val="TableBodyText"/>
                  </w:pPr>
                  <w:r w:rsidRPr="00691096">
                    <w:t>7</w:t>
                  </w:r>
                  <w:r>
                    <w:t xml:space="preserve"> </w:t>
                  </w:r>
                  <w:r w:rsidRPr="00691096">
                    <w:t>832</w:t>
                  </w:r>
                </w:p>
              </w:tc>
              <w:tc>
                <w:tcPr>
                  <w:tcW w:w="754" w:type="pct"/>
                  <w:vAlign w:val="bottom"/>
                </w:tcPr>
                <w:p w14:paraId="5A3A1849" w14:textId="77777777" w:rsidR="00DA3852" w:rsidRPr="00C10B5A" w:rsidRDefault="00DA3852" w:rsidP="00C03F9E">
                  <w:pPr>
                    <w:pStyle w:val="TableBodyText"/>
                    <w:ind w:right="0"/>
                  </w:pPr>
                  <w:r w:rsidRPr="00354C3B">
                    <w:t>537</w:t>
                  </w:r>
                </w:p>
              </w:tc>
            </w:tr>
            <w:tr w:rsidR="00DA3852" w14:paraId="5EAF6DF2" w14:textId="77777777" w:rsidTr="00C03F9E">
              <w:tc>
                <w:tcPr>
                  <w:tcW w:w="1062" w:type="pct"/>
                  <w:shd w:val="clear" w:color="auto" w:fill="auto"/>
                </w:tcPr>
                <w:p w14:paraId="1E5D719B" w14:textId="77777777" w:rsidR="00DA3852" w:rsidRDefault="00DA3852" w:rsidP="00C03F9E">
                  <w:pPr>
                    <w:pStyle w:val="TableBodyText"/>
                    <w:jc w:val="left"/>
                  </w:pPr>
                  <w:r>
                    <w:t>Sydney</w:t>
                  </w:r>
                </w:p>
              </w:tc>
              <w:tc>
                <w:tcPr>
                  <w:tcW w:w="1346" w:type="pct"/>
                  <w:shd w:val="clear" w:color="auto" w:fill="auto"/>
                </w:tcPr>
                <w:p w14:paraId="01DBFE2A" w14:textId="77777777" w:rsidR="00DA3852" w:rsidRDefault="00DA3852" w:rsidP="00C03F9E">
                  <w:pPr>
                    <w:pStyle w:val="TableBodyText"/>
                    <w:jc w:val="left"/>
                  </w:pPr>
                  <w:r>
                    <w:t>Camden</w:t>
                  </w:r>
                </w:p>
              </w:tc>
              <w:tc>
                <w:tcPr>
                  <w:tcW w:w="1002" w:type="pct"/>
                  <w:shd w:val="clear" w:color="auto" w:fill="auto"/>
                </w:tcPr>
                <w:p w14:paraId="6FB233DF" w14:textId="77777777" w:rsidR="00DA3852" w:rsidRDefault="00DA3852" w:rsidP="00C03F9E">
                  <w:pPr>
                    <w:pStyle w:val="TableBodyText"/>
                    <w:jc w:val="left"/>
                  </w:pPr>
                  <w:r>
                    <w:t>CSG</w:t>
                  </w:r>
                </w:p>
              </w:tc>
              <w:tc>
                <w:tcPr>
                  <w:tcW w:w="835" w:type="pct"/>
                  <w:shd w:val="clear" w:color="auto" w:fill="auto"/>
                  <w:vAlign w:val="bottom"/>
                </w:tcPr>
                <w:p w14:paraId="227CEF12" w14:textId="77777777" w:rsidR="00DA3852" w:rsidRPr="00C10B5A" w:rsidRDefault="00DA3852" w:rsidP="00C03F9E">
                  <w:pPr>
                    <w:pStyle w:val="TableBodyText"/>
                  </w:pPr>
                  <w:r w:rsidRPr="00C10B5A">
                    <w:t>43</w:t>
                  </w:r>
                </w:p>
              </w:tc>
              <w:tc>
                <w:tcPr>
                  <w:tcW w:w="754" w:type="pct"/>
                  <w:vAlign w:val="bottom"/>
                </w:tcPr>
                <w:p w14:paraId="2DEC5617" w14:textId="77777777" w:rsidR="00DA3852" w:rsidRPr="00C10B5A" w:rsidRDefault="00DA3852" w:rsidP="00C03F9E">
                  <w:pPr>
                    <w:pStyle w:val="TableBodyText"/>
                    <w:ind w:right="0"/>
                  </w:pPr>
                  <w:r w:rsidRPr="00C10B5A">
                    <w:t>1</w:t>
                  </w:r>
                </w:p>
              </w:tc>
            </w:tr>
            <w:tr w:rsidR="00DA3852" w14:paraId="5BF196CA" w14:textId="77777777" w:rsidTr="00C03F9E">
              <w:tc>
                <w:tcPr>
                  <w:tcW w:w="1062" w:type="pct"/>
                  <w:shd w:val="clear" w:color="auto" w:fill="auto"/>
                </w:tcPr>
                <w:p w14:paraId="0B19C298" w14:textId="77777777" w:rsidR="00DA3852" w:rsidRDefault="00DA3852" w:rsidP="00C03F9E">
                  <w:pPr>
                    <w:pStyle w:val="TableBodyText"/>
                    <w:jc w:val="left"/>
                  </w:pPr>
                  <w:r>
                    <w:t>Sydney</w:t>
                  </w:r>
                </w:p>
              </w:tc>
              <w:tc>
                <w:tcPr>
                  <w:tcW w:w="1346" w:type="pct"/>
                  <w:shd w:val="clear" w:color="auto" w:fill="auto"/>
                </w:tcPr>
                <w:p w14:paraId="764B0759" w14:textId="77777777" w:rsidR="00DA3852" w:rsidRDefault="00DA3852" w:rsidP="00C03F9E">
                  <w:pPr>
                    <w:pStyle w:val="TableBodyText"/>
                    <w:jc w:val="left"/>
                  </w:pPr>
                  <w:r>
                    <w:t>Hunter Area</w:t>
                  </w:r>
                </w:p>
              </w:tc>
              <w:tc>
                <w:tcPr>
                  <w:tcW w:w="1002" w:type="pct"/>
                  <w:shd w:val="clear" w:color="auto" w:fill="auto"/>
                </w:tcPr>
                <w:p w14:paraId="3765E222" w14:textId="77777777" w:rsidR="00DA3852" w:rsidRDefault="00DA3852" w:rsidP="00C03F9E">
                  <w:pPr>
                    <w:pStyle w:val="TableBodyText"/>
                    <w:jc w:val="left"/>
                  </w:pPr>
                  <w:r>
                    <w:t>CSG</w:t>
                  </w:r>
                </w:p>
              </w:tc>
              <w:tc>
                <w:tcPr>
                  <w:tcW w:w="835" w:type="pct"/>
                  <w:shd w:val="clear" w:color="auto" w:fill="auto"/>
                  <w:vAlign w:val="bottom"/>
                </w:tcPr>
                <w:p w14:paraId="5AA1157B" w14:textId="77777777" w:rsidR="00DA3852" w:rsidRPr="00C10B5A" w:rsidRDefault="00DA3852" w:rsidP="00C03F9E">
                  <w:pPr>
                    <w:pStyle w:val="TableBodyText"/>
                  </w:pPr>
                  <w:r w:rsidRPr="00C10B5A">
                    <w:t>42</w:t>
                  </w:r>
                </w:p>
              </w:tc>
              <w:tc>
                <w:tcPr>
                  <w:tcW w:w="754" w:type="pct"/>
                  <w:vAlign w:val="bottom"/>
                </w:tcPr>
                <w:p w14:paraId="70C1F56F" w14:textId="77777777" w:rsidR="00DA3852" w:rsidRPr="00C10B5A" w:rsidRDefault="00DA3852" w:rsidP="00C03F9E">
                  <w:pPr>
                    <w:pStyle w:val="TableBodyText"/>
                    <w:ind w:right="0"/>
                  </w:pPr>
                  <w:r w:rsidRPr="00C10B5A">
                    <w:t>1</w:t>
                  </w:r>
                </w:p>
              </w:tc>
            </w:tr>
            <w:tr w:rsidR="00DA3852" w14:paraId="110B5915" w14:textId="77777777" w:rsidTr="00C03F9E">
              <w:tc>
                <w:tcPr>
                  <w:tcW w:w="1062" w:type="pct"/>
                  <w:tcBorders>
                    <w:bottom w:val="single" w:sz="6" w:space="0" w:color="BFBFBF"/>
                  </w:tcBorders>
                  <w:shd w:val="clear" w:color="auto" w:fill="auto"/>
                </w:tcPr>
                <w:p w14:paraId="5E3299C6" w14:textId="77777777" w:rsidR="00DA3852" w:rsidRDefault="00DA3852" w:rsidP="00C03F9E">
                  <w:pPr>
                    <w:pStyle w:val="TableBodyText"/>
                    <w:jc w:val="left"/>
                  </w:pPr>
                  <w:r>
                    <w:t>Sydney</w:t>
                  </w:r>
                </w:p>
              </w:tc>
              <w:tc>
                <w:tcPr>
                  <w:tcW w:w="1346" w:type="pct"/>
                  <w:tcBorders>
                    <w:bottom w:val="single" w:sz="6" w:space="0" w:color="BFBFBF"/>
                  </w:tcBorders>
                  <w:shd w:val="clear" w:color="auto" w:fill="auto"/>
                </w:tcPr>
                <w:p w14:paraId="56422B54" w14:textId="77777777" w:rsidR="00DA3852" w:rsidRDefault="00DA3852" w:rsidP="00C03F9E">
                  <w:pPr>
                    <w:pStyle w:val="TableBodyText"/>
                    <w:jc w:val="left"/>
                  </w:pPr>
                  <w:r>
                    <w:t>New CSG</w:t>
                  </w:r>
                </w:p>
              </w:tc>
              <w:tc>
                <w:tcPr>
                  <w:tcW w:w="1002" w:type="pct"/>
                  <w:tcBorders>
                    <w:bottom w:val="single" w:sz="6" w:space="0" w:color="BFBFBF"/>
                  </w:tcBorders>
                  <w:shd w:val="clear" w:color="auto" w:fill="auto"/>
                </w:tcPr>
                <w:p w14:paraId="43850CA8" w14:textId="77777777" w:rsidR="00DA3852" w:rsidRDefault="00DA3852" w:rsidP="00C03F9E">
                  <w:pPr>
                    <w:pStyle w:val="TableBodyText"/>
                    <w:jc w:val="left"/>
                  </w:pPr>
                  <w:r>
                    <w:t>CSG</w:t>
                  </w:r>
                </w:p>
              </w:tc>
              <w:tc>
                <w:tcPr>
                  <w:tcW w:w="835" w:type="pct"/>
                  <w:tcBorders>
                    <w:bottom w:val="single" w:sz="6" w:space="0" w:color="BFBFBF"/>
                  </w:tcBorders>
                  <w:shd w:val="clear" w:color="auto" w:fill="auto"/>
                  <w:vAlign w:val="bottom"/>
                </w:tcPr>
                <w:p w14:paraId="62436C62" w14:textId="77777777" w:rsidR="00DA3852" w:rsidRPr="00C10B5A" w:rsidRDefault="00DA3852" w:rsidP="00C03F9E">
                  <w:pPr>
                    <w:pStyle w:val="TableBodyText"/>
                  </w:pPr>
                  <w:r w:rsidRPr="00C10B5A">
                    <w:t>17</w:t>
                  </w:r>
                </w:p>
              </w:tc>
              <w:tc>
                <w:tcPr>
                  <w:tcW w:w="754" w:type="pct"/>
                  <w:tcBorders>
                    <w:bottom w:val="single" w:sz="6" w:space="0" w:color="BFBFBF"/>
                  </w:tcBorders>
                  <w:shd w:val="clear" w:color="auto" w:fill="auto"/>
                  <w:vAlign w:val="bottom"/>
                </w:tcPr>
                <w:p w14:paraId="4FA1E642" w14:textId="77777777" w:rsidR="00DA3852" w:rsidRPr="00C10B5A" w:rsidRDefault="00DA3852" w:rsidP="00C03F9E">
                  <w:pPr>
                    <w:pStyle w:val="TableBodyText"/>
                    <w:ind w:right="0"/>
                  </w:pPr>
                  <w:r w:rsidRPr="00C10B5A">
                    <w:t>47</w:t>
                  </w:r>
                </w:p>
              </w:tc>
            </w:tr>
          </w:tbl>
          <w:p w14:paraId="7B652BB4" w14:textId="77777777" w:rsidR="00DA3852" w:rsidRDefault="00DA3852" w:rsidP="00C03F9E">
            <w:pPr>
              <w:pStyle w:val="Box"/>
            </w:pPr>
          </w:p>
        </w:tc>
      </w:tr>
      <w:tr w:rsidR="00DA3852" w14:paraId="25E333B7" w14:textId="77777777" w:rsidTr="00C03F9E">
        <w:trPr>
          <w:cantSplit/>
        </w:trPr>
        <w:tc>
          <w:tcPr>
            <w:tcW w:w="8771" w:type="dxa"/>
            <w:tcBorders>
              <w:top w:val="nil"/>
              <w:left w:val="nil"/>
              <w:bottom w:val="nil"/>
              <w:right w:val="nil"/>
            </w:tcBorders>
            <w:shd w:val="clear" w:color="auto" w:fill="auto"/>
          </w:tcPr>
          <w:p w14:paraId="0FA77293" w14:textId="77777777" w:rsidR="00DA3852" w:rsidRDefault="00DA3852" w:rsidP="00C03F9E">
            <w:pPr>
              <w:pStyle w:val="Source"/>
              <w:rPr>
                <w:i/>
              </w:rPr>
            </w:pPr>
            <w:proofErr w:type="spellStart"/>
            <w:proofErr w:type="gramStart"/>
            <w:r w:rsidRPr="008E77FE">
              <w:rPr>
                <w:rStyle w:val="NoteLabel"/>
              </w:rPr>
              <w:t>a</w:t>
            </w:r>
            <w:proofErr w:type="spellEnd"/>
            <w:proofErr w:type="gramEnd"/>
            <w:r>
              <w:t xml:space="preserve"> Applied to gross reserves (that is, reserves before depletion through production) for each year of the simulation period. </w:t>
            </w:r>
            <w:proofErr w:type="gramStart"/>
            <w:r>
              <w:rPr>
                <w:rStyle w:val="NoteLabel"/>
              </w:rPr>
              <w:t>b</w:t>
            </w:r>
            <w:proofErr w:type="gramEnd"/>
            <w:r>
              <w:t xml:space="preserve"> Excluded from modelling.</w:t>
            </w:r>
          </w:p>
        </w:tc>
      </w:tr>
      <w:tr w:rsidR="00DA3852" w14:paraId="7ABB84E2" w14:textId="77777777" w:rsidTr="00C03F9E">
        <w:trPr>
          <w:cantSplit/>
        </w:trPr>
        <w:tc>
          <w:tcPr>
            <w:tcW w:w="8771" w:type="dxa"/>
            <w:tcBorders>
              <w:top w:val="nil"/>
              <w:left w:val="nil"/>
              <w:bottom w:val="nil"/>
              <w:right w:val="nil"/>
            </w:tcBorders>
            <w:shd w:val="clear" w:color="auto" w:fill="auto"/>
          </w:tcPr>
          <w:p w14:paraId="1843C3CE" w14:textId="25B2CC70" w:rsidR="00DA3852" w:rsidRDefault="00DA3852" w:rsidP="00107115">
            <w:pPr>
              <w:pStyle w:val="Source"/>
            </w:pPr>
            <w:r>
              <w:rPr>
                <w:i/>
              </w:rPr>
              <w:t>Sources</w:t>
            </w:r>
            <w:r w:rsidRPr="00167F06">
              <w:t xml:space="preserve">: </w:t>
            </w:r>
            <w:r>
              <w:t xml:space="preserve">Commission estimates based on AEMO </w:t>
            </w:r>
            <w:r w:rsidRPr="004F1A86">
              <w:rPr>
                <w:rFonts w:cs="Arial"/>
              </w:rPr>
              <w:t>(</w:t>
            </w:r>
            <w:r w:rsidR="00107115" w:rsidRPr="004F1A86">
              <w:rPr>
                <w:rFonts w:cs="Arial"/>
              </w:rPr>
              <w:t>2012</w:t>
            </w:r>
            <w:r w:rsidR="00107115">
              <w:rPr>
                <w:rFonts w:cs="Arial"/>
              </w:rPr>
              <w:t>c</w:t>
            </w:r>
            <w:r w:rsidRPr="004F1A86">
              <w:rPr>
                <w:rFonts w:cs="Arial"/>
              </w:rPr>
              <w:t>)</w:t>
            </w:r>
            <w:r w:rsidR="00107115">
              <w:rPr>
                <w:rFonts w:cs="Arial"/>
              </w:rPr>
              <w:t>,</w:t>
            </w:r>
            <w:r>
              <w:t xml:space="preserve"> Core Energy Group </w:t>
            </w:r>
            <w:r w:rsidRPr="00F17301">
              <w:rPr>
                <w:rFonts w:cs="Arial"/>
              </w:rPr>
              <w:t>(2012a, 2013a, 2015b)</w:t>
            </w:r>
            <w:r w:rsidR="00107115">
              <w:rPr>
                <w:rFonts w:cs="Arial"/>
              </w:rPr>
              <w:t xml:space="preserve"> and </w:t>
            </w:r>
            <w:r w:rsidR="00107115" w:rsidRPr="004F1A86">
              <w:rPr>
                <w:szCs w:val="24"/>
              </w:rPr>
              <w:t>DNRM </w:t>
            </w:r>
            <w:r w:rsidR="00107115">
              <w:rPr>
                <w:szCs w:val="24"/>
              </w:rPr>
              <w:t>(</w:t>
            </w:r>
            <w:r w:rsidR="00107115" w:rsidRPr="004F1A86">
              <w:rPr>
                <w:szCs w:val="24"/>
              </w:rPr>
              <w:t>2015a</w:t>
            </w:r>
            <w:r w:rsidR="00107115">
              <w:rPr>
                <w:szCs w:val="24"/>
              </w:rPr>
              <w:t>)</w:t>
            </w:r>
            <w:r>
              <w:t>.</w:t>
            </w:r>
          </w:p>
        </w:tc>
      </w:tr>
      <w:tr w:rsidR="00DA3852" w14:paraId="37A28474" w14:textId="77777777" w:rsidTr="00C03F9E">
        <w:trPr>
          <w:cantSplit/>
        </w:trPr>
        <w:tc>
          <w:tcPr>
            <w:tcW w:w="8771" w:type="dxa"/>
            <w:tcBorders>
              <w:top w:val="nil"/>
              <w:left w:val="nil"/>
              <w:bottom w:val="single" w:sz="6" w:space="0" w:color="78A22F"/>
              <w:right w:val="nil"/>
            </w:tcBorders>
            <w:shd w:val="clear" w:color="auto" w:fill="auto"/>
          </w:tcPr>
          <w:p w14:paraId="06E5C425" w14:textId="77777777" w:rsidR="00DA3852" w:rsidRDefault="00DA3852" w:rsidP="00C03F9E">
            <w:pPr>
              <w:pStyle w:val="Box"/>
              <w:spacing w:before="0" w:line="120" w:lineRule="exact"/>
            </w:pPr>
          </w:p>
        </w:tc>
      </w:tr>
      <w:tr w:rsidR="00DA3852" w:rsidRPr="000863A5" w14:paraId="13EA10CE" w14:textId="77777777" w:rsidTr="00C03F9E">
        <w:tc>
          <w:tcPr>
            <w:tcW w:w="8771" w:type="dxa"/>
            <w:tcBorders>
              <w:top w:val="single" w:sz="6" w:space="0" w:color="78A22F"/>
              <w:left w:val="nil"/>
              <w:bottom w:val="nil"/>
              <w:right w:val="nil"/>
            </w:tcBorders>
          </w:tcPr>
          <w:p w14:paraId="70C014C7" w14:textId="77777777" w:rsidR="00DA3852" w:rsidRPr="00626D32" w:rsidRDefault="00DA3852" w:rsidP="00C03F9E">
            <w:pPr>
              <w:pStyle w:val="BoxSpaceBelow"/>
            </w:pPr>
          </w:p>
        </w:tc>
      </w:tr>
    </w:tbl>
    <w:p w14:paraId="159361B7" w14:textId="77777777" w:rsidR="00DA3852" w:rsidRDefault="00DA3852" w:rsidP="00DA3852">
      <w:pPr>
        <w:pStyle w:val="BodyText"/>
      </w:pPr>
      <w:r>
        <w:lastRenderedPageBreak/>
        <w:t>All proved and probable (‘2P’) reserves are available for production, as this covers all reserves that are commercial, with a 50 per cent chance that actual quantities recovered will be greater than this estimate. 2P reserves excludes ‘possible’ reserves (which have a lower probability of production) and non</w:t>
      </w:r>
      <w:r>
        <w:noBreakHyphen/>
        <w:t xml:space="preserve">commercial contingent or prospective resources (reserves are the subset of resources that are anticipated to be commercially recoverable). </w:t>
      </w:r>
    </w:p>
    <w:p w14:paraId="521869C5" w14:textId="77777777" w:rsidR="00DA3852" w:rsidRDefault="00DA3852" w:rsidP="00DA3852">
      <w:pPr>
        <w:pStyle w:val="BodyText"/>
      </w:pPr>
      <w:r>
        <w:t>Exploration to find new resources and to ‘prove up’ contingent and prospective resources to 2P standard is important in determining future reserve availability, so data are also required on potential increases of 2P reserves during the simulation period. In practice, there will be a link between market prices and the economy of proving up gas resources. However, this link has not been included due to a lack of data on the extent of market price increases required to make contingent resources in different fields commercial.</w:t>
      </w:r>
    </w:p>
    <w:p w14:paraId="0D9E7E90" w14:textId="77777777" w:rsidR="00DA3852" w:rsidRDefault="00DA3852" w:rsidP="00DA3852">
      <w:pPr>
        <w:pStyle w:val="BodyText"/>
      </w:pPr>
      <w:r>
        <w:t>Unfortunately,</w:t>
      </w:r>
      <w:r w:rsidDel="00C847CB">
        <w:t xml:space="preserve"> </w:t>
      </w:r>
      <w:r>
        <w:t>consistent data on 2P reserves by field throughout the entire eastern Australian gas market and projections for future reserves growth are also not available. To obtain up</w:t>
      </w:r>
      <w:r>
        <w:noBreakHyphen/>
        <w:t>to</w:t>
      </w:r>
      <w:r>
        <w:noBreakHyphen/>
        <w:t>date estimates on a consistent basis, a combination of data sources were used.</w:t>
      </w:r>
    </w:p>
    <w:p w14:paraId="146A258B" w14:textId="77777777" w:rsidR="00DA3852" w:rsidRDefault="00DA3852" w:rsidP="00DA3852">
      <w:pPr>
        <w:pStyle w:val="ListBullet"/>
      </w:pPr>
      <w:r>
        <w:t xml:space="preserve">Existing 2P reserves were primarily based on estimates in Core Energy Group </w:t>
      </w:r>
      <w:r w:rsidRPr="00E23AB1">
        <w:t>(2015b)</w:t>
      </w:r>
      <w:r>
        <w:t xml:space="preserve"> for reserves by basin as at June 2014.</w:t>
      </w:r>
    </w:p>
    <w:p w14:paraId="472F070F" w14:textId="061993B3" w:rsidR="00DA3852" w:rsidRDefault="00DA3852" w:rsidP="00DA3852">
      <w:pPr>
        <w:pStyle w:val="ListBullet2"/>
      </w:pPr>
      <w:r>
        <w:t>Basin</w:t>
      </w:r>
      <w:r>
        <w:noBreakHyphen/>
        <w:t xml:space="preserve">wide reserves were allocated across different fields according to data on reserves by field in Core Energy Group </w:t>
      </w:r>
      <w:r w:rsidRPr="005647E8">
        <w:t>(2012a)</w:t>
      </w:r>
      <w:r>
        <w:t>.</w:t>
      </w:r>
    </w:p>
    <w:p w14:paraId="722EA1D0" w14:textId="77777777" w:rsidR="00DA3852" w:rsidRDefault="00DA3852" w:rsidP="00DA3852">
      <w:pPr>
        <w:pStyle w:val="ListBullet2"/>
      </w:pPr>
      <w:r>
        <w:t xml:space="preserve">Further data on reserves at a disaggregated field level as at June 2014 were available for Queensland </w:t>
      </w:r>
      <w:r w:rsidRPr="004F1A86">
        <w:rPr>
          <w:szCs w:val="24"/>
        </w:rPr>
        <w:t>(DNRM 2015a)</w:t>
      </w:r>
      <w:r>
        <w:t xml:space="preserve">, which were used in conjunction with the field classifications in Core Energy Group </w:t>
      </w:r>
      <w:r w:rsidRPr="005647E8">
        <w:t>(2012a)</w:t>
      </w:r>
      <w:r>
        <w:t xml:space="preserve"> to allocate reserves across different fields within the Surat–Bowen basins.</w:t>
      </w:r>
    </w:p>
    <w:p w14:paraId="0202A0D4" w14:textId="346F0B4F" w:rsidR="00DA3852" w:rsidRDefault="00DA3852" w:rsidP="00DA3852">
      <w:pPr>
        <w:pStyle w:val="ListBullet"/>
      </w:pPr>
      <w:r>
        <w:t>Projections for growth in 2P reserves were primarily based on annual averages of basin</w:t>
      </w:r>
      <w:r>
        <w:noBreakHyphen/>
        <w:t xml:space="preserve">wide projections for the period 2013 to 2038 in AEMO </w:t>
      </w:r>
      <w:r w:rsidRPr="004F1A86">
        <w:t>(</w:t>
      </w:r>
      <w:r w:rsidR="00107115" w:rsidRPr="004F1A86">
        <w:t>2012</w:t>
      </w:r>
      <w:r w:rsidR="00107115">
        <w:t>c</w:t>
      </w:r>
      <w:r w:rsidRPr="004F1A86">
        <w:t>)</w:t>
      </w:r>
      <w:r>
        <w:t>.</w:t>
      </w:r>
    </w:p>
    <w:p w14:paraId="39E086A9" w14:textId="77777777" w:rsidR="00DA3852" w:rsidRDefault="00DA3852" w:rsidP="00DA3852">
      <w:pPr>
        <w:pStyle w:val="ListBullet2"/>
      </w:pPr>
      <w:r>
        <w:t xml:space="preserve">Projections by basin were updated on a pro rata basis to match the latest projections for the whole of the eastern Australian gas market from AEMO contained in the 2013 Gas Statement of Opportunities </w:t>
      </w:r>
      <w:r w:rsidRPr="00F35504">
        <w:rPr>
          <w:szCs w:val="24"/>
        </w:rPr>
        <w:t>(Core Energy Group 2013a)</w:t>
      </w:r>
      <w:r>
        <w:t>.</w:t>
      </w:r>
    </w:p>
    <w:p w14:paraId="759ACA39" w14:textId="08EAB3D8" w:rsidR="00DA3852" w:rsidRDefault="00DA3852" w:rsidP="00DA3852">
      <w:pPr>
        <w:pStyle w:val="ListBullet2"/>
      </w:pPr>
      <w:r>
        <w:t xml:space="preserve">Growth in reserves by basin were allocated across fields in proportion to the quantity of possible, contingent and prospective resources available to be proven up to 2P in each field. Possible reserves and contingent and prospective resource estimates by field were obtained using estimates of the quantity of potentially recoverable resources — less reserves that are already classified as 2P — from Core Energy Group </w:t>
      </w:r>
      <w:r w:rsidRPr="005647E8">
        <w:t>(2012a)</w:t>
      </w:r>
      <w:r>
        <w:t>.</w:t>
      </w:r>
    </w:p>
    <w:p w14:paraId="4E4CF2D4" w14:textId="2F021CB1" w:rsidR="00DA3852" w:rsidRDefault="00DA3852" w:rsidP="00DA3852">
      <w:pPr>
        <w:pStyle w:val="ListBullet2"/>
      </w:pPr>
      <w:r>
        <w:t>There is considerable uncertainty about reserves growth, the implications of which are investigated as part of sensitivity analysis (appendix C).</w:t>
      </w:r>
    </w:p>
    <w:p w14:paraId="790C8E19" w14:textId="77777777" w:rsidR="00DA3852" w:rsidRDefault="00DA3852" w:rsidP="00DA3852">
      <w:pPr>
        <w:pStyle w:val="Heading5"/>
      </w:pPr>
      <w:r>
        <w:t>Terminal value for gas reserves</w:t>
      </w:r>
    </w:p>
    <w:p w14:paraId="71B4422D" w14:textId="77777777" w:rsidR="00DA3852" w:rsidRDefault="00DA3852" w:rsidP="00DA3852">
      <w:pPr>
        <w:pStyle w:val="BodyText"/>
      </w:pPr>
      <w:r>
        <w:t xml:space="preserve">In models with a finite simulation period, gas reserves remaining at the end of the simulation period have a zero value unless a ‘terminal condition’ is applied. The inclusion </w:t>
      </w:r>
      <w:r>
        <w:lastRenderedPageBreak/>
        <w:t xml:space="preserve">of a terminal condition attaches some value to gas remaining in reserves at the end of the simulation period and can have important implications for variables (such as prices, investment and production) in the periods leading up to the terminal period. To reduce the importance of the terminal condition, the model is solved over 40 years and results reported for the first 20 years only. </w:t>
      </w:r>
    </w:p>
    <w:p w14:paraId="2B5BA42C" w14:textId="77777777" w:rsidR="00DA3852" w:rsidRDefault="00DA3852" w:rsidP="00DA3852">
      <w:pPr>
        <w:pStyle w:val="BodyText"/>
      </w:pPr>
      <w:r>
        <w:t xml:space="preserve">There are three possible approaches to modelling a terminal condition </w:t>
      </w:r>
      <w:r w:rsidRPr="00922B28">
        <w:rPr>
          <w:szCs w:val="24"/>
        </w:rPr>
        <w:t>(PC 2011)</w:t>
      </w:r>
      <w:r>
        <w:t>.</w:t>
      </w:r>
    </w:p>
    <w:p w14:paraId="75B5EE25" w14:textId="77777777" w:rsidR="00DA3852" w:rsidRDefault="00DA3852" w:rsidP="00DA3852">
      <w:pPr>
        <w:pStyle w:val="ListNumber"/>
        <w:numPr>
          <w:ilvl w:val="0"/>
          <w:numId w:val="22"/>
        </w:numPr>
      </w:pPr>
      <w:r>
        <w:t>An exogenously specified level for reserves in the terminal period. This is equivalent to a perfectly inelastic demand for terminal reserves.</w:t>
      </w:r>
    </w:p>
    <w:p w14:paraId="5F7DEA31" w14:textId="77777777" w:rsidR="00DA3852" w:rsidRDefault="00DA3852" w:rsidP="00DA3852">
      <w:pPr>
        <w:pStyle w:val="ListNumber"/>
      </w:pPr>
      <w:r>
        <w:t>An exogenous specified price for gas reserves in the terminal period. This is equivalent to a perfectly elastic demand for terminal reserves.</w:t>
      </w:r>
    </w:p>
    <w:p w14:paraId="7C8E3117" w14:textId="77777777" w:rsidR="00DA3852" w:rsidRDefault="00DA3852" w:rsidP="00DA3852">
      <w:pPr>
        <w:pStyle w:val="ListNumber"/>
      </w:pPr>
      <w:r>
        <w:t>A response function, with the price of gas reserves in the terminal period being a function of the quantum of reserves remaining.</w:t>
      </w:r>
    </w:p>
    <w:p w14:paraId="75FE30A5" w14:textId="365C334F" w:rsidR="00DA3852" w:rsidRDefault="00DA3852" w:rsidP="00DA3852">
      <w:pPr>
        <w:pStyle w:val="BodyText"/>
      </w:pPr>
      <w:r>
        <w:t xml:space="preserve">Connection of </w:t>
      </w:r>
      <w:r w:rsidDel="00C847CB">
        <w:t xml:space="preserve">the </w:t>
      </w:r>
      <w:r>
        <w:t>eastern Australian gas market to the Asia–Pacific market through LNG exports is likely to mean that domestic prices will be set with regard to export prices, and gas production in Australia is likely to have a limited effect on long</w:t>
      </w:r>
      <w:r>
        <w:noBreakHyphen/>
        <w:t>term export prices. Therefore, the second approach above has been used to apply a terminal value to gas reserves remaining at the end of the simulation period. An estimated netback price (at the wellhead) has been applied to calculate a fixed price for remaining gas reserves by subtracting the long run marginal cost of liquefaction, transmission, and processing from the projected export price in the terminal period. The cost of production of gas in the terminal period is calculated based on the production capacity available at the end of the simulation period — costs of production in the terminal period are lower where production capacity is already available.</w:t>
      </w:r>
      <w:r w:rsidRPr="00D54D05">
        <w:rPr>
          <w:rStyle w:val="FootnoteReference"/>
        </w:rPr>
        <w:footnoteReference w:id="8"/>
      </w:r>
    </w:p>
    <w:p w14:paraId="339D1C5C" w14:textId="77777777" w:rsidR="00DA3852" w:rsidRDefault="00DA3852" w:rsidP="00DA3852">
      <w:pPr>
        <w:pStyle w:val="Heading4"/>
      </w:pPr>
      <w:r>
        <w:t>Initial production capacity</w:t>
      </w:r>
    </w:p>
    <w:p w14:paraId="2D55B6FC" w14:textId="77777777" w:rsidR="00DA3852" w:rsidRDefault="00DA3852" w:rsidP="00DA3852">
      <w:pPr>
        <w:pStyle w:val="BodyText"/>
      </w:pPr>
      <w:r>
        <w:t>Well deliverability constraints are represented in the model through specifying initial production capacity for each field (table B.2). Further production capacity in 2015 at fields used to supply LNG exports was estimated by setting additional production capacity equal to projected LNG gas use in that year (estimated as set out below), with additional capacity pro</w:t>
      </w:r>
      <w:r>
        <w:noBreakHyphen/>
        <w:t xml:space="preserve">rated across fields using Core Energy Group </w:t>
      </w:r>
      <w:r w:rsidRPr="00393E46">
        <w:t>(2012a)</w:t>
      </w:r>
      <w:r>
        <w:t xml:space="preserve"> projections of export supply in 2015. This approach is based on the assumption that there will be sufficient increases in production to supply LNG exports in 2015, but no additional production of ‘ramp </w:t>
      </w:r>
      <w:proofErr w:type="gramStart"/>
      <w:r>
        <w:t>gas’</w:t>
      </w:r>
      <w:proofErr w:type="gramEnd"/>
      <w:r>
        <w:t xml:space="preserve">. </w:t>
      </w:r>
    </w:p>
    <w:p w14:paraId="4C59B8EA" w14:textId="77777777" w:rsidR="00DA3852" w:rsidRPr="00D25547" w:rsidRDefault="00DA3852" w:rsidP="00DA3852">
      <w:pPr>
        <w:pStyle w:val="BodyText"/>
      </w:pPr>
      <w:r>
        <w:t>Development of further production capacity from 2016 is determined endogenously. Development of further production capacity involves investment costs and takes time, each of which were estimated as set out below.</w:t>
      </w:r>
    </w:p>
    <w:p w14:paraId="2917BAE8" w14:textId="77777777" w:rsidR="00DA3852" w:rsidRDefault="00DA3852" w:rsidP="00DA3852">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DA3852" w14:paraId="1815E5D8" w14:textId="77777777" w:rsidTr="00C03F9E">
        <w:tc>
          <w:tcPr>
            <w:tcW w:w="8771" w:type="dxa"/>
            <w:tcBorders>
              <w:top w:val="single" w:sz="6" w:space="0" w:color="78A22F"/>
              <w:left w:val="nil"/>
              <w:bottom w:val="nil"/>
              <w:right w:val="nil"/>
            </w:tcBorders>
            <w:shd w:val="clear" w:color="auto" w:fill="auto"/>
          </w:tcPr>
          <w:p w14:paraId="0E6A1E37" w14:textId="0783B6F2" w:rsidR="00DA3852" w:rsidRPr="00784A05" w:rsidRDefault="00DA3852" w:rsidP="00C03F9E">
            <w:pPr>
              <w:pStyle w:val="TableTitle"/>
            </w:pPr>
            <w:r>
              <w:rPr>
                <w:b w:val="0"/>
              </w:rPr>
              <w:t>Table B.</w:t>
            </w:r>
            <w:r>
              <w:rPr>
                <w:b w:val="0"/>
                <w:noProof/>
              </w:rPr>
              <w:t>2</w:t>
            </w:r>
            <w:r>
              <w:tab/>
              <w:t>Initial production capacity by field</w:t>
            </w:r>
          </w:p>
        </w:tc>
      </w:tr>
      <w:tr w:rsidR="00DA3852" w14:paraId="48E94218" w14:textId="77777777" w:rsidTr="00C03F9E">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345"/>
              <w:gridCol w:w="1990"/>
              <w:gridCol w:w="1170"/>
              <w:gridCol w:w="2164"/>
              <w:gridCol w:w="1818"/>
            </w:tblGrid>
            <w:tr w:rsidR="00DA3852" w14:paraId="405D4054" w14:textId="77777777" w:rsidTr="00C03F9E">
              <w:tc>
                <w:tcPr>
                  <w:tcW w:w="792" w:type="pct"/>
                  <w:tcBorders>
                    <w:top w:val="single" w:sz="6" w:space="0" w:color="BFBFBF" w:themeColor="background1" w:themeShade="BF"/>
                    <w:bottom w:val="single" w:sz="6" w:space="0" w:color="BFBFBF" w:themeColor="background1" w:themeShade="BF"/>
                  </w:tcBorders>
                  <w:shd w:val="clear" w:color="auto" w:fill="auto"/>
                  <w:tcMar>
                    <w:top w:w="28" w:type="dxa"/>
                  </w:tcMar>
                </w:tcPr>
                <w:p w14:paraId="1B1F5C59" w14:textId="0A2932F9" w:rsidR="00DA3852" w:rsidRDefault="00CF3121">
                  <w:pPr>
                    <w:pStyle w:val="TableColumnHeading"/>
                    <w:jc w:val="left"/>
                  </w:pPr>
                  <w:r>
                    <w:t>B</w:t>
                  </w:r>
                  <w:r w:rsidR="00DA3852">
                    <w:t>asin</w:t>
                  </w:r>
                </w:p>
              </w:tc>
              <w:tc>
                <w:tcPr>
                  <w:tcW w:w="1172" w:type="pct"/>
                  <w:tcBorders>
                    <w:top w:val="single" w:sz="6" w:space="0" w:color="BFBFBF" w:themeColor="background1" w:themeShade="BF"/>
                    <w:bottom w:val="single" w:sz="6" w:space="0" w:color="BFBFBF" w:themeColor="background1" w:themeShade="BF"/>
                  </w:tcBorders>
                  <w:shd w:val="clear" w:color="auto" w:fill="auto"/>
                </w:tcPr>
                <w:p w14:paraId="1D2683BF" w14:textId="77777777" w:rsidR="00DA3852" w:rsidRDefault="00DA3852" w:rsidP="00C03F9E">
                  <w:pPr>
                    <w:pStyle w:val="TableColumnHeading"/>
                    <w:jc w:val="left"/>
                  </w:pPr>
                  <w:r>
                    <w:t>Field</w:t>
                  </w:r>
                </w:p>
              </w:tc>
              <w:tc>
                <w:tcPr>
                  <w:tcW w:w="689" w:type="pct"/>
                  <w:tcBorders>
                    <w:top w:val="single" w:sz="6" w:space="0" w:color="BFBFBF" w:themeColor="background1" w:themeShade="BF"/>
                    <w:bottom w:val="single" w:sz="6" w:space="0" w:color="BFBFBF" w:themeColor="background1" w:themeShade="BF"/>
                  </w:tcBorders>
                  <w:shd w:val="clear" w:color="auto" w:fill="auto"/>
                  <w:tcMar>
                    <w:top w:w="28" w:type="dxa"/>
                  </w:tcMar>
                </w:tcPr>
                <w:p w14:paraId="6998FFD0" w14:textId="77777777" w:rsidR="00DA3852" w:rsidRDefault="00DA3852" w:rsidP="00C03F9E">
                  <w:pPr>
                    <w:pStyle w:val="TableColumnHeading"/>
                    <w:jc w:val="left"/>
                  </w:pPr>
                  <w:r>
                    <w:t>Gas source</w:t>
                  </w:r>
                </w:p>
              </w:tc>
              <w:tc>
                <w:tcPr>
                  <w:tcW w:w="1275" w:type="pct"/>
                  <w:tcBorders>
                    <w:top w:val="single" w:sz="6" w:space="0" w:color="BFBFBF" w:themeColor="background1" w:themeShade="BF"/>
                    <w:bottom w:val="single" w:sz="6" w:space="0" w:color="BFBFBF" w:themeColor="background1" w:themeShade="BF"/>
                  </w:tcBorders>
                </w:tcPr>
                <w:p w14:paraId="2D9ACF11" w14:textId="77777777" w:rsidR="00DA3852" w:rsidRDefault="00DA3852" w:rsidP="00C03F9E">
                  <w:pPr>
                    <w:pStyle w:val="TableColumnHeading"/>
                  </w:pPr>
                  <w:r>
                    <w:t>Initial</w:t>
                  </w:r>
                  <w:r>
                    <w:br/>
                    <w:t>production</w:t>
                  </w:r>
                  <w:r>
                    <w:br/>
                    <w:t>capacity (PJ per year)</w:t>
                  </w:r>
                  <w:r>
                    <w:rPr>
                      <w:rStyle w:val="NoteLabel"/>
                      <w:position w:val="2"/>
                    </w:rPr>
                    <w:t>a</w:t>
                  </w:r>
                </w:p>
              </w:tc>
              <w:tc>
                <w:tcPr>
                  <w:tcW w:w="1071" w:type="pct"/>
                  <w:tcBorders>
                    <w:top w:val="single" w:sz="6" w:space="0" w:color="BFBFBF" w:themeColor="background1" w:themeShade="BF"/>
                    <w:bottom w:val="single" w:sz="6" w:space="0" w:color="BFBFBF" w:themeColor="background1" w:themeShade="BF"/>
                  </w:tcBorders>
                  <w:shd w:val="clear" w:color="auto" w:fill="auto"/>
                </w:tcPr>
                <w:p w14:paraId="2706865C" w14:textId="77777777" w:rsidR="00DA3852" w:rsidRDefault="00DA3852" w:rsidP="00C03F9E">
                  <w:pPr>
                    <w:pStyle w:val="TableColumnHeading"/>
                    <w:ind w:right="28"/>
                  </w:pPr>
                  <w:r>
                    <w:t>Additional production</w:t>
                  </w:r>
                  <w:r>
                    <w:br/>
                    <w:t>capacity in 2015 (PJ per year)</w:t>
                  </w:r>
                  <w:r>
                    <w:rPr>
                      <w:rStyle w:val="NoteLabel"/>
                      <w:position w:val="2"/>
                    </w:rPr>
                    <w:t>b</w:t>
                  </w:r>
                </w:p>
              </w:tc>
            </w:tr>
            <w:tr w:rsidR="00DA3852" w14:paraId="3A73C4E2" w14:textId="77777777" w:rsidTr="00C03F9E">
              <w:tc>
                <w:tcPr>
                  <w:tcW w:w="792" w:type="pct"/>
                  <w:tcBorders>
                    <w:top w:val="single" w:sz="6" w:space="0" w:color="BFBFBF" w:themeColor="background1" w:themeShade="BF"/>
                  </w:tcBorders>
                  <w:shd w:val="clear" w:color="auto" w:fill="auto"/>
                </w:tcPr>
                <w:p w14:paraId="5479A63D" w14:textId="77777777" w:rsidR="00DA3852" w:rsidRDefault="00DA3852" w:rsidP="00C03F9E">
                  <w:pPr>
                    <w:pStyle w:val="TableBodyText"/>
                    <w:spacing w:before="40"/>
                    <w:jc w:val="left"/>
                    <w:rPr>
                      <w:szCs w:val="24"/>
                    </w:rPr>
                  </w:pPr>
                  <w:r>
                    <w:t>Bass</w:t>
                  </w:r>
                </w:p>
              </w:tc>
              <w:tc>
                <w:tcPr>
                  <w:tcW w:w="1172" w:type="pct"/>
                  <w:tcBorders>
                    <w:top w:val="single" w:sz="6" w:space="0" w:color="BFBFBF" w:themeColor="background1" w:themeShade="BF"/>
                  </w:tcBorders>
                  <w:shd w:val="clear" w:color="auto" w:fill="auto"/>
                </w:tcPr>
                <w:p w14:paraId="59EB5630" w14:textId="77777777" w:rsidR="00DA3852" w:rsidRDefault="00DA3852" w:rsidP="00C03F9E">
                  <w:pPr>
                    <w:pStyle w:val="TableBodyText"/>
                    <w:spacing w:before="40"/>
                    <w:jc w:val="left"/>
                    <w:rPr>
                      <w:i/>
                    </w:rPr>
                  </w:pPr>
                  <w:r>
                    <w:t>Yolla</w:t>
                  </w:r>
                </w:p>
              </w:tc>
              <w:tc>
                <w:tcPr>
                  <w:tcW w:w="689" w:type="pct"/>
                  <w:tcBorders>
                    <w:top w:val="single" w:sz="6" w:space="0" w:color="BFBFBF" w:themeColor="background1" w:themeShade="BF"/>
                  </w:tcBorders>
                  <w:shd w:val="clear" w:color="auto" w:fill="auto"/>
                </w:tcPr>
                <w:p w14:paraId="34565C16" w14:textId="77777777" w:rsidR="00DA3852" w:rsidRDefault="00DA3852" w:rsidP="00C03F9E">
                  <w:pPr>
                    <w:pStyle w:val="TableBodyText"/>
                    <w:spacing w:before="40"/>
                    <w:jc w:val="left"/>
                    <w:rPr>
                      <w:i/>
                    </w:rPr>
                  </w:pPr>
                  <w:r>
                    <w:t>Conventional</w:t>
                  </w:r>
                </w:p>
              </w:tc>
              <w:tc>
                <w:tcPr>
                  <w:tcW w:w="1275" w:type="pct"/>
                  <w:tcBorders>
                    <w:top w:val="single" w:sz="6" w:space="0" w:color="BFBFBF" w:themeColor="background1" w:themeShade="BF"/>
                  </w:tcBorders>
                </w:tcPr>
                <w:p w14:paraId="70177A00" w14:textId="77777777" w:rsidR="00DA3852" w:rsidRDefault="00DA3852" w:rsidP="00C03F9E">
                  <w:pPr>
                    <w:pStyle w:val="TableBodyText"/>
                    <w:spacing w:before="40"/>
                    <w:rPr>
                      <w:i/>
                    </w:rPr>
                  </w:pPr>
                  <w:r w:rsidRPr="00AC4CD2">
                    <w:t>18</w:t>
                  </w:r>
                </w:p>
              </w:tc>
              <w:tc>
                <w:tcPr>
                  <w:tcW w:w="1071" w:type="pct"/>
                  <w:tcBorders>
                    <w:top w:val="single" w:sz="6" w:space="0" w:color="BFBFBF" w:themeColor="background1" w:themeShade="BF"/>
                  </w:tcBorders>
                  <w:shd w:val="clear" w:color="auto" w:fill="auto"/>
                  <w:vAlign w:val="bottom"/>
                </w:tcPr>
                <w:p w14:paraId="4FB0532D" w14:textId="77777777" w:rsidR="00DA3852" w:rsidRDefault="00DA3852" w:rsidP="00C03F9E">
                  <w:pPr>
                    <w:pStyle w:val="TableBodyText"/>
                    <w:spacing w:before="40"/>
                  </w:pPr>
                  <w:r>
                    <w:t>0</w:t>
                  </w:r>
                </w:p>
              </w:tc>
            </w:tr>
            <w:tr w:rsidR="00DA3852" w14:paraId="0C488BE3" w14:textId="77777777" w:rsidTr="00C03F9E">
              <w:tc>
                <w:tcPr>
                  <w:tcW w:w="792" w:type="pct"/>
                  <w:shd w:val="clear" w:color="auto" w:fill="auto"/>
                </w:tcPr>
                <w:p w14:paraId="0654DC49" w14:textId="77777777" w:rsidR="00DA3852" w:rsidRDefault="00DA3852" w:rsidP="00C03F9E">
                  <w:pPr>
                    <w:pStyle w:val="TableBodyText"/>
                    <w:jc w:val="left"/>
                  </w:pPr>
                  <w:r>
                    <w:t>Bass</w:t>
                  </w:r>
                </w:p>
              </w:tc>
              <w:tc>
                <w:tcPr>
                  <w:tcW w:w="1172" w:type="pct"/>
                  <w:shd w:val="clear" w:color="auto" w:fill="auto"/>
                </w:tcPr>
                <w:p w14:paraId="00938942" w14:textId="77777777" w:rsidR="00DA3852" w:rsidRDefault="00DA3852" w:rsidP="00C03F9E">
                  <w:pPr>
                    <w:pStyle w:val="TableBodyText"/>
                    <w:jc w:val="left"/>
                  </w:pPr>
                  <w:r>
                    <w:t>New offshore</w:t>
                  </w:r>
                </w:p>
              </w:tc>
              <w:tc>
                <w:tcPr>
                  <w:tcW w:w="689" w:type="pct"/>
                  <w:shd w:val="clear" w:color="auto" w:fill="auto"/>
                </w:tcPr>
                <w:p w14:paraId="370546F3" w14:textId="77777777" w:rsidR="00DA3852" w:rsidRDefault="00DA3852" w:rsidP="00C03F9E">
                  <w:pPr>
                    <w:pStyle w:val="TableBodyText"/>
                    <w:jc w:val="left"/>
                  </w:pPr>
                  <w:r>
                    <w:t>Conventional</w:t>
                  </w:r>
                </w:p>
              </w:tc>
              <w:tc>
                <w:tcPr>
                  <w:tcW w:w="1275" w:type="pct"/>
                </w:tcPr>
                <w:p w14:paraId="607FA4EE" w14:textId="77777777" w:rsidR="00DA3852" w:rsidRDefault="00DA3852" w:rsidP="00C03F9E">
                  <w:pPr>
                    <w:pStyle w:val="TableBodyText"/>
                  </w:pPr>
                  <w:r w:rsidRPr="00AC4CD2">
                    <w:t>0</w:t>
                  </w:r>
                </w:p>
              </w:tc>
              <w:tc>
                <w:tcPr>
                  <w:tcW w:w="1071" w:type="pct"/>
                  <w:shd w:val="clear" w:color="auto" w:fill="auto"/>
                  <w:vAlign w:val="bottom"/>
                </w:tcPr>
                <w:p w14:paraId="1BE71CCC" w14:textId="77777777" w:rsidR="00DA3852" w:rsidRDefault="00DA3852" w:rsidP="00C03F9E">
                  <w:pPr>
                    <w:pStyle w:val="TableBodyText"/>
                  </w:pPr>
                  <w:r>
                    <w:t>0</w:t>
                  </w:r>
                </w:p>
              </w:tc>
            </w:tr>
            <w:tr w:rsidR="00DA3852" w14:paraId="07917630" w14:textId="77777777" w:rsidTr="00C03F9E">
              <w:tc>
                <w:tcPr>
                  <w:tcW w:w="792" w:type="pct"/>
                  <w:shd w:val="clear" w:color="auto" w:fill="auto"/>
                </w:tcPr>
                <w:p w14:paraId="562B4BC5" w14:textId="77777777" w:rsidR="00DA3852" w:rsidRDefault="00DA3852" w:rsidP="00C03F9E">
                  <w:pPr>
                    <w:pStyle w:val="TableBodyText"/>
                    <w:jc w:val="left"/>
                  </w:pPr>
                  <w:r>
                    <w:t>Clarence-Moreton</w:t>
                  </w:r>
                </w:p>
              </w:tc>
              <w:tc>
                <w:tcPr>
                  <w:tcW w:w="1172" w:type="pct"/>
                  <w:shd w:val="clear" w:color="auto" w:fill="auto"/>
                </w:tcPr>
                <w:p w14:paraId="5606A945" w14:textId="77777777" w:rsidR="00DA3852" w:rsidRDefault="00DA3852" w:rsidP="00C03F9E">
                  <w:pPr>
                    <w:pStyle w:val="TableBodyText"/>
                    <w:jc w:val="left"/>
                  </w:pPr>
                  <w:r>
                    <w:t>New CSG</w:t>
                  </w:r>
                </w:p>
              </w:tc>
              <w:tc>
                <w:tcPr>
                  <w:tcW w:w="689" w:type="pct"/>
                  <w:shd w:val="clear" w:color="auto" w:fill="auto"/>
                </w:tcPr>
                <w:p w14:paraId="58989AB3" w14:textId="77777777" w:rsidR="00DA3852" w:rsidRDefault="00DA3852" w:rsidP="00C03F9E">
                  <w:pPr>
                    <w:pStyle w:val="TableBodyText"/>
                    <w:jc w:val="left"/>
                  </w:pPr>
                  <w:r>
                    <w:t>CSG</w:t>
                  </w:r>
                </w:p>
              </w:tc>
              <w:tc>
                <w:tcPr>
                  <w:tcW w:w="1275" w:type="pct"/>
                </w:tcPr>
                <w:p w14:paraId="7173AEAC" w14:textId="77777777" w:rsidR="00DA3852" w:rsidRDefault="00DA3852" w:rsidP="00C03F9E">
                  <w:pPr>
                    <w:pStyle w:val="TableBodyText"/>
                  </w:pPr>
                  <w:r w:rsidRPr="00AC4CD2">
                    <w:t>0</w:t>
                  </w:r>
                </w:p>
              </w:tc>
              <w:tc>
                <w:tcPr>
                  <w:tcW w:w="1071" w:type="pct"/>
                  <w:shd w:val="clear" w:color="auto" w:fill="auto"/>
                  <w:vAlign w:val="bottom"/>
                </w:tcPr>
                <w:p w14:paraId="7E010107" w14:textId="77777777" w:rsidR="00DA3852" w:rsidRDefault="00DA3852" w:rsidP="00C03F9E">
                  <w:pPr>
                    <w:pStyle w:val="TableBodyText"/>
                  </w:pPr>
                  <w:r>
                    <w:t>0</w:t>
                  </w:r>
                </w:p>
              </w:tc>
            </w:tr>
            <w:tr w:rsidR="00DA3852" w14:paraId="4B076872" w14:textId="77777777" w:rsidTr="00C03F9E">
              <w:tc>
                <w:tcPr>
                  <w:tcW w:w="792" w:type="pct"/>
                  <w:shd w:val="clear" w:color="auto" w:fill="auto"/>
                </w:tcPr>
                <w:p w14:paraId="726FC0AA" w14:textId="77777777" w:rsidR="00DA3852" w:rsidRDefault="00DA3852" w:rsidP="00C03F9E">
                  <w:pPr>
                    <w:pStyle w:val="TableBodyText"/>
                    <w:jc w:val="left"/>
                  </w:pPr>
                  <w:r>
                    <w:t>Cooper</w:t>
                  </w:r>
                </w:p>
              </w:tc>
              <w:tc>
                <w:tcPr>
                  <w:tcW w:w="1172" w:type="pct"/>
                  <w:shd w:val="clear" w:color="auto" w:fill="auto"/>
                </w:tcPr>
                <w:p w14:paraId="443F208F" w14:textId="77777777" w:rsidR="00DA3852" w:rsidRDefault="00DA3852" w:rsidP="00C03F9E">
                  <w:pPr>
                    <w:pStyle w:val="TableBodyText"/>
                    <w:jc w:val="left"/>
                  </w:pPr>
                  <w:r>
                    <w:t>Conventional</w:t>
                  </w:r>
                </w:p>
              </w:tc>
              <w:tc>
                <w:tcPr>
                  <w:tcW w:w="689" w:type="pct"/>
                  <w:shd w:val="clear" w:color="auto" w:fill="auto"/>
                </w:tcPr>
                <w:p w14:paraId="44D0EFE1" w14:textId="77777777" w:rsidR="00DA3852" w:rsidRDefault="00DA3852" w:rsidP="00C03F9E">
                  <w:pPr>
                    <w:pStyle w:val="TableBodyText"/>
                    <w:jc w:val="left"/>
                  </w:pPr>
                  <w:r>
                    <w:t>Conventional</w:t>
                  </w:r>
                </w:p>
              </w:tc>
              <w:tc>
                <w:tcPr>
                  <w:tcW w:w="1275" w:type="pct"/>
                </w:tcPr>
                <w:p w14:paraId="1E8F7417" w14:textId="77777777" w:rsidR="00DA3852" w:rsidRDefault="00DA3852" w:rsidP="00C03F9E">
                  <w:pPr>
                    <w:pStyle w:val="TableBodyText"/>
                  </w:pPr>
                  <w:r w:rsidRPr="00AC4CD2">
                    <w:t>88</w:t>
                  </w:r>
                </w:p>
              </w:tc>
              <w:tc>
                <w:tcPr>
                  <w:tcW w:w="1071" w:type="pct"/>
                  <w:shd w:val="clear" w:color="auto" w:fill="auto"/>
                  <w:vAlign w:val="bottom"/>
                </w:tcPr>
                <w:p w14:paraId="006558AC" w14:textId="77777777" w:rsidR="00DA3852" w:rsidRDefault="00DA3852" w:rsidP="00C03F9E">
                  <w:pPr>
                    <w:pStyle w:val="TableBodyText"/>
                  </w:pPr>
                  <w:r>
                    <w:t>0</w:t>
                  </w:r>
                </w:p>
              </w:tc>
            </w:tr>
            <w:tr w:rsidR="00DA3852" w14:paraId="32493C80" w14:textId="77777777" w:rsidTr="00C03F9E">
              <w:tc>
                <w:tcPr>
                  <w:tcW w:w="792" w:type="pct"/>
                  <w:shd w:val="clear" w:color="auto" w:fill="auto"/>
                </w:tcPr>
                <w:p w14:paraId="763EAC76" w14:textId="77777777" w:rsidR="00DA3852" w:rsidRDefault="00DA3852" w:rsidP="00C03F9E">
                  <w:pPr>
                    <w:pStyle w:val="TableBodyText"/>
                    <w:jc w:val="left"/>
                  </w:pPr>
                  <w:r>
                    <w:t>Cooper</w:t>
                  </w:r>
                </w:p>
              </w:tc>
              <w:tc>
                <w:tcPr>
                  <w:tcW w:w="1172" w:type="pct"/>
                  <w:shd w:val="clear" w:color="auto" w:fill="auto"/>
                </w:tcPr>
                <w:p w14:paraId="5D6B2B4B" w14:textId="77777777" w:rsidR="00DA3852" w:rsidRDefault="00DA3852" w:rsidP="00C03F9E">
                  <w:pPr>
                    <w:pStyle w:val="TableBodyText"/>
                    <w:jc w:val="left"/>
                  </w:pPr>
                  <w:r>
                    <w:t>New shale</w:t>
                  </w:r>
                </w:p>
              </w:tc>
              <w:tc>
                <w:tcPr>
                  <w:tcW w:w="689" w:type="pct"/>
                  <w:shd w:val="clear" w:color="auto" w:fill="auto"/>
                </w:tcPr>
                <w:p w14:paraId="7368C2D2" w14:textId="77777777" w:rsidR="00DA3852" w:rsidRDefault="00DA3852" w:rsidP="00C03F9E">
                  <w:pPr>
                    <w:pStyle w:val="TableBodyText"/>
                    <w:jc w:val="left"/>
                  </w:pPr>
                  <w:r>
                    <w:t>Shale</w:t>
                  </w:r>
                </w:p>
              </w:tc>
              <w:tc>
                <w:tcPr>
                  <w:tcW w:w="1275" w:type="pct"/>
                </w:tcPr>
                <w:p w14:paraId="1506E5AE" w14:textId="77777777" w:rsidR="00DA3852" w:rsidRDefault="00DA3852" w:rsidP="00C03F9E">
                  <w:pPr>
                    <w:pStyle w:val="TableBodyText"/>
                  </w:pPr>
                  <w:r w:rsidRPr="00AC4CD2">
                    <w:t>0</w:t>
                  </w:r>
                </w:p>
              </w:tc>
              <w:tc>
                <w:tcPr>
                  <w:tcW w:w="1071" w:type="pct"/>
                  <w:shd w:val="clear" w:color="auto" w:fill="auto"/>
                  <w:vAlign w:val="bottom"/>
                </w:tcPr>
                <w:p w14:paraId="44A6138F" w14:textId="77777777" w:rsidR="00DA3852" w:rsidRDefault="00DA3852" w:rsidP="00C03F9E">
                  <w:pPr>
                    <w:pStyle w:val="TableBodyText"/>
                  </w:pPr>
                  <w:r>
                    <w:t>0</w:t>
                  </w:r>
                </w:p>
              </w:tc>
            </w:tr>
            <w:tr w:rsidR="00DA3852" w14:paraId="4DC4163D" w14:textId="77777777" w:rsidTr="00C03F9E">
              <w:tc>
                <w:tcPr>
                  <w:tcW w:w="792" w:type="pct"/>
                  <w:shd w:val="clear" w:color="auto" w:fill="auto"/>
                </w:tcPr>
                <w:p w14:paraId="3EA2D563" w14:textId="77777777" w:rsidR="00DA3852" w:rsidRDefault="00DA3852" w:rsidP="00C03F9E">
                  <w:pPr>
                    <w:pStyle w:val="TableBodyText"/>
                    <w:jc w:val="left"/>
                  </w:pPr>
                  <w:r>
                    <w:t>Cooper</w:t>
                  </w:r>
                </w:p>
              </w:tc>
              <w:tc>
                <w:tcPr>
                  <w:tcW w:w="1172" w:type="pct"/>
                  <w:shd w:val="clear" w:color="auto" w:fill="auto"/>
                </w:tcPr>
                <w:p w14:paraId="07E11D78" w14:textId="77777777" w:rsidR="00DA3852" w:rsidRDefault="00DA3852" w:rsidP="00C03F9E">
                  <w:pPr>
                    <w:pStyle w:val="TableBodyText"/>
                    <w:jc w:val="left"/>
                  </w:pPr>
                  <w:r>
                    <w:t>New infill</w:t>
                  </w:r>
                </w:p>
              </w:tc>
              <w:tc>
                <w:tcPr>
                  <w:tcW w:w="689" w:type="pct"/>
                  <w:shd w:val="clear" w:color="auto" w:fill="auto"/>
                </w:tcPr>
                <w:p w14:paraId="62344AA6" w14:textId="77777777" w:rsidR="00DA3852" w:rsidRDefault="00DA3852" w:rsidP="00C03F9E">
                  <w:pPr>
                    <w:pStyle w:val="TableBodyText"/>
                    <w:jc w:val="left"/>
                  </w:pPr>
                  <w:r>
                    <w:t>Conventional</w:t>
                  </w:r>
                </w:p>
              </w:tc>
              <w:tc>
                <w:tcPr>
                  <w:tcW w:w="1275" w:type="pct"/>
                </w:tcPr>
                <w:p w14:paraId="0B20BC24" w14:textId="77777777" w:rsidR="00DA3852" w:rsidRDefault="00DA3852" w:rsidP="00C03F9E">
                  <w:pPr>
                    <w:pStyle w:val="TableBodyText"/>
                  </w:pPr>
                  <w:r w:rsidRPr="00AC4CD2">
                    <w:t>0</w:t>
                  </w:r>
                </w:p>
              </w:tc>
              <w:tc>
                <w:tcPr>
                  <w:tcW w:w="1071" w:type="pct"/>
                  <w:shd w:val="clear" w:color="auto" w:fill="auto"/>
                  <w:vAlign w:val="bottom"/>
                </w:tcPr>
                <w:p w14:paraId="01DE71E5" w14:textId="77777777" w:rsidR="00DA3852" w:rsidRDefault="00DA3852" w:rsidP="00C03F9E">
                  <w:pPr>
                    <w:pStyle w:val="TableBodyText"/>
                  </w:pPr>
                  <w:r>
                    <w:t>0</w:t>
                  </w:r>
                </w:p>
              </w:tc>
            </w:tr>
            <w:tr w:rsidR="00DA3852" w14:paraId="3C917BBE" w14:textId="77777777" w:rsidTr="00C03F9E">
              <w:tc>
                <w:tcPr>
                  <w:tcW w:w="792" w:type="pct"/>
                  <w:shd w:val="clear" w:color="auto" w:fill="auto"/>
                </w:tcPr>
                <w:p w14:paraId="7695F6E7" w14:textId="77777777" w:rsidR="00DA3852" w:rsidRDefault="00DA3852" w:rsidP="00C03F9E">
                  <w:pPr>
                    <w:pStyle w:val="TableBodyText"/>
                    <w:jc w:val="left"/>
                  </w:pPr>
                  <w:r>
                    <w:t>Cooper</w:t>
                  </w:r>
                </w:p>
              </w:tc>
              <w:tc>
                <w:tcPr>
                  <w:tcW w:w="1172" w:type="pct"/>
                  <w:shd w:val="clear" w:color="auto" w:fill="auto"/>
                </w:tcPr>
                <w:p w14:paraId="722DFD77" w14:textId="77777777" w:rsidR="00DA3852" w:rsidRDefault="00DA3852" w:rsidP="00C03F9E">
                  <w:pPr>
                    <w:pStyle w:val="TableBodyText"/>
                    <w:jc w:val="left"/>
                  </w:pPr>
                  <w:r>
                    <w:t>New CSG</w:t>
                  </w:r>
                </w:p>
              </w:tc>
              <w:tc>
                <w:tcPr>
                  <w:tcW w:w="689" w:type="pct"/>
                  <w:shd w:val="clear" w:color="auto" w:fill="auto"/>
                </w:tcPr>
                <w:p w14:paraId="6961C0AE" w14:textId="77777777" w:rsidR="00DA3852" w:rsidRDefault="00DA3852" w:rsidP="00C03F9E">
                  <w:pPr>
                    <w:pStyle w:val="TableBodyText"/>
                    <w:jc w:val="left"/>
                  </w:pPr>
                  <w:r>
                    <w:t>CSG</w:t>
                  </w:r>
                </w:p>
              </w:tc>
              <w:tc>
                <w:tcPr>
                  <w:tcW w:w="1275" w:type="pct"/>
                </w:tcPr>
                <w:p w14:paraId="6629B630" w14:textId="77777777" w:rsidR="00DA3852" w:rsidRDefault="00DA3852" w:rsidP="00C03F9E">
                  <w:pPr>
                    <w:pStyle w:val="TableBodyText"/>
                  </w:pPr>
                  <w:r w:rsidRPr="00AC4CD2">
                    <w:t>0</w:t>
                  </w:r>
                </w:p>
              </w:tc>
              <w:tc>
                <w:tcPr>
                  <w:tcW w:w="1071" w:type="pct"/>
                  <w:shd w:val="clear" w:color="auto" w:fill="auto"/>
                  <w:vAlign w:val="bottom"/>
                </w:tcPr>
                <w:p w14:paraId="693F4D9D" w14:textId="77777777" w:rsidR="00DA3852" w:rsidRDefault="00DA3852" w:rsidP="00C03F9E">
                  <w:pPr>
                    <w:pStyle w:val="TableBodyText"/>
                  </w:pPr>
                  <w:r>
                    <w:t>0</w:t>
                  </w:r>
                </w:p>
              </w:tc>
            </w:tr>
            <w:tr w:rsidR="00DA3852" w14:paraId="3110F4E2" w14:textId="77777777" w:rsidTr="00C03F9E">
              <w:tc>
                <w:tcPr>
                  <w:tcW w:w="792" w:type="pct"/>
                  <w:shd w:val="clear" w:color="auto" w:fill="auto"/>
                </w:tcPr>
                <w:p w14:paraId="3444FD98" w14:textId="77777777" w:rsidR="00DA3852" w:rsidRDefault="00DA3852" w:rsidP="00C03F9E">
                  <w:pPr>
                    <w:pStyle w:val="TableBodyText"/>
                    <w:jc w:val="left"/>
                  </w:pPr>
                  <w:r>
                    <w:t>Cooper</w:t>
                  </w:r>
                </w:p>
              </w:tc>
              <w:tc>
                <w:tcPr>
                  <w:tcW w:w="1172" w:type="pct"/>
                  <w:shd w:val="clear" w:color="auto" w:fill="auto"/>
                </w:tcPr>
                <w:p w14:paraId="55C17454" w14:textId="77777777" w:rsidR="00DA3852" w:rsidRDefault="00DA3852" w:rsidP="00C03F9E">
                  <w:pPr>
                    <w:pStyle w:val="TableBodyText"/>
                    <w:jc w:val="left"/>
                  </w:pPr>
                  <w:r>
                    <w:t>GLNG</w:t>
                  </w:r>
                </w:p>
              </w:tc>
              <w:tc>
                <w:tcPr>
                  <w:tcW w:w="689" w:type="pct"/>
                  <w:shd w:val="clear" w:color="auto" w:fill="auto"/>
                </w:tcPr>
                <w:p w14:paraId="7998989F" w14:textId="77777777" w:rsidR="00DA3852" w:rsidRDefault="00DA3852" w:rsidP="00C03F9E">
                  <w:pPr>
                    <w:pStyle w:val="TableBodyText"/>
                    <w:jc w:val="left"/>
                  </w:pPr>
                  <w:r>
                    <w:t>Conventional</w:t>
                  </w:r>
                </w:p>
              </w:tc>
              <w:tc>
                <w:tcPr>
                  <w:tcW w:w="1275" w:type="pct"/>
                </w:tcPr>
                <w:p w14:paraId="6E24115B" w14:textId="77777777" w:rsidR="00DA3852" w:rsidRDefault="00DA3852" w:rsidP="00C03F9E">
                  <w:pPr>
                    <w:pStyle w:val="TableBodyText"/>
                  </w:pPr>
                  <w:r w:rsidRPr="00AC4CD2">
                    <w:t>0</w:t>
                  </w:r>
                </w:p>
              </w:tc>
              <w:tc>
                <w:tcPr>
                  <w:tcW w:w="1071" w:type="pct"/>
                  <w:shd w:val="clear" w:color="auto" w:fill="auto"/>
                  <w:vAlign w:val="bottom"/>
                </w:tcPr>
                <w:p w14:paraId="78BACB2A" w14:textId="77777777" w:rsidR="00DA3852" w:rsidRDefault="00DA3852" w:rsidP="00C03F9E">
                  <w:pPr>
                    <w:pStyle w:val="TableBodyText"/>
                    <w:rPr>
                      <w:i/>
                    </w:rPr>
                  </w:pPr>
                  <w:r>
                    <w:t>10</w:t>
                  </w:r>
                </w:p>
              </w:tc>
            </w:tr>
            <w:tr w:rsidR="00DA3852" w14:paraId="05A24DF5" w14:textId="77777777" w:rsidTr="00C03F9E">
              <w:tc>
                <w:tcPr>
                  <w:tcW w:w="792" w:type="pct"/>
                  <w:shd w:val="clear" w:color="auto" w:fill="auto"/>
                </w:tcPr>
                <w:p w14:paraId="728F47DB" w14:textId="77777777" w:rsidR="00DA3852" w:rsidRDefault="00DA3852" w:rsidP="00C03F9E">
                  <w:pPr>
                    <w:pStyle w:val="TableBodyText"/>
                    <w:jc w:val="left"/>
                  </w:pPr>
                  <w:r>
                    <w:t>Gippsland</w:t>
                  </w:r>
                </w:p>
              </w:tc>
              <w:tc>
                <w:tcPr>
                  <w:tcW w:w="1172" w:type="pct"/>
                  <w:shd w:val="clear" w:color="auto" w:fill="auto"/>
                </w:tcPr>
                <w:p w14:paraId="7DC4A0E1" w14:textId="77777777" w:rsidR="00DA3852" w:rsidRDefault="00DA3852" w:rsidP="00C03F9E">
                  <w:pPr>
                    <w:pStyle w:val="TableBodyText"/>
                    <w:jc w:val="left"/>
                  </w:pPr>
                  <w:r>
                    <w:t xml:space="preserve">GBJV and Turrum </w:t>
                  </w:r>
                </w:p>
              </w:tc>
              <w:tc>
                <w:tcPr>
                  <w:tcW w:w="689" w:type="pct"/>
                  <w:shd w:val="clear" w:color="auto" w:fill="auto"/>
                </w:tcPr>
                <w:p w14:paraId="7B5CCF65" w14:textId="77777777" w:rsidR="00DA3852" w:rsidRDefault="00DA3852" w:rsidP="00C03F9E">
                  <w:pPr>
                    <w:pStyle w:val="TableBodyText"/>
                    <w:jc w:val="left"/>
                  </w:pPr>
                  <w:r>
                    <w:t>Conventional</w:t>
                  </w:r>
                </w:p>
              </w:tc>
              <w:tc>
                <w:tcPr>
                  <w:tcW w:w="1275" w:type="pct"/>
                </w:tcPr>
                <w:p w14:paraId="328D590B" w14:textId="77777777" w:rsidR="00DA3852" w:rsidRDefault="00DA3852" w:rsidP="00C03F9E">
                  <w:pPr>
                    <w:pStyle w:val="TableBodyText"/>
                  </w:pPr>
                  <w:r w:rsidRPr="00AC4CD2">
                    <w:t>241</w:t>
                  </w:r>
                </w:p>
              </w:tc>
              <w:tc>
                <w:tcPr>
                  <w:tcW w:w="1071" w:type="pct"/>
                  <w:shd w:val="clear" w:color="auto" w:fill="auto"/>
                  <w:vAlign w:val="bottom"/>
                </w:tcPr>
                <w:p w14:paraId="739DBE81" w14:textId="77777777" w:rsidR="00DA3852" w:rsidRDefault="00DA3852" w:rsidP="00C03F9E">
                  <w:pPr>
                    <w:pStyle w:val="TableBodyText"/>
                  </w:pPr>
                  <w:r>
                    <w:t>0</w:t>
                  </w:r>
                </w:p>
              </w:tc>
            </w:tr>
            <w:tr w:rsidR="00DA3852" w14:paraId="5B5161E0" w14:textId="77777777" w:rsidTr="00C03F9E">
              <w:tc>
                <w:tcPr>
                  <w:tcW w:w="792" w:type="pct"/>
                  <w:shd w:val="clear" w:color="auto" w:fill="auto"/>
                </w:tcPr>
                <w:p w14:paraId="3E95637B" w14:textId="77777777" w:rsidR="00DA3852" w:rsidRDefault="00DA3852" w:rsidP="00C03F9E">
                  <w:pPr>
                    <w:pStyle w:val="TableBodyText"/>
                    <w:jc w:val="left"/>
                  </w:pPr>
                  <w:r>
                    <w:t>Gippsland</w:t>
                  </w:r>
                </w:p>
              </w:tc>
              <w:tc>
                <w:tcPr>
                  <w:tcW w:w="1172" w:type="pct"/>
                  <w:shd w:val="clear" w:color="auto" w:fill="auto"/>
                </w:tcPr>
                <w:p w14:paraId="0416375C" w14:textId="77777777" w:rsidR="00DA3852" w:rsidRDefault="00DA3852" w:rsidP="00C03F9E">
                  <w:pPr>
                    <w:pStyle w:val="TableBodyText"/>
                    <w:jc w:val="left"/>
                  </w:pPr>
                  <w:r>
                    <w:t>Kipper</w:t>
                  </w:r>
                </w:p>
              </w:tc>
              <w:tc>
                <w:tcPr>
                  <w:tcW w:w="689" w:type="pct"/>
                  <w:shd w:val="clear" w:color="auto" w:fill="auto"/>
                </w:tcPr>
                <w:p w14:paraId="63567772" w14:textId="77777777" w:rsidR="00DA3852" w:rsidRDefault="00DA3852" w:rsidP="00C03F9E">
                  <w:pPr>
                    <w:pStyle w:val="TableBodyText"/>
                    <w:jc w:val="left"/>
                  </w:pPr>
                  <w:r>
                    <w:t>Conventional</w:t>
                  </w:r>
                </w:p>
              </w:tc>
              <w:tc>
                <w:tcPr>
                  <w:tcW w:w="1275" w:type="pct"/>
                </w:tcPr>
                <w:p w14:paraId="07314502" w14:textId="77777777" w:rsidR="00DA3852" w:rsidRDefault="00DA3852" w:rsidP="00C03F9E">
                  <w:pPr>
                    <w:pStyle w:val="TableBodyText"/>
                  </w:pPr>
                  <w:r w:rsidRPr="00AC4CD2">
                    <w:t>0</w:t>
                  </w:r>
                </w:p>
              </w:tc>
              <w:tc>
                <w:tcPr>
                  <w:tcW w:w="1071" w:type="pct"/>
                  <w:shd w:val="clear" w:color="auto" w:fill="auto"/>
                  <w:vAlign w:val="bottom"/>
                </w:tcPr>
                <w:p w14:paraId="0831031F" w14:textId="77777777" w:rsidR="00DA3852" w:rsidRDefault="00DA3852" w:rsidP="00C03F9E">
                  <w:pPr>
                    <w:pStyle w:val="TableBodyText"/>
                  </w:pPr>
                  <w:r>
                    <w:t>0</w:t>
                  </w:r>
                </w:p>
              </w:tc>
            </w:tr>
            <w:tr w:rsidR="00DA3852" w14:paraId="78C2A520" w14:textId="77777777" w:rsidTr="00C03F9E">
              <w:tc>
                <w:tcPr>
                  <w:tcW w:w="792" w:type="pct"/>
                  <w:shd w:val="clear" w:color="auto" w:fill="auto"/>
                </w:tcPr>
                <w:p w14:paraId="5C24AF42" w14:textId="77777777" w:rsidR="00DA3852" w:rsidRDefault="00DA3852" w:rsidP="00C03F9E">
                  <w:pPr>
                    <w:pStyle w:val="TableBodyText"/>
                    <w:jc w:val="left"/>
                  </w:pPr>
                  <w:r>
                    <w:t>Gippsland</w:t>
                  </w:r>
                </w:p>
              </w:tc>
              <w:tc>
                <w:tcPr>
                  <w:tcW w:w="1172" w:type="pct"/>
                  <w:shd w:val="clear" w:color="auto" w:fill="auto"/>
                </w:tcPr>
                <w:p w14:paraId="06644B80" w14:textId="77777777" w:rsidR="00DA3852" w:rsidRDefault="00DA3852" w:rsidP="00C03F9E">
                  <w:pPr>
                    <w:pStyle w:val="TableBodyText"/>
                    <w:jc w:val="left"/>
                  </w:pPr>
                  <w:proofErr w:type="spellStart"/>
                  <w:r>
                    <w:t>Longtom</w:t>
                  </w:r>
                  <w:proofErr w:type="spellEnd"/>
                </w:p>
              </w:tc>
              <w:tc>
                <w:tcPr>
                  <w:tcW w:w="689" w:type="pct"/>
                  <w:shd w:val="clear" w:color="auto" w:fill="auto"/>
                </w:tcPr>
                <w:p w14:paraId="50B11CC7" w14:textId="77777777" w:rsidR="00DA3852" w:rsidRDefault="00DA3852" w:rsidP="00C03F9E">
                  <w:pPr>
                    <w:pStyle w:val="TableBodyText"/>
                    <w:jc w:val="left"/>
                  </w:pPr>
                  <w:r>
                    <w:t>Conventional</w:t>
                  </w:r>
                </w:p>
              </w:tc>
              <w:tc>
                <w:tcPr>
                  <w:tcW w:w="1275" w:type="pct"/>
                </w:tcPr>
                <w:p w14:paraId="35A9EFBC" w14:textId="77777777" w:rsidR="00DA3852" w:rsidRDefault="00DA3852" w:rsidP="00C03F9E">
                  <w:pPr>
                    <w:pStyle w:val="TableBodyText"/>
                  </w:pPr>
                  <w:r w:rsidRPr="00AC4CD2">
                    <w:t>25</w:t>
                  </w:r>
                </w:p>
              </w:tc>
              <w:tc>
                <w:tcPr>
                  <w:tcW w:w="1071" w:type="pct"/>
                  <w:shd w:val="clear" w:color="auto" w:fill="auto"/>
                  <w:vAlign w:val="bottom"/>
                </w:tcPr>
                <w:p w14:paraId="535ED949" w14:textId="77777777" w:rsidR="00DA3852" w:rsidRDefault="00DA3852" w:rsidP="00C03F9E">
                  <w:pPr>
                    <w:pStyle w:val="TableBodyText"/>
                  </w:pPr>
                  <w:r>
                    <w:t>0</w:t>
                  </w:r>
                </w:p>
              </w:tc>
            </w:tr>
            <w:tr w:rsidR="00DA3852" w14:paraId="3EF9FB7E" w14:textId="77777777" w:rsidTr="00C03F9E">
              <w:tc>
                <w:tcPr>
                  <w:tcW w:w="792" w:type="pct"/>
                  <w:shd w:val="clear" w:color="auto" w:fill="auto"/>
                </w:tcPr>
                <w:p w14:paraId="5E45B422" w14:textId="77777777" w:rsidR="00DA3852" w:rsidRDefault="00DA3852" w:rsidP="00C03F9E">
                  <w:pPr>
                    <w:pStyle w:val="TableBodyText"/>
                    <w:jc w:val="left"/>
                  </w:pPr>
                  <w:r>
                    <w:t>Gippsland</w:t>
                  </w:r>
                </w:p>
              </w:tc>
              <w:tc>
                <w:tcPr>
                  <w:tcW w:w="1172" w:type="pct"/>
                  <w:shd w:val="clear" w:color="auto" w:fill="auto"/>
                </w:tcPr>
                <w:p w14:paraId="331C71C4" w14:textId="77777777" w:rsidR="00DA3852" w:rsidRDefault="00DA3852" w:rsidP="00C03F9E">
                  <w:pPr>
                    <w:pStyle w:val="TableBodyText"/>
                    <w:jc w:val="left"/>
                  </w:pPr>
                  <w:r>
                    <w:t>New unconventional</w:t>
                  </w:r>
                </w:p>
              </w:tc>
              <w:tc>
                <w:tcPr>
                  <w:tcW w:w="689" w:type="pct"/>
                  <w:shd w:val="clear" w:color="auto" w:fill="auto"/>
                </w:tcPr>
                <w:p w14:paraId="654537E1" w14:textId="77777777" w:rsidR="00DA3852" w:rsidRDefault="00DA3852" w:rsidP="00C03F9E">
                  <w:pPr>
                    <w:pStyle w:val="TableBodyText"/>
                    <w:jc w:val="left"/>
                  </w:pPr>
                  <w:r>
                    <w:t>CSG</w:t>
                  </w:r>
                </w:p>
              </w:tc>
              <w:tc>
                <w:tcPr>
                  <w:tcW w:w="1275" w:type="pct"/>
                </w:tcPr>
                <w:p w14:paraId="2B7D9E1D" w14:textId="77777777" w:rsidR="00DA3852" w:rsidRDefault="00DA3852" w:rsidP="00C03F9E">
                  <w:pPr>
                    <w:pStyle w:val="TableBodyText"/>
                  </w:pPr>
                  <w:r w:rsidRPr="00AC4CD2">
                    <w:t>0</w:t>
                  </w:r>
                </w:p>
              </w:tc>
              <w:tc>
                <w:tcPr>
                  <w:tcW w:w="1071" w:type="pct"/>
                  <w:shd w:val="clear" w:color="auto" w:fill="auto"/>
                  <w:vAlign w:val="bottom"/>
                </w:tcPr>
                <w:p w14:paraId="0D277D2E" w14:textId="77777777" w:rsidR="00DA3852" w:rsidRDefault="00DA3852" w:rsidP="00C03F9E">
                  <w:pPr>
                    <w:pStyle w:val="TableBodyText"/>
                  </w:pPr>
                  <w:r>
                    <w:t>0</w:t>
                  </w:r>
                </w:p>
              </w:tc>
            </w:tr>
            <w:tr w:rsidR="00DA3852" w14:paraId="46FB1A32" w14:textId="77777777" w:rsidTr="00C03F9E">
              <w:tc>
                <w:tcPr>
                  <w:tcW w:w="792" w:type="pct"/>
                  <w:shd w:val="clear" w:color="auto" w:fill="auto"/>
                </w:tcPr>
                <w:p w14:paraId="1731E9F1" w14:textId="77777777" w:rsidR="00DA3852" w:rsidRDefault="00DA3852" w:rsidP="00C03F9E">
                  <w:pPr>
                    <w:pStyle w:val="TableBodyText"/>
                    <w:jc w:val="left"/>
                  </w:pPr>
                  <w:r>
                    <w:t>Gippsland</w:t>
                  </w:r>
                </w:p>
              </w:tc>
              <w:tc>
                <w:tcPr>
                  <w:tcW w:w="1172" w:type="pct"/>
                  <w:shd w:val="clear" w:color="auto" w:fill="auto"/>
                </w:tcPr>
                <w:p w14:paraId="70E87BDE" w14:textId="77777777" w:rsidR="00DA3852" w:rsidRDefault="00DA3852" w:rsidP="00C03F9E">
                  <w:pPr>
                    <w:pStyle w:val="TableBodyText"/>
                    <w:jc w:val="left"/>
                  </w:pPr>
                  <w:r>
                    <w:t>New offshore</w:t>
                  </w:r>
                </w:p>
              </w:tc>
              <w:tc>
                <w:tcPr>
                  <w:tcW w:w="689" w:type="pct"/>
                  <w:shd w:val="clear" w:color="auto" w:fill="auto"/>
                </w:tcPr>
                <w:p w14:paraId="21E4F221" w14:textId="77777777" w:rsidR="00DA3852" w:rsidRDefault="00DA3852" w:rsidP="00C03F9E">
                  <w:pPr>
                    <w:pStyle w:val="TableBodyText"/>
                    <w:jc w:val="left"/>
                  </w:pPr>
                  <w:r>
                    <w:t>Conventional</w:t>
                  </w:r>
                </w:p>
              </w:tc>
              <w:tc>
                <w:tcPr>
                  <w:tcW w:w="1275" w:type="pct"/>
                </w:tcPr>
                <w:p w14:paraId="6729A6D7" w14:textId="77777777" w:rsidR="00DA3852" w:rsidRDefault="00DA3852" w:rsidP="00C03F9E">
                  <w:pPr>
                    <w:pStyle w:val="TableBodyText"/>
                  </w:pPr>
                  <w:r w:rsidRPr="00AC4CD2">
                    <w:t>0</w:t>
                  </w:r>
                </w:p>
              </w:tc>
              <w:tc>
                <w:tcPr>
                  <w:tcW w:w="1071" w:type="pct"/>
                  <w:shd w:val="clear" w:color="auto" w:fill="auto"/>
                  <w:vAlign w:val="bottom"/>
                </w:tcPr>
                <w:p w14:paraId="43F2718D" w14:textId="77777777" w:rsidR="00DA3852" w:rsidRDefault="00DA3852" w:rsidP="00C03F9E">
                  <w:pPr>
                    <w:pStyle w:val="TableBodyText"/>
                    <w:rPr>
                      <w:i/>
                    </w:rPr>
                  </w:pPr>
                  <w:r>
                    <w:t>8</w:t>
                  </w:r>
                </w:p>
              </w:tc>
            </w:tr>
            <w:tr w:rsidR="00DA3852" w14:paraId="5AD1772F" w14:textId="77777777" w:rsidTr="00C03F9E">
              <w:tc>
                <w:tcPr>
                  <w:tcW w:w="792" w:type="pct"/>
                  <w:shd w:val="clear" w:color="auto" w:fill="auto"/>
                </w:tcPr>
                <w:p w14:paraId="2A28C030" w14:textId="77777777" w:rsidR="00DA3852" w:rsidRDefault="00DA3852" w:rsidP="00C03F9E">
                  <w:pPr>
                    <w:pStyle w:val="TableBodyText"/>
                    <w:jc w:val="left"/>
                  </w:pPr>
                  <w:r>
                    <w:t>Gloucester</w:t>
                  </w:r>
                </w:p>
              </w:tc>
              <w:tc>
                <w:tcPr>
                  <w:tcW w:w="1172" w:type="pct"/>
                  <w:shd w:val="clear" w:color="auto" w:fill="auto"/>
                </w:tcPr>
                <w:p w14:paraId="7861CAF9" w14:textId="77777777" w:rsidR="00DA3852" w:rsidRDefault="00DA3852" w:rsidP="00C03F9E">
                  <w:pPr>
                    <w:pStyle w:val="TableBodyText"/>
                    <w:jc w:val="left"/>
                  </w:pPr>
                  <w:r>
                    <w:t>Gloucester (CSG)</w:t>
                  </w:r>
                </w:p>
              </w:tc>
              <w:tc>
                <w:tcPr>
                  <w:tcW w:w="689" w:type="pct"/>
                  <w:shd w:val="clear" w:color="auto" w:fill="auto"/>
                </w:tcPr>
                <w:p w14:paraId="5AB4B4FB" w14:textId="77777777" w:rsidR="00DA3852" w:rsidRDefault="00DA3852" w:rsidP="00C03F9E">
                  <w:pPr>
                    <w:pStyle w:val="TableBodyText"/>
                    <w:jc w:val="left"/>
                  </w:pPr>
                  <w:r>
                    <w:t>CSG</w:t>
                  </w:r>
                </w:p>
              </w:tc>
              <w:tc>
                <w:tcPr>
                  <w:tcW w:w="1275" w:type="pct"/>
                </w:tcPr>
                <w:p w14:paraId="618FEB0E" w14:textId="77777777" w:rsidR="00DA3852" w:rsidRDefault="00DA3852" w:rsidP="00C03F9E">
                  <w:pPr>
                    <w:pStyle w:val="TableBodyText"/>
                  </w:pPr>
                  <w:r w:rsidRPr="00AC4CD2">
                    <w:t>0</w:t>
                  </w:r>
                </w:p>
              </w:tc>
              <w:tc>
                <w:tcPr>
                  <w:tcW w:w="1071" w:type="pct"/>
                  <w:shd w:val="clear" w:color="auto" w:fill="auto"/>
                  <w:vAlign w:val="bottom"/>
                </w:tcPr>
                <w:p w14:paraId="69396B2C" w14:textId="77777777" w:rsidR="00DA3852" w:rsidRDefault="00DA3852" w:rsidP="00C03F9E">
                  <w:pPr>
                    <w:pStyle w:val="TableBodyText"/>
                  </w:pPr>
                  <w:r>
                    <w:t>0</w:t>
                  </w:r>
                </w:p>
              </w:tc>
            </w:tr>
            <w:tr w:rsidR="00DA3852" w14:paraId="670EABEE" w14:textId="77777777" w:rsidTr="00C03F9E">
              <w:tc>
                <w:tcPr>
                  <w:tcW w:w="792" w:type="pct"/>
                  <w:shd w:val="clear" w:color="auto" w:fill="auto"/>
                </w:tcPr>
                <w:p w14:paraId="30D63E1C" w14:textId="77777777" w:rsidR="00DA3852" w:rsidRDefault="00DA3852" w:rsidP="00C03F9E">
                  <w:pPr>
                    <w:pStyle w:val="TableBodyText"/>
                    <w:jc w:val="left"/>
                  </w:pPr>
                  <w:r>
                    <w:t>Gunnedah</w:t>
                  </w:r>
                </w:p>
              </w:tc>
              <w:tc>
                <w:tcPr>
                  <w:tcW w:w="1172" w:type="pct"/>
                  <w:shd w:val="clear" w:color="auto" w:fill="auto"/>
                </w:tcPr>
                <w:p w14:paraId="26199190" w14:textId="77777777" w:rsidR="00DA3852" w:rsidRDefault="00DA3852" w:rsidP="00C03F9E">
                  <w:pPr>
                    <w:pStyle w:val="TableBodyText"/>
                    <w:jc w:val="left"/>
                  </w:pPr>
                  <w:r>
                    <w:t>New CSG tier 1</w:t>
                  </w:r>
                </w:p>
              </w:tc>
              <w:tc>
                <w:tcPr>
                  <w:tcW w:w="689" w:type="pct"/>
                  <w:shd w:val="clear" w:color="auto" w:fill="auto"/>
                </w:tcPr>
                <w:p w14:paraId="3DF20F8A" w14:textId="77777777" w:rsidR="00DA3852" w:rsidRDefault="00DA3852" w:rsidP="00C03F9E">
                  <w:pPr>
                    <w:pStyle w:val="TableBodyText"/>
                    <w:jc w:val="left"/>
                  </w:pPr>
                  <w:r>
                    <w:t>CSG</w:t>
                  </w:r>
                </w:p>
              </w:tc>
              <w:tc>
                <w:tcPr>
                  <w:tcW w:w="1275" w:type="pct"/>
                </w:tcPr>
                <w:p w14:paraId="0A4AECE4" w14:textId="77777777" w:rsidR="00DA3852" w:rsidRDefault="00DA3852" w:rsidP="00C03F9E">
                  <w:pPr>
                    <w:pStyle w:val="TableBodyText"/>
                  </w:pPr>
                  <w:r w:rsidRPr="00AC4CD2">
                    <w:t>0</w:t>
                  </w:r>
                </w:p>
              </w:tc>
              <w:tc>
                <w:tcPr>
                  <w:tcW w:w="1071" w:type="pct"/>
                  <w:shd w:val="clear" w:color="auto" w:fill="auto"/>
                  <w:vAlign w:val="bottom"/>
                </w:tcPr>
                <w:p w14:paraId="776E8C70" w14:textId="77777777" w:rsidR="00DA3852" w:rsidRDefault="00DA3852" w:rsidP="00C03F9E">
                  <w:pPr>
                    <w:pStyle w:val="TableBodyText"/>
                  </w:pPr>
                  <w:r>
                    <w:t>0</w:t>
                  </w:r>
                </w:p>
              </w:tc>
            </w:tr>
            <w:tr w:rsidR="00DA3852" w14:paraId="76B333EF" w14:textId="77777777" w:rsidTr="00C03F9E">
              <w:tc>
                <w:tcPr>
                  <w:tcW w:w="792" w:type="pct"/>
                  <w:shd w:val="clear" w:color="auto" w:fill="auto"/>
                </w:tcPr>
                <w:p w14:paraId="38E6C46B" w14:textId="77777777" w:rsidR="00DA3852" w:rsidRDefault="00DA3852" w:rsidP="00C03F9E">
                  <w:pPr>
                    <w:pStyle w:val="TableBodyText"/>
                    <w:jc w:val="left"/>
                  </w:pPr>
                  <w:r>
                    <w:t>Gunnedah</w:t>
                  </w:r>
                </w:p>
              </w:tc>
              <w:tc>
                <w:tcPr>
                  <w:tcW w:w="1172" w:type="pct"/>
                  <w:shd w:val="clear" w:color="auto" w:fill="auto"/>
                </w:tcPr>
                <w:p w14:paraId="080A197C" w14:textId="77777777" w:rsidR="00DA3852" w:rsidRDefault="00DA3852" w:rsidP="00C03F9E">
                  <w:pPr>
                    <w:pStyle w:val="TableBodyText"/>
                    <w:jc w:val="left"/>
                  </w:pPr>
                  <w:r>
                    <w:t>New CSG tier 2</w:t>
                  </w:r>
                </w:p>
              </w:tc>
              <w:tc>
                <w:tcPr>
                  <w:tcW w:w="689" w:type="pct"/>
                  <w:shd w:val="clear" w:color="auto" w:fill="auto"/>
                </w:tcPr>
                <w:p w14:paraId="06807102" w14:textId="77777777" w:rsidR="00DA3852" w:rsidRDefault="00DA3852" w:rsidP="00C03F9E">
                  <w:pPr>
                    <w:pStyle w:val="TableBodyText"/>
                    <w:jc w:val="left"/>
                  </w:pPr>
                  <w:r>
                    <w:t>CSG</w:t>
                  </w:r>
                </w:p>
              </w:tc>
              <w:tc>
                <w:tcPr>
                  <w:tcW w:w="1275" w:type="pct"/>
                </w:tcPr>
                <w:p w14:paraId="087C0DBB" w14:textId="77777777" w:rsidR="00DA3852" w:rsidRDefault="00DA3852" w:rsidP="00C03F9E">
                  <w:pPr>
                    <w:pStyle w:val="TableBodyText"/>
                  </w:pPr>
                  <w:r w:rsidRPr="00AC4CD2">
                    <w:t>0</w:t>
                  </w:r>
                </w:p>
              </w:tc>
              <w:tc>
                <w:tcPr>
                  <w:tcW w:w="1071" w:type="pct"/>
                  <w:shd w:val="clear" w:color="auto" w:fill="auto"/>
                  <w:vAlign w:val="bottom"/>
                </w:tcPr>
                <w:p w14:paraId="1A2774A9" w14:textId="77777777" w:rsidR="00DA3852" w:rsidRDefault="00DA3852" w:rsidP="00C03F9E">
                  <w:pPr>
                    <w:pStyle w:val="TableBodyText"/>
                  </w:pPr>
                  <w:r>
                    <w:t>0</w:t>
                  </w:r>
                </w:p>
              </w:tc>
            </w:tr>
            <w:tr w:rsidR="00DA3852" w14:paraId="0374F1F5" w14:textId="77777777" w:rsidTr="00C03F9E">
              <w:tc>
                <w:tcPr>
                  <w:tcW w:w="792" w:type="pct"/>
                  <w:shd w:val="clear" w:color="auto" w:fill="auto"/>
                </w:tcPr>
                <w:p w14:paraId="53DC4F09" w14:textId="77777777" w:rsidR="00DA3852" w:rsidRDefault="00DA3852" w:rsidP="00C03F9E">
                  <w:pPr>
                    <w:pStyle w:val="TableBodyText"/>
                    <w:jc w:val="left"/>
                  </w:pPr>
                  <w:r>
                    <w:t>Otway</w:t>
                  </w:r>
                </w:p>
              </w:tc>
              <w:tc>
                <w:tcPr>
                  <w:tcW w:w="1172" w:type="pct"/>
                  <w:shd w:val="clear" w:color="auto" w:fill="auto"/>
                </w:tcPr>
                <w:p w14:paraId="45D0E5CF" w14:textId="77777777" w:rsidR="00DA3852" w:rsidRDefault="00DA3852" w:rsidP="00C03F9E">
                  <w:pPr>
                    <w:pStyle w:val="TableBodyText"/>
                    <w:jc w:val="left"/>
                  </w:pPr>
                  <w:r>
                    <w:t>Casino/Henry/Netherby</w:t>
                  </w:r>
                </w:p>
              </w:tc>
              <w:tc>
                <w:tcPr>
                  <w:tcW w:w="689" w:type="pct"/>
                  <w:shd w:val="clear" w:color="auto" w:fill="auto"/>
                </w:tcPr>
                <w:p w14:paraId="7A0D125C" w14:textId="77777777" w:rsidR="00DA3852" w:rsidRDefault="00DA3852" w:rsidP="00C03F9E">
                  <w:pPr>
                    <w:pStyle w:val="TableBodyText"/>
                    <w:jc w:val="left"/>
                  </w:pPr>
                  <w:r>
                    <w:t>Conventional</w:t>
                  </w:r>
                </w:p>
              </w:tc>
              <w:tc>
                <w:tcPr>
                  <w:tcW w:w="1275" w:type="pct"/>
                </w:tcPr>
                <w:p w14:paraId="62863D4B" w14:textId="77777777" w:rsidR="00DA3852" w:rsidRDefault="00DA3852" w:rsidP="00C03F9E">
                  <w:pPr>
                    <w:pStyle w:val="TableBodyText"/>
                  </w:pPr>
                  <w:r w:rsidRPr="00AC4CD2">
                    <w:t>34</w:t>
                  </w:r>
                </w:p>
              </w:tc>
              <w:tc>
                <w:tcPr>
                  <w:tcW w:w="1071" w:type="pct"/>
                  <w:shd w:val="clear" w:color="auto" w:fill="auto"/>
                  <w:vAlign w:val="bottom"/>
                </w:tcPr>
                <w:p w14:paraId="52EA5969" w14:textId="77777777" w:rsidR="00DA3852" w:rsidRDefault="00DA3852" w:rsidP="00C03F9E">
                  <w:pPr>
                    <w:pStyle w:val="TableBodyText"/>
                  </w:pPr>
                  <w:r>
                    <w:t>0</w:t>
                  </w:r>
                </w:p>
              </w:tc>
            </w:tr>
            <w:tr w:rsidR="00DA3852" w14:paraId="1CA08939" w14:textId="77777777" w:rsidTr="00C03F9E">
              <w:tc>
                <w:tcPr>
                  <w:tcW w:w="792" w:type="pct"/>
                  <w:shd w:val="clear" w:color="auto" w:fill="auto"/>
                </w:tcPr>
                <w:p w14:paraId="3872EB31" w14:textId="77777777" w:rsidR="00DA3852" w:rsidRDefault="00DA3852" w:rsidP="00C03F9E">
                  <w:pPr>
                    <w:pStyle w:val="TableBodyText"/>
                    <w:jc w:val="left"/>
                  </w:pPr>
                  <w:r>
                    <w:t>Otway</w:t>
                  </w:r>
                </w:p>
              </w:tc>
              <w:tc>
                <w:tcPr>
                  <w:tcW w:w="1172" w:type="pct"/>
                  <w:shd w:val="clear" w:color="auto" w:fill="auto"/>
                </w:tcPr>
                <w:p w14:paraId="2BB59091" w14:textId="77777777" w:rsidR="00DA3852" w:rsidRDefault="00DA3852" w:rsidP="00C03F9E">
                  <w:pPr>
                    <w:pStyle w:val="TableBodyText"/>
                    <w:jc w:val="left"/>
                  </w:pPr>
                  <w:r>
                    <w:t>Otway Gas Project</w:t>
                  </w:r>
                </w:p>
              </w:tc>
              <w:tc>
                <w:tcPr>
                  <w:tcW w:w="689" w:type="pct"/>
                  <w:shd w:val="clear" w:color="auto" w:fill="auto"/>
                </w:tcPr>
                <w:p w14:paraId="6F77D560" w14:textId="77777777" w:rsidR="00DA3852" w:rsidRDefault="00DA3852" w:rsidP="00C03F9E">
                  <w:pPr>
                    <w:pStyle w:val="TableBodyText"/>
                    <w:jc w:val="left"/>
                  </w:pPr>
                  <w:r>
                    <w:t>Conventional</w:t>
                  </w:r>
                </w:p>
              </w:tc>
              <w:tc>
                <w:tcPr>
                  <w:tcW w:w="1275" w:type="pct"/>
                </w:tcPr>
                <w:p w14:paraId="6341C7BF" w14:textId="77777777" w:rsidR="00DA3852" w:rsidRDefault="00DA3852" w:rsidP="00C03F9E">
                  <w:pPr>
                    <w:pStyle w:val="TableBodyText"/>
                  </w:pPr>
                  <w:r w:rsidRPr="00AC4CD2">
                    <w:t>40</w:t>
                  </w:r>
                </w:p>
              </w:tc>
              <w:tc>
                <w:tcPr>
                  <w:tcW w:w="1071" w:type="pct"/>
                  <w:shd w:val="clear" w:color="auto" w:fill="auto"/>
                  <w:vAlign w:val="bottom"/>
                </w:tcPr>
                <w:p w14:paraId="6D98DE99" w14:textId="77777777" w:rsidR="00DA3852" w:rsidRDefault="00DA3852" w:rsidP="00C03F9E">
                  <w:pPr>
                    <w:pStyle w:val="TableBodyText"/>
                  </w:pPr>
                  <w:r>
                    <w:t>0</w:t>
                  </w:r>
                </w:p>
              </w:tc>
            </w:tr>
            <w:tr w:rsidR="00DA3852" w14:paraId="1893F119" w14:textId="77777777" w:rsidTr="00C03F9E">
              <w:tc>
                <w:tcPr>
                  <w:tcW w:w="792" w:type="pct"/>
                  <w:shd w:val="clear" w:color="auto" w:fill="auto"/>
                </w:tcPr>
                <w:p w14:paraId="55BD09ED" w14:textId="77777777" w:rsidR="00DA3852" w:rsidRDefault="00DA3852" w:rsidP="00C03F9E">
                  <w:pPr>
                    <w:pStyle w:val="TableBodyText"/>
                    <w:jc w:val="left"/>
                  </w:pPr>
                  <w:r>
                    <w:t>Otway</w:t>
                  </w:r>
                </w:p>
              </w:tc>
              <w:tc>
                <w:tcPr>
                  <w:tcW w:w="1172" w:type="pct"/>
                  <w:shd w:val="clear" w:color="auto" w:fill="auto"/>
                </w:tcPr>
                <w:p w14:paraId="5032A81B" w14:textId="77777777" w:rsidR="00DA3852" w:rsidRDefault="00DA3852" w:rsidP="00C03F9E">
                  <w:pPr>
                    <w:pStyle w:val="TableBodyText"/>
                    <w:jc w:val="left"/>
                  </w:pPr>
                  <w:r>
                    <w:t>Minerva</w:t>
                  </w:r>
                </w:p>
              </w:tc>
              <w:tc>
                <w:tcPr>
                  <w:tcW w:w="689" w:type="pct"/>
                  <w:shd w:val="clear" w:color="auto" w:fill="auto"/>
                </w:tcPr>
                <w:p w14:paraId="4267F9F0" w14:textId="77777777" w:rsidR="00DA3852" w:rsidRDefault="00DA3852" w:rsidP="00C03F9E">
                  <w:pPr>
                    <w:pStyle w:val="TableBodyText"/>
                    <w:jc w:val="left"/>
                  </w:pPr>
                  <w:r>
                    <w:t>Conventional</w:t>
                  </w:r>
                </w:p>
              </w:tc>
              <w:tc>
                <w:tcPr>
                  <w:tcW w:w="1275" w:type="pct"/>
                </w:tcPr>
                <w:p w14:paraId="29EC35C5" w14:textId="77777777" w:rsidR="00DA3852" w:rsidRDefault="00DA3852" w:rsidP="00C03F9E">
                  <w:pPr>
                    <w:pStyle w:val="TableBodyText"/>
                  </w:pPr>
                  <w:r w:rsidRPr="00AC4CD2">
                    <w:t>23</w:t>
                  </w:r>
                </w:p>
              </w:tc>
              <w:tc>
                <w:tcPr>
                  <w:tcW w:w="1071" w:type="pct"/>
                  <w:shd w:val="clear" w:color="auto" w:fill="auto"/>
                  <w:vAlign w:val="bottom"/>
                </w:tcPr>
                <w:p w14:paraId="65D78847" w14:textId="77777777" w:rsidR="00DA3852" w:rsidRDefault="00DA3852" w:rsidP="00C03F9E">
                  <w:pPr>
                    <w:pStyle w:val="TableBodyText"/>
                  </w:pPr>
                  <w:r>
                    <w:t>0</w:t>
                  </w:r>
                </w:p>
              </w:tc>
            </w:tr>
            <w:tr w:rsidR="00DA3852" w14:paraId="3168ECB3" w14:textId="77777777" w:rsidTr="00C03F9E">
              <w:tc>
                <w:tcPr>
                  <w:tcW w:w="792" w:type="pct"/>
                  <w:shd w:val="clear" w:color="auto" w:fill="auto"/>
                </w:tcPr>
                <w:p w14:paraId="7E9515BC" w14:textId="77777777" w:rsidR="00DA3852" w:rsidRDefault="00DA3852" w:rsidP="00C03F9E">
                  <w:pPr>
                    <w:pStyle w:val="TableBodyText"/>
                    <w:jc w:val="left"/>
                  </w:pPr>
                  <w:r>
                    <w:t>Otway</w:t>
                  </w:r>
                </w:p>
              </w:tc>
              <w:tc>
                <w:tcPr>
                  <w:tcW w:w="1172" w:type="pct"/>
                  <w:shd w:val="clear" w:color="auto" w:fill="auto"/>
                </w:tcPr>
                <w:p w14:paraId="386FBC57" w14:textId="77777777" w:rsidR="00DA3852" w:rsidRDefault="00DA3852" w:rsidP="00C03F9E">
                  <w:pPr>
                    <w:pStyle w:val="TableBodyText"/>
                    <w:jc w:val="left"/>
                  </w:pPr>
                  <w:r>
                    <w:t>Halladale/</w:t>
                  </w:r>
                  <w:proofErr w:type="spellStart"/>
                  <w:r>
                    <w:t>Blackwatch</w:t>
                  </w:r>
                  <w:proofErr w:type="spellEnd"/>
                </w:p>
              </w:tc>
              <w:tc>
                <w:tcPr>
                  <w:tcW w:w="689" w:type="pct"/>
                  <w:shd w:val="clear" w:color="auto" w:fill="auto"/>
                </w:tcPr>
                <w:p w14:paraId="319936CA" w14:textId="77777777" w:rsidR="00DA3852" w:rsidRDefault="00DA3852" w:rsidP="00C03F9E">
                  <w:pPr>
                    <w:pStyle w:val="TableBodyText"/>
                    <w:jc w:val="left"/>
                  </w:pPr>
                  <w:r>
                    <w:t>Conventional</w:t>
                  </w:r>
                </w:p>
              </w:tc>
              <w:tc>
                <w:tcPr>
                  <w:tcW w:w="1275" w:type="pct"/>
                </w:tcPr>
                <w:p w14:paraId="5DD7AD69" w14:textId="77777777" w:rsidR="00DA3852" w:rsidRDefault="00DA3852" w:rsidP="00C03F9E">
                  <w:pPr>
                    <w:pStyle w:val="TableBodyText"/>
                  </w:pPr>
                  <w:r w:rsidRPr="00AC4CD2">
                    <w:t>0</w:t>
                  </w:r>
                </w:p>
              </w:tc>
              <w:tc>
                <w:tcPr>
                  <w:tcW w:w="1071" w:type="pct"/>
                  <w:shd w:val="clear" w:color="auto" w:fill="auto"/>
                  <w:vAlign w:val="bottom"/>
                </w:tcPr>
                <w:p w14:paraId="362480AB" w14:textId="77777777" w:rsidR="00DA3852" w:rsidRDefault="00DA3852" w:rsidP="00C03F9E">
                  <w:pPr>
                    <w:pStyle w:val="TableBodyText"/>
                  </w:pPr>
                  <w:r>
                    <w:t>0</w:t>
                  </w:r>
                </w:p>
              </w:tc>
            </w:tr>
            <w:tr w:rsidR="00DA3852" w14:paraId="15A075EF" w14:textId="77777777" w:rsidTr="00C03F9E">
              <w:tc>
                <w:tcPr>
                  <w:tcW w:w="792" w:type="pct"/>
                  <w:shd w:val="clear" w:color="auto" w:fill="auto"/>
                </w:tcPr>
                <w:p w14:paraId="214D5AEF" w14:textId="77777777" w:rsidR="00DA3852" w:rsidRDefault="00DA3852" w:rsidP="00C03F9E">
                  <w:pPr>
                    <w:pStyle w:val="TableBodyText"/>
                    <w:jc w:val="left"/>
                  </w:pPr>
                  <w:r>
                    <w:t>Otway</w:t>
                  </w:r>
                </w:p>
              </w:tc>
              <w:tc>
                <w:tcPr>
                  <w:tcW w:w="1172" w:type="pct"/>
                  <w:shd w:val="clear" w:color="auto" w:fill="auto"/>
                </w:tcPr>
                <w:p w14:paraId="2FA63660" w14:textId="77777777" w:rsidR="00DA3852" w:rsidRDefault="00DA3852" w:rsidP="00C03F9E">
                  <w:pPr>
                    <w:pStyle w:val="TableBodyText"/>
                    <w:jc w:val="left"/>
                  </w:pPr>
                  <w:r>
                    <w:t>New CSG</w:t>
                  </w:r>
                </w:p>
              </w:tc>
              <w:tc>
                <w:tcPr>
                  <w:tcW w:w="689" w:type="pct"/>
                  <w:shd w:val="clear" w:color="auto" w:fill="auto"/>
                </w:tcPr>
                <w:p w14:paraId="1680D985" w14:textId="77777777" w:rsidR="00DA3852" w:rsidRDefault="00DA3852" w:rsidP="00C03F9E">
                  <w:pPr>
                    <w:pStyle w:val="TableBodyText"/>
                    <w:jc w:val="left"/>
                  </w:pPr>
                  <w:r>
                    <w:t>CSG</w:t>
                  </w:r>
                </w:p>
              </w:tc>
              <w:tc>
                <w:tcPr>
                  <w:tcW w:w="1275" w:type="pct"/>
                </w:tcPr>
                <w:p w14:paraId="68257238" w14:textId="77777777" w:rsidR="00DA3852" w:rsidRDefault="00DA3852" w:rsidP="00C03F9E">
                  <w:pPr>
                    <w:pStyle w:val="TableBodyText"/>
                  </w:pPr>
                  <w:r w:rsidRPr="00AC4CD2">
                    <w:t>0</w:t>
                  </w:r>
                </w:p>
              </w:tc>
              <w:tc>
                <w:tcPr>
                  <w:tcW w:w="1071" w:type="pct"/>
                  <w:shd w:val="clear" w:color="auto" w:fill="auto"/>
                  <w:vAlign w:val="bottom"/>
                </w:tcPr>
                <w:p w14:paraId="7F9BC34E" w14:textId="77777777" w:rsidR="00DA3852" w:rsidRDefault="00DA3852" w:rsidP="00C03F9E">
                  <w:pPr>
                    <w:pStyle w:val="TableBodyText"/>
                  </w:pPr>
                  <w:r>
                    <w:t>0</w:t>
                  </w:r>
                </w:p>
              </w:tc>
            </w:tr>
            <w:tr w:rsidR="00DA3852" w14:paraId="0B8C6A52" w14:textId="77777777" w:rsidTr="00C03F9E">
              <w:tc>
                <w:tcPr>
                  <w:tcW w:w="792" w:type="pct"/>
                  <w:shd w:val="clear" w:color="auto" w:fill="auto"/>
                </w:tcPr>
                <w:p w14:paraId="47D90932" w14:textId="31EE04EE" w:rsidR="00DA3852" w:rsidRDefault="00DA3852" w:rsidP="00C03F9E">
                  <w:pPr>
                    <w:pStyle w:val="TableBodyText"/>
                    <w:jc w:val="left"/>
                  </w:pPr>
                  <w:r>
                    <w:t>Surat–Bowen</w:t>
                  </w:r>
                </w:p>
              </w:tc>
              <w:tc>
                <w:tcPr>
                  <w:tcW w:w="1172" w:type="pct"/>
                  <w:shd w:val="clear" w:color="auto" w:fill="auto"/>
                </w:tcPr>
                <w:p w14:paraId="6C42A5EB" w14:textId="77777777" w:rsidR="00DA3852" w:rsidRDefault="00DA3852" w:rsidP="00C03F9E">
                  <w:pPr>
                    <w:pStyle w:val="TableBodyText"/>
                    <w:jc w:val="left"/>
                  </w:pPr>
                  <w:r>
                    <w:t>Conventional</w:t>
                  </w:r>
                </w:p>
              </w:tc>
              <w:tc>
                <w:tcPr>
                  <w:tcW w:w="689" w:type="pct"/>
                  <w:shd w:val="clear" w:color="auto" w:fill="auto"/>
                </w:tcPr>
                <w:p w14:paraId="53E411A5" w14:textId="77777777" w:rsidR="00DA3852" w:rsidRDefault="00DA3852" w:rsidP="00C03F9E">
                  <w:pPr>
                    <w:pStyle w:val="TableBodyText"/>
                    <w:jc w:val="left"/>
                  </w:pPr>
                  <w:r>
                    <w:t>Conventional</w:t>
                  </w:r>
                </w:p>
              </w:tc>
              <w:tc>
                <w:tcPr>
                  <w:tcW w:w="1275" w:type="pct"/>
                </w:tcPr>
                <w:p w14:paraId="6F85C8B8" w14:textId="77777777" w:rsidR="00DA3852" w:rsidRDefault="00DA3852" w:rsidP="00C03F9E">
                  <w:pPr>
                    <w:pStyle w:val="TableBodyText"/>
                  </w:pPr>
                  <w:r>
                    <w:t>5</w:t>
                  </w:r>
                </w:p>
              </w:tc>
              <w:tc>
                <w:tcPr>
                  <w:tcW w:w="1071" w:type="pct"/>
                  <w:shd w:val="clear" w:color="auto" w:fill="auto"/>
                  <w:vAlign w:val="bottom"/>
                </w:tcPr>
                <w:p w14:paraId="7A723C9E" w14:textId="77777777" w:rsidR="00DA3852" w:rsidRDefault="00DA3852" w:rsidP="00C03F9E">
                  <w:pPr>
                    <w:pStyle w:val="TableBodyText"/>
                  </w:pPr>
                  <w:r>
                    <w:t>0</w:t>
                  </w:r>
                </w:p>
              </w:tc>
            </w:tr>
            <w:tr w:rsidR="00DA3852" w14:paraId="767D9592" w14:textId="77777777" w:rsidTr="00C03F9E">
              <w:tc>
                <w:tcPr>
                  <w:tcW w:w="792" w:type="pct"/>
                  <w:shd w:val="clear" w:color="auto" w:fill="auto"/>
                </w:tcPr>
                <w:p w14:paraId="24D77514" w14:textId="25B9CB4D" w:rsidR="00DA3852" w:rsidRDefault="00DA3852" w:rsidP="00C03F9E">
                  <w:pPr>
                    <w:pStyle w:val="TableBodyText"/>
                    <w:jc w:val="left"/>
                  </w:pPr>
                  <w:r>
                    <w:t>Surat–Bowen</w:t>
                  </w:r>
                </w:p>
              </w:tc>
              <w:tc>
                <w:tcPr>
                  <w:tcW w:w="1172" w:type="pct"/>
                  <w:shd w:val="clear" w:color="auto" w:fill="auto"/>
                </w:tcPr>
                <w:p w14:paraId="78B336F6" w14:textId="77777777" w:rsidR="00DA3852" w:rsidRDefault="00DA3852" w:rsidP="00C03F9E">
                  <w:pPr>
                    <w:pStyle w:val="TableBodyText"/>
                    <w:jc w:val="left"/>
                  </w:pPr>
                  <w:r>
                    <w:t>Fairview/Spring Gully</w:t>
                  </w:r>
                </w:p>
              </w:tc>
              <w:tc>
                <w:tcPr>
                  <w:tcW w:w="689" w:type="pct"/>
                  <w:shd w:val="clear" w:color="auto" w:fill="auto"/>
                </w:tcPr>
                <w:p w14:paraId="0E506C23" w14:textId="77777777" w:rsidR="00DA3852" w:rsidRDefault="00DA3852" w:rsidP="00C03F9E">
                  <w:pPr>
                    <w:pStyle w:val="TableBodyText"/>
                    <w:jc w:val="left"/>
                  </w:pPr>
                  <w:r>
                    <w:t>CSG</w:t>
                  </w:r>
                </w:p>
              </w:tc>
              <w:tc>
                <w:tcPr>
                  <w:tcW w:w="1275" w:type="pct"/>
                </w:tcPr>
                <w:p w14:paraId="3E513C6D" w14:textId="77777777" w:rsidR="00DA3852" w:rsidRDefault="00DA3852" w:rsidP="00C03F9E">
                  <w:pPr>
                    <w:pStyle w:val="TableBodyText"/>
                  </w:pPr>
                  <w:r w:rsidRPr="00AC4CD2">
                    <w:t>105</w:t>
                  </w:r>
                </w:p>
              </w:tc>
              <w:tc>
                <w:tcPr>
                  <w:tcW w:w="1071" w:type="pct"/>
                  <w:shd w:val="clear" w:color="auto" w:fill="auto"/>
                  <w:vAlign w:val="bottom"/>
                </w:tcPr>
                <w:p w14:paraId="4D8806E6" w14:textId="77777777" w:rsidR="00DA3852" w:rsidRDefault="00DA3852" w:rsidP="00C03F9E">
                  <w:pPr>
                    <w:pStyle w:val="TableBodyText"/>
                  </w:pPr>
                  <w:r>
                    <w:t>0</w:t>
                  </w:r>
                </w:p>
              </w:tc>
            </w:tr>
            <w:tr w:rsidR="00DA3852" w14:paraId="310DB6D4" w14:textId="77777777" w:rsidTr="00C03F9E">
              <w:tc>
                <w:tcPr>
                  <w:tcW w:w="792" w:type="pct"/>
                  <w:shd w:val="clear" w:color="auto" w:fill="auto"/>
                </w:tcPr>
                <w:p w14:paraId="4ADFF115" w14:textId="5646AA0F" w:rsidR="00DA3852" w:rsidRDefault="00DA3852" w:rsidP="00C03F9E">
                  <w:pPr>
                    <w:pStyle w:val="TableBodyText"/>
                    <w:jc w:val="left"/>
                  </w:pPr>
                  <w:r>
                    <w:t>Surat–Bowen</w:t>
                  </w:r>
                </w:p>
              </w:tc>
              <w:tc>
                <w:tcPr>
                  <w:tcW w:w="1172" w:type="pct"/>
                  <w:shd w:val="clear" w:color="auto" w:fill="auto"/>
                </w:tcPr>
                <w:p w14:paraId="0C3093D0" w14:textId="77777777" w:rsidR="00DA3852" w:rsidRDefault="00DA3852" w:rsidP="00C03F9E">
                  <w:pPr>
                    <w:pStyle w:val="TableBodyText"/>
                    <w:jc w:val="left"/>
                  </w:pPr>
                  <w:r>
                    <w:t>Walloons East</w:t>
                  </w:r>
                </w:p>
              </w:tc>
              <w:tc>
                <w:tcPr>
                  <w:tcW w:w="689" w:type="pct"/>
                  <w:shd w:val="clear" w:color="auto" w:fill="auto"/>
                </w:tcPr>
                <w:p w14:paraId="3EA35C98" w14:textId="77777777" w:rsidR="00DA3852" w:rsidRDefault="00DA3852" w:rsidP="00C03F9E">
                  <w:pPr>
                    <w:pStyle w:val="TableBodyText"/>
                    <w:jc w:val="left"/>
                  </w:pPr>
                  <w:r>
                    <w:t>CSG</w:t>
                  </w:r>
                </w:p>
              </w:tc>
              <w:tc>
                <w:tcPr>
                  <w:tcW w:w="1275" w:type="pct"/>
                </w:tcPr>
                <w:p w14:paraId="1C23F861" w14:textId="77777777" w:rsidR="00DA3852" w:rsidRDefault="00DA3852" w:rsidP="00C03F9E">
                  <w:pPr>
                    <w:pStyle w:val="TableBodyText"/>
                  </w:pPr>
                  <w:r w:rsidRPr="00AC4CD2">
                    <w:t>94</w:t>
                  </w:r>
                </w:p>
              </w:tc>
              <w:tc>
                <w:tcPr>
                  <w:tcW w:w="1071" w:type="pct"/>
                  <w:shd w:val="clear" w:color="auto" w:fill="auto"/>
                  <w:vAlign w:val="bottom"/>
                </w:tcPr>
                <w:p w14:paraId="2AFC6DD1" w14:textId="77777777" w:rsidR="00DA3852" w:rsidRDefault="00DA3852" w:rsidP="00C03F9E">
                  <w:pPr>
                    <w:pStyle w:val="TableBodyText"/>
                    <w:rPr>
                      <w:i/>
                    </w:rPr>
                  </w:pPr>
                  <w:r>
                    <w:t>10</w:t>
                  </w:r>
                </w:p>
              </w:tc>
            </w:tr>
            <w:tr w:rsidR="00DA3852" w14:paraId="261732DD" w14:textId="77777777" w:rsidTr="00C03F9E">
              <w:tc>
                <w:tcPr>
                  <w:tcW w:w="792" w:type="pct"/>
                  <w:shd w:val="clear" w:color="auto" w:fill="auto"/>
                </w:tcPr>
                <w:p w14:paraId="762BBCED" w14:textId="41EF1E61" w:rsidR="00DA3852" w:rsidRDefault="00DA3852" w:rsidP="00C03F9E">
                  <w:pPr>
                    <w:pStyle w:val="TableBodyText"/>
                    <w:jc w:val="left"/>
                  </w:pPr>
                  <w:r>
                    <w:t>Surat–Bowen</w:t>
                  </w:r>
                </w:p>
              </w:tc>
              <w:tc>
                <w:tcPr>
                  <w:tcW w:w="1172" w:type="pct"/>
                  <w:shd w:val="clear" w:color="auto" w:fill="auto"/>
                </w:tcPr>
                <w:p w14:paraId="06FBCF1B" w14:textId="77777777" w:rsidR="00DA3852" w:rsidRDefault="00DA3852" w:rsidP="00C03F9E">
                  <w:pPr>
                    <w:pStyle w:val="TableBodyText"/>
                    <w:jc w:val="left"/>
                  </w:pPr>
                  <w:r>
                    <w:t>Walloons Mid</w:t>
                  </w:r>
                </w:p>
              </w:tc>
              <w:tc>
                <w:tcPr>
                  <w:tcW w:w="689" w:type="pct"/>
                  <w:shd w:val="clear" w:color="auto" w:fill="auto"/>
                </w:tcPr>
                <w:p w14:paraId="0544EDCB" w14:textId="77777777" w:rsidR="00DA3852" w:rsidRDefault="00DA3852" w:rsidP="00C03F9E">
                  <w:pPr>
                    <w:pStyle w:val="TableBodyText"/>
                    <w:jc w:val="left"/>
                  </w:pPr>
                  <w:r>
                    <w:t>CSG</w:t>
                  </w:r>
                </w:p>
              </w:tc>
              <w:tc>
                <w:tcPr>
                  <w:tcW w:w="1275" w:type="pct"/>
                </w:tcPr>
                <w:p w14:paraId="406333F4" w14:textId="77777777" w:rsidR="00DA3852" w:rsidRDefault="00DA3852" w:rsidP="00C03F9E">
                  <w:pPr>
                    <w:pStyle w:val="TableBodyText"/>
                  </w:pPr>
                  <w:r w:rsidRPr="00AC4CD2">
                    <w:t>0</w:t>
                  </w:r>
                </w:p>
              </w:tc>
              <w:tc>
                <w:tcPr>
                  <w:tcW w:w="1071" w:type="pct"/>
                  <w:shd w:val="clear" w:color="auto" w:fill="auto"/>
                  <w:vAlign w:val="bottom"/>
                </w:tcPr>
                <w:p w14:paraId="38CCDBC0" w14:textId="77777777" w:rsidR="00DA3852" w:rsidRDefault="00DA3852" w:rsidP="00C03F9E">
                  <w:pPr>
                    <w:pStyle w:val="TableBodyText"/>
                  </w:pPr>
                  <w:r>
                    <w:t>0</w:t>
                  </w:r>
                </w:p>
              </w:tc>
            </w:tr>
            <w:tr w:rsidR="00DA3852" w14:paraId="2A030DCC" w14:textId="77777777" w:rsidTr="00C03F9E">
              <w:tc>
                <w:tcPr>
                  <w:tcW w:w="792" w:type="pct"/>
                  <w:shd w:val="clear" w:color="auto" w:fill="auto"/>
                </w:tcPr>
                <w:p w14:paraId="63070127" w14:textId="3C9B41E3" w:rsidR="00DA3852" w:rsidRDefault="00DA3852" w:rsidP="00C03F9E">
                  <w:pPr>
                    <w:pStyle w:val="TableBodyText"/>
                    <w:jc w:val="left"/>
                  </w:pPr>
                  <w:r>
                    <w:t>Surat–Bowen</w:t>
                  </w:r>
                </w:p>
              </w:tc>
              <w:tc>
                <w:tcPr>
                  <w:tcW w:w="1172" w:type="pct"/>
                  <w:shd w:val="clear" w:color="auto" w:fill="auto"/>
                </w:tcPr>
                <w:p w14:paraId="1EC43034" w14:textId="77777777" w:rsidR="00DA3852" w:rsidRDefault="00DA3852" w:rsidP="00C03F9E">
                  <w:pPr>
                    <w:pStyle w:val="TableBodyText"/>
                    <w:jc w:val="left"/>
                  </w:pPr>
                  <w:r>
                    <w:t>Walloons West</w:t>
                  </w:r>
                </w:p>
              </w:tc>
              <w:tc>
                <w:tcPr>
                  <w:tcW w:w="689" w:type="pct"/>
                  <w:shd w:val="clear" w:color="auto" w:fill="auto"/>
                </w:tcPr>
                <w:p w14:paraId="6779F81B" w14:textId="77777777" w:rsidR="00DA3852" w:rsidRDefault="00DA3852" w:rsidP="00C03F9E">
                  <w:pPr>
                    <w:pStyle w:val="TableBodyText"/>
                    <w:jc w:val="left"/>
                  </w:pPr>
                  <w:r>
                    <w:t>CSG</w:t>
                  </w:r>
                </w:p>
              </w:tc>
              <w:tc>
                <w:tcPr>
                  <w:tcW w:w="1275" w:type="pct"/>
                </w:tcPr>
                <w:p w14:paraId="4D300D02" w14:textId="77777777" w:rsidR="00DA3852" w:rsidRDefault="00DA3852" w:rsidP="00C03F9E">
                  <w:pPr>
                    <w:pStyle w:val="TableBodyText"/>
                  </w:pPr>
                  <w:r w:rsidRPr="00AC4CD2">
                    <w:t>0</w:t>
                  </w:r>
                </w:p>
              </w:tc>
              <w:tc>
                <w:tcPr>
                  <w:tcW w:w="1071" w:type="pct"/>
                  <w:shd w:val="clear" w:color="auto" w:fill="auto"/>
                  <w:vAlign w:val="bottom"/>
                </w:tcPr>
                <w:p w14:paraId="476FE077" w14:textId="77777777" w:rsidR="00DA3852" w:rsidRDefault="00DA3852" w:rsidP="00C03F9E">
                  <w:pPr>
                    <w:pStyle w:val="TableBodyText"/>
                  </w:pPr>
                  <w:r>
                    <w:t>0</w:t>
                  </w:r>
                </w:p>
              </w:tc>
            </w:tr>
            <w:tr w:rsidR="00DA3852" w14:paraId="42575E61" w14:textId="77777777" w:rsidTr="00C03F9E">
              <w:tc>
                <w:tcPr>
                  <w:tcW w:w="792" w:type="pct"/>
                  <w:shd w:val="clear" w:color="auto" w:fill="auto"/>
                </w:tcPr>
                <w:p w14:paraId="52351969" w14:textId="4E6F6FA1" w:rsidR="00DA3852" w:rsidRDefault="00DA3852" w:rsidP="00C03F9E">
                  <w:pPr>
                    <w:pStyle w:val="TableBodyText"/>
                    <w:jc w:val="left"/>
                  </w:pPr>
                  <w:r>
                    <w:t>Surat–Bowen</w:t>
                  </w:r>
                </w:p>
              </w:tc>
              <w:tc>
                <w:tcPr>
                  <w:tcW w:w="1172" w:type="pct"/>
                  <w:shd w:val="clear" w:color="auto" w:fill="auto"/>
                </w:tcPr>
                <w:p w14:paraId="5A1CA3DD" w14:textId="77777777" w:rsidR="00DA3852" w:rsidRDefault="00DA3852" w:rsidP="00C03F9E">
                  <w:pPr>
                    <w:pStyle w:val="TableBodyText"/>
                    <w:jc w:val="left"/>
                  </w:pPr>
                  <w:r>
                    <w:t>Ironbark</w:t>
                  </w:r>
                </w:p>
              </w:tc>
              <w:tc>
                <w:tcPr>
                  <w:tcW w:w="689" w:type="pct"/>
                  <w:shd w:val="clear" w:color="auto" w:fill="auto"/>
                </w:tcPr>
                <w:p w14:paraId="17C74382" w14:textId="77777777" w:rsidR="00DA3852" w:rsidRDefault="00DA3852" w:rsidP="00C03F9E">
                  <w:pPr>
                    <w:pStyle w:val="TableBodyText"/>
                    <w:jc w:val="left"/>
                  </w:pPr>
                  <w:r>
                    <w:t>CSG</w:t>
                  </w:r>
                </w:p>
              </w:tc>
              <w:tc>
                <w:tcPr>
                  <w:tcW w:w="1275" w:type="pct"/>
                </w:tcPr>
                <w:p w14:paraId="52758D1F" w14:textId="77777777" w:rsidR="00DA3852" w:rsidRDefault="00DA3852" w:rsidP="00C03F9E">
                  <w:pPr>
                    <w:pStyle w:val="TableBodyText"/>
                  </w:pPr>
                  <w:r w:rsidRPr="00AC4CD2">
                    <w:t>0</w:t>
                  </w:r>
                </w:p>
              </w:tc>
              <w:tc>
                <w:tcPr>
                  <w:tcW w:w="1071" w:type="pct"/>
                  <w:shd w:val="clear" w:color="auto" w:fill="auto"/>
                  <w:vAlign w:val="bottom"/>
                </w:tcPr>
                <w:p w14:paraId="02B3AF43" w14:textId="77777777" w:rsidR="00DA3852" w:rsidRDefault="00DA3852" w:rsidP="00C03F9E">
                  <w:pPr>
                    <w:pStyle w:val="TableBodyText"/>
                  </w:pPr>
                  <w:r>
                    <w:t>0</w:t>
                  </w:r>
                </w:p>
              </w:tc>
            </w:tr>
            <w:tr w:rsidR="00DA3852" w14:paraId="1926DEE6" w14:textId="77777777" w:rsidTr="00C03F9E">
              <w:tc>
                <w:tcPr>
                  <w:tcW w:w="792" w:type="pct"/>
                  <w:shd w:val="clear" w:color="auto" w:fill="auto"/>
                </w:tcPr>
                <w:p w14:paraId="2CCC7C32" w14:textId="2DCE615E" w:rsidR="00DA3852" w:rsidRDefault="00DA3852" w:rsidP="00C03F9E">
                  <w:pPr>
                    <w:pStyle w:val="TableBodyText"/>
                    <w:jc w:val="left"/>
                  </w:pPr>
                  <w:r>
                    <w:t>Surat–Bowen</w:t>
                  </w:r>
                </w:p>
              </w:tc>
              <w:tc>
                <w:tcPr>
                  <w:tcW w:w="1172" w:type="pct"/>
                  <w:shd w:val="clear" w:color="auto" w:fill="auto"/>
                </w:tcPr>
                <w:p w14:paraId="3BC5432F" w14:textId="77777777" w:rsidR="00DA3852" w:rsidRDefault="00DA3852" w:rsidP="00C03F9E">
                  <w:pPr>
                    <w:pStyle w:val="TableBodyText"/>
                    <w:jc w:val="left"/>
                  </w:pPr>
                  <w:r>
                    <w:t>QCLNG</w:t>
                  </w:r>
                </w:p>
              </w:tc>
              <w:tc>
                <w:tcPr>
                  <w:tcW w:w="689" w:type="pct"/>
                  <w:shd w:val="clear" w:color="auto" w:fill="auto"/>
                </w:tcPr>
                <w:p w14:paraId="19AF44AF" w14:textId="77777777" w:rsidR="00DA3852" w:rsidRDefault="00DA3852" w:rsidP="00C03F9E">
                  <w:pPr>
                    <w:pStyle w:val="TableBodyText"/>
                    <w:jc w:val="left"/>
                  </w:pPr>
                  <w:r>
                    <w:t>CSG</w:t>
                  </w:r>
                </w:p>
              </w:tc>
              <w:tc>
                <w:tcPr>
                  <w:tcW w:w="1275" w:type="pct"/>
                </w:tcPr>
                <w:p w14:paraId="73EAA28C" w14:textId="77777777" w:rsidR="00DA3852" w:rsidRDefault="00DA3852" w:rsidP="00C03F9E">
                  <w:pPr>
                    <w:pStyle w:val="TableBodyText"/>
                  </w:pPr>
                  <w:r w:rsidRPr="00AC4CD2">
                    <w:t>0</w:t>
                  </w:r>
                </w:p>
              </w:tc>
              <w:tc>
                <w:tcPr>
                  <w:tcW w:w="1071" w:type="pct"/>
                  <w:shd w:val="clear" w:color="auto" w:fill="auto"/>
                  <w:vAlign w:val="bottom"/>
                </w:tcPr>
                <w:p w14:paraId="0B6ABED0" w14:textId="77777777" w:rsidR="00DA3852" w:rsidRDefault="00DA3852" w:rsidP="00C03F9E">
                  <w:pPr>
                    <w:pStyle w:val="TableBodyText"/>
                    <w:rPr>
                      <w:i/>
                    </w:rPr>
                  </w:pPr>
                  <w:r>
                    <w:t>203</w:t>
                  </w:r>
                </w:p>
              </w:tc>
            </w:tr>
            <w:tr w:rsidR="00DA3852" w14:paraId="02B4F5FF" w14:textId="77777777" w:rsidTr="00C03F9E">
              <w:tc>
                <w:tcPr>
                  <w:tcW w:w="792" w:type="pct"/>
                  <w:shd w:val="clear" w:color="auto" w:fill="auto"/>
                </w:tcPr>
                <w:p w14:paraId="0341CCEA" w14:textId="6E427B20" w:rsidR="00DA3852" w:rsidRDefault="00DA3852" w:rsidP="00C03F9E">
                  <w:pPr>
                    <w:pStyle w:val="TableBodyText"/>
                    <w:jc w:val="left"/>
                  </w:pPr>
                  <w:r>
                    <w:t>Surat–Bowen</w:t>
                  </w:r>
                </w:p>
              </w:tc>
              <w:tc>
                <w:tcPr>
                  <w:tcW w:w="1172" w:type="pct"/>
                  <w:shd w:val="clear" w:color="auto" w:fill="auto"/>
                </w:tcPr>
                <w:p w14:paraId="0E5ED8B2" w14:textId="77777777" w:rsidR="00DA3852" w:rsidRDefault="00DA3852" w:rsidP="00C03F9E">
                  <w:pPr>
                    <w:pStyle w:val="TableBodyText"/>
                    <w:jc w:val="left"/>
                  </w:pPr>
                  <w:r>
                    <w:t>APLNG</w:t>
                  </w:r>
                </w:p>
              </w:tc>
              <w:tc>
                <w:tcPr>
                  <w:tcW w:w="689" w:type="pct"/>
                  <w:shd w:val="clear" w:color="auto" w:fill="auto"/>
                </w:tcPr>
                <w:p w14:paraId="67ABD42B" w14:textId="77777777" w:rsidR="00DA3852" w:rsidRDefault="00DA3852" w:rsidP="00C03F9E">
                  <w:pPr>
                    <w:pStyle w:val="TableBodyText"/>
                    <w:jc w:val="left"/>
                  </w:pPr>
                  <w:r>
                    <w:t>CSG</w:t>
                  </w:r>
                </w:p>
              </w:tc>
              <w:tc>
                <w:tcPr>
                  <w:tcW w:w="1275" w:type="pct"/>
                </w:tcPr>
                <w:p w14:paraId="45F76C9B" w14:textId="77777777" w:rsidR="00DA3852" w:rsidRDefault="00DA3852" w:rsidP="00C03F9E">
                  <w:pPr>
                    <w:pStyle w:val="TableBodyText"/>
                  </w:pPr>
                  <w:r w:rsidRPr="00AC4CD2">
                    <w:t>0</w:t>
                  </w:r>
                </w:p>
              </w:tc>
              <w:tc>
                <w:tcPr>
                  <w:tcW w:w="1071" w:type="pct"/>
                  <w:shd w:val="clear" w:color="auto" w:fill="auto"/>
                  <w:vAlign w:val="bottom"/>
                </w:tcPr>
                <w:p w14:paraId="400E613B" w14:textId="77777777" w:rsidR="00DA3852" w:rsidRDefault="00DA3852" w:rsidP="00C03F9E">
                  <w:pPr>
                    <w:pStyle w:val="TableBodyText"/>
                  </w:pPr>
                  <w:r>
                    <w:t>0</w:t>
                  </w:r>
                </w:p>
              </w:tc>
            </w:tr>
            <w:tr w:rsidR="00DA3852" w14:paraId="7A065B09" w14:textId="77777777" w:rsidTr="00C03F9E">
              <w:tc>
                <w:tcPr>
                  <w:tcW w:w="792" w:type="pct"/>
                  <w:shd w:val="clear" w:color="auto" w:fill="auto"/>
                </w:tcPr>
                <w:p w14:paraId="734DD7C7" w14:textId="69DC6132" w:rsidR="00DA3852" w:rsidRDefault="00DA3852" w:rsidP="00C03F9E">
                  <w:pPr>
                    <w:pStyle w:val="TableBodyText"/>
                    <w:jc w:val="left"/>
                  </w:pPr>
                  <w:r>
                    <w:t>Surat–Bowen</w:t>
                  </w:r>
                </w:p>
              </w:tc>
              <w:tc>
                <w:tcPr>
                  <w:tcW w:w="1172" w:type="pct"/>
                  <w:shd w:val="clear" w:color="auto" w:fill="auto"/>
                </w:tcPr>
                <w:p w14:paraId="0C5BEA94" w14:textId="77777777" w:rsidR="00DA3852" w:rsidRDefault="00DA3852" w:rsidP="00C03F9E">
                  <w:pPr>
                    <w:pStyle w:val="TableBodyText"/>
                    <w:jc w:val="left"/>
                  </w:pPr>
                  <w:r>
                    <w:t>GLNG</w:t>
                  </w:r>
                </w:p>
              </w:tc>
              <w:tc>
                <w:tcPr>
                  <w:tcW w:w="689" w:type="pct"/>
                  <w:shd w:val="clear" w:color="auto" w:fill="auto"/>
                </w:tcPr>
                <w:p w14:paraId="3D42EEC8" w14:textId="77777777" w:rsidR="00DA3852" w:rsidRDefault="00DA3852" w:rsidP="00C03F9E">
                  <w:pPr>
                    <w:pStyle w:val="TableBodyText"/>
                    <w:jc w:val="left"/>
                  </w:pPr>
                  <w:r>
                    <w:t>CSG</w:t>
                  </w:r>
                </w:p>
              </w:tc>
              <w:tc>
                <w:tcPr>
                  <w:tcW w:w="1275" w:type="pct"/>
                </w:tcPr>
                <w:p w14:paraId="4BCF3F47" w14:textId="77777777" w:rsidR="00DA3852" w:rsidRDefault="00DA3852" w:rsidP="00C03F9E">
                  <w:pPr>
                    <w:pStyle w:val="TableBodyText"/>
                  </w:pPr>
                  <w:r w:rsidRPr="00AC4CD2">
                    <w:t>0</w:t>
                  </w:r>
                </w:p>
              </w:tc>
              <w:tc>
                <w:tcPr>
                  <w:tcW w:w="1071" w:type="pct"/>
                  <w:shd w:val="clear" w:color="auto" w:fill="auto"/>
                  <w:vAlign w:val="bottom"/>
                </w:tcPr>
                <w:p w14:paraId="68BB71B7" w14:textId="77777777" w:rsidR="00DA3852" w:rsidRDefault="00DA3852" w:rsidP="00C03F9E">
                  <w:pPr>
                    <w:pStyle w:val="TableBodyText"/>
                    <w:rPr>
                      <w:i/>
                    </w:rPr>
                  </w:pPr>
                  <w:r>
                    <w:t>32</w:t>
                  </w:r>
                </w:p>
              </w:tc>
            </w:tr>
            <w:tr w:rsidR="00DA3852" w14:paraId="67B80988" w14:textId="77777777" w:rsidTr="00C03F9E">
              <w:tc>
                <w:tcPr>
                  <w:tcW w:w="792" w:type="pct"/>
                  <w:shd w:val="clear" w:color="auto" w:fill="auto"/>
                </w:tcPr>
                <w:p w14:paraId="60DF5523" w14:textId="1463FEDB" w:rsidR="00DA3852" w:rsidRDefault="00DA3852" w:rsidP="00C03F9E">
                  <w:pPr>
                    <w:pStyle w:val="TableBodyText"/>
                    <w:jc w:val="left"/>
                  </w:pPr>
                  <w:r>
                    <w:t>Surat–Bowen</w:t>
                  </w:r>
                </w:p>
              </w:tc>
              <w:tc>
                <w:tcPr>
                  <w:tcW w:w="1172" w:type="pct"/>
                  <w:shd w:val="clear" w:color="auto" w:fill="auto"/>
                </w:tcPr>
                <w:p w14:paraId="72D21D11" w14:textId="1A994822" w:rsidR="00DA3852" w:rsidRDefault="00DA3852" w:rsidP="00C03F9E">
                  <w:pPr>
                    <w:pStyle w:val="TableBodyText"/>
                    <w:jc w:val="left"/>
                  </w:pPr>
                  <w:r>
                    <w:t>Arrow Energy</w:t>
                  </w:r>
                </w:p>
              </w:tc>
              <w:tc>
                <w:tcPr>
                  <w:tcW w:w="689" w:type="pct"/>
                  <w:shd w:val="clear" w:color="auto" w:fill="auto"/>
                </w:tcPr>
                <w:p w14:paraId="01B210F6" w14:textId="77777777" w:rsidR="00DA3852" w:rsidRDefault="00DA3852" w:rsidP="00C03F9E">
                  <w:pPr>
                    <w:pStyle w:val="TableBodyText"/>
                    <w:jc w:val="left"/>
                  </w:pPr>
                  <w:r>
                    <w:t>CSG</w:t>
                  </w:r>
                </w:p>
              </w:tc>
              <w:tc>
                <w:tcPr>
                  <w:tcW w:w="1275" w:type="pct"/>
                </w:tcPr>
                <w:p w14:paraId="2741638B" w14:textId="77777777" w:rsidR="00DA3852" w:rsidRDefault="00DA3852" w:rsidP="00C03F9E">
                  <w:pPr>
                    <w:pStyle w:val="TableBodyText"/>
                  </w:pPr>
                  <w:r w:rsidRPr="00AC4CD2">
                    <w:t>0</w:t>
                  </w:r>
                </w:p>
              </w:tc>
              <w:tc>
                <w:tcPr>
                  <w:tcW w:w="1071" w:type="pct"/>
                  <w:shd w:val="clear" w:color="auto" w:fill="auto"/>
                  <w:vAlign w:val="bottom"/>
                </w:tcPr>
                <w:p w14:paraId="12948B7E" w14:textId="77777777" w:rsidR="00DA3852" w:rsidRDefault="00DA3852" w:rsidP="00C03F9E">
                  <w:pPr>
                    <w:pStyle w:val="TableBodyText"/>
                  </w:pPr>
                  <w:r>
                    <w:t>0</w:t>
                  </w:r>
                </w:p>
              </w:tc>
            </w:tr>
            <w:tr w:rsidR="00DA3852" w14:paraId="1030164D" w14:textId="77777777" w:rsidTr="00C03F9E">
              <w:tc>
                <w:tcPr>
                  <w:tcW w:w="792" w:type="pct"/>
                  <w:shd w:val="clear" w:color="auto" w:fill="auto"/>
                </w:tcPr>
                <w:p w14:paraId="1A529F6B" w14:textId="77777777" w:rsidR="00DA3852" w:rsidRDefault="00DA3852" w:rsidP="00C03F9E">
                  <w:pPr>
                    <w:pStyle w:val="TableBodyText"/>
                    <w:jc w:val="left"/>
                  </w:pPr>
                  <w:r>
                    <w:t>Sydney</w:t>
                  </w:r>
                </w:p>
              </w:tc>
              <w:tc>
                <w:tcPr>
                  <w:tcW w:w="1172" w:type="pct"/>
                  <w:shd w:val="clear" w:color="auto" w:fill="auto"/>
                </w:tcPr>
                <w:p w14:paraId="6EBA8CC2" w14:textId="77777777" w:rsidR="00DA3852" w:rsidRDefault="00DA3852" w:rsidP="00C03F9E">
                  <w:pPr>
                    <w:pStyle w:val="TableBodyText"/>
                    <w:jc w:val="left"/>
                  </w:pPr>
                  <w:r>
                    <w:t>Camden</w:t>
                  </w:r>
                </w:p>
              </w:tc>
              <w:tc>
                <w:tcPr>
                  <w:tcW w:w="689" w:type="pct"/>
                  <w:shd w:val="clear" w:color="auto" w:fill="auto"/>
                </w:tcPr>
                <w:p w14:paraId="05B6D3DC" w14:textId="77777777" w:rsidR="00DA3852" w:rsidRDefault="00DA3852" w:rsidP="00C03F9E">
                  <w:pPr>
                    <w:pStyle w:val="TableBodyText"/>
                    <w:jc w:val="left"/>
                  </w:pPr>
                  <w:r>
                    <w:t>CSG</w:t>
                  </w:r>
                </w:p>
              </w:tc>
              <w:tc>
                <w:tcPr>
                  <w:tcW w:w="1275" w:type="pct"/>
                </w:tcPr>
                <w:p w14:paraId="51EA4941" w14:textId="77777777" w:rsidR="00DA3852" w:rsidRDefault="00DA3852" w:rsidP="00C03F9E">
                  <w:pPr>
                    <w:pStyle w:val="TableBodyText"/>
                  </w:pPr>
                  <w:r w:rsidRPr="00AC4CD2">
                    <w:t>6</w:t>
                  </w:r>
                </w:p>
              </w:tc>
              <w:tc>
                <w:tcPr>
                  <w:tcW w:w="1071" w:type="pct"/>
                  <w:shd w:val="clear" w:color="auto" w:fill="auto"/>
                  <w:vAlign w:val="bottom"/>
                </w:tcPr>
                <w:p w14:paraId="24093482" w14:textId="77777777" w:rsidR="00DA3852" w:rsidRDefault="00DA3852" w:rsidP="00C03F9E">
                  <w:pPr>
                    <w:pStyle w:val="TableBodyText"/>
                  </w:pPr>
                  <w:r>
                    <w:t>0</w:t>
                  </w:r>
                </w:p>
              </w:tc>
            </w:tr>
            <w:tr w:rsidR="00DA3852" w14:paraId="0B1F233E" w14:textId="77777777" w:rsidTr="00C03F9E">
              <w:trPr>
                <w:trHeight w:val="52"/>
              </w:trPr>
              <w:tc>
                <w:tcPr>
                  <w:tcW w:w="792" w:type="pct"/>
                  <w:shd w:val="clear" w:color="auto" w:fill="auto"/>
                </w:tcPr>
                <w:p w14:paraId="1FD44EDB" w14:textId="77777777" w:rsidR="00DA3852" w:rsidRDefault="00DA3852" w:rsidP="00C03F9E">
                  <w:pPr>
                    <w:pStyle w:val="TableBodyText"/>
                    <w:jc w:val="left"/>
                  </w:pPr>
                  <w:r>
                    <w:t>Sydney</w:t>
                  </w:r>
                </w:p>
              </w:tc>
              <w:tc>
                <w:tcPr>
                  <w:tcW w:w="1172" w:type="pct"/>
                  <w:shd w:val="clear" w:color="auto" w:fill="auto"/>
                </w:tcPr>
                <w:p w14:paraId="2EE1FAF5" w14:textId="77777777" w:rsidR="00DA3852" w:rsidRDefault="00DA3852" w:rsidP="00C03F9E">
                  <w:pPr>
                    <w:pStyle w:val="TableBodyText"/>
                    <w:jc w:val="left"/>
                  </w:pPr>
                  <w:r>
                    <w:t>Hunter Area</w:t>
                  </w:r>
                </w:p>
              </w:tc>
              <w:tc>
                <w:tcPr>
                  <w:tcW w:w="689" w:type="pct"/>
                  <w:shd w:val="clear" w:color="auto" w:fill="auto"/>
                </w:tcPr>
                <w:p w14:paraId="2E6542DA" w14:textId="77777777" w:rsidR="00DA3852" w:rsidRDefault="00DA3852" w:rsidP="00C03F9E">
                  <w:pPr>
                    <w:pStyle w:val="TableBodyText"/>
                    <w:jc w:val="left"/>
                  </w:pPr>
                  <w:r>
                    <w:t>CSG</w:t>
                  </w:r>
                </w:p>
              </w:tc>
              <w:tc>
                <w:tcPr>
                  <w:tcW w:w="1275" w:type="pct"/>
                </w:tcPr>
                <w:p w14:paraId="7DC2615C" w14:textId="77777777" w:rsidR="00DA3852" w:rsidRDefault="00DA3852" w:rsidP="00C03F9E">
                  <w:pPr>
                    <w:pStyle w:val="TableBodyText"/>
                  </w:pPr>
                  <w:r w:rsidRPr="00AC4CD2">
                    <w:t>0</w:t>
                  </w:r>
                </w:p>
              </w:tc>
              <w:tc>
                <w:tcPr>
                  <w:tcW w:w="1071" w:type="pct"/>
                  <w:shd w:val="clear" w:color="auto" w:fill="auto"/>
                  <w:vAlign w:val="bottom"/>
                </w:tcPr>
                <w:p w14:paraId="251E0128" w14:textId="77777777" w:rsidR="00DA3852" w:rsidRDefault="00DA3852" w:rsidP="00C03F9E">
                  <w:pPr>
                    <w:pStyle w:val="TableBodyText"/>
                  </w:pPr>
                  <w:r>
                    <w:t>0</w:t>
                  </w:r>
                </w:p>
              </w:tc>
            </w:tr>
            <w:tr w:rsidR="00DA3852" w14:paraId="31F9C925" w14:textId="77777777" w:rsidTr="00C03F9E">
              <w:tc>
                <w:tcPr>
                  <w:tcW w:w="792" w:type="pct"/>
                  <w:tcBorders>
                    <w:bottom w:val="single" w:sz="6" w:space="0" w:color="BFBFBF"/>
                  </w:tcBorders>
                  <w:shd w:val="clear" w:color="auto" w:fill="auto"/>
                </w:tcPr>
                <w:p w14:paraId="4497AE7B" w14:textId="77777777" w:rsidR="00DA3852" w:rsidRDefault="00DA3852" w:rsidP="00C03F9E">
                  <w:pPr>
                    <w:pStyle w:val="TableBodyText"/>
                    <w:jc w:val="left"/>
                  </w:pPr>
                  <w:r>
                    <w:t>Sydney</w:t>
                  </w:r>
                </w:p>
              </w:tc>
              <w:tc>
                <w:tcPr>
                  <w:tcW w:w="1172" w:type="pct"/>
                  <w:tcBorders>
                    <w:bottom w:val="single" w:sz="6" w:space="0" w:color="BFBFBF"/>
                  </w:tcBorders>
                  <w:shd w:val="clear" w:color="auto" w:fill="auto"/>
                </w:tcPr>
                <w:p w14:paraId="0A0D7DED" w14:textId="77777777" w:rsidR="00DA3852" w:rsidRDefault="00DA3852" w:rsidP="00C03F9E">
                  <w:pPr>
                    <w:pStyle w:val="TableBodyText"/>
                    <w:jc w:val="left"/>
                  </w:pPr>
                  <w:r>
                    <w:t>New CSG</w:t>
                  </w:r>
                </w:p>
              </w:tc>
              <w:tc>
                <w:tcPr>
                  <w:tcW w:w="689" w:type="pct"/>
                  <w:tcBorders>
                    <w:bottom w:val="single" w:sz="6" w:space="0" w:color="BFBFBF"/>
                  </w:tcBorders>
                  <w:shd w:val="clear" w:color="auto" w:fill="auto"/>
                </w:tcPr>
                <w:p w14:paraId="42A4AD63" w14:textId="77777777" w:rsidR="00DA3852" w:rsidRDefault="00DA3852" w:rsidP="00C03F9E">
                  <w:pPr>
                    <w:pStyle w:val="TableBodyText"/>
                    <w:jc w:val="left"/>
                  </w:pPr>
                  <w:r>
                    <w:t>CSG</w:t>
                  </w:r>
                </w:p>
              </w:tc>
              <w:tc>
                <w:tcPr>
                  <w:tcW w:w="1275" w:type="pct"/>
                  <w:tcBorders>
                    <w:bottom w:val="single" w:sz="6" w:space="0" w:color="BFBFBF"/>
                  </w:tcBorders>
                </w:tcPr>
                <w:p w14:paraId="429C82F6" w14:textId="77777777" w:rsidR="00DA3852" w:rsidRDefault="00DA3852" w:rsidP="00C03F9E">
                  <w:pPr>
                    <w:pStyle w:val="TableBodyText"/>
                  </w:pPr>
                  <w:r w:rsidRPr="00AC4CD2">
                    <w:t>0</w:t>
                  </w:r>
                </w:p>
              </w:tc>
              <w:tc>
                <w:tcPr>
                  <w:tcW w:w="1071" w:type="pct"/>
                  <w:tcBorders>
                    <w:bottom w:val="single" w:sz="6" w:space="0" w:color="BFBFBF"/>
                  </w:tcBorders>
                  <w:shd w:val="clear" w:color="auto" w:fill="auto"/>
                  <w:vAlign w:val="bottom"/>
                </w:tcPr>
                <w:p w14:paraId="0958E299" w14:textId="77777777" w:rsidR="00DA3852" w:rsidRDefault="00DA3852" w:rsidP="00C03F9E">
                  <w:pPr>
                    <w:pStyle w:val="TableBodyText"/>
                  </w:pPr>
                  <w:r>
                    <w:t>0</w:t>
                  </w:r>
                </w:p>
              </w:tc>
            </w:tr>
          </w:tbl>
          <w:p w14:paraId="56A667CF" w14:textId="77777777" w:rsidR="00DA3852" w:rsidRDefault="00DA3852" w:rsidP="00C03F9E">
            <w:pPr>
              <w:pStyle w:val="Box"/>
            </w:pPr>
          </w:p>
        </w:tc>
      </w:tr>
      <w:tr w:rsidR="00DA3852" w14:paraId="16F73851" w14:textId="77777777" w:rsidTr="00C03F9E">
        <w:trPr>
          <w:cantSplit/>
        </w:trPr>
        <w:tc>
          <w:tcPr>
            <w:tcW w:w="8771" w:type="dxa"/>
            <w:tcBorders>
              <w:top w:val="nil"/>
              <w:left w:val="nil"/>
              <w:bottom w:val="nil"/>
              <w:right w:val="nil"/>
            </w:tcBorders>
            <w:shd w:val="clear" w:color="auto" w:fill="auto"/>
          </w:tcPr>
          <w:p w14:paraId="37998104" w14:textId="77777777" w:rsidR="00DA3852" w:rsidRDefault="00DA3852" w:rsidP="00C03F9E">
            <w:pPr>
              <w:pStyle w:val="Source"/>
              <w:rPr>
                <w:i/>
              </w:rPr>
            </w:pPr>
            <w:proofErr w:type="gramStart"/>
            <w:r>
              <w:rPr>
                <w:rStyle w:val="NoteLabel"/>
              </w:rPr>
              <w:t>a</w:t>
            </w:r>
            <w:proofErr w:type="gramEnd"/>
            <w:r>
              <w:rPr>
                <w:rStyle w:val="NoteLabel"/>
              </w:rPr>
              <w:t xml:space="preserve"> </w:t>
            </w:r>
            <w:r>
              <w:t xml:space="preserve">Production capacity in 2013, to match the first year of the simulation period. </w:t>
            </w:r>
            <w:proofErr w:type="gramStart"/>
            <w:r>
              <w:rPr>
                <w:rStyle w:val="NoteLabel"/>
              </w:rPr>
              <w:t>b</w:t>
            </w:r>
            <w:proofErr w:type="gramEnd"/>
            <w:r>
              <w:t xml:space="preserve"> Increase in initial capacity of 263 PJ per year applied across QCLNG, APLNG and GLNG for 2015 to meet additional supply required for LNG exports.  </w:t>
            </w:r>
          </w:p>
        </w:tc>
      </w:tr>
      <w:tr w:rsidR="00DA3852" w14:paraId="7B3A99BF" w14:textId="77777777" w:rsidTr="00C03F9E">
        <w:trPr>
          <w:cantSplit/>
        </w:trPr>
        <w:tc>
          <w:tcPr>
            <w:tcW w:w="8771" w:type="dxa"/>
            <w:tcBorders>
              <w:top w:val="nil"/>
              <w:left w:val="nil"/>
              <w:bottom w:val="nil"/>
              <w:right w:val="nil"/>
            </w:tcBorders>
            <w:shd w:val="clear" w:color="auto" w:fill="auto"/>
          </w:tcPr>
          <w:p w14:paraId="2538484E" w14:textId="77777777" w:rsidR="00DA3852" w:rsidRDefault="00DA3852" w:rsidP="00C03F9E">
            <w:pPr>
              <w:pStyle w:val="Source"/>
            </w:pPr>
            <w:r>
              <w:rPr>
                <w:i/>
              </w:rPr>
              <w:t>Sources</w:t>
            </w:r>
            <w:r w:rsidRPr="00167F06">
              <w:t xml:space="preserve">: </w:t>
            </w:r>
            <w:r>
              <w:t xml:space="preserve">Commission estimates based Jacobs SKM </w:t>
            </w:r>
            <w:r w:rsidRPr="004F1A86">
              <w:rPr>
                <w:rFonts w:cs="Arial"/>
              </w:rPr>
              <w:t>(2014b)</w:t>
            </w:r>
            <w:r>
              <w:t xml:space="preserve"> and Core Energy Group </w:t>
            </w:r>
            <w:r w:rsidRPr="005647E8">
              <w:rPr>
                <w:rFonts w:cs="Arial"/>
              </w:rPr>
              <w:t>(2012a)</w:t>
            </w:r>
            <w:r>
              <w:t>.</w:t>
            </w:r>
          </w:p>
        </w:tc>
      </w:tr>
      <w:tr w:rsidR="00DA3852" w14:paraId="4F5DD2D9" w14:textId="77777777" w:rsidTr="00C03F9E">
        <w:trPr>
          <w:cantSplit/>
        </w:trPr>
        <w:tc>
          <w:tcPr>
            <w:tcW w:w="8771" w:type="dxa"/>
            <w:tcBorders>
              <w:top w:val="nil"/>
              <w:left w:val="nil"/>
              <w:bottom w:val="single" w:sz="6" w:space="0" w:color="78A22F"/>
              <w:right w:val="nil"/>
            </w:tcBorders>
            <w:shd w:val="clear" w:color="auto" w:fill="auto"/>
          </w:tcPr>
          <w:p w14:paraId="1229242F" w14:textId="77777777" w:rsidR="00DA3852" w:rsidRDefault="00DA3852" w:rsidP="00C03F9E">
            <w:pPr>
              <w:pStyle w:val="Box"/>
              <w:spacing w:before="0" w:line="120" w:lineRule="exact"/>
            </w:pPr>
          </w:p>
        </w:tc>
      </w:tr>
      <w:tr w:rsidR="00DA3852" w:rsidRPr="000863A5" w14:paraId="7C3D9E24" w14:textId="77777777" w:rsidTr="00C03F9E">
        <w:tc>
          <w:tcPr>
            <w:tcW w:w="8771" w:type="dxa"/>
            <w:tcBorders>
              <w:top w:val="single" w:sz="6" w:space="0" w:color="78A22F"/>
              <w:left w:val="nil"/>
              <w:bottom w:val="nil"/>
              <w:right w:val="nil"/>
            </w:tcBorders>
          </w:tcPr>
          <w:p w14:paraId="5D6EBC60" w14:textId="77777777" w:rsidR="00DA3852" w:rsidRPr="00626D32" w:rsidRDefault="00DA3852" w:rsidP="00C03F9E">
            <w:pPr>
              <w:pStyle w:val="BoxSpaceBelow"/>
            </w:pPr>
          </w:p>
        </w:tc>
      </w:tr>
    </w:tbl>
    <w:p w14:paraId="62E8C12A" w14:textId="77777777" w:rsidR="00DA3852" w:rsidRDefault="00DA3852" w:rsidP="00DA3852">
      <w:pPr>
        <w:pStyle w:val="Heading4"/>
      </w:pPr>
      <w:r>
        <w:lastRenderedPageBreak/>
        <w:t>Cost of gas production</w:t>
      </w:r>
    </w:p>
    <w:p w14:paraId="16474C4A" w14:textId="77777777" w:rsidR="00DA3852" w:rsidRDefault="00DA3852" w:rsidP="00DA3852">
      <w:pPr>
        <w:pStyle w:val="BodyText"/>
      </w:pPr>
      <w:r>
        <w:t>There is substantial variation in publicly available estimates of the cost of producing and processing gas (figure B.3).</w:t>
      </w:r>
      <w:r w:rsidRPr="00D54D05">
        <w:rPr>
          <w:rStyle w:val="FootnoteReference"/>
        </w:rPr>
        <w:footnoteReference w:id="9"/>
      </w:r>
      <w:r>
        <w:t xml:space="preserve"> The </w:t>
      </w:r>
      <w:proofErr w:type="gramStart"/>
      <w:r>
        <w:t>cost of gas production from marginal fields differ</w:t>
      </w:r>
      <w:proofErr w:type="gramEnd"/>
      <w:r>
        <w:t xml:space="preserve"> by up to 100 per cent. This uncertainty is reflected in the range of supply costs included in the sensitivity analysis. Uncertainty is greatest regarding the cost of producing more speculative resources, including 3P and 2C resources.</w:t>
      </w:r>
    </w:p>
    <w:p w14:paraId="4846792A" w14:textId="49DFFF40" w:rsidR="00DA3852" w:rsidRDefault="00DA3852" w:rsidP="00DA3852">
      <w:pPr>
        <w:pStyle w:val="BodyText"/>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DA3852" w14:paraId="585AA9AA" w14:textId="77777777" w:rsidTr="00C03F9E">
        <w:tc>
          <w:tcPr>
            <w:tcW w:w="8771" w:type="dxa"/>
            <w:tcBorders>
              <w:top w:val="single" w:sz="6" w:space="0" w:color="78A22F"/>
              <w:left w:val="nil"/>
              <w:bottom w:val="nil"/>
              <w:right w:val="nil"/>
            </w:tcBorders>
            <w:shd w:val="clear" w:color="auto" w:fill="auto"/>
          </w:tcPr>
          <w:p w14:paraId="52A328A2" w14:textId="374A3A77" w:rsidR="00DA3852" w:rsidRPr="00176D3F" w:rsidRDefault="00DA3852" w:rsidP="00C03F9E">
            <w:pPr>
              <w:pStyle w:val="FigureTitle"/>
            </w:pPr>
            <w:r w:rsidRPr="00784A05">
              <w:rPr>
                <w:b w:val="0"/>
              </w:rPr>
              <w:t xml:space="preserve">Figure </w:t>
            </w:r>
            <w:r>
              <w:rPr>
                <w:b w:val="0"/>
              </w:rPr>
              <w:t>B.</w:t>
            </w:r>
            <w:r>
              <w:rPr>
                <w:b w:val="0"/>
                <w:noProof/>
              </w:rPr>
              <w:t>3</w:t>
            </w:r>
            <w:r>
              <w:tab/>
              <w:t>Publicly available estimates of the cost of gas production</w:t>
            </w:r>
          </w:p>
        </w:tc>
      </w:tr>
      <w:tr w:rsidR="00DA3852" w14:paraId="19022E00" w14:textId="77777777" w:rsidTr="00C03F9E">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8504"/>
            </w:tblGrid>
            <w:tr w:rsidR="00DA3852" w14:paraId="0E300D6E" w14:textId="77777777" w:rsidTr="00C03F9E">
              <w:trPr>
                <w:jc w:val="center"/>
              </w:trPr>
              <w:tc>
                <w:tcPr>
                  <w:tcW w:w="8504" w:type="dxa"/>
                  <w:tcBorders>
                    <w:top w:val="nil"/>
                    <w:bottom w:val="nil"/>
                  </w:tcBorders>
                </w:tcPr>
                <w:p w14:paraId="292BBE4B" w14:textId="04AEADAA" w:rsidR="00DA3852" w:rsidRDefault="002313A3" w:rsidP="002313A3">
                  <w:pPr>
                    <w:pStyle w:val="Figure"/>
                    <w:spacing w:before="0" w:after="0" w:line="240" w:lineRule="auto"/>
                  </w:pPr>
                  <w:r>
                    <w:rPr>
                      <w:noProof/>
                    </w:rPr>
                    <w:drawing>
                      <wp:inline distT="0" distB="0" distL="0" distR="0" wp14:anchorId="3358B310" wp14:editId="23E0E154">
                        <wp:extent cx="5268595" cy="3187065"/>
                        <wp:effectExtent l="0" t="0" r="8255" b="0"/>
                        <wp:docPr id="2" name="Picture 2" descr="Estimates of the cost of gas production vary considerably, particularly for marginal fields. Estimates of the levelised cost of gas production have been ordered from the least to the most expensive resources (up to 150 000 petajoules) . Estimates by Core Energy Group (2015), Intelligent Energy Systems (2013) and SKM (2013) range from $4 per gigajoule to $6 per gigajoule. Estimates by ACIL Tasman are higher for more marginal fields — over $15 per gigajoule for the most expensive fiel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68595" cy="3187065"/>
                                </a:xfrm>
                                <a:prstGeom prst="rect">
                                  <a:avLst/>
                                </a:prstGeom>
                                <a:noFill/>
                                <a:ln>
                                  <a:noFill/>
                                </a:ln>
                              </pic:spPr>
                            </pic:pic>
                          </a:graphicData>
                        </a:graphic>
                      </wp:inline>
                    </w:drawing>
                  </w:r>
                </w:p>
              </w:tc>
            </w:tr>
          </w:tbl>
          <w:p w14:paraId="647FE1B1" w14:textId="77777777" w:rsidR="00DA3852" w:rsidRDefault="00DA3852" w:rsidP="00C03F9E">
            <w:pPr>
              <w:pStyle w:val="Figure"/>
            </w:pPr>
          </w:p>
        </w:tc>
      </w:tr>
      <w:tr w:rsidR="00DA3852" w:rsidRPr="00176D3F" w14:paraId="65C01389" w14:textId="77777777" w:rsidTr="00C03F9E">
        <w:tc>
          <w:tcPr>
            <w:tcW w:w="8771" w:type="dxa"/>
            <w:tcBorders>
              <w:top w:val="nil"/>
              <w:left w:val="nil"/>
              <w:bottom w:val="nil"/>
              <w:right w:val="nil"/>
            </w:tcBorders>
            <w:shd w:val="clear" w:color="auto" w:fill="auto"/>
          </w:tcPr>
          <w:p w14:paraId="03AB82A8" w14:textId="63F2B9BC" w:rsidR="00DA3852" w:rsidRPr="00176D3F" w:rsidRDefault="00DA3852" w:rsidP="00C03F9E">
            <w:pPr>
              <w:pStyle w:val="Note"/>
            </w:pPr>
            <w:proofErr w:type="spellStart"/>
            <w:proofErr w:type="gramStart"/>
            <w:r>
              <w:rPr>
                <w:rStyle w:val="NoteLabel"/>
              </w:rPr>
              <w:t>a</w:t>
            </w:r>
            <w:proofErr w:type="spellEnd"/>
            <w:proofErr w:type="gramEnd"/>
            <w:r>
              <w:t xml:space="preserve"> The </w:t>
            </w:r>
            <w:proofErr w:type="spellStart"/>
            <w:r>
              <w:t>levelised</w:t>
            </w:r>
            <w:proofErr w:type="spellEnd"/>
            <w:r>
              <w:t xml:space="preserve"> cost represents the average cost per GJ of producing and processing gas over the life of a gas field, including capital, operating and financing costs. </w:t>
            </w:r>
            <w:proofErr w:type="gramStart"/>
            <w:r>
              <w:rPr>
                <w:rStyle w:val="NoteLabel"/>
              </w:rPr>
              <w:t>b</w:t>
            </w:r>
            <w:proofErr w:type="gramEnd"/>
            <w:r>
              <w:t xml:space="preserve"> Gas resource estimates by field based on ‘potential recoverable resource’ from Core Energy Group </w:t>
            </w:r>
            <w:r w:rsidRPr="00EC49C6">
              <w:rPr>
                <w:rFonts w:cs="Arial"/>
              </w:rPr>
              <w:t>(2012a)</w:t>
            </w:r>
            <w:r>
              <w:t>.</w:t>
            </w:r>
            <w:r>
              <w:rPr>
                <w:rStyle w:val="NoteLabel"/>
              </w:rPr>
              <w:t xml:space="preserve"> </w:t>
            </w:r>
            <w:proofErr w:type="gramStart"/>
            <w:r>
              <w:rPr>
                <w:rStyle w:val="NoteLabel"/>
              </w:rPr>
              <w:t>c</w:t>
            </w:r>
            <w:proofErr w:type="gramEnd"/>
            <w:r>
              <w:t> Includes 2P, 3P, 2C and prospective resources.</w:t>
            </w:r>
            <w:r>
              <w:rPr>
                <w:rStyle w:val="NoteLabel"/>
              </w:rPr>
              <w:t xml:space="preserve"> </w:t>
            </w:r>
            <w:proofErr w:type="gramStart"/>
            <w:r>
              <w:rPr>
                <w:rStyle w:val="NoteLabel"/>
              </w:rPr>
              <w:t>d</w:t>
            </w:r>
            <w:proofErr w:type="gramEnd"/>
            <w:r>
              <w:t> Includes 2P, 3P and 2C resources.</w:t>
            </w:r>
            <w:r>
              <w:rPr>
                <w:rStyle w:val="NoteLabel"/>
              </w:rPr>
              <w:t xml:space="preserve"> </w:t>
            </w:r>
          </w:p>
        </w:tc>
      </w:tr>
      <w:tr w:rsidR="00DA3852" w:rsidRPr="00176D3F" w14:paraId="4EA4DF1D" w14:textId="77777777" w:rsidTr="00C03F9E">
        <w:tc>
          <w:tcPr>
            <w:tcW w:w="8771" w:type="dxa"/>
            <w:tcBorders>
              <w:top w:val="nil"/>
              <w:left w:val="nil"/>
              <w:bottom w:val="nil"/>
              <w:right w:val="nil"/>
            </w:tcBorders>
            <w:shd w:val="clear" w:color="auto" w:fill="auto"/>
          </w:tcPr>
          <w:p w14:paraId="14BA6AEE" w14:textId="71CC5ECD" w:rsidR="00DA3852" w:rsidRPr="00176D3F" w:rsidRDefault="00DA3852" w:rsidP="00C03F9E">
            <w:pPr>
              <w:pStyle w:val="Source"/>
            </w:pPr>
            <w:r>
              <w:rPr>
                <w:i/>
              </w:rPr>
              <w:t>S</w:t>
            </w:r>
            <w:r w:rsidRPr="00784A05">
              <w:rPr>
                <w:i/>
              </w:rPr>
              <w:t>ource</w:t>
            </w:r>
            <w:r>
              <w:rPr>
                <w:i/>
              </w:rPr>
              <w:t>s</w:t>
            </w:r>
            <w:r w:rsidRPr="00176D3F">
              <w:t xml:space="preserve">: </w:t>
            </w:r>
            <w:r>
              <w:t xml:space="preserve">ACIL Tasman </w:t>
            </w:r>
            <w:r w:rsidRPr="00D504FC">
              <w:rPr>
                <w:rFonts w:cs="Arial"/>
              </w:rPr>
              <w:t>(2013)</w:t>
            </w:r>
            <w:r>
              <w:t xml:space="preserve">; Core Energy Group </w:t>
            </w:r>
            <w:r w:rsidRPr="00F642F1">
              <w:rPr>
                <w:rFonts w:cs="Arial"/>
              </w:rPr>
              <w:t>(2012a, 2015a)</w:t>
            </w:r>
            <w:r>
              <w:t xml:space="preserve">; IES </w:t>
            </w:r>
            <w:r w:rsidRPr="00EC49C6">
              <w:rPr>
                <w:rFonts w:cs="Arial"/>
              </w:rPr>
              <w:t>(2013)</w:t>
            </w:r>
            <w:r>
              <w:t xml:space="preserve">; Wagner </w:t>
            </w:r>
            <w:r w:rsidRPr="00EC49C6">
              <w:rPr>
                <w:rFonts w:cs="Arial"/>
              </w:rPr>
              <w:t>(2014)</w:t>
            </w:r>
            <w:r>
              <w:t xml:space="preserve">; </w:t>
            </w:r>
            <w:r w:rsidRPr="004F1A86">
              <w:rPr>
                <w:rFonts w:cs="Arial"/>
                <w:szCs w:val="24"/>
              </w:rPr>
              <w:t>(SKM 2013b)</w:t>
            </w:r>
            <w:r>
              <w:t>.</w:t>
            </w:r>
          </w:p>
        </w:tc>
      </w:tr>
      <w:tr w:rsidR="00DA3852" w14:paraId="55A60383" w14:textId="77777777" w:rsidTr="00C03F9E">
        <w:tc>
          <w:tcPr>
            <w:tcW w:w="8771" w:type="dxa"/>
            <w:tcBorders>
              <w:top w:val="nil"/>
              <w:left w:val="nil"/>
              <w:bottom w:val="single" w:sz="6" w:space="0" w:color="78A22F"/>
              <w:right w:val="nil"/>
            </w:tcBorders>
            <w:shd w:val="clear" w:color="auto" w:fill="auto"/>
          </w:tcPr>
          <w:p w14:paraId="26102D49" w14:textId="77777777" w:rsidR="00DA3852" w:rsidRDefault="00DA3852" w:rsidP="00C03F9E">
            <w:pPr>
              <w:pStyle w:val="Figurespace"/>
            </w:pPr>
          </w:p>
        </w:tc>
      </w:tr>
      <w:tr w:rsidR="00DA3852" w:rsidRPr="000863A5" w14:paraId="581F7093" w14:textId="77777777" w:rsidTr="00C03F9E">
        <w:tc>
          <w:tcPr>
            <w:tcW w:w="8771" w:type="dxa"/>
            <w:tcBorders>
              <w:top w:val="single" w:sz="6" w:space="0" w:color="78A22F"/>
              <w:left w:val="nil"/>
              <w:bottom w:val="nil"/>
              <w:right w:val="nil"/>
            </w:tcBorders>
          </w:tcPr>
          <w:p w14:paraId="5CE1A90E" w14:textId="77777777" w:rsidR="00DA3852" w:rsidRPr="00626D32" w:rsidRDefault="00DA3852" w:rsidP="00C03F9E">
            <w:pPr>
              <w:pStyle w:val="BoxSpaceBelow"/>
            </w:pPr>
          </w:p>
        </w:tc>
      </w:tr>
    </w:tbl>
    <w:p w14:paraId="492EA639" w14:textId="77777777" w:rsidR="00DA3852" w:rsidRDefault="00DA3852" w:rsidP="00DA3852">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DA3852" w14:paraId="5CE52DF0" w14:textId="77777777" w:rsidTr="00C03F9E">
        <w:tc>
          <w:tcPr>
            <w:tcW w:w="8771" w:type="dxa"/>
            <w:tcBorders>
              <w:top w:val="single" w:sz="6" w:space="0" w:color="78A22F"/>
              <w:left w:val="nil"/>
              <w:bottom w:val="nil"/>
              <w:right w:val="nil"/>
            </w:tcBorders>
            <w:shd w:val="clear" w:color="auto" w:fill="auto"/>
          </w:tcPr>
          <w:p w14:paraId="1DABA4FD" w14:textId="719BF9F8" w:rsidR="00DA3852" w:rsidRPr="00784A05" w:rsidRDefault="00DA3852" w:rsidP="00C03F9E">
            <w:pPr>
              <w:pStyle w:val="TableTitle"/>
            </w:pPr>
            <w:r>
              <w:rPr>
                <w:b w:val="0"/>
              </w:rPr>
              <w:t>Table B.</w:t>
            </w:r>
            <w:r>
              <w:rPr>
                <w:b w:val="0"/>
                <w:noProof/>
              </w:rPr>
              <w:t>3</w:t>
            </w:r>
            <w:r>
              <w:tab/>
              <w:t>Gas production cost estimates</w:t>
            </w:r>
            <w:r>
              <w:rPr>
                <w:rStyle w:val="NoteLabel"/>
              </w:rPr>
              <w:t>a</w:t>
            </w:r>
          </w:p>
        </w:tc>
      </w:tr>
      <w:tr w:rsidR="00DA3852" w14:paraId="624A0F22" w14:textId="77777777" w:rsidTr="00C03F9E">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343"/>
              <w:gridCol w:w="1990"/>
              <w:gridCol w:w="1351"/>
              <w:gridCol w:w="1180"/>
              <w:gridCol w:w="1360"/>
              <w:gridCol w:w="1263"/>
            </w:tblGrid>
            <w:tr w:rsidR="00DA3852" w14:paraId="30F01EF5" w14:textId="77777777" w:rsidTr="00C03F9E">
              <w:tc>
                <w:tcPr>
                  <w:tcW w:w="791" w:type="pct"/>
                  <w:tcBorders>
                    <w:top w:val="single" w:sz="6" w:space="0" w:color="BFBFBF" w:themeColor="background1" w:themeShade="BF"/>
                    <w:bottom w:val="single" w:sz="6" w:space="0" w:color="BFBFBF" w:themeColor="background1" w:themeShade="BF"/>
                  </w:tcBorders>
                  <w:shd w:val="clear" w:color="auto" w:fill="auto"/>
                  <w:tcMar>
                    <w:top w:w="28" w:type="dxa"/>
                  </w:tcMar>
                </w:tcPr>
                <w:p w14:paraId="5F203A96" w14:textId="65CACFDF" w:rsidR="00DA3852" w:rsidRDefault="00CF3121" w:rsidP="00C03F9E">
                  <w:pPr>
                    <w:pStyle w:val="TableColumnHeading"/>
                    <w:jc w:val="left"/>
                  </w:pPr>
                  <w:r>
                    <w:t>B</w:t>
                  </w:r>
                  <w:r w:rsidR="00DA3852">
                    <w:t>asin</w:t>
                  </w:r>
                </w:p>
              </w:tc>
              <w:tc>
                <w:tcPr>
                  <w:tcW w:w="1172" w:type="pct"/>
                  <w:tcBorders>
                    <w:top w:val="single" w:sz="6" w:space="0" w:color="BFBFBF" w:themeColor="background1" w:themeShade="BF"/>
                    <w:bottom w:val="single" w:sz="6" w:space="0" w:color="BFBFBF" w:themeColor="background1" w:themeShade="BF"/>
                  </w:tcBorders>
                  <w:shd w:val="clear" w:color="auto" w:fill="auto"/>
                </w:tcPr>
                <w:p w14:paraId="727463A2" w14:textId="77777777" w:rsidR="00DA3852" w:rsidRDefault="00DA3852" w:rsidP="00C03F9E">
                  <w:pPr>
                    <w:pStyle w:val="TableColumnHeading"/>
                    <w:jc w:val="left"/>
                  </w:pPr>
                  <w:r>
                    <w:t>Field</w:t>
                  </w:r>
                </w:p>
              </w:tc>
              <w:tc>
                <w:tcPr>
                  <w:tcW w:w="796" w:type="pct"/>
                  <w:tcBorders>
                    <w:top w:val="single" w:sz="6" w:space="0" w:color="BFBFBF" w:themeColor="background1" w:themeShade="BF"/>
                    <w:bottom w:val="single" w:sz="6" w:space="0" w:color="BFBFBF" w:themeColor="background1" w:themeShade="BF"/>
                  </w:tcBorders>
                  <w:shd w:val="clear" w:color="auto" w:fill="auto"/>
                  <w:tcMar>
                    <w:top w:w="28" w:type="dxa"/>
                  </w:tcMar>
                </w:tcPr>
                <w:p w14:paraId="761F2134" w14:textId="77777777" w:rsidR="00DA3852" w:rsidRDefault="00DA3852" w:rsidP="00C03F9E">
                  <w:pPr>
                    <w:pStyle w:val="TableColumnHeading"/>
                  </w:pPr>
                  <w:r>
                    <w:t>Operating, tax and royalty ($/GJ)</w:t>
                  </w:r>
                </w:p>
              </w:tc>
              <w:tc>
                <w:tcPr>
                  <w:tcW w:w="695" w:type="pct"/>
                  <w:tcBorders>
                    <w:top w:val="single" w:sz="6" w:space="0" w:color="BFBFBF" w:themeColor="background1" w:themeShade="BF"/>
                    <w:bottom w:val="single" w:sz="6" w:space="0" w:color="BFBFBF" w:themeColor="background1" w:themeShade="BF"/>
                  </w:tcBorders>
                </w:tcPr>
                <w:p w14:paraId="2349C28D" w14:textId="77777777" w:rsidR="00DA3852" w:rsidRDefault="00DA3852" w:rsidP="00C03F9E">
                  <w:pPr>
                    <w:pStyle w:val="TableColumnHeading"/>
                  </w:pPr>
                  <w:r>
                    <w:t>Upfront capital expenditure ($/GJ)</w:t>
                  </w:r>
                </w:p>
              </w:tc>
              <w:tc>
                <w:tcPr>
                  <w:tcW w:w="801" w:type="pct"/>
                  <w:tcBorders>
                    <w:top w:val="single" w:sz="6" w:space="0" w:color="BFBFBF" w:themeColor="background1" w:themeShade="BF"/>
                    <w:bottom w:val="single" w:sz="6" w:space="0" w:color="BFBFBF" w:themeColor="background1" w:themeShade="BF"/>
                  </w:tcBorders>
                  <w:shd w:val="clear" w:color="auto" w:fill="auto"/>
                </w:tcPr>
                <w:p w14:paraId="5FB95C09" w14:textId="77777777" w:rsidR="00DA3852" w:rsidRDefault="00DA3852" w:rsidP="00C03F9E">
                  <w:pPr>
                    <w:pStyle w:val="TableColumnHeading"/>
                  </w:pPr>
                  <w:r>
                    <w:t>Future capital expenditure ($/GJ)</w:t>
                  </w:r>
                </w:p>
              </w:tc>
              <w:tc>
                <w:tcPr>
                  <w:tcW w:w="744" w:type="pct"/>
                  <w:tcBorders>
                    <w:top w:val="single" w:sz="6" w:space="0" w:color="BFBFBF" w:themeColor="background1" w:themeShade="BF"/>
                    <w:bottom w:val="single" w:sz="6" w:space="0" w:color="BFBFBF" w:themeColor="background1" w:themeShade="BF"/>
                  </w:tcBorders>
                  <w:shd w:val="clear" w:color="auto" w:fill="auto"/>
                  <w:tcMar>
                    <w:top w:w="28" w:type="dxa"/>
                  </w:tcMar>
                </w:tcPr>
                <w:p w14:paraId="650CA3AD" w14:textId="77777777" w:rsidR="00DA3852" w:rsidRDefault="00DA3852" w:rsidP="00C03F9E">
                  <w:pPr>
                    <w:pStyle w:val="TableColumnHeading"/>
                    <w:ind w:left="113"/>
                  </w:pPr>
                  <w:r>
                    <w:t>Total breakeven price ($/GJ)</w:t>
                  </w:r>
                </w:p>
              </w:tc>
            </w:tr>
            <w:tr w:rsidR="00DA3852" w14:paraId="241936B4" w14:textId="77777777" w:rsidTr="00C03F9E">
              <w:tc>
                <w:tcPr>
                  <w:tcW w:w="791" w:type="pct"/>
                  <w:tcBorders>
                    <w:top w:val="single" w:sz="6" w:space="0" w:color="BFBFBF" w:themeColor="background1" w:themeShade="BF"/>
                  </w:tcBorders>
                  <w:shd w:val="clear" w:color="auto" w:fill="auto"/>
                </w:tcPr>
                <w:p w14:paraId="06E06131" w14:textId="77777777" w:rsidR="00DA3852" w:rsidRDefault="00DA3852" w:rsidP="00C03F9E">
                  <w:pPr>
                    <w:pStyle w:val="TableBodyText"/>
                    <w:jc w:val="left"/>
                  </w:pPr>
                  <w:r>
                    <w:t>Bass</w:t>
                  </w:r>
                </w:p>
              </w:tc>
              <w:tc>
                <w:tcPr>
                  <w:tcW w:w="1172" w:type="pct"/>
                  <w:tcBorders>
                    <w:top w:val="single" w:sz="6" w:space="0" w:color="BFBFBF" w:themeColor="background1" w:themeShade="BF"/>
                  </w:tcBorders>
                  <w:shd w:val="clear" w:color="auto" w:fill="auto"/>
                </w:tcPr>
                <w:p w14:paraId="68FD5383" w14:textId="77777777" w:rsidR="00DA3852" w:rsidRDefault="00DA3852" w:rsidP="00C03F9E">
                  <w:pPr>
                    <w:pStyle w:val="TableBodyText"/>
                    <w:jc w:val="left"/>
                  </w:pPr>
                  <w:r>
                    <w:t>Yolla</w:t>
                  </w:r>
                </w:p>
              </w:tc>
              <w:tc>
                <w:tcPr>
                  <w:tcW w:w="796" w:type="pct"/>
                  <w:tcBorders>
                    <w:top w:val="single" w:sz="6" w:space="0" w:color="BFBFBF" w:themeColor="background1" w:themeShade="BF"/>
                  </w:tcBorders>
                  <w:shd w:val="clear" w:color="auto" w:fill="auto"/>
                  <w:vAlign w:val="bottom"/>
                </w:tcPr>
                <w:p w14:paraId="5979CA11" w14:textId="77777777" w:rsidR="00DA3852" w:rsidRDefault="00DA3852" w:rsidP="00C03F9E">
                  <w:pPr>
                    <w:pStyle w:val="TableBodyText"/>
                  </w:pPr>
                  <w:r w:rsidRPr="007736CB">
                    <w:t>2.3</w:t>
                  </w:r>
                </w:p>
              </w:tc>
              <w:tc>
                <w:tcPr>
                  <w:tcW w:w="695" w:type="pct"/>
                  <w:tcBorders>
                    <w:top w:val="single" w:sz="6" w:space="0" w:color="BFBFBF" w:themeColor="background1" w:themeShade="BF"/>
                  </w:tcBorders>
                  <w:vAlign w:val="bottom"/>
                </w:tcPr>
                <w:p w14:paraId="3049C338" w14:textId="77777777" w:rsidR="00DA3852" w:rsidRDefault="00DA3852" w:rsidP="00C03F9E">
                  <w:pPr>
                    <w:pStyle w:val="TableBodyText"/>
                  </w:pPr>
                  <w:r w:rsidRPr="007736CB">
                    <w:t>1.7</w:t>
                  </w:r>
                </w:p>
              </w:tc>
              <w:tc>
                <w:tcPr>
                  <w:tcW w:w="801" w:type="pct"/>
                  <w:tcBorders>
                    <w:top w:val="single" w:sz="6" w:space="0" w:color="BFBFBF" w:themeColor="background1" w:themeShade="BF"/>
                  </w:tcBorders>
                  <w:shd w:val="clear" w:color="auto" w:fill="auto"/>
                  <w:vAlign w:val="bottom"/>
                </w:tcPr>
                <w:p w14:paraId="18D31B68" w14:textId="77777777" w:rsidR="00DA3852" w:rsidRPr="00160A56" w:rsidRDefault="00DA3852" w:rsidP="00C03F9E">
                  <w:pPr>
                    <w:pStyle w:val="TableBodyText"/>
                  </w:pPr>
                  <w:r w:rsidRPr="007736CB">
                    <w:t>0.0</w:t>
                  </w:r>
                </w:p>
              </w:tc>
              <w:tc>
                <w:tcPr>
                  <w:tcW w:w="744" w:type="pct"/>
                  <w:tcBorders>
                    <w:top w:val="single" w:sz="6" w:space="0" w:color="BFBFBF" w:themeColor="background1" w:themeShade="BF"/>
                  </w:tcBorders>
                  <w:shd w:val="clear" w:color="auto" w:fill="auto"/>
                  <w:vAlign w:val="bottom"/>
                </w:tcPr>
                <w:p w14:paraId="75CF1302" w14:textId="77777777" w:rsidR="00DA3852" w:rsidRPr="007736CB" w:rsidRDefault="00DA3852" w:rsidP="00C03F9E">
                  <w:pPr>
                    <w:pStyle w:val="TableBodyText"/>
                    <w:ind w:left="113"/>
                    <w:rPr>
                      <w:szCs w:val="18"/>
                    </w:rPr>
                  </w:pPr>
                  <w:r w:rsidRPr="007736CB">
                    <w:rPr>
                      <w:rFonts w:cs="Arial"/>
                      <w:color w:val="000000"/>
                      <w:szCs w:val="18"/>
                    </w:rPr>
                    <w:t>4.1</w:t>
                  </w:r>
                </w:p>
              </w:tc>
            </w:tr>
            <w:tr w:rsidR="00DA3852" w14:paraId="054EC009" w14:textId="77777777" w:rsidTr="00C03F9E">
              <w:tc>
                <w:tcPr>
                  <w:tcW w:w="791" w:type="pct"/>
                  <w:shd w:val="clear" w:color="auto" w:fill="auto"/>
                </w:tcPr>
                <w:p w14:paraId="76545E58" w14:textId="77777777" w:rsidR="00DA3852" w:rsidRDefault="00DA3852" w:rsidP="00C03F9E">
                  <w:pPr>
                    <w:pStyle w:val="TableBodyText"/>
                    <w:jc w:val="left"/>
                  </w:pPr>
                  <w:r>
                    <w:t>Bass</w:t>
                  </w:r>
                </w:p>
              </w:tc>
              <w:tc>
                <w:tcPr>
                  <w:tcW w:w="1172" w:type="pct"/>
                  <w:shd w:val="clear" w:color="auto" w:fill="auto"/>
                </w:tcPr>
                <w:p w14:paraId="1DB456B3" w14:textId="77777777" w:rsidR="00DA3852" w:rsidRDefault="00DA3852" w:rsidP="00C03F9E">
                  <w:pPr>
                    <w:pStyle w:val="TableBodyText"/>
                    <w:jc w:val="left"/>
                  </w:pPr>
                  <w:r>
                    <w:t>New offshore</w:t>
                  </w:r>
                </w:p>
              </w:tc>
              <w:tc>
                <w:tcPr>
                  <w:tcW w:w="796" w:type="pct"/>
                  <w:shd w:val="clear" w:color="auto" w:fill="auto"/>
                  <w:vAlign w:val="bottom"/>
                </w:tcPr>
                <w:p w14:paraId="2A6EC6C1" w14:textId="77777777" w:rsidR="00DA3852" w:rsidRDefault="00DA3852" w:rsidP="00C03F9E">
                  <w:pPr>
                    <w:pStyle w:val="TableBodyText"/>
                  </w:pPr>
                  <w:r w:rsidRPr="007736CB">
                    <w:t>2.3</w:t>
                  </w:r>
                </w:p>
              </w:tc>
              <w:tc>
                <w:tcPr>
                  <w:tcW w:w="695" w:type="pct"/>
                  <w:vAlign w:val="bottom"/>
                </w:tcPr>
                <w:p w14:paraId="76CB96A7" w14:textId="77777777" w:rsidR="00DA3852" w:rsidRDefault="00DA3852" w:rsidP="00C03F9E">
                  <w:pPr>
                    <w:pStyle w:val="TableBodyText"/>
                  </w:pPr>
                  <w:r w:rsidRPr="007736CB">
                    <w:t>2.2</w:t>
                  </w:r>
                </w:p>
              </w:tc>
              <w:tc>
                <w:tcPr>
                  <w:tcW w:w="801" w:type="pct"/>
                  <w:shd w:val="clear" w:color="auto" w:fill="auto"/>
                  <w:vAlign w:val="bottom"/>
                </w:tcPr>
                <w:p w14:paraId="7B5F7BE0" w14:textId="77777777" w:rsidR="00DA3852" w:rsidRPr="00160A56" w:rsidRDefault="00DA3852" w:rsidP="00C03F9E">
                  <w:pPr>
                    <w:pStyle w:val="TableBodyText"/>
                  </w:pPr>
                  <w:r w:rsidRPr="007736CB">
                    <w:t>1.0</w:t>
                  </w:r>
                </w:p>
              </w:tc>
              <w:tc>
                <w:tcPr>
                  <w:tcW w:w="744" w:type="pct"/>
                  <w:shd w:val="clear" w:color="auto" w:fill="auto"/>
                  <w:vAlign w:val="bottom"/>
                </w:tcPr>
                <w:p w14:paraId="19204048" w14:textId="77777777" w:rsidR="00DA3852" w:rsidRPr="007736CB" w:rsidRDefault="00DA3852" w:rsidP="00C03F9E">
                  <w:pPr>
                    <w:pStyle w:val="TableBodyText"/>
                    <w:ind w:left="113"/>
                    <w:rPr>
                      <w:szCs w:val="18"/>
                    </w:rPr>
                  </w:pPr>
                  <w:r w:rsidRPr="007736CB">
                    <w:rPr>
                      <w:rFonts w:cs="Arial"/>
                      <w:color w:val="000000"/>
                      <w:szCs w:val="18"/>
                    </w:rPr>
                    <w:t>5.5</w:t>
                  </w:r>
                </w:p>
              </w:tc>
            </w:tr>
            <w:tr w:rsidR="00DA3852" w14:paraId="3AE0573C" w14:textId="77777777" w:rsidTr="00C03F9E">
              <w:tc>
                <w:tcPr>
                  <w:tcW w:w="791" w:type="pct"/>
                  <w:shd w:val="clear" w:color="auto" w:fill="auto"/>
                </w:tcPr>
                <w:p w14:paraId="3929BD63" w14:textId="77777777" w:rsidR="00DA3852" w:rsidRDefault="00DA3852" w:rsidP="00C03F9E">
                  <w:pPr>
                    <w:pStyle w:val="TableBodyText"/>
                    <w:jc w:val="left"/>
                  </w:pPr>
                  <w:r>
                    <w:t>Clarence-Moreton</w:t>
                  </w:r>
                </w:p>
              </w:tc>
              <w:tc>
                <w:tcPr>
                  <w:tcW w:w="1172" w:type="pct"/>
                  <w:shd w:val="clear" w:color="auto" w:fill="auto"/>
                </w:tcPr>
                <w:p w14:paraId="11534793" w14:textId="77777777" w:rsidR="00DA3852" w:rsidRDefault="00DA3852" w:rsidP="00C03F9E">
                  <w:pPr>
                    <w:pStyle w:val="TableBodyText"/>
                    <w:jc w:val="left"/>
                  </w:pPr>
                  <w:r>
                    <w:t>New CSG</w:t>
                  </w:r>
                </w:p>
              </w:tc>
              <w:tc>
                <w:tcPr>
                  <w:tcW w:w="796" w:type="pct"/>
                  <w:shd w:val="clear" w:color="auto" w:fill="auto"/>
                  <w:vAlign w:val="bottom"/>
                </w:tcPr>
                <w:p w14:paraId="42ED8641" w14:textId="77777777" w:rsidR="00DA3852" w:rsidRDefault="00DA3852" w:rsidP="00C03F9E">
                  <w:pPr>
                    <w:pStyle w:val="TableBodyText"/>
                  </w:pPr>
                  <w:r w:rsidRPr="007736CB">
                    <w:t>2.4</w:t>
                  </w:r>
                </w:p>
              </w:tc>
              <w:tc>
                <w:tcPr>
                  <w:tcW w:w="695" w:type="pct"/>
                  <w:vAlign w:val="bottom"/>
                </w:tcPr>
                <w:p w14:paraId="2D4439C4" w14:textId="77777777" w:rsidR="00DA3852" w:rsidRDefault="00DA3852" w:rsidP="00C03F9E">
                  <w:pPr>
                    <w:pStyle w:val="TableBodyText"/>
                  </w:pPr>
                  <w:r w:rsidRPr="007736CB">
                    <w:t>3.1</w:t>
                  </w:r>
                </w:p>
              </w:tc>
              <w:tc>
                <w:tcPr>
                  <w:tcW w:w="801" w:type="pct"/>
                  <w:shd w:val="clear" w:color="auto" w:fill="auto"/>
                  <w:vAlign w:val="bottom"/>
                </w:tcPr>
                <w:p w14:paraId="2D68D8FD" w14:textId="77777777" w:rsidR="00DA3852" w:rsidRPr="00160A56" w:rsidRDefault="00DA3852" w:rsidP="00C03F9E">
                  <w:pPr>
                    <w:pStyle w:val="TableBodyText"/>
                  </w:pPr>
                  <w:r w:rsidRPr="007736CB">
                    <w:t>2.7</w:t>
                  </w:r>
                </w:p>
              </w:tc>
              <w:tc>
                <w:tcPr>
                  <w:tcW w:w="744" w:type="pct"/>
                  <w:shd w:val="clear" w:color="auto" w:fill="auto"/>
                  <w:vAlign w:val="bottom"/>
                </w:tcPr>
                <w:p w14:paraId="2A593203" w14:textId="77777777" w:rsidR="00DA3852" w:rsidRPr="007736CB" w:rsidRDefault="00DA3852" w:rsidP="00C03F9E">
                  <w:pPr>
                    <w:pStyle w:val="TableBodyText"/>
                    <w:ind w:left="113"/>
                    <w:rPr>
                      <w:szCs w:val="18"/>
                    </w:rPr>
                  </w:pPr>
                  <w:r w:rsidRPr="007736CB">
                    <w:rPr>
                      <w:rFonts w:cs="Arial"/>
                      <w:color w:val="000000"/>
                      <w:szCs w:val="18"/>
                    </w:rPr>
                    <w:t>8.3</w:t>
                  </w:r>
                </w:p>
              </w:tc>
            </w:tr>
            <w:tr w:rsidR="00DA3852" w14:paraId="0472F6AA" w14:textId="77777777" w:rsidTr="00C03F9E">
              <w:tc>
                <w:tcPr>
                  <w:tcW w:w="791" w:type="pct"/>
                  <w:shd w:val="clear" w:color="auto" w:fill="auto"/>
                </w:tcPr>
                <w:p w14:paraId="4B7F70D6" w14:textId="77777777" w:rsidR="00DA3852" w:rsidRDefault="00DA3852" w:rsidP="00C03F9E">
                  <w:pPr>
                    <w:pStyle w:val="TableBodyText"/>
                    <w:jc w:val="left"/>
                  </w:pPr>
                  <w:r>
                    <w:t>Cooper</w:t>
                  </w:r>
                </w:p>
              </w:tc>
              <w:tc>
                <w:tcPr>
                  <w:tcW w:w="1172" w:type="pct"/>
                  <w:shd w:val="clear" w:color="auto" w:fill="auto"/>
                </w:tcPr>
                <w:p w14:paraId="7318ABFD" w14:textId="77777777" w:rsidR="00DA3852" w:rsidRDefault="00DA3852" w:rsidP="00C03F9E">
                  <w:pPr>
                    <w:pStyle w:val="TableBodyText"/>
                    <w:jc w:val="left"/>
                  </w:pPr>
                  <w:r>
                    <w:t>Conventional</w:t>
                  </w:r>
                </w:p>
              </w:tc>
              <w:tc>
                <w:tcPr>
                  <w:tcW w:w="796" w:type="pct"/>
                  <w:shd w:val="clear" w:color="auto" w:fill="auto"/>
                  <w:vAlign w:val="bottom"/>
                </w:tcPr>
                <w:p w14:paraId="148AF87B" w14:textId="77777777" w:rsidR="00DA3852" w:rsidRDefault="00DA3852" w:rsidP="00C03F9E">
                  <w:pPr>
                    <w:pStyle w:val="TableBodyText"/>
                  </w:pPr>
                  <w:r w:rsidRPr="007736CB">
                    <w:t>3.5</w:t>
                  </w:r>
                </w:p>
              </w:tc>
              <w:tc>
                <w:tcPr>
                  <w:tcW w:w="695" w:type="pct"/>
                  <w:vAlign w:val="bottom"/>
                </w:tcPr>
                <w:p w14:paraId="326B4BFE" w14:textId="77777777" w:rsidR="00DA3852" w:rsidRDefault="00DA3852" w:rsidP="00C03F9E">
                  <w:pPr>
                    <w:pStyle w:val="TableBodyText"/>
                  </w:pPr>
                  <w:r w:rsidRPr="007736CB">
                    <w:t>0.4</w:t>
                  </w:r>
                </w:p>
              </w:tc>
              <w:tc>
                <w:tcPr>
                  <w:tcW w:w="801" w:type="pct"/>
                  <w:shd w:val="clear" w:color="auto" w:fill="auto"/>
                  <w:vAlign w:val="bottom"/>
                </w:tcPr>
                <w:p w14:paraId="594F29C9" w14:textId="77777777" w:rsidR="00DA3852" w:rsidRPr="00160A56" w:rsidRDefault="00DA3852" w:rsidP="00C03F9E">
                  <w:pPr>
                    <w:pStyle w:val="TableBodyText"/>
                  </w:pPr>
                  <w:r w:rsidRPr="007736CB">
                    <w:t>1.4</w:t>
                  </w:r>
                </w:p>
              </w:tc>
              <w:tc>
                <w:tcPr>
                  <w:tcW w:w="744" w:type="pct"/>
                  <w:shd w:val="clear" w:color="auto" w:fill="auto"/>
                  <w:vAlign w:val="bottom"/>
                </w:tcPr>
                <w:p w14:paraId="4D02EE0B" w14:textId="77777777" w:rsidR="00DA3852" w:rsidRPr="007736CB" w:rsidRDefault="00DA3852" w:rsidP="00C03F9E">
                  <w:pPr>
                    <w:pStyle w:val="TableBodyText"/>
                    <w:ind w:left="113"/>
                    <w:rPr>
                      <w:szCs w:val="18"/>
                    </w:rPr>
                  </w:pPr>
                  <w:r w:rsidRPr="007736CB">
                    <w:rPr>
                      <w:rFonts w:cs="Arial"/>
                      <w:color w:val="000000"/>
                      <w:szCs w:val="18"/>
                    </w:rPr>
                    <w:t>5.3</w:t>
                  </w:r>
                </w:p>
              </w:tc>
            </w:tr>
            <w:tr w:rsidR="00DA3852" w14:paraId="1BE7E70C" w14:textId="77777777" w:rsidTr="00C03F9E">
              <w:tc>
                <w:tcPr>
                  <w:tcW w:w="791" w:type="pct"/>
                  <w:shd w:val="clear" w:color="auto" w:fill="auto"/>
                </w:tcPr>
                <w:p w14:paraId="496D82FE" w14:textId="77777777" w:rsidR="00DA3852" w:rsidRDefault="00DA3852" w:rsidP="00C03F9E">
                  <w:pPr>
                    <w:pStyle w:val="TableBodyText"/>
                    <w:jc w:val="left"/>
                  </w:pPr>
                  <w:r>
                    <w:t>Cooper</w:t>
                  </w:r>
                </w:p>
              </w:tc>
              <w:tc>
                <w:tcPr>
                  <w:tcW w:w="1172" w:type="pct"/>
                  <w:shd w:val="clear" w:color="auto" w:fill="auto"/>
                </w:tcPr>
                <w:p w14:paraId="09471CB3" w14:textId="77777777" w:rsidR="00DA3852" w:rsidRDefault="00DA3852" w:rsidP="00C03F9E">
                  <w:pPr>
                    <w:pStyle w:val="TableBodyText"/>
                    <w:jc w:val="left"/>
                  </w:pPr>
                  <w:r>
                    <w:t>New shale</w:t>
                  </w:r>
                </w:p>
              </w:tc>
              <w:tc>
                <w:tcPr>
                  <w:tcW w:w="796" w:type="pct"/>
                  <w:shd w:val="clear" w:color="auto" w:fill="auto"/>
                  <w:vAlign w:val="bottom"/>
                </w:tcPr>
                <w:p w14:paraId="0824AB04" w14:textId="77777777" w:rsidR="00DA3852" w:rsidRDefault="00DA3852" w:rsidP="00C03F9E">
                  <w:pPr>
                    <w:pStyle w:val="TableBodyText"/>
                  </w:pPr>
                  <w:r w:rsidRPr="007736CB">
                    <w:t>2.5</w:t>
                  </w:r>
                </w:p>
              </w:tc>
              <w:tc>
                <w:tcPr>
                  <w:tcW w:w="695" w:type="pct"/>
                  <w:vAlign w:val="bottom"/>
                </w:tcPr>
                <w:p w14:paraId="01C15D79" w14:textId="77777777" w:rsidR="00DA3852" w:rsidRDefault="00DA3852" w:rsidP="00C03F9E">
                  <w:pPr>
                    <w:pStyle w:val="TableBodyText"/>
                  </w:pPr>
                  <w:r w:rsidRPr="007736CB">
                    <w:t>1.0</w:t>
                  </w:r>
                </w:p>
              </w:tc>
              <w:tc>
                <w:tcPr>
                  <w:tcW w:w="801" w:type="pct"/>
                  <w:shd w:val="clear" w:color="auto" w:fill="auto"/>
                  <w:vAlign w:val="bottom"/>
                </w:tcPr>
                <w:p w14:paraId="722B9417" w14:textId="77777777" w:rsidR="00DA3852" w:rsidRPr="00160A56" w:rsidRDefault="00DA3852" w:rsidP="00C03F9E">
                  <w:pPr>
                    <w:pStyle w:val="TableBodyText"/>
                  </w:pPr>
                  <w:r w:rsidRPr="007736CB">
                    <w:t>2.6</w:t>
                  </w:r>
                </w:p>
              </w:tc>
              <w:tc>
                <w:tcPr>
                  <w:tcW w:w="744" w:type="pct"/>
                  <w:shd w:val="clear" w:color="auto" w:fill="auto"/>
                  <w:vAlign w:val="bottom"/>
                </w:tcPr>
                <w:p w14:paraId="0CDD2BD9" w14:textId="77777777" w:rsidR="00DA3852" w:rsidRPr="007736CB" w:rsidRDefault="00DA3852" w:rsidP="00C03F9E">
                  <w:pPr>
                    <w:pStyle w:val="TableBodyText"/>
                    <w:ind w:left="113"/>
                    <w:rPr>
                      <w:szCs w:val="18"/>
                    </w:rPr>
                  </w:pPr>
                  <w:r w:rsidRPr="007736CB">
                    <w:rPr>
                      <w:rFonts w:cs="Arial"/>
                      <w:color w:val="000000"/>
                      <w:szCs w:val="18"/>
                    </w:rPr>
                    <w:t>6.0</w:t>
                  </w:r>
                </w:p>
              </w:tc>
            </w:tr>
            <w:tr w:rsidR="00DA3852" w14:paraId="10C211BE" w14:textId="77777777" w:rsidTr="00C03F9E">
              <w:tc>
                <w:tcPr>
                  <w:tcW w:w="791" w:type="pct"/>
                  <w:shd w:val="clear" w:color="auto" w:fill="auto"/>
                </w:tcPr>
                <w:p w14:paraId="2A976837" w14:textId="77777777" w:rsidR="00DA3852" w:rsidRDefault="00DA3852" w:rsidP="00C03F9E">
                  <w:pPr>
                    <w:pStyle w:val="TableBodyText"/>
                    <w:jc w:val="left"/>
                  </w:pPr>
                  <w:r>
                    <w:t>Cooper</w:t>
                  </w:r>
                </w:p>
              </w:tc>
              <w:tc>
                <w:tcPr>
                  <w:tcW w:w="1172" w:type="pct"/>
                  <w:shd w:val="clear" w:color="auto" w:fill="auto"/>
                </w:tcPr>
                <w:p w14:paraId="0D85C9F2" w14:textId="77777777" w:rsidR="00DA3852" w:rsidRDefault="00DA3852" w:rsidP="00C03F9E">
                  <w:pPr>
                    <w:pStyle w:val="TableBodyText"/>
                    <w:jc w:val="left"/>
                  </w:pPr>
                  <w:r>
                    <w:t>New infill</w:t>
                  </w:r>
                </w:p>
              </w:tc>
              <w:tc>
                <w:tcPr>
                  <w:tcW w:w="796" w:type="pct"/>
                  <w:shd w:val="clear" w:color="auto" w:fill="auto"/>
                  <w:vAlign w:val="bottom"/>
                </w:tcPr>
                <w:p w14:paraId="60A0F2B9" w14:textId="77777777" w:rsidR="00DA3852" w:rsidRDefault="00DA3852" w:rsidP="00C03F9E">
                  <w:pPr>
                    <w:pStyle w:val="TableBodyText"/>
                  </w:pPr>
                  <w:r w:rsidRPr="007736CB">
                    <w:t>1.8</w:t>
                  </w:r>
                </w:p>
              </w:tc>
              <w:tc>
                <w:tcPr>
                  <w:tcW w:w="695" w:type="pct"/>
                  <w:vAlign w:val="bottom"/>
                </w:tcPr>
                <w:p w14:paraId="198C8AB0" w14:textId="77777777" w:rsidR="00DA3852" w:rsidRDefault="00DA3852" w:rsidP="00C03F9E">
                  <w:pPr>
                    <w:pStyle w:val="TableBodyText"/>
                  </w:pPr>
                  <w:r w:rsidRPr="007736CB">
                    <w:t>0.8</w:t>
                  </w:r>
                </w:p>
              </w:tc>
              <w:tc>
                <w:tcPr>
                  <w:tcW w:w="801" w:type="pct"/>
                  <w:shd w:val="clear" w:color="auto" w:fill="auto"/>
                  <w:vAlign w:val="bottom"/>
                </w:tcPr>
                <w:p w14:paraId="3FB12F7F" w14:textId="77777777" w:rsidR="00DA3852" w:rsidRPr="00160A56" w:rsidRDefault="00DA3852" w:rsidP="00C03F9E">
                  <w:pPr>
                    <w:pStyle w:val="TableBodyText"/>
                  </w:pPr>
                  <w:r w:rsidRPr="007736CB">
                    <w:t>2.6</w:t>
                  </w:r>
                </w:p>
              </w:tc>
              <w:tc>
                <w:tcPr>
                  <w:tcW w:w="744" w:type="pct"/>
                  <w:shd w:val="clear" w:color="auto" w:fill="auto"/>
                  <w:vAlign w:val="bottom"/>
                </w:tcPr>
                <w:p w14:paraId="0B77DF66" w14:textId="77777777" w:rsidR="00DA3852" w:rsidRPr="007736CB" w:rsidRDefault="00DA3852" w:rsidP="00C03F9E">
                  <w:pPr>
                    <w:pStyle w:val="TableBodyText"/>
                    <w:ind w:left="113"/>
                    <w:rPr>
                      <w:szCs w:val="18"/>
                    </w:rPr>
                  </w:pPr>
                  <w:r w:rsidRPr="007736CB">
                    <w:rPr>
                      <w:rFonts w:cs="Arial"/>
                      <w:color w:val="000000"/>
                      <w:szCs w:val="18"/>
                    </w:rPr>
                    <w:t>5.3</w:t>
                  </w:r>
                </w:p>
              </w:tc>
            </w:tr>
            <w:tr w:rsidR="00DA3852" w14:paraId="5CD266CE" w14:textId="77777777" w:rsidTr="00C03F9E">
              <w:tc>
                <w:tcPr>
                  <w:tcW w:w="791" w:type="pct"/>
                  <w:shd w:val="clear" w:color="auto" w:fill="auto"/>
                </w:tcPr>
                <w:p w14:paraId="002F56A8" w14:textId="77777777" w:rsidR="00DA3852" w:rsidRDefault="00DA3852" w:rsidP="00C03F9E">
                  <w:pPr>
                    <w:pStyle w:val="TableBodyText"/>
                    <w:jc w:val="left"/>
                  </w:pPr>
                  <w:r>
                    <w:t>Cooper</w:t>
                  </w:r>
                </w:p>
              </w:tc>
              <w:tc>
                <w:tcPr>
                  <w:tcW w:w="1172" w:type="pct"/>
                  <w:shd w:val="clear" w:color="auto" w:fill="auto"/>
                </w:tcPr>
                <w:p w14:paraId="331C1A16" w14:textId="77777777" w:rsidR="00DA3852" w:rsidRDefault="00DA3852" w:rsidP="00C03F9E">
                  <w:pPr>
                    <w:pStyle w:val="TableBodyText"/>
                    <w:jc w:val="left"/>
                  </w:pPr>
                  <w:r>
                    <w:t>New CSG</w:t>
                  </w:r>
                </w:p>
              </w:tc>
              <w:tc>
                <w:tcPr>
                  <w:tcW w:w="796" w:type="pct"/>
                  <w:shd w:val="clear" w:color="auto" w:fill="auto"/>
                  <w:vAlign w:val="bottom"/>
                </w:tcPr>
                <w:p w14:paraId="58219A87" w14:textId="77777777" w:rsidR="00DA3852" w:rsidRDefault="00DA3852" w:rsidP="00C03F9E">
                  <w:pPr>
                    <w:pStyle w:val="TableBodyText"/>
                  </w:pPr>
                  <w:r w:rsidRPr="007736CB">
                    <w:t>2.0</w:t>
                  </w:r>
                </w:p>
              </w:tc>
              <w:tc>
                <w:tcPr>
                  <w:tcW w:w="695" w:type="pct"/>
                  <w:vAlign w:val="bottom"/>
                </w:tcPr>
                <w:p w14:paraId="1C3221C9" w14:textId="77777777" w:rsidR="00DA3852" w:rsidRDefault="00DA3852" w:rsidP="00C03F9E">
                  <w:pPr>
                    <w:pStyle w:val="TableBodyText"/>
                  </w:pPr>
                  <w:r w:rsidRPr="007736CB">
                    <w:t>1.6</w:t>
                  </w:r>
                </w:p>
              </w:tc>
              <w:tc>
                <w:tcPr>
                  <w:tcW w:w="801" w:type="pct"/>
                  <w:shd w:val="clear" w:color="auto" w:fill="auto"/>
                  <w:vAlign w:val="bottom"/>
                </w:tcPr>
                <w:p w14:paraId="4A46CF58" w14:textId="77777777" w:rsidR="00DA3852" w:rsidRPr="00160A56" w:rsidRDefault="00DA3852" w:rsidP="00C03F9E">
                  <w:pPr>
                    <w:pStyle w:val="TableBodyText"/>
                  </w:pPr>
                  <w:r w:rsidRPr="007736CB">
                    <w:t>2.1</w:t>
                  </w:r>
                </w:p>
              </w:tc>
              <w:tc>
                <w:tcPr>
                  <w:tcW w:w="744" w:type="pct"/>
                  <w:shd w:val="clear" w:color="auto" w:fill="auto"/>
                  <w:vAlign w:val="bottom"/>
                </w:tcPr>
                <w:p w14:paraId="198D4D12" w14:textId="77777777" w:rsidR="00DA3852" w:rsidRPr="007736CB" w:rsidRDefault="00DA3852" w:rsidP="00C03F9E">
                  <w:pPr>
                    <w:pStyle w:val="TableBodyText"/>
                    <w:ind w:left="113"/>
                    <w:rPr>
                      <w:szCs w:val="18"/>
                    </w:rPr>
                  </w:pPr>
                  <w:r w:rsidRPr="007736CB">
                    <w:rPr>
                      <w:rFonts w:cs="Arial"/>
                      <w:color w:val="000000"/>
                      <w:szCs w:val="18"/>
                    </w:rPr>
                    <w:t>5.7</w:t>
                  </w:r>
                </w:p>
              </w:tc>
            </w:tr>
            <w:tr w:rsidR="00DA3852" w14:paraId="06E28320" w14:textId="77777777" w:rsidTr="00C03F9E">
              <w:tc>
                <w:tcPr>
                  <w:tcW w:w="791" w:type="pct"/>
                  <w:shd w:val="clear" w:color="auto" w:fill="auto"/>
                </w:tcPr>
                <w:p w14:paraId="0EBEE0AE" w14:textId="77777777" w:rsidR="00DA3852" w:rsidRDefault="00DA3852" w:rsidP="00C03F9E">
                  <w:pPr>
                    <w:pStyle w:val="TableBodyText"/>
                    <w:jc w:val="left"/>
                  </w:pPr>
                  <w:r>
                    <w:t>Cooper</w:t>
                  </w:r>
                </w:p>
              </w:tc>
              <w:tc>
                <w:tcPr>
                  <w:tcW w:w="1172" w:type="pct"/>
                  <w:shd w:val="clear" w:color="auto" w:fill="auto"/>
                </w:tcPr>
                <w:p w14:paraId="4BBE1FA5" w14:textId="77777777" w:rsidR="00DA3852" w:rsidRDefault="00DA3852" w:rsidP="00C03F9E">
                  <w:pPr>
                    <w:pStyle w:val="TableBodyText"/>
                    <w:jc w:val="left"/>
                  </w:pPr>
                  <w:r>
                    <w:t>GLNG</w:t>
                  </w:r>
                </w:p>
              </w:tc>
              <w:tc>
                <w:tcPr>
                  <w:tcW w:w="796" w:type="pct"/>
                  <w:shd w:val="clear" w:color="auto" w:fill="auto"/>
                  <w:vAlign w:val="bottom"/>
                </w:tcPr>
                <w:p w14:paraId="57D0CBC4" w14:textId="77777777" w:rsidR="00DA3852" w:rsidRDefault="00DA3852" w:rsidP="00C03F9E">
                  <w:pPr>
                    <w:pStyle w:val="TableBodyText"/>
                  </w:pPr>
                  <w:r w:rsidRPr="007736CB">
                    <w:t>3.5</w:t>
                  </w:r>
                </w:p>
              </w:tc>
              <w:tc>
                <w:tcPr>
                  <w:tcW w:w="695" w:type="pct"/>
                  <w:vAlign w:val="bottom"/>
                </w:tcPr>
                <w:p w14:paraId="0025FB58" w14:textId="77777777" w:rsidR="00DA3852" w:rsidRDefault="00DA3852" w:rsidP="00C03F9E">
                  <w:pPr>
                    <w:pStyle w:val="TableBodyText"/>
                  </w:pPr>
                  <w:r w:rsidRPr="007736CB">
                    <w:t>0.4</w:t>
                  </w:r>
                </w:p>
              </w:tc>
              <w:tc>
                <w:tcPr>
                  <w:tcW w:w="801" w:type="pct"/>
                  <w:shd w:val="clear" w:color="auto" w:fill="auto"/>
                  <w:vAlign w:val="bottom"/>
                </w:tcPr>
                <w:p w14:paraId="4C2809FA" w14:textId="77777777" w:rsidR="00DA3852" w:rsidRPr="00160A56" w:rsidRDefault="00DA3852" w:rsidP="00C03F9E">
                  <w:pPr>
                    <w:pStyle w:val="TableBodyText"/>
                  </w:pPr>
                  <w:r w:rsidRPr="007736CB">
                    <w:t>1.4</w:t>
                  </w:r>
                </w:p>
              </w:tc>
              <w:tc>
                <w:tcPr>
                  <w:tcW w:w="744" w:type="pct"/>
                  <w:shd w:val="clear" w:color="auto" w:fill="auto"/>
                  <w:vAlign w:val="bottom"/>
                </w:tcPr>
                <w:p w14:paraId="37139FB4" w14:textId="77777777" w:rsidR="00DA3852" w:rsidRPr="007736CB" w:rsidRDefault="00DA3852" w:rsidP="00C03F9E">
                  <w:pPr>
                    <w:pStyle w:val="TableBodyText"/>
                    <w:ind w:left="113"/>
                    <w:rPr>
                      <w:szCs w:val="18"/>
                    </w:rPr>
                  </w:pPr>
                  <w:r w:rsidRPr="007736CB">
                    <w:rPr>
                      <w:rFonts w:cs="Arial"/>
                      <w:color w:val="000000"/>
                      <w:szCs w:val="18"/>
                    </w:rPr>
                    <w:t>5.3</w:t>
                  </w:r>
                </w:p>
              </w:tc>
            </w:tr>
            <w:tr w:rsidR="00DA3852" w14:paraId="2611C60F" w14:textId="77777777" w:rsidTr="00C03F9E">
              <w:tc>
                <w:tcPr>
                  <w:tcW w:w="791" w:type="pct"/>
                  <w:shd w:val="clear" w:color="auto" w:fill="auto"/>
                </w:tcPr>
                <w:p w14:paraId="3ACD2816" w14:textId="77777777" w:rsidR="00DA3852" w:rsidRDefault="00DA3852" w:rsidP="00C03F9E">
                  <w:pPr>
                    <w:pStyle w:val="TableBodyText"/>
                    <w:jc w:val="left"/>
                  </w:pPr>
                  <w:r>
                    <w:t>Gippsland</w:t>
                  </w:r>
                </w:p>
              </w:tc>
              <w:tc>
                <w:tcPr>
                  <w:tcW w:w="1172" w:type="pct"/>
                  <w:shd w:val="clear" w:color="auto" w:fill="auto"/>
                </w:tcPr>
                <w:p w14:paraId="6B879614" w14:textId="77777777" w:rsidR="00DA3852" w:rsidRDefault="00DA3852" w:rsidP="00C03F9E">
                  <w:pPr>
                    <w:pStyle w:val="TableBodyText"/>
                    <w:jc w:val="left"/>
                  </w:pPr>
                  <w:r>
                    <w:t xml:space="preserve">GBJV and Turrum </w:t>
                  </w:r>
                </w:p>
              </w:tc>
              <w:tc>
                <w:tcPr>
                  <w:tcW w:w="796" w:type="pct"/>
                  <w:shd w:val="clear" w:color="auto" w:fill="auto"/>
                  <w:vAlign w:val="bottom"/>
                </w:tcPr>
                <w:p w14:paraId="4B955F0C" w14:textId="77777777" w:rsidR="00DA3852" w:rsidRDefault="00DA3852" w:rsidP="00C03F9E">
                  <w:pPr>
                    <w:pStyle w:val="TableBodyText"/>
                  </w:pPr>
                  <w:r w:rsidRPr="007736CB">
                    <w:t>2.4</w:t>
                  </w:r>
                </w:p>
              </w:tc>
              <w:tc>
                <w:tcPr>
                  <w:tcW w:w="695" w:type="pct"/>
                  <w:vAlign w:val="bottom"/>
                </w:tcPr>
                <w:p w14:paraId="3C6C2AD9" w14:textId="77777777" w:rsidR="00DA3852" w:rsidRDefault="00DA3852" w:rsidP="00C03F9E">
                  <w:pPr>
                    <w:pStyle w:val="TableBodyText"/>
                  </w:pPr>
                  <w:r w:rsidRPr="007736CB">
                    <w:t>1.5</w:t>
                  </w:r>
                </w:p>
              </w:tc>
              <w:tc>
                <w:tcPr>
                  <w:tcW w:w="801" w:type="pct"/>
                  <w:shd w:val="clear" w:color="auto" w:fill="auto"/>
                  <w:vAlign w:val="bottom"/>
                </w:tcPr>
                <w:p w14:paraId="1CB4985B" w14:textId="77777777" w:rsidR="00DA3852" w:rsidRPr="00160A56" w:rsidRDefault="00DA3852" w:rsidP="00C03F9E">
                  <w:pPr>
                    <w:pStyle w:val="TableBodyText"/>
                  </w:pPr>
                  <w:r w:rsidRPr="007736CB">
                    <w:t>0.7</w:t>
                  </w:r>
                </w:p>
              </w:tc>
              <w:tc>
                <w:tcPr>
                  <w:tcW w:w="744" w:type="pct"/>
                  <w:shd w:val="clear" w:color="auto" w:fill="auto"/>
                  <w:vAlign w:val="bottom"/>
                </w:tcPr>
                <w:p w14:paraId="5745A683" w14:textId="77777777" w:rsidR="00DA3852" w:rsidRPr="007736CB" w:rsidRDefault="00DA3852" w:rsidP="00C03F9E">
                  <w:pPr>
                    <w:pStyle w:val="TableBodyText"/>
                    <w:ind w:left="113"/>
                    <w:rPr>
                      <w:szCs w:val="18"/>
                    </w:rPr>
                  </w:pPr>
                  <w:r w:rsidRPr="007736CB">
                    <w:rPr>
                      <w:rFonts w:cs="Arial"/>
                      <w:color w:val="000000"/>
                      <w:szCs w:val="18"/>
                    </w:rPr>
                    <w:t>4.5</w:t>
                  </w:r>
                </w:p>
              </w:tc>
            </w:tr>
            <w:tr w:rsidR="00DA3852" w14:paraId="19CD3FE4" w14:textId="77777777" w:rsidTr="00C03F9E">
              <w:tc>
                <w:tcPr>
                  <w:tcW w:w="791" w:type="pct"/>
                  <w:shd w:val="clear" w:color="auto" w:fill="auto"/>
                </w:tcPr>
                <w:p w14:paraId="12E7F875" w14:textId="77777777" w:rsidR="00DA3852" w:rsidRDefault="00DA3852" w:rsidP="00C03F9E">
                  <w:pPr>
                    <w:pStyle w:val="TableBodyText"/>
                    <w:jc w:val="left"/>
                  </w:pPr>
                  <w:r>
                    <w:t>Gippsland</w:t>
                  </w:r>
                </w:p>
              </w:tc>
              <w:tc>
                <w:tcPr>
                  <w:tcW w:w="1172" w:type="pct"/>
                  <w:shd w:val="clear" w:color="auto" w:fill="auto"/>
                </w:tcPr>
                <w:p w14:paraId="68334D29" w14:textId="77777777" w:rsidR="00DA3852" w:rsidRDefault="00DA3852" w:rsidP="00C03F9E">
                  <w:pPr>
                    <w:pStyle w:val="TableBodyText"/>
                    <w:jc w:val="left"/>
                  </w:pPr>
                  <w:r>
                    <w:t>Kipper</w:t>
                  </w:r>
                </w:p>
              </w:tc>
              <w:tc>
                <w:tcPr>
                  <w:tcW w:w="796" w:type="pct"/>
                  <w:shd w:val="clear" w:color="auto" w:fill="auto"/>
                  <w:vAlign w:val="bottom"/>
                </w:tcPr>
                <w:p w14:paraId="132401A1" w14:textId="77777777" w:rsidR="00DA3852" w:rsidRDefault="00DA3852" w:rsidP="00C03F9E">
                  <w:pPr>
                    <w:pStyle w:val="TableBodyText"/>
                  </w:pPr>
                  <w:r w:rsidRPr="007736CB">
                    <w:t>2.4</w:t>
                  </w:r>
                </w:p>
              </w:tc>
              <w:tc>
                <w:tcPr>
                  <w:tcW w:w="695" w:type="pct"/>
                  <w:vAlign w:val="bottom"/>
                </w:tcPr>
                <w:p w14:paraId="675F27E5" w14:textId="77777777" w:rsidR="00DA3852" w:rsidRDefault="00DA3852" w:rsidP="00C03F9E">
                  <w:pPr>
                    <w:pStyle w:val="TableBodyText"/>
                  </w:pPr>
                  <w:r w:rsidRPr="007736CB">
                    <w:t>2.5</w:t>
                  </w:r>
                </w:p>
              </w:tc>
              <w:tc>
                <w:tcPr>
                  <w:tcW w:w="801" w:type="pct"/>
                  <w:shd w:val="clear" w:color="auto" w:fill="auto"/>
                  <w:vAlign w:val="bottom"/>
                </w:tcPr>
                <w:p w14:paraId="488A750D" w14:textId="77777777" w:rsidR="00DA3852" w:rsidRPr="00160A56" w:rsidRDefault="00DA3852" w:rsidP="00C03F9E">
                  <w:pPr>
                    <w:pStyle w:val="TableBodyText"/>
                  </w:pPr>
                  <w:r w:rsidRPr="007736CB">
                    <w:t>0.7</w:t>
                  </w:r>
                </w:p>
              </w:tc>
              <w:tc>
                <w:tcPr>
                  <w:tcW w:w="744" w:type="pct"/>
                  <w:shd w:val="clear" w:color="auto" w:fill="auto"/>
                  <w:vAlign w:val="bottom"/>
                </w:tcPr>
                <w:p w14:paraId="02B94D0B" w14:textId="77777777" w:rsidR="00DA3852" w:rsidRPr="007736CB" w:rsidRDefault="00DA3852" w:rsidP="00C03F9E">
                  <w:pPr>
                    <w:pStyle w:val="TableBodyText"/>
                    <w:ind w:left="113"/>
                    <w:rPr>
                      <w:szCs w:val="18"/>
                    </w:rPr>
                  </w:pPr>
                  <w:r w:rsidRPr="007736CB">
                    <w:rPr>
                      <w:rFonts w:cs="Arial"/>
                      <w:color w:val="000000"/>
                      <w:szCs w:val="18"/>
                    </w:rPr>
                    <w:t>5.5</w:t>
                  </w:r>
                </w:p>
              </w:tc>
            </w:tr>
            <w:tr w:rsidR="00DA3852" w14:paraId="0D2DFFAF" w14:textId="77777777" w:rsidTr="00C03F9E">
              <w:tc>
                <w:tcPr>
                  <w:tcW w:w="791" w:type="pct"/>
                  <w:shd w:val="clear" w:color="auto" w:fill="auto"/>
                </w:tcPr>
                <w:p w14:paraId="7218DDB4" w14:textId="77777777" w:rsidR="00DA3852" w:rsidRDefault="00DA3852" w:rsidP="00C03F9E">
                  <w:pPr>
                    <w:pStyle w:val="TableBodyText"/>
                    <w:jc w:val="left"/>
                  </w:pPr>
                  <w:r>
                    <w:t>Gippsland</w:t>
                  </w:r>
                </w:p>
              </w:tc>
              <w:tc>
                <w:tcPr>
                  <w:tcW w:w="1172" w:type="pct"/>
                  <w:shd w:val="clear" w:color="auto" w:fill="auto"/>
                </w:tcPr>
                <w:p w14:paraId="3EFE24FF" w14:textId="77777777" w:rsidR="00DA3852" w:rsidRDefault="00DA3852" w:rsidP="00C03F9E">
                  <w:pPr>
                    <w:pStyle w:val="TableBodyText"/>
                    <w:jc w:val="left"/>
                  </w:pPr>
                  <w:proofErr w:type="spellStart"/>
                  <w:r>
                    <w:t>Longtom</w:t>
                  </w:r>
                  <w:proofErr w:type="spellEnd"/>
                </w:p>
              </w:tc>
              <w:tc>
                <w:tcPr>
                  <w:tcW w:w="796" w:type="pct"/>
                  <w:shd w:val="clear" w:color="auto" w:fill="auto"/>
                  <w:vAlign w:val="bottom"/>
                </w:tcPr>
                <w:p w14:paraId="36DE25FA" w14:textId="77777777" w:rsidR="00DA3852" w:rsidRDefault="00DA3852" w:rsidP="00C03F9E">
                  <w:pPr>
                    <w:pStyle w:val="TableBodyText"/>
                  </w:pPr>
                  <w:r w:rsidRPr="007736CB">
                    <w:t>2.4</w:t>
                  </w:r>
                </w:p>
              </w:tc>
              <w:tc>
                <w:tcPr>
                  <w:tcW w:w="695" w:type="pct"/>
                  <w:vAlign w:val="bottom"/>
                </w:tcPr>
                <w:p w14:paraId="0363AB69" w14:textId="77777777" w:rsidR="00DA3852" w:rsidRDefault="00DA3852" w:rsidP="00C03F9E">
                  <w:pPr>
                    <w:pStyle w:val="TableBodyText"/>
                  </w:pPr>
                  <w:r w:rsidRPr="007736CB">
                    <w:t>1.5</w:t>
                  </w:r>
                </w:p>
              </w:tc>
              <w:tc>
                <w:tcPr>
                  <w:tcW w:w="801" w:type="pct"/>
                  <w:shd w:val="clear" w:color="auto" w:fill="auto"/>
                  <w:vAlign w:val="bottom"/>
                </w:tcPr>
                <w:p w14:paraId="21B3887A" w14:textId="77777777" w:rsidR="00DA3852" w:rsidRPr="00160A56" w:rsidRDefault="00DA3852" w:rsidP="00C03F9E">
                  <w:pPr>
                    <w:pStyle w:val="TableBodyText"/>
                  </w:pPr>
                  <w:r w:rsidRPr="007736CB">
                    <w:t>0.7</w:t>
                  </w:r>
                </w:p>
              </w:tc>
              <w:tc>
                <w:tcPr>
                  <w:tcW w:w="744" w:type="pct"/>
                  <w:shd w:val="clear" w:color="auto" w:fill="auto"/>
                  <w:vAlign w:val="bottom"/>
                </w:tcPr>
                <w:p w14:paraId="7F878609" w14:textId="77777777" w:rsidR="00DA3852" w:rsidRPr="007736CB" w:rsidRDefault="00DA3852" w:rsidP="00C03F9E">
                  <w:pPr>
                    <w:pStyle w:val="TableBodyText"/>
                    <w:ind w:left="113"/>
                    <w:rPr>
                      <w:szCs w:val="18"/>
                    </w:rPr>
                  </w:pPr>
                  <w:r w:rsidRPr="007736CB">
                    <w:rPr>
                      <w:rFonts w:cs="Arial"/>
                      <w:color w:val="000000"/>
                      <w:szCs w:val="18"/>
                    </w:rPr>
                    <w:t>4.5</w:t>
                  </w:r>
                </w:p>
              </w:tc>
            </w:tr>
            <w:tr w:rsidR="00DA3852" w14:paraId="3D3BA17C" w14:textId="77777777" w:rsidTr="00C03F9E">
              <w:tc>
                <w:tcPr>
                  <w:tcW w:w="791" w:type="pct"/>
                  <w:shd w:val="clear" w:color="auto" w:fill="auto"/>
                </w:tcPr>
                <w:p w14:paraId="38B68C28" w14:textId="77777777" w:rsidR="00DA3852" w:rsidRDefault="00DA3852" w:rsidP="00C03F9E">
                  <w:pPr>
                    <w:pStyle w:val="TableBodyText"/>
                    <w:jc w:val="left"/>
                  </w:pPr>
                  <w:r>
                    <w:t>Gippsland</w:t>
                  </w:r>
                </w:p>
              </w:tc>
              <w:tc>
                <w:tcPr>
                  <w:tcW w:w="1172" w:type="pct"/>
                  <w:shd w:val="clear" w:color="auto" w:fill="auto"/>
                </w:tcPr>
                <w:p w14:paraId="4E2B9B1E" w14:textId="77777777" w:rsidR="00DA3852" w:rsidRDefault="00DA3852" w:rsidP="00C03F9E">
                  <w:pPr>
                    <w:pStyle w:val="TableBodyText"/>
                    <w:jc w:val="left"/>
                  </w:pPr>
                  <w:r>
                    <w:t>New unconventional</w:t>
                  </w:r>
                </w:p>
              </w:tc>
              <w:tc>
                <w:tcPr>
                  <w:tcW w:w="796" w:type="pct"/>
                  <w:shd w:val="clear" w:color="auto" w:fill="auto"/>
                  <w:vAlign w:val="bottom"/>
                </w:tcPr>
                <w:p w14:paraId="79EABDC3" w14:textId="77777777" w:rsidR="00DA3852" w:rsidRDefault="00DA3852" w:rsidP="00C03F9E">
                  <w:pPr>
                    <w:pStyle w:val="TableBodyText"/>
                  </w:pPr>
                  <w:r w:rsidRPr="007736CB">
                    <w:t>3.5</w:t>
                  </w:r>
                </w:p>
              </w:tc>
              <w:tc>
                <w:tcPr>
                  <w:tcW w:w="695" w:type="pct"/>
                  <w:vAlign w:val="bottom"/>
                </w:tcPr>
                <w:p w14:paraId="3D7EE950" w14:textId="77777777" w:rsidR="00DA3852" w:rsidRDefault="00DA3852" w:rsidP="00C03F9E">
                  <w:pPr>
                    <w:pStyle w:val="TableBodyText"/>
                  </w:pPr>
                  <w:r w:rsidRPr="007736CB">
                    <w:t>2.1</w:t>
                  </w:r>
                </w:p>
              </w:tc>
              <w:tc>
                <w:tcPr>
                  <w:tcW w:w="801" w:type="pct"/>
                  <w:shd w:val="clear" w:color="auto" w:fill="auto"/>
                  <w:vAlign w:val="bottom"/>
                </w:tcPr>
                <w:p w14:paraId="48C96520" w14:textId="77777777" w:rsidR="00DA3852" w:rsidRPr="00160A56" w:rsidRDefault="00DA3852" w:rsidP="00C03F9E">
                  <w:pPr>
                    <w:pStyle w:val="TableBodyText"/>
                  </w:pPr>
                  <w:r w:rsidRPr="007736CB">
                    <w:t>1.7</w:t>
                  </w:r>
                </w:p>
              </w:tc>
              <w:tc>
                <w:tcPr>
                  <w:tcW w:w="744" w:type="pct"/>
                  <w:shd w:val="clear" w:color="auto" w:fill="auto"/>
                  <w:vAlign w:val="bottom"/>
                </w:tcPr>
                <w:p w14:paraId="713945E7" w14:textId="77777777" w:rsidR="00DA3852" w:rsidRPr="007736CB" w:rsidRDefault="00DA3852" w:rsidP="00C03F9E">
                  <w:pPr>
                    <w:pStyle w:val="TableBodyText"/>
                    <w:ind w:left="113"/>
                    <w:rPr>
                      <w:szCs w:val="18"/>
                    </w:rPr>
                  </w:pPr>
                  <w:r w:rsidRPr="007736CB">
                    <w:rPr>
                      <w:rFonts w:cs="Arial"/>
                      <w:color w:val="000000"/>
                      <w:szCs w:val="18"/>
                    </w:rPr>
                    <w:t>7.4</w:t>
                  </w:r>
                </w:p>
              </w:tc>
            </w:tr>
            <w:tr w:rsidR="00DA3852" w14:paraId="6F4FEC19" w14:textId="77777777" w:rsidTr="00C03F9E">
              <w:tc>
                <w:tcPr>
                  <w:tcW w:w="791" w:type="pct"/>
                  <w:shd w:val="clear" w:color="auto" w:fill="auto"/>
                </w:tcPr>
                <w:p w14:paraId="33AEE18C" w14:textId="77777777" w:rsidR="00DA3852" w:rsidRDefault="00DA3852" w:rsidP="00C03F9E">
                  <w:pPr>
                    <w:pStyle w:val="TableBodyText"/>
                    <w:jc w:val="left"/>
                  </w:pPr>
                  <w:r>
                    <w:t>Gippsland</w:t>
                  </w:r>
                </w:p>
              </w:tc>
              <w:tc>
                <w:tcPr>
                  <w:tcW w:w="1172" w:type="pct"/>
                  <w:shd w:val="clear" w:color="auto" w:fill="auto"/>
                </w:tcPr>
                <w:p w14:paraId="570F86FC" w14:textId="77777777" w:rsidR="00DA3852" w:rsidRDefault="00DA3852" w:rsidP="00C03F9E">
                  <w:pPr>
                    <w:pStyle w:val="TableBodyText"/>
                    <w:jc w:val="left"/>
                  </w:pPr>
                  <w:r>
                    <w:t>New offshore</w:t>
                  </w:r>
                </w:p>
              </w:tc>
              <w:tc>
                <w:tcPr>
                  <w:tcW w:w="796" w:type="pct"/>
                  <w:shd w:val="clear" w:color="auto" w:fill="auto"/>
                  <w:vAlign w:val="bottom"/>
                </w:tcPr>
                <w:p w14:paraId="09BA4432" w14:textId="77777777" w:rsidR="00DA3852" w:rsidRDefault="00DA3852" w:rsidP="00C03F9E">
                  <w:pPr>
                    <w:pStyle w:val="TableBodyText"/>
                  </w:pPr>
                  <w:r w:rsidRPr="007736CB">
                    <w:t>2.4</w:t>
                  </w:r>
                </w:p>
              </w:tc>
              <w:tc>
                <w:tcPr>
                  <w:tcW w:w="695" w:type="pct"/>
                  <w:vAlign w:val="bottom"/>
                </w:tcPr>
                <w:p w14:paraId="49D6F30D" w14:textId="77777777" w:rsidR="00DA3852" w:rsidRDefault="00DA3852" w:rsidP="00C03F9E">
                  <w:pPr>
                    <w:pStyle w:val="TableBodyText"/>
                  </w:pPr>
                  <w:r w:rsidRPr="007736CB">
                    <w:t>2.5</w:t>
                  </w:r>
                </w:p>
              </w:tc>
              <w:tc>
                <w:tcPr>
                  <w:tcW w:w="801" w:type="pct"/>
                  <w:shd w:val="clear" w:color="auto" w:fill="auto"/>
                  <w:vAlign w:val="bottom"/>
                </w:tcPr>
                <w:p w14:paraId="56371F19" w14:textId="77777777" w:rsidR="00DA3852" w:rsidRPr="00160A56" w:rsidRDefault="00DA3852" w:rsidP="00C03F9E">
                  <w:pPr>
                    <w:pStyle w:val="TableBodyText"/>
                  </w:pPr>
                  <w:r w:rsidRPr="007736CB">
                    <w:t>0.7</w:t>
                  </w:r>
                </w:p>
              </w:tc>
              <w:tc>
                <w:tcPr>
                  <w:tcW w:w="744" w:type="pct"/>
                  <w:shd w:val="clear" w:color="auto" w:fill="auto"/>
                  <w:vAlign w:val="bottom"/>
                </w:tcPr>
                <w:p w14:paraId="1BB0F912" w14:textId="77777777" w:rsidR="00DA3852" w:rsidRPr="007736CB" w:rsidRDefault="00DA3852" w:rsidP="00C03F9E">
                  <w:pPr>
                    <w:pStyle w:val="TableBodyText"/>
                    <w:ind w:left="113"/>
                    <w:rPr>
                      <w:szCs w:val="18"/>
                    </w:rPr>
                  </w:pPr>
                  <w:r w:rsidRPr="007736CB">
                    <w:rPr>
                      <w:rFonts w:cs="Arial"/>
                      <w:color w:val="000000"/>
                      <w:szCs w:val="18"/>
                    </w:rPr>
                    <w:t>5.5</w:t>
                  </w:r>
                </w:p>
              </w:tc>
            </w:tr>
            <w:tr w:rsidR="00DA3852" w14:paraId="20096347" w14:textId="77777777" w:rsidTr="00C03F9E">
              <w:tc>
                <w:tcPr>
                  <w:tcW w:w="791" w:type="pct"/>
                  <w:shd w:val="clear" w:color="auto" w:fill="auto"/>
                </w:tcPr>
                <w:p w14:paraId="68215CA3" w14:textId="77777777" w:rsidR="00DA3852" w:rsidRDefault="00DA3852" w:rsidP="00C03F9E">
                  <w:pPr>
                    <w:pStyle w:val="TableBodyText"/>
                    <w:jc w:val="left"/>
                  </w:pPr>
                  <w:r>
                    <w:t>Gloucester</w:t>
                  </w:r>
                </w:p>
              </w:tc>
              <w:tc>
                <w:tcPr>
                  <w:tcW w:w="1172" w:type="pct"/>
                  <w:shd w:val="clear" w:color="auto" w:fill="auto"/>
                </w:tcPr>
                <w:p w14:paraId="62EBC615" w14:textId="77777777" w:rsidR="00DA3852" w:rsidRDefault="00DA3852" w:rsidP="00C03F9E">
                  <w:pPr>
                    <w:pStyle w:val="TableBodyText"/>
                    <w:jc w:val="left"/>
                  </w:pPr>
                  <w:r>
                    <w:t>Gloucester (CSG)</w:t>
                  </w:r>
                </w:p>
              </w:tc>
              <w:tc>
                <w:tcPr>
                  <w:tcW w:w="796" w:type="pct"/>
                  <w:shd w:val="clear" w:color="auto" w:fill="auto"/>
                  <w:vAlign w:val="bottom"/>
                </w:tcPr>
                <w:p w14:paraId="0A1B10EA" w14:textId="77777777" w:rsidR="00DA3852" w:rsidRDefault="00DA3852" w:rsidP="00C03F9E">
                  <w:pPr>
                    <w:pStyle w:val="TableBodyText"/>
                  </w:pPr>
                  <w:r w:rsidRPr="007736CB">
                    <w:t>2.1</w:t>
                  </w:r>
                </w:p>
              </w:tc>
              <w:tc>
                <w:tcPr>
                  <w:tcW w:w="695" w:type="pct"/>
                  <w:vAlign w:val="bottom"/>
                </w:tcPr>
                <w:p w14:paraId="4B648918" w14:textId="77777777" w:rsidR="00DA3852" w:rsidRDefault="00DA3852" w:rsidP="00C03F9E">
                  <w:pPr>
                    <w:pStyle w:val="TableBodyText"/>
                  </w:pPr>
                  <w:r w:rsidRPr="007736CB">
                    <w:t>2.0</w:t>
                  </w:r>
                </w:p>
              </w:tc>
              <w:tc>
                <w:tcPr>
                  <w:tcW w:w="801" w:type="pct"/>
                  <w:shd w:val="clear" w:color="auto" w:fill="auto"/>
                  <w:vAlign w:val="bottom"/>
                </w:tcPr>
                <w:p w14:paraId="6AEC3E60" w14:textId="77777777" w:rsidR="00DA3852" w:rsidRPr="00160A56" w:rsidRDefault="00DA3852" w:rsidP="00C03F9E">
                  <w:pPr>
                    <w:pStyle w:val="TableBodyText"/>
                  </w:pPr>
                  <w:r w:rsidRPr="007736CB">
                    <w:t>0.9</w:t>
                  </w:r>
                </w:p>
              </w:tc>
              <w:tc>
                <w:tcPr>
                  <w:tcW w:w="744" w:type="pct"/>
                  <w:shd w:val="clear" w:color="auto" w:fill="auto"/>
                  <w:vAlign w:val="bottom"/>
                </w:tcPr>
                <w:p w14:paraId="0421CEDB" w14:textId="77777777" w:rsidR="00DA3852" w:rsidRPr="007736CB" w:rsidRDefault="00DA3852" w:rsidP="00C03F9E">
                  <w:pPr>
                    <w:pStyle w:val="TableBodyText"/>
                    <w:ind w:left="113"/>
                    <w:rPr>
                      <w:szCs w:val="18"/>
                    </w:rPr>
                  </w:pPr>
                  <w:r w:rsidRPr="007736CB">
                    <w:rPr>
                      <w:rFonts w:cs="Arial"/>
                      <w:color w:val="000000"/>
                      <w:szCs w:val="18"/>
                    </w:rPr>
                    <w:t>5.0</w:t>
                  </w:r>
                </w:p>
              </w:tc>
            </w:tr>
            <w:tr w:rsidR="00DA3852" w14:paraId="1408B9B0" w14:textId="77777777" w:rsidTr="00C03F9E">
              <w:tc>
                <w:tcPr>
                  <w:tcW w:w="791" w:type="pct"/>
                  <w:shd w:val="clear" w:color="auto" w:fill="auto"/>
                </w:tcPr>
                <w:p w14:paraId="23326BB8" w14:textId="77777777" w:rsidR="00DA3852" w:rsidRDefault="00DA3852" w:rsidP="00C03F9E">
                  <w:pPr>
                    <w:pStyle w:val="TableBodyText"/>
                    <w:jc w:val="left"/>
                  </w:pPr>
                  <w:r>
                    <w:t>Gunnedah</w:t>
                  </w:r>
                </w:p>
              </w:tc>
              <w:tc>
                <w:tcPr>
                  <w:tcW w:w="1172" w:type="pct"/>
                  <w:shd w:val="clear" w:color="auto" w:fill="auto"/>
                </w:tcPr>
                <w:p w14:paraId="605B2BE9" w14:textId="77777777" w:rsidR="00DA3852" w:rsidRDefault="00DA3852" w:rsidP="00C03F9E">
                  <w:pPr>
                    <w:pStyle w:val="TableBodyText"/>
                    <w:jc w:val="left"/>
                  </w:pPr>
                  <w:r>
                    <w:t>New CSG tier 1</w:t>
                  </w:r>
                </w:p>
              </w:tc>
              <w:tc>
                <w:tcPr>
                  <w:tcW w:w="796" w:type="pct"/>
                  <w:shd w:val="clear" w:color="auto" w:fill="auto"/>
                  <w:vAlign w:val="bottom"/>
                </w:tcPr>
                <w:p w14:paraId="24B08115" w14:textId="77777777" w:rsidR="00DA3852" w:rsidRDefault="00DA3852" w:rsidP="00C03F9E">
                  <w:pPr>
                    <w:pStyle w:val="TableBodyText"/>
                  </w:pPr>
                  <w:r w:rsidRPr="007736CB">
                    <w:t>2.2</w:t>
                  </w:r>
                </w:p>
              </w:tc>
              <w:tc>
                <w:tcPr>
                  <w:tcW w:w="695" w:type="pct"/>
                  <w:vAlign w:val="bottom"/>
                </w:tcPr>
                <w:p w14:paraId="2254CAA3" w14:textId="77777777" w:rsidR="00DA3852" w:rsidRDefault="00DA3852" w:rsidP="00C03F9E">
                  <w:pPr>
                    <w:pStyle w:val="TableBodyText"/>
                  </w:pPr>
                  <w:r w:rsidRPr="007736CB">
                    <w:t>1.2</w:t>
                  </w:r>
                </w:p>
              </w:tc>
              <w:tc>
                <w:tcPr>
                  <w:tcW w:w="801" w:type="pct"/>
                  <w:shd w:val="clear" w:color="auto" w:fill="auto"/>
                  <w:vAlign w:val="bottom"/>
                </w:tcPr>
                <w:p w14:paraId="29EE980C" w14:textId="77777777" w:rsidR="00DA3852" w:rsidRPr="00160A56" w:rsidRDefault="00DA3852" w:rsidP="00C03F9E">
                  <w:pPr>
                    <w:pStyle w:val="TableBodyText"/>
                  </w:pPr>
                  <w:r w:rsidRPr="007736CB">
                    <w:t>3.2</w:t>
                  </w:r>
                </w:p>
              </w:tc>
              <w:tc>
                <w:tcPr>
                  <w:tcW w:w="744" w:type="pct"/>
                  <w:shd w:val="clear" w:color="auto" w:fill="auto"/>
                  <w:vAlign w:val="bottom"/>
                </w:tcPr>
                <w:p w14:paraId="414BCD1D" w14:textId="77777777" w:rsidR="00DA3852" w:rsidRPr="007736CB" w:rsidRDefault="00DA3852" w:rsidP="00C03F9E">
                  <w:pPr>
                    <w:pStyle w:val="TableBodyText"/>
                    <w:ind w:left="113"/>
                    <w:rPr>
                      <w:szCs w:val="18"/>
                    </w:rPr>
                  </w:pPr>
                  <w:r w:rsidRPr="007736CB">
                    <w:rPr>
                      <w:rFonts w:cs="Arial"/>
                      <w:color w:val="000000"/>
                      <w:szCs w:val="18"/>
                    </w:rPr>
                    <w:t>6.5</w:t>
                  </w:r>
                </w:p>
              </w:tc>
            </w:tr>
            <w:tr w:rsidR="00DA3852" w14:paraId="3F8730CC" w14:textId="77777777" w:rsidTr="00C03F9E">
              <w:tc>
                <w:tcPr>
                  <w:tcW w:w="792" w:type="pct"/>
                  <w:shd w:val="clear" w:color="auto" w:fill="auto"/>
                </w:tcPr>
                <w:p w14:paraId="2DC85AD9" w14:textId="77777777" w:rsidR="00DA3852" w:rsidRDefault="00DA3852" w:rsidP="00C03F9E">
                  <w:pPr>
                    <w:pStyle w:val="TableBodyText"/>
                    <w:jc w:val="left"/>
                  </w:pPr>
                  <w:r>
                    <w:t>Gunnedah</w:t>
                  </w:r>
                </w:p>
              </w:tc>
              <w:tc>
                <w:tcPr>
                  <w:tcW w:w="1172" w:type="pct"/>
                  <w:shd w:val="clear" w:color="auto" w:fill="auto"/>
                </w:tcPr>
                <w:p w14:paraId="7A51FC5D" w14:textId="77777777" w:rsidR="00DA3852" w:rsidRDefault="00DA3852" w:rsidP="00C03F9E">
                  <w:pPr>
                    <w:pStyle w:val="TableBodyText"/>
                    <w:jc w:val="left"/>
                  </w:pPr>
                  <w:r>
                    <w:t>New CSG tier 2</w:t>
                  </w:r>
                </w:p>
              </w:tc>
              <w:tc>
                <w:tcPr>
                  <w:tcW w:w="796" w:type="pct"/>
                  <w:shd w:val="clear" w:color="auto" w:fill="auto"/>
                  <w:vAlign w:val="bottom"/>
                </w:tcPr>
                <w:p w14:paraId="364B6B34" w14:textId="77777777" w:rsidR="00DA3852" w:rsidRDefault="00DA3852" w:rsidP="00C03F9E">
                  <w:pPr>
                    <w:pStyle w:val="TableBodyText"/>
                  </w:pPr>
                  <w:r w:rsidRPr="007736CB">
                    <w:t>2.4</w:t>
                  </w:r>
                </w:p>
              </w:tc>
              <w:tc>
                <w:tcPr>
                  <w:tcW w:w="695" w:type="pct"/>
                  <w:vAlign w:val="bottom"/>
                </w:tcPr>
                <w:p w14:paraId="065C87A1" w14:textId="77777777" w:rsidR="00DA3852" w:rsidRDefault="00DA3852" w:rsidP="00C03F9E">
                  <w:pPr>
                    <w:pStyle w:val="TableBodyText"/>
                  </w:pPr>
                  <w:r w:rsidRPr="007736CB">
                    <w:t>1.3</w:t>
                  </w:r>
                </w:p>
              </w:tc>
              <w:tc>
                <w:tcPr>
                  <w:tcW w:w="801" w:type="pct"/>
                  <w:shd w:val="clear" w:color="auto" w:fill="auto"/>
                  <w:vAlign w:val="bottom"/>
                </w:tcPr>
                <w:p w14:paraId="26CBE7E2" w14:textId="77777777" w:rsidR="00DA3852" w:rsidRPr="00160A56" w:rsidRDefault="00DA3852" w:rsidP="00C03F9E">
                  <w:pPr>
                    <w:pStyle w:val="TableBodyText"/>
                  </w:pPr>
                  <w:r w:rsidRPr="007736CB">
                    <w:t>3.5</w:t>
                  </w:r>
                </w:p>
              </w:tc>
              <w:tc>
                <w:tcPr>
                  <w:tcW w:w="744" w:type="pct"/>
                  <w:shd w:val="clear" w:color="auto" w:fill="auto"/>
                  <w:vAlign w:val="bottom"/>
                </w:tcPr>
                <w:p w14:paraId="778B8C02" w14:textId="77777777" w:rsidR="00DA3852" w:rsidRPr="007736CB" w:rsidRDefault="00DA3852" w:rsidP="00C03F9E">
                  <w:pPr>
                    <w:pStyle w:val="TableBodyText"/>
                    <w:ind w:left="113"/>
                    <w:rPr>
                      <w:szCs w:val="18"/>
                    </w:rPr>
                  </w:pPr>
                  <w:r w:rsidRPr="007736CB">
                    <w:rPr>
                      <w:rFonts w:cs="Arial"/>
                      <w:color w:val="000000"/>
                      <w:szCs w:val="18"/>
                    </w:rPr>
                    <w:t>7.3</w:t>
                  </w:r>
                </w:p>
              </w:tc>
            </w:tr>
            <w:tr w:rsidR="00DA3852" w14:paraId="2418C7BA" w14:textId="77777777" w:rsidTr="00C03F9E">
              <w:tc>
                <w:tcPr>
                  <w:tcW w:w="792" w:type="pct"/>
                  <w:shd w:val="clear" w:color="auto" w:fill="auto"/>
                </w:tcPr>
                <w:p w14:paraId="4067D68E" w14:textId="77777777" w:rsidR="00DA3852" w:rsidRDefault="00DA3852" w:rsidP="00C03F9E">
                  <w:pPr>
                    <w:pStyle w:val="TableBodyText"/>
                    <w:jc w:val="left"/>
                  </w:pPr>
                  <w:r>
                    <w:t>Otway</w:t>
                  </w:r>
                </w:p>
              </w:tc>
              <w:tc>
                <w:tcPr>
                  <w:tcW w:w="1172" w:type="pct"/>
                  <w:shd w:val="clear" w:color="auto" w:fill="auto"/>
                </w:tcPr>
                <w:p w14:paraId="6A9ED442" w14:textId="77777777" w:rsidR="00DA3852" w:rsidRDefault="00DA3852" w:rsidP="00C03F9E">
                  <w:pPr>
                    <w:pStyle w:val="TableBodyText"/>
                    <w:jc w:val="left"/>
                  </w:pPr>
                  <w:r>
                    <w:t>Casino/Henry/Netherby</w:t>
                  </w:r>
                </w:p>
              </w:tc>
              <w:tc>
                <w:tcPr>
                  <w:tcW w:w="796" w:type="pct"/>
                  <w:shd w:val="clear" w:color="auto" w:fill="auto"/>
                  <w:vAlign w:val="bottom"/>
                </w:tcPr>
                <w:p w14:paraId="6A41DD89" w14:textId="77777777" w:rsidR="00DA3852" w:rsidRDefault="00DA3852" w:rsidP="00C03F9E">
                  <w:pPr>
                    <w:pStyle w:val="TableBodyText"/>
                  </w:pPr>
                  <w:r w:rsidRPr="007736CB">
                    <w:t>3.0</w:t>
                  </w:r>
                </w:p>
              </w:tc>
              <w:tc>
                <w:tcPr>
                  <w:tcW w:w="695" w:type="pct"/>
                  <w:vAlign w:val="bottom"/>
                </w:tcPr>
                <w:p w14:paraId="7BDCD0BE" w14:textId="77777777" w:rsidR="00DA3852" w:rsidRDefault="00DA3852" w:rsidP="00C03F9E">
                  <w:pPr>
                    <w:pStyle w:val="TableBodyText"/>
                  </w:pPr>
                  <w:r w:rsidRPr="007736CB">
                    <w:t>0.6</w:t>
                  </w:r>
                </w:p>
              </w:tc>
              <w:tc>
                <w:tcPr>
                  <w:tcW w:w="801" w:type="pct"/>
                  <w:shd w:val="clear" w:color="auto" w:fill="auto"/>
                  <w:vAlign w:val="bottom"/>
                </w:tcPr>
                <w:p w14:paraId="61411284" w14:textId="77777777" w:rsidR="00DA3852" w:rsidRPr="00160A56" w:rsidRDefault="00DA3852" w:rsidP="00C03F9E">
                  <w:pPr>
                    <w:pStyle w:val="TableBodyText"/>
                  </w:pPr>
                  <w:r w:rsidRPr="007736CB">
                    <w:t>0.1</w:t>
                  </w:r>
                </w:p>
              </w:tc>
              <w:tc>
                <w:tcPr>
                  <w:tcW w:w="744" w:type="pct"/>
                  <w:shd w:val="clear" w:color="auto" w:fill="auto"/>
                  <w:vAlign w:val="bottom"/>
                </w:tcPr>
                <w:p w14:paraId="187037C9" w14:textId="77777777" w:rsidR="00DA3852" w:rsidRPr="007736CB" w:rsidRDefault="00DA3852" w:rsidP="00C03F9E">
                  <w:pPr>
                    <w:pStyle w:val="TableBodyText"/>
                    <w:ind w:left="113"/>
                    <w:rPr>
                      <w:szCs w:val="18"/>
                    </w:rPr>
                  </w:pPr>
                  <w:r w:rsidRPr="007736CB">
                    <w:rPr>
                      <w:rFonts w:cs="Arial"/>
                      <w:color w:val="000000"/>
                      <w:szCs w:val="18"/>
                    </w:rPr>
                    <w:t>3.7</w:t>
                  </w:r>
                </w:p>
              </w:tc>
            </w:tr>
            <w:tr w:rsidR="00DA3852" w14:paraId="7A2F169D" w14:textId="77777777" w:rsidTr="00C03F9E">
              <w:tc>
                <w:tcPr>
                  <w:tcW w:w="792" w:type="pct"/>
                  <w:shd w:val="clear" w:color="auto" w:fill="auto"/>
                </w:tcPr>
                <w:p w14:paraId="65B2FCC4" w14:textId="77777777" w:rsidR="00DA3852" w:rsidRDefault="00DA3852" w:rsidP="00C03F9E">
                  <w:pPr>
                    <w:pStyle w:val="TableBodyText"/>
                    <w:jc w:val="left"/>
                  </w:pPr>
                  <w:r>
                    <w:t>Otway</w:t>
                  </w:r>
                </w:p>
              </w:tc>
              <w:tc>
                <w:tcPr>
                  <w:tcW w:w="1172" w:type="pct"/>
                  <w:shd w:val="clear" w:color="auto" w:fill="auto"/>
                </w:tcPr>
                <w:p w14:paraId="1E97CF03" w14:textId="77777777" w:rsidR="00DA3852" w:rsidRDefault="00DA3852" w:rsidP="00C03F9E">
                  <w:pPr>
                    <w:pStyle w:val="TableBodyText"/>
                    <w:jc w:val="left"/>
                  </w:pPr>
                  <w:r>
                    <w:t>Otway Gas Project</w:t>
                  </w:r>
                </w:p>
              </w:tc>
              <w:tc>
                <w:tcPr>
                  <w:tcW w:w="796" w:type="pct"/>
                  <w:shd w:val="clear" w:color="auto" w:fill="auto"/>
                  <w:vAlign w:val="bottom"/>
                </w:tcPr>
                <w:p w14:paraId="40ED5778" w14:textId="77777777" w:rsidR="00DA3852" w:rsidRDefault="00DA3852" w:rsidP="00C03F9E">
                  <w:pPr>
                    <w:pStyle w:val="TableBodyText"/>
                  </w:pPr>
                  <w:r w:rsidRPr="007736CB">
                    <w:t>3.0</w:t>
                  </w:r>
                </w:p>
              </w:tc>
              <w:tc>
                <w:tcPr>
                  <w:tcW w:w="695" w:type="pct"/>
                  <w:vAlign w:val="bottom"/>
                </w:tcPr>
                <w:p w14:paraId="6C4164F7" w14:textId="77777777" w:rsidR="00DA3852" w:rsidRDefault="00DA3852" w:rsidP="00C03F9E">
                  <w:pPr>
                    <w:pStyle w:val="TableBodyText"/>
                  </w:pPr>
                  <w:r w:rsidRPr="007736CB">
                    <w:t>0.6</w:t>
                  </w:r>
                </w:p>
              </w:tc>
              <w:tc>
                <w:tcPr>
                  <w:tcW w:w="801" w:type="pct"/>
                  <w:shd w:val="clear" w:color="auto" w:fill="auto"/>
                  <w:vAlign w:val="bottom"/>
                </w:tcPr>
                <w:p w14:paraId="23CB57C9" w14:textId="77777777" w:rsidR="00DA3852" w:rsidRPr="00160A56" w:rsidRDefault="00DA3852" w:rsidP="00C03F9E">
                  <w:pPr>
                    <w:pStyle w:val="TableBodyText"/>
                  </w:pPr>
                  <w:r w:rsidRPr="007736CB">
                    <w:t>0.1</w:t>
                  </w:r>
                </w:p>
              </w:tc>
              <w:tc>
                <w:tcPr>
                  <w:tcW w:w="744" w:type="pct"/>
                  <w:shd w:val="clear" w:color="auto" w:fill="auto"/>
                  <w:vAlign w:val="bottom"/>
                </w:tcPr>
                <w:p w14:paraId="4AF37DD4" w14:textId="77777777" w:rsidR="00DA3852" w:rsidRPr="007736CB" w:rsidRDefault="00DA3852" w:rsidP="00C03F9E">
                  <w:pPr>
                    <w:pStyle w:val="TableBodyText"/>
                    <w:ind w:left="113"/>
                    <w:rPr>
                      <w:szCs w:val="18"/>
                    </w:rPr>
                  </w:pPr>
                  <w:r w:rsidRPr="007736CB">
                    <w:rPr>
                      <w:rFonts w:cs="Arial"/>
                      <w:color w:val="000000"/>
                      <w:szCs w:val="18"/>
                    </w:rPr>
                    <w:t>3.7</w:t>
                  </w:r>
                </w:p>
              </w:tc>
            </w:tr>
            <w:tr w:rsidR="00DA3852" w14:paraId="791BE3B2" w14:textId="77777777" w:rsidTr="00C03F9E">
              <w:tc>
                <w:tcPr>
                  <w:tcW w:w="792" w:type="pct"/>
                  <w:shd w:val="clear" w:color="auto" w:fill="auto"/>
                </w:tcPr>
                <w:p w14:paraId="7B8374C0" w14:textId="77777777" w:rsidR="00DA3852" w:rsidRDefault="00DA3852" w:rsidP="00C03F9E">
                  <w:pPr>
                    <w:pStyle w:val="TableBodyText"/>
                    <w:jc w:val="left"/>
                  </w:pPr>
                  <w:r>
                    <w:t>Otway</w:t>
                  </w:r>
                </w:p>
              </w:tc>
              <w:tc>
                <w:tcPr>
                  <w:tcW w:w="1172" w:type="pct"/>
                  <w:shd w:val="clear" w:color="auto" w:fill="auto"/>
                </w:tcPr>
                <w:p w14:paraId="7D22E35B" w14:textId="77777777" w:rsidR="00DA3852" w:rsidRDefault="00DA3852" w:rsidP="00C03F9E">
                  <w:pPr>
                    <w:pStyle w:val="TableBodyText"/>
                    <w:jc w:val="left"/>
                  </w:pPr>
                  <w:r>
                    <w:t>Minerva</w:t>
                  </w:r>
                </w:p>
              </w:tc>
              <w:tc>
                <w:tcPr>
                  <w:tcW w:w="796" w:type="pct"/>
                  <w:shd w:val="clear" w:color="auto" w:fill="auto"/>
                  <w:vAlign w:val="bottom"/>
                </w:tcPr>
                <w:p w14:paraId="3E7912C5" w14:textId="77777777" w:rsidR="00DA3852" w:rsidRDefault="00DA3852" w:rsidP="00C03F9E">
                  <w:pPr>
                    <w:pStyle w:val="TableBodyText"/>
                  </w:pPr>
                  <w:r w:rsidRPr="007736CB">
                    <w:t>3.0</w:t>
                  </w:r>
                </w:p>
              </w:tc>
              <w:tc>
                <w:tcPr>
                  <w:tcW w:w="695" w:type="pct"/>
                  <w:vAlign w:val="bottom"/>
                </w:tcPr>
                <w:p w14:paraId="45D1DB05" w14:textId="77777777" w:rsidR="00DA3852" w:rsidRDefault="00DA3852" w:rsidP="00C03F9E">
                  <w:pPr>
                    <w:pStyle w:val="TableBodyText"/>
                  </w:pPr>
                  <w:r w:rsidRPr="007736CB">
                    <w:t>0.6</w:t>
                  </w:r>
                </w:p>
              </w:tc>
              <w:tc>
                <w:tcPr>
                  <w:tcW w:w="801" w:type="pct"/>
                  <w:shd w:val="clear" w:color="auto" w:fill="auto"/>
                  <w:vAlign w:val="bottom"/>
                </w:tcPr>
                <w:p w14:paraId="1ECC2549" w14:textId="77777777" w:rsidR="00DA3852" w:rsidRPr="00160A56" w:rsidRDefault="00DA3852" w:rsidP="00C03F9E">
                  <w:pPr>
                    <w:pStyle w:val="TableBodyText"/>
                  </w:pPr>
                  <w:r w:rsidRPr="007736CB">
                    <w:t>0.1</w:t>
                  </w:r>
                </w:p>
              </w:tc>
              <w:tc>
                <w:tcPr>
                  <w:tcW w:w="744" w:type="pct"/>
                  <w:shd w:val="clear" w:color="auto" w:fill="auto"/>
                  <w:vAlign w:val="bottom"/>
                </w:tcPr>
                <w:p w14:paraId="18BF2C87" w14:textId="77777777" w:rsidR="00DA3852" w:rsidRPr="007736CB" w:rsidRDefault="00DA3852" w:rsidP="00C03F9E">
                  <w:pPr>
                    <w:pStyle w:val="TableBodyText"/>
                    <w:ind w:left="113"/>
                    <w:rPr>
                      <w:szCs w:val="18"/>
                    </w:rPr>
                  </w:pPr>
                  <w:r w:rsidRPr="007736CB">
                    <w:rPr>
                      <w:rFonts w:cs="Arial"/>
                      <w:color w:val="000000"/>
                      <w:szCs w:val="18"/>
                    </w:rPr>
                    <w:t>3.7</w:t>
                  </w:r>
                </w:p>
              </w:tc>
            </w:tr>
            <w:tr w:rsidR="00DA3852" w14:paraId="0FED404C" w14:textId="77777777" w:rsidTr="00C03F9E">
              <w:tc>
                <w:tcPr>
                  <w:tcW w:w="792" w:type="pct"/>
                  <w:shd w:val="clear" w:color="auto" w:fill="auto"/>
                </w:tcPr>
                <w:p w14:paraId="3DFB2DC2" w14:textId="77777777" w:rsidR="00DA3852" w:rsidRDefault="00DA3852" w:rsidP="00C03F9E">
                  <w:pPr>
                    <w:pStyle w:val="TableBodyText"/>
                    <w:jc w:val="left"/>
                  </w:pPr>
                  <w:r>
                    <w:t>Otway</w:t>
                  </w:r>
                </w:p>
              </w:tc>
              <w:tc>
                <w:tcPr>
                  <w:tcW w:w="1172" w:type="pct"/>
                  <w:shd w:val="clear" w:color="auto" w:fill="auto"/>
                </w:tcPr>
                <w:p w14:paraId="68173C52" w14:textId="77777777" w:rsidR="00DA3852" w:rsidRDefault="00DA3852" w:rsidP="00C03F9E">
                  <w:pPr>
                    <w:pStyle w:val="TableBodyText"/>
                    <w:jc w:val="left"/>
                  </w:pPr>
                  <w:r>
                    <w:t>Halladale/</w:t>
                  </w:r>
                  <w:proofErr w:type="spellStart"/>
                  <w:r>
                    <w:t>Blackwatch</w:t>
                  </w:r>
                  <w:proofErr w:type="spellEnd"/>
                </w:p>
              </w:tc>
              <w:tc>
                <w:tcPr>
                  <w:tcW w:w="796" w:type="pct"/>
                  <w:shd w:val="clear" w:color="auto" w:fill="auto"/>
                  <w:vAlign w:val="bottom"/>
                </w:tcPr>
                <w:p w14:paraId="5E72159D" w14:textId="77777777" w:rsidR="00DA3852" w:rsidRDefault="00DA3852" w:rsidP="00C03F9E">
                  <w:pPr>
                    <w:pStyle w:val="TableBodyText"/>
                  </w:pPr>
                  <w:r w:rsidRPr="007736CB">
                    <w:t>2.2</w:t>
                  </w:r>
                </w:p>
              </w:tc>
              <w:tc>
                <w:tcPr>
                  <w:tcW w:w="695" w:type="pct"/>
                  <w:vAlign w:val="bottom"/>
                </w:tcPr>
                <w:p w14:paraId="59B42397" w14:textId="77777777" w:rsidR="00DA3852" w:rsidRDefault="00DA3852" w:rsidP="00C03F9E">
                  <w:pPr>
                    <w:pStyle w:val="TableBodyText"/>
                  </w:pPr>
                  <w:r w:rsidRPr="007736CB">
                    <w:t>1.7</w:t>
                  </w:r>
                </w:p>
              </w:tc>
              <w:tc>
                <w:tcPr>
                  <w:tcW w:w="801" w:type="pct"/>
                  <w:shd w:val="clear" w:color="auto" w:fill="auto"/>
                  <w:vAlign w:val="bottom"/>
                </w:tcPr>
                <w:p w14:paraId="6EC645D9" w14:textId="77777777" w:rsidR="00DA3852" w:rsidRPr="00160A56" w:rsidRDefault="00DA3852" w:rsidP="00C03F9E">
                  <w:pPr>
                    <w:pStyle w:val="TableBodyText"/>
                  </w:pPr>
                  <w:r w:rsidRPr="007736CB">
                    <w:t>1.4</w:t>
                  </w:r>
                </w:p>
              </w:tc>
              <w:tc>
                <w:tcPr>
                  <w:tcW w:w="744" w:type="pct"/>
                  <w:shd w:val="clear" w:color="auto" w:fill="auto"/>
                  <w:vAlign w:val="bottom"/>
                </w:tcPr>
                <w:p w14:paraId="4772888C" w14:textId="77777777" w:rsidR="00DA3852" w:rsidRPr="007736CB" w:rsidRDefault="00DA3852" w:rsidP="00C03F9E">
                  <w:pPr>
                    <w:pStyle w:val="TableBodyText"/>
                    <w:ind w:left="113"/>
                    <w:rPr>
                      <w:szCs w:val="18"/>
                    </w:rPr>
                  </w:pPr>
                  <w:r w:rsidRPr="007736CB">
                    <w:rPr>
                      <w:rFonts w:cs="Arial"/>
                      <w:color w:val="000000"/>
                      <w:szCs w:val="18"/>
                    </w:rPr>
                    <w:t>5.3</w:t>
                  </w:r>
                </w:p>
              </w:tc>
            </w:tr>
            <w:tr w:rsidR="00DA3852" w14:paraId="7591D165" w14:textId="77777777" w:rsidTr="00C03F9E">
              <w:tc>
                <w:tcPr>
                  <w:tcW w:w="792" w:type="pct"/>
                  <w:shd w:val="clear" w:color="auto" w:fill="auto"/>
                </w:tcPr>
                <w:p w14:paraId="1BC86A7E" w14:textId="77777777" w:rsidR="00DA3852" w:rsidRDefault="00DA3852" w:rsidP="00C03F9E">
                  <w:pPr>
                    <w:pStyle w:val="TableBodyText"/>
                    <w:jc w:val="left"/>
                  </w:pPr>
                  <w:r>
                    <w:t>Otway</w:t>
                  </w:r>
                </w:p>
              </w:tc>
              <w:tc>
                <w:tcPr>
                  <w:tcW w:w="1172" w:type="pct"/>
                  <w:shd w:val="clear" w:color="auto" w:fill="auto"/>
                </w:tcPr>
                <w:p w14:paraId="72AA372A" w14:textId="77777777" w:rsidR="00DA3852" w:rsidRDefault="00DA3852" w:rsidP="00C03F9E">
                  <w:pPr>
                    <w:pStyle w:val="TableBodyText"/>
                    <w:jc w:val="left"/>
                  </w:pPr>
                  <w:r>
                    <w:t>New CSG</w:t>
                  </w:r>
                </w:p>
              </w:tc>
              <w:tc>
                <w:tcPr>
                  <w:tcW w:w="796" w:type="pct"/>
                  <w:shd w:val="clear" w:color="auto" w:fill="auto"/>
                  <w:vAlign w:val="bottom"/>
                </w:tcPr>
                <w:p w14:paraId="07134CD5" w14:textId="77777777" w:rsidR="00DA3852" w:rsidRDefault="00DA3852" w:rsidP="00C03F9E">
                  <w:pPr>
                    <w:pStyle w:val="TableBodyText"/>
                  </w:pPr>
                  <w:r w:rsidRPr="007736CB">
                    <w:t>3.5</w:t>
                  </w:r>
                </w:p>
              </w:tc>
              <w:tc>
                <w:tcPr>
                  <w:tcW w:w="695" w:type="pct"/>
                  <w:vAlign w:val="bottom"/>
                </w:tcPr>
                <w:p w14:paraId="0A77438D" w14:textId="77777777" w:rsidR="00DA3852" w:rsidRDefault="00DA3852" w:rsidP="00C03F9E">
                  <w:pPr>
                    <w:pStyle w:val="TableBodyText"/>
                  </w:pPr>
                  <w:r w:rsidRPr="007736CB">
                    <w:t>2.1</w:t>
                  </w:r>
                </w:p>
              </w:tc>
              <w:tc>
                <w:tcPr>
                  <w:tcW w:w="801" w:type="pct"/>
                  <w:shd w:val="clear" w:color="auto" w:fill="auto"/>
                  <w:vAlign w:val="bottom"/>
                </w:tcPr>
                <w:p w14:paraId="1C67263B" w14:textId="77777777" w:rsidR="00DA3852" w:rsidRPr="00160A56" w:rsidRDefault="00DA3852" w:rsidP="00C03F9E">
                  <w:pPr>
                    <w:pStyle w:val="TableBodyText"/>
                  </w:pPr>
                  <w:r w:rsidRPr="007736CB">
                    <w:t>1.7</w:t>
                  </w:r>
                </w:p>
              </w:tc>
              <w:tc>
                <w:tcPr>
                  <w:tcW w:w="744" w:type="pct"/>
                  <w:shd w:val="clear" w:color="auto" w:fill="auto"/>
                  <w:vAlign w:val="bottom"/>
                </w:tcPr>
                <w:p w14:paraId="3C326D24" w14:textId="77777777" w:rsidR="00DA3852" w:rsidRPr="007736CB" w:rsidRDefault="00DA3852" w:rsidP="00C03F9E">
                  <w:pPr>
                    <w:pStyle w:val="TableBodyText"/>
                    <w:ind w:left="113"/>
                    <w:rPr>
                      <w:szCs w:val="18"/>
                    </w:rPr>
                  </w:pPr>
                  <w:r w:rsidRPr="007736CB">
                    <w:rPr>
                      <w:rFonts w:cs="Arial"/>
                      <w:color w:val="000000"/>
                      <w:szCs w:val="18"/>
                    </w:rPr>
                    <w:t>7.4</w:t>
                  </w:r>
                </w:p>
              </w:tc>
            </w:tr>
            <w:tr w:rsidR="00DA3852" w14:paraId="65BE9E84" w14:textId="77777777" w:rsidTr="00C03F9E">
              <w:tc>
                <w:tcPr>
                  <w:tcW w:w="792" w:type="pct"/>
                  <w:shd w:val="clear" w:color="auto" w:fill="auto"/>
                </w:tcPr>
                <w:p w14:paraId="761B0F4B" w14:textId="6A47C533" w:rsidR="00DA3852" w:rsidRDefault="00DA3852" w:rsidP="00C03F9E">
                  <w:pPr>
                    <w:pStyle w:val="TableBodyText"/>
                    <w:jc w:val="left"/>
                  </w:pPr>
                  <w:r>
                    <w:t>Surat–Bowen</w:t>
                  </w:r>
                </w:p>
              </w:tc>
              <w:tc>
                <w:tcPr>
                  <w:tcW w:w="1172" w:type="pct"/>
                  <w:shd w:val="clear" w:color="auto" w:fill="auto"/>
                </w:tcPr>
                <w:p w14:paraId="072696FA" w14:textId="77777777" w:rsidR="00DA3852" w:rsidRDefault="00DA3852" w:rsidP="00C03F9E">
                  <w:pPr>
                    <w:pStyle w:val="TableBodyText"/>
                    <w:jc w:val="left"/>
                  </w:pPr>
                  <w:r>
                    <w:t>Conventional</w:t>
                  </w:r>
                </w:p>
              </w:tc>
              <w:tc>
                <w:tcPr>
                  <w:tcW w:w="796" w:type="pct"/>
                  <w:shd w:val="clear" w:color="auto" w:fill="auto"/>
                  <w:vAlign w:val="bottom"/>
                </w:tcPr>
                <w:p w14:paraId="6E7AA97E" w14:textId="77777777" w:rsidR="00DA3852" w:rsidRDefault="00DA3852" w:rsidP="00C03F9E">
                  <w:pPr>
                    <w:pStyle w:val="TableBodyText"/>
                  </w:pPr>
                  <w:r w:rsidRPr="007736CB">
                    <w:t>3.5</w:t>
                  </w:r>
                </w:p>
              </w:tc>
              <w:tc>
                <w:tcPr>
                  <w:tcW w:w="695" w:type="pct"/>
                  <w:vAlign w:val="bottom"/>
                </w:tcPr>
                <w:p w14:paraId="72C53B36" w14:textId="77777777" w:rsidR="00DA3852" w:rsidRDefault="00DA3852" w:rsidP="00C03F9E">
                  <w:pPr>
                    <w:pStyle w:val="TableBodyText"/>
                  </w:pPr>
                  <w:r w:rsidRPr="007736CB">
                    <w:t>0.4</w:t>
                  </w:r>
                </w:p>
              </w:tc>
              <w:tc>
                <w:tcPr>
                  <w:tcW w:w="801" w:type="pct"/>
                  <w:shd w:val="clear" w:color="auto" w:fill="auto"/>
                  <w:vAlign w:val="bottom"/>
                </w:tcPr>
                <w:p w14:paraId="137D6ACD" w14:textId="77777777" w:rsidR="00DA3852" w:rsidRPr="00160A56" w:rsidRDefault="00DA3852" w:rsidP="00C03F9E">
                  <w:pPr>
                    <w:pStyle w:val="TableBodyText"/>
                  </w:pPr>
                  <w:r w:rsidRPr="007736CB">
                    <w:t>1.4</w:t>
                  </w:r>
                </w:p>
              </w:tc>
              <w:tc>
                <w:tcPr>
                  <w:tcW w:w="744" w:type="pct"/>
                  <w:shd w:val="clear" w:color="auto" w:fill="auto"/>
                  <w:vAlign w:val="bottom"/>
                </w:tcPr>
                <w:p w14:paraId="4D76E867" w14:textId="77777777" w:rsidR="00DA3852" w:rsidRPr="007736CB" w:rsidRDefault="00DA3852" w:rsidP="00C03F9E">
                  <w:pPr>
                    <w:pStyle w:val="TableBodyText"/>
                    <w:ind w:left="113"/>
                    <w:rPr>
                      <w:szCs w:val="18"/>
                    </w:rPr>
                  </w:pPr>
                  <w:r w:rsidRPr="007736CB">
                    <w:rPr>
                      <w:rFonts w:cs="Arial"/>
                      <w:color w:val="000000"/>
                      <w:szCs w:val="18"/>
                    </w:rPr>
                    <w:t>5.3</w:t>
                  </w:r>
                </w:p>
              </w:tc>
            </w:tr>
            <w:tr w:rsidR="00DA3852" w14:paraId="1A3EE515" w14:textId="77777777" w:rsidTr="00C03F9E">
              <w:tc>
                <w:tcPr>
                  <w:tcW w:w="792" w:type="pct"/>
                  <w:shd w:val="clear" w:color="auto" w:fill="auto"/>
                </w:tcPr>
                <w:p w14:paraId="5CD42BC2" w14:textId="01476553" w:rsidR="00DA3852" w:rsidRDefault="00DA3852" w:rsidP="00C03F9E">
                  <w:pPr>
                    <w:pStyle w:val="TableBodyText"/>
                    <w:jc w:val="left"/>
                  </w:pPr>
                  <w:r>
                    <w:t>Surat–Bowen</w:t>
                  </w:r>
                </w:p>
              </w:tc>
              <w:tc>
                <w:tcPr>
                  <w:tcW w:w="1172" w:type="pct"/>
                  <w:shd w:val="clear" w:color="auto" w:fill="auto"/>
                </w:tcPr>
                <w:p w14:paraId="529F8A57" w14:textId="77777777" w:rsidR="00DA3852" w:rsidRDefault="00DA3852" w:rsidP="00C03F9E">
                  <w:pPr>
                    <w:pStyle w:val="TableBodyText"/>
                    <w:jc w:val="left"/>
                  </w:pPr>
                  <w:r>
                    <w:t>Fairview/Spring Gully</w:t>
                  </w:r>
                </w:p>
              </w:tc>
              <w:tc>
                <w:tcPr>
                  <w:tcW w:w="796" w:type="pct"/>
                  <w:shd w:val="clear" w:color="auto" w:fill="auto"/>
                  <w:vAlign w:val="bottom"/>
                </w:tcPr>
                <w:p w14:paraId="4D8B15C7" w14:textId="77777777" w:rsidR="00DA3852" w:rsidRDefault="00DA3852" w:rsidP="00C03F9E">
                  <w:pPr>
                    <w:pStyle w:val="TableBodyText"/>
                  </w:pPr>
                  <w:r w:rsidRPr="007736CB">
                    <w:t>1.8</w:t>
                  </w:r>
                </w:p>
              </w:tc>
              <w:tc>
                <w:tcPr>
                  <w:tcW w:w="695" w:type="pct"/>
                  <w:vAlign w:val="bottom"/>
                </w:tcPr>
                <w:p w14:paraId="6BCF5BE4" w14:textId="77777777" w:rsidR="00DA3852" w:rsidRDefault="00DA3852" w:rsidP="00C03F9E">
                  <w:pPr>
                    <w:pStyle w:val="TableBodyText"/>
                  </w:pPr>
                  <w:r w:rsidRPr="007736CB">
                    <w:t>1.7</w:t>
                  </w:r>
                </w:p>
              </w:tc>
              <w:tc>
                <w:tcPr>
                  <w:tcW w:w="801" w:type="pct"/>
                  <w:shd w:val="clear" w:color="auto" w:fill="auto"/>
                  <w:vAlign w:val="bottom"/>
                </w:tcPr>
                <w:p w14:paraId="0D05298D" w14:textId="77777777" w:rsidR="00DA3852" w:rsidRPr="00160A56" w:rsidRDefault="00DA3852" w:rsidP="00C03F9E">
                  <w:pPr>
                    <w:pStyle w:val="TableBodyText"/>
                  </w:pPr>
                  <w:r w:rsidRPr="007736CB">
                    <w:t>1.0</w:t>
                  </w:r>
                </w:p>
              </w:tc>
              <w:tc>
                <w:tcPr>
                  <w:tcW w:w="744" w:type="pct"/>
                  <w:shd w:val="clear" w:color="auto" w:fill="auto"/>
                  <w:vAlign w:val="bottom"/>
                </w:tcPr>
                <w:p w14:paraId="1A17B31B" w14:textId="77777777" w:rsidR="00DA3852" w:rsidRPr="007736CB" w:rsidRDefault="00DA3852" w:rsidP="00C03F9E">
                  <w:pPr>
                    <w:pStyle w:val="TableBodyText"/>
                    <w:ind w:left="113"/>
                    <w:rPr>
                      <w:szCs w:val="18"/>
                    </w:rPr>
                  </w:pPr>
                  <w:r w:rsidRPr="007736CB">
                    <w:rPr>
                      <w:rFonts w:cs="Arial"/>
                      <w:color w:val="000000"/>
                      <w:szCs w:val="18"/>
                    </w:rPr>
                    <w:t>4.5</w:t>
                  </w:r>
                </w:p>
              </w:tc>
            </w:tr>
            <w:tr w:rsidR="00DA3852" w14:paraId="37F197CA" w14:textId="77777777" w:rsidTr="00C03F9E">
              <w:tc>
                <w:tcPr>
                  <w:tcW w:w="792" w:type="pct"/>
                  <w:shd w:val="clear" w:color="auto" w:fill="auto"/>
                </w:tcPr>
                <w:p w14:paraId="79E71B09" w14:textId="1FBD7CC1" w:rsidR="00DA3852" w:rsidRDefault="00DA3852" w:rsidP="00C03F9E">
                  <w:pPr>
                    <w:pStyle w:val="TableBodyText"/>
                    <w:jc w:val="left"/>
                  </w:pPr>
                  <w:r>
                    <w:t>Surat–Bowen</w:t>
                  </w:r>
                </w:p>
              </w:tc>
              <w:tc>
                <w:tcPr>
                  <w:tcW w:w="1172" w:type="pct"/>
                  <w:shd w:val="clear" w:color="auto" w:fill="auto"/>
                </w:tcPr>
                <w:p w14:paraId="32052241" w14:textId="77777777" w:rsidR="00DA3852" w:rsidRDefault="00DA3852" w:rsidP="00C03F9E">
                  <w:pPr>
                    <w:pStyle w:val="TableBodyText"/>
                    <w:jc w:val="left"/>
                  </w:pPr>
                  <w:r>
                    <w:t>Walloons East</w:t>
                  </w:r>
                </w:p>
              </w:tc>
              <w:tc>
                <w:tcPr>
                  <w:tcW w:w="796" w:type="pct"/>
                  <w:shd w:val="clear" w:color="auto" w:fill="auto"/>
                  <w:vAlign w:val="bottom"/>
                </w:tcPr>
                <w:p w14:paraId="09FFE65E" w14:textId="77777777" w:rsidR="00DA3852" w:rsidRDefault="00DA3852" w:rsidP="00C03F9E">
                  <w:pPr>
                    <w:pStyle w:val="TableBodyText"/>
                  </w:pPr>
                  <w:r w:rsidRPr="007736CB">
                    <w:t>1.8</w:t>
                  </w:r>
                </w:p>
              </w:tc>
              <w:tc>
                <w:tcPr>
                  <w:tcW w:w="695" w:type="pct"/>
                  <w:vAlign w:val="bottom"/>
                </w:tcPr>
                <w:p w14:paraId="393553F4" w14:textId="77777777" w:rsidR="00DA3852" w:rsidRDefault="00DA3852" w:rsidP="00C03F9E">
                  <w:pPr>
                    <w:pStyle w:val="TableBodyText"/>
                  </w:pPr>
                  <w:r w:rsidRPr="007736CB">
                    <w:t>2.3</w:t>
                  </w:r>
                </w:p>
              </w:tc>
              <w:tc>
                <w:tcPr>
                  <w:tcW w:w="801" w:type="pct"/>
                  <w:shd w:val="clear" w:color="auto" w:fill="auto"/>
                  <w:vAlign w:val="bottom"/>
                </w:tcPr>
                <w:p w14:paraId="4DE28D22" w14:textId="77777777" w:rsidR="00DA3852" w:rsidRPr="00160A56" w:rsidRDefault="00DA3852" w:rsidP="00C03F9E">
                  <w:pPr>
                    <w:pStyle w:val="TableBodyText"/>
                  </w:pPr>
                  <w:r w:rsidRPr="007736CB">
                    <w:t>2.0</w:t>
                  </w:r>
                </w:p>
              </w:tc>
              <w:tc>
                <w:tcPr>
                  <w:tcW w:w="744" w:type="pct"/>
                  <w:shd w:val="clear" w:color="auto" w:fill="auto"/>
                  <w:vAlign w:val="bottom"/>
                </w:tcPr>
                <w:p w14:paraId="074D34DC" w14:textId="77777777" w:rsidR="00DA3852" w:rsidRPr="007736CB" w:rsidRDefault="00DA3852" w:rsidP="00C03F9E">
                  <w:pPr>
                    <w:pStyle w:val="TableBodyText"/>
                    <w:ind w:left="113"/>
                    <w:rPr>
                      <w:szCs w:val="18"/>
                    </w:rPr>
                  </w:pPr>
                  <w:r w:rsidRPr="007736CB">
                    <w:rPr>
                      <w:rFonts w:cs="Arial"/>
                      <w:color w:val="000000"/>
                      <w:szCs w:val="18"/>
                    </w:rPr>
                    <w:t>6.0</w:t>
                  </w:r>
                </w:p>
              </w:tc>
            </w:tr>
            <w:tr w:rsidR="00DA3852" w14:paraId="5BDD1229" w14:textId="77777777" w:rsidTr="00C03F9E">
              <w:tc>
                <w:tcPr>
                  <w:tcW w:w="792" w:type="pct"/>
                  <w:shd w:val="clear" w:color="auto" w:fill="auto"/>
                </w:tcPr>
                <w:p w14:paraId="4A58FF3E" w14:textId="5DE6E7CC" w:rsidR="00DA3852" w:rsidRDefault="00DA3852" w:rsidP="00C03F9E">
                  <w:pPr>
                    <w:pStyle w:val="TableBodyText"/>
                    <w:jc w:val="left"/>
                  </w:pPr>
                  <w:r>
                    <w:t>Surat–Bowen</w:t>
                  </w:r>
                </w:p>
              </w:tc>
              <w:tc>
                <w:tcPr>
                  <w:tcW w:w="1172" w:type="pct"/>
                  <w:shd w:val="clear" w:color="auto" w:fill="auto"/>
                </w:tcPr>
                <w:p w14:paraId="5344C5B7" w14:textId="77777777" w:rsidR="00DA3852" w:rsidRDefault="00DA3852" w:rsidP="00C03F9E">
                  <w:pPr>
                    <w:pStyle w:val="TableBodyText"/>
                    <w:jc w:val="left"/>
                  </w:pPr>
                  <w:r>
                    <w:t>Walloons Mid</w:t>
                  </w:r>
                </w:p>
              </w:tc>
              <w:tc>
                <w:tcPr>
                  <w:tcW w:w="796" w:type="pct"/>
                  <w:shd w:val="clear" w:color="auto" w:fill="auto"/>
                  <w:vAlign w:val="bottom"/>
                </w:tcPr>
                <w:p w14:paraId="1061CF4E" w14:textId="77777777" w:rsidR="00DA3852" w:rsidRDefault="00DA3852" w:rsidP="00C03F9E">
                  <w:pPr>
                    <w:pStyle w:val="TableBodyText"/>
                  </w:pPr>
                  <w:r w:rsidRPr="007736CB">
                    <w:t>2.0</w:t>
                  </w:r>
                </w:p>
              </w:tc>
              <w:tc>
                <w:tcPr>
                  <w:tcW w:w="695" w:type="pct"/>
                  <w:vAlign w:val="bottom"/>
                </w:tcPr>
                <w:p w14:paraId="135AA44D" w14:textId="77777777" w:rsidR="00DA3852" w:rsidRDefault="00DA3852" w:rsidP="00C03F9E">
                  <w:pPr>
                    <w:pStyle w:val="TableBodyText"/>
                  </w:pPr>
                  <w:r w:rsidRPr="007736CB">
                    <w:t>1.6</w:t>
                  </w:r>
                </w:p>
              </w:tc>
              <w:tc>
                <w:tcPr>
                  <w:tcW w:w="801" w:type="pct"/>
                  <w:shd w:val="clear" w:color="auto" w:fill="auto"/>
                  <w:vAlign w:val="bottom"/>
                </w:tcPr>
                <w:p w14:paraId="175DE3F5" w14:textId="77777777" w:rsidR="00DA3852" w:rsidRPr="00160A56" w:rsidRDefault="00DA3852" w:rsidP="00C03F9E">
                  <w:pPr>
                    <w:pStyle w:val="TableBodyText"/>
                  </w:pPr>
                  <w:r w:rsidRPr="007736CB">
                    <w:t>2.1</w:t>
                  </w:r>
                </w:p>
              </w:tc>
              <w:tc>
                <w:tcPr>
                  <w:tcW w:w="744" w:type="pct"/>
                  <w:shd w:val="clear" w:color="auto" w:fill="auto"/>
                  <w:vAlign w:val="bottom"/>
                </w:tcPr>
                <w:p w14:paraId="07FEFA82" w14:textId="77777777" w:rsidR="00DA3852" w:rsidRPr="007736CB" w:rsidRDefault="00DA3852" w:rsidP="00C03F9E">
                  <w:pPr>
                    <w:pStyle w:val="TableBodyText"/>
                    <w:ind w:left="113"/>
                    <w:rPr>
                      <w:szCs w:val="18"/>
                    </w:rPr>
                  </w:pPr>
                  <w:r w:rsidRPr="007736CB">
                    <w:rPr>
                      <w:rFonts w:cs="Arial"/>
                      <w:color w:val="000000"/>
                      <w:szCs w:val="18"/>
                    </w:rPr>
                    <w:t>5.7</w:t>
                  </w:r>
                </w:p>
              </w:tc>
            </w:tr>
            <w:tr w:rsidR="00DA3852" w14:paraId="158D2B42" w14:textId="77777777" w:rsidTr="00C03F9E">
              <w:tc>
                <w:tcPr>
                  <w:tcW w:w="792" w:type="pct"/>
                  <w:shd w:val="clear" w:color="auto" w:fill="auto"/>
                </w:tcPr>
                <w:p w14:paraId="4B0E8CEE" w14:textId="4F1A136B" w:rsidR="00DA3852" w:rsidRDefault="00DA3852" w:rsidP="00C03F9E">
                  <w:pPr>
                    <w:pStyle w:val="TableBodyText"/>
                    <w:jc w:val="left"/>
                  </w:pPr>
                  <w:r>
                    <w:t>Surat–Bowen</w:t>
                  </w:r>
                </w:p>
              </w:tc>
              <w:tc>
                <w:tcPr>
                  <w:tcW w:w="1172" w:type="pct"/>
                  <w:shd w:val="clear" w:color="auto" w:fill="auto"/>
                </w:tcPr>
                <w:p w14:paraId="08415EBB" w14:textId="77777777" w:rsidR="00DA3852" w:rsidRDefault="00DA3852" w:rsidP="00C03F9E">
                  <w:pPr>
                    <w:pStyle w:val="TableBodyText"/>
                    <w:jc w:val="left"/>
                  </w:pPr>
                  <w:r>
                    <w:t>Walloons West</w:t>
                  </w:r>
                </w:p>
              </w:tc>
              <w:tc>
                <w:tcPr>
                  <w:tcW w:w="796" w:type="pct"/>
                  <w:shd w:val="clear" w:color="auto" w:fill="auto"/>
                  <w:vAlign w:val="bottom"/>
                </w:tcPr>
                <w:p w14:paraId="4EDBDE5C" w14:textId="77777777" w:rsidR="00DA3852" w:rsidRDefault="00DA3852" w:rsidP="00C03F9E">
                  <w:pPr>
                    <w:pStyle w:val="TableBodyText"/>
                  </w:pPr>
                  <w:r w:rsidRPr="007736CB">
                    <w:t>3.3</w:t>
                  </w:r>
                </w:p>
              </w:tc>
              <w:tc>
                <w:tcPr>
                  <w:tcW w:w="695" w:type="pct"/>
                  <w:vAlign w:val="bottom"/>
                </w:tcPr>
                <w:p w14:paraId="63EE52A0" w14:textId="77777777" w:rsidR="00DA3852" w:rsidRDefault="00DA3852" w:rsidP="00C03F9E">
                  <w:pPr>
                    <w:pStyle w:val="TableBodyText"/>
                  </w:pPr>
                  <w:r w:rsidRPr="007736CB">
                    <w:t>3.3</w:t>
                  </w:r>
                </w:p>
              </w:tc>
              <w:tc>
                <w:tcPr>
                  <w:tcW w:w="801" w:type="pct"/>
                  <w:shd w:val="clear" w:color="auto" w:fill="auto"/>
                  <w:vAlign w:val="bottom"/>
                </w:tcPr>
                <w:p w14:paraId="48E4B0D9" w14:textId="77777777" w:rsidR="00DA3852" w:rsidRPr="00160A56" w:rsidRDefault="00DA3852" w:rsidP="00C03F9E">
                  <w:pPr>
                    <w:pStyle w:val="TableBodyText"/>
                  </w:pPr>
                  <w:r w:rsidRPr="007736CB">
                    <w:t>1.9</w:t>
                  </w:r>
                </w:p>
              </w:tc>
              <w:tc>
                <w:tcPr>
                  <w:tcW w:w="744" w:type="pct"/>
                  <w:shd w:val="clear" w:color="auto" w:fill="auto"/>
                  <w:vAlign w:val="bottom"/>
                </w:tcPr>
                <w:p w14:paraId="08613DD1" w14:textId="77777777" w:rsidR="00DA3852" w:rsidRPr="007736CB" w:rsidRDefault="00DA3852" w:rsidP="00C03F9E">
                  <w:pPr>
                    <w:pStyle w:val="TableBodyText"/>
                    <w:ind w:left="113"/>
                    <w:rPr>
                      <w:szCs w:val="18"/>
                    </w:rPr>
                  </w:pPr>
                  <w:r w:rsidRPr="007736CB">
                    <w:rPr>
                      <w:rFonts w:cs="Arial"/>
                      <w:color w:val="000000"/>
                      <w:szCs w:val="18"/>
                    </w:rPr>
                    <w:t>8.5</w:t>
                  </w:r>
                </w:p>
              </w:tc>
            </w:tr>
            <w:tr w:rsidR="00DA3852" w14:paraId="11C46616" w14:textId="77777777" w:rsidTr="00C03F9E">
              <w:tc>
                <w:tcPr>
                  <w:tcW w:w="792" w:type="pct"/>
                  <w:shd w:val="clear" w:color="auto" w:fill="auto"/>
                </w:tcPr>
                <w:p w14:paraId="63C13C85" w14:textId="45AEDD5F" w:rsidR="00DA3852" w:rsidRDefault="00DA3852" w:rsidP="00C03F9E">
                  <w:pPr>
                    <w:pStyle w:val="TableBodyText"/>
                    <w:jc w:val="left"/>
                  </w:pPr>
                  <w:r>
                    <w:t>Surat–Bowen</w:t>
                  </w:r>
                </w:p>
              </w:tc>
              <w:tc>
                <w:tcPr>
                  <w:tcW w:w="1172" w:type="pct"/>
                  <w:shd w:val="clear" w:color="auto" w:fill="auto"/>
                </w:tcPr>
                <w:p w14:paraId="073BA757" w14:textId="77777777" w:rsidR="00DA3852" w:rsidRDefault="00DA3852" w:rsidP="00C03F9E">
                  <w:pPr>
                    <w:pStyle w:val="TableBodyText"/>
                    <w:jc w:val="left"/>
                  </w:pPr>
                  <w:r>
                    <w:t>Ironbark</w:t>
                  </w:r>
                </w:p>
              </w:tc>
              <w:tc>
                <w:tcPr>
                  <w:tcW w:w="796" w:type="pct"/>
                  <w:shd w:val="clear" w:color="auto" w:fill="auto"/>
                  <w:vAlign w:val="bottom"/>
                </w:tcPr>
                <w:p w14:paraId="168F7319" w14:textId="77777777" w:rsidR="00DA3852" w:rsidRDefault="00DA3852" w:rsidP="00C03F9E">
                  <w:pPr>
                    <w:pStyle w:val="TableBodyText"/>
                  </w:pPr>
                  <w:r w:rsidRPr="007736CB">
                    <w:t>1.8</w:t>
                  </w:r>
                </w:p>
              </w:tc>
              <w:tc>
                <w:tcPr>
                  <w:tcW w:w="695" w:type="pct"/>
                  <w:vAlign w:val="bottom"/>
                </w:tcPr>
                <w:p w14:paraId="183F4C4B" w14:textId="77777777" w:rsidR="00DA3852" w:rsidRDefault="00DA3852" w:rsidP="00C03F9E">
                  <w:pPr>
                    <w:pStyle w:val="TableBodyText"/>
                  </w:pPr>
                  <w:r w:rsidRPr="007736CB">
                    <w:t>1.3</w:t>
                  </w:r>
                </w:p>
              </w:tc>
              <w:tc>
                <w:tcPr>
                  <w:tcW w:w="801" w:type="pct"/>
                  <w:shd w:val="clear" w:color="auto" w:fill="auto"/>
                  <w:vAlign w:val="bottom"/>
                </w:tcPr>
                <w:p w14:paraId="4F5E944A" w14:textId="77777777" w:rsidR="00DA3852" w:rsidRPr="00160A56" w:rsidRDefault="00DA3852" w:rsidP="00C03F9E">
                  <w:pPr>
                    <w:pStyle w:val="TableBodyText"/>
                  </w:pPr>
                  <w:r w:rsidRPr="007736CB">
                    <w:t>1.7</w:t>
                  </w:r>
                </w:p>
              </w:tc>
              <w:tc>
                <w:tcPr>
                  <w:tcW w:w="744" w:type="pct"/>
                  <w:shd w:val="clear" w:color="auto" w:fill="auto"/>
                  <w:vAlign w:val="bottom"/>
                </w:tcPr>
                <w:p w14:paraId="7A6BB9D0" w14:textId="77777777" w:rsidR="00DA3852" w:rsidRPr="007736CB" w:rsidRDefault="00DA3852" w:rsidP="00C03F9E">
                  <w:pPr>
                    <w:pStyle w:val="TableBodyText"/>
                    <w:ind w:left="113"/>
                    <w:rPr>
                      <w:szCs w:val="18"/>
                    </w:rPr>
                  </w:pPr>
                  <w:r w:rsidRPr="007736CB">
                    <w:rPr>
                      <w:rFonts w:cs="Arial"/>
                      <w:color w:val="000000"/>
                      <w:szCs w:val="18"/>
                    </w:rPr>
                    <w:t>4.9</w:t>
                  </w:r>
                </w:p>
              </w:tc>
            </w:tr>
            <w:tr w:rsidR="00DA3852" w14:paraId="00418F07" w14:textId="77777777" w:rsidTr="00C03F9E">
              <w:tc>
                <w:tcPr>
                  <w:tcW w:w="792" w:type="pct"/>
                  <w:shd w:val="clear" w:color="auto" w:fill="auto"/>
                </w:tcPr>
                <w:p w14:paraId="368D27B2" w14:textId="15A1D474" w:rsidR="00DA3852" w:rsidRDefault="00DA3852" w:rsidP="00C03F9E">
                  <w:pPr>
                    <w:pStyle w:val="TableBodyText"/>
                    <w:jc w:val="left"/>
                  </w:pPr>
                  <w:r>
                    <w:t>Surat–Bowen</w:t>
                  </w:r>
                </w:p>
              </w:tc>
              <w:tc>
                <w:tcPr>
                  <w:tcW w:w="1172" w:type="pct"/>
                  <w:shd w:val="clear" w:color="auto" w:fill="auto"/>
                </w:tcPr>
                <w:p w14:paraId="60389900" w14:textId="77777777" w:rsidR="00DA3852" w:rsidRDefault="00DA3852" w:rsidP="00C03F9E">
                  <w:pPr>
                    <w:pStyle w:val="TableBodyText"/>
                    <w:jc w:val="left"/>
                  </w:pPr>
                  <w:r>
                    <w:t>QCLNG</w:t>
                  </w:r>
                </w:p>
              </w:tc>
              <w:tc>
                <w:tcPr>
                  <w:tcW w:w="796" w:type="pct"/>
                  <w:shd w:val="clear" w:color="auto" w:fill="auto"/>
                  <w:vAlign w:val="bottom"/>
                </w:tcPr>
                <w:p w14:paraId="76527DD2" w14:textId="77777777" w:rsidR="00DA3852" w:rsidRDefault="00DA3852" w:rsidP="00C03F9E">
                  <w:pPr>
                    <w:pStyle w:val="TableBodyText"/>
                  </w:pPr>
                  <w:r w:rsidRPr="007736CB">
                    <w:t>1.3</w:t>
                  </w:r>
                </w:p>
              </w:tc>
              <w:tc>
                <w:tcPr>
                  <w:tcW w:w="695" w:type="pct"/>
                  <w:vAlign w:val="bottom"/>
                </w:tcPr>
                <w:p w14:paraId="55B1E5E9" w14:textId="77777777" w:rsidR="00DA3852" w:rsidRDefault="00DA3852" w:rsidP="00C03F9E">
                  <w:pPr>
                    <w:pStyle w:val="TableBodyText"/>
                  </w:pPr>
                  <w:r w:rsidRPr="007736CB">
                    <w:t>2.2</w:t>
                  </w:r>
                </w:p>
              </w:tc>
              <w:tc>
                <w:tcPr>
                  <w:tcW w:w="801" w:type="pct"/>
                  <w:shd w:val="clear" w:color="auto" w:fill="auto"/>
                  <w:vAlign w:val="bottom"/>
                </w:tcPr>
                <w:p w14:paraId="24CE08D1" w14:textId="77777777" w:rsidR="00DA3852" w:rsidRPr="00160A56" w:rsidRDefault="00DA3852" w:rsidP="00C03F9E">
                  <w:pPr>
                    <w:pStyle w:val="TableBodyText"/>
                  </w:pPr>
                  <w:r w:rsidRPr="007736CB">
                    <w:t>1.6</w:t>
                  </w:r>
                </w:p>
              </w:tc>
              <w:tc>
                <w:tcPr>
                  <w:tcW w:w="744" w:type="pct"/>
                  <w:shd w:val="clear" w:color="auto" w:fill="auto"/>
                  <w:vAlign w:val="bottom"/>
                </w:tcPr>
                <w:p w14:paraId="0F35065B" w14:textId="77777777" w:rsidR="00DA3852" w:rsidRPr="007736CB" w:rsidRDefault="00DA3852" w:rsidP="00C03F9E">
                  <w:pPr>
                    <w:pStyle w:val="TableBodyText"/>
                    <w:ind w:left="113"/>
                    <w:rPr>
                      <w:szCs w:val="18"/>
                    </w:rPr>
                  </w:pPr>
                  <w:r w:rsidRPr="007736CB">
                    <w:rPr>
                      <w:rFonts w:cs="Arial"/>
                      <w:color w:val="000000"/>
                      <w:szCs w:val="18"/>
                    </w:rPr>
                    <w:t>5.1</w:t>
                  </w:r>
                </w:p>
              </w:tc>
            </w:tr>
            <w:tr w:rsidR="00DA3852" w14:paraId="4B49AB49" w14:textId="77777777" w:rsidTr="00C03F9E">
              <w:tc>
                <w:tcPr>
                  <w:tcW w:w="792" w:type="pct"/>
                  <w:shd w:val="clear" w:color="auto" w:fill="auto"/>
                </w:tcPr>
                <w:p w14:paraId="6E18BB55" w14:textId="10FD6280" w:rsidR="00DA3852" w:rsidRDefault="00DA3852" w:rsidP="00C03F9E">
                  <w:pPr>
                    <w:pStyle w:val="TableBodyText"/>
                    <w:jc w:val="left"/>
                  </w:pPr>
                  <w:r>
                    <w:t>Surat–Bowen</w:t>
                  </w:r>
                </w:p>
              </w:tc>
              <w:tc>
                <w:tcPr>
                  <w:tcW w:w="1172" w:type="pct"/>
                  <w:shd w:val="clear" w:color="auto" w:fill="auto"/>
                </w:tcPr>
                <w:p w14:paraId="45D7AA22" w14:textId="77777777" w:rsidR="00DA3852" w:rsidRDefault="00DA3852" w:rsidP="00C03F9E">
                  <w:pPr>
                    <w:pStyle w:val="TableBodyText"/>
                    <w:jc w:val="left"/>
                  </w:pPr>
                  <w:r>
                    <w:t>APLNG</w:t>
                  </w:r>
                </w:p>
              </w:tc>
              <w:tc>
                <w:tcPr>
                  <w:tcW w:w="796" w:type="pct"/>
                  <w:shd w:val="clear" w:color="auto" w:fill="auto"/>
                  <w:vAlign w:val="bottom"/>
                </w:tcPr>
                <w:p w14:paraId="7DA6C4F9" w14:textId="77777777" w:rsidR="00DA3852" w:rsidRDefault="00DA3852" w:rsidP="00C03F9E">
                  <w:pPr>
                    <w:pStyle w:val="TableBodyText"/>
                  </w:pPr>
                  <w:r w:rsidRPr="007736CB">
                    <w:t>1.6</w:t>
                  </w:r>
                </w:p>
              </w:tc>
              <w:tc>
                <w:tcPr>
                  <w:tcW w:w="695" w:type="pct"/>
                  <w:vAlign w:val="bottom"/>
                </w:tcPr>
                <w:p w14:paraId="01DF7082" w14:textId="77777777" w:rsidR="00DA3852" w:rsidRDefault="00DA3852" w:rsidP="00C03F9E">
                  <w:pPr>
                    <w:pStyle w:val="TableBodyText"/>
                  </w:pPr>
                  <w:r w:rsidRPr="007736CB">
                    <w:t>1.8</w:t>
                  </w:r>
                </w:p>
              </w:tc>
              <w:tc>
                <w:tcPr>
                  <w:tcW w:w="801" w:type="pct"/>
                  <w:shd w:val="clear" w:color="auto" w:fill="auto"/>
                  <w:vAlign w:val="bottom"/>
                </w:tcPr>
                <w:p w14:paraId="73EBDBDA" w14:textId="77777777" w:rsidR="00DA3852" w:rsidRPr="00160A56" w:rsidRDefault="00DA3852" w:rsidP="00C03F9E">
                  <w:pPr>
                    <w:pStyle w:val="TableBodyText"/>
                  </w:pPr>
                  <w:r w:rsidRPr="007736CB">
                    <w:t>1.5</w:t>
                  </w:r>
                </w:p>
              </w:tc>
              <w:tc>
                <w:tcPr>
                  <w:tcW w:w="744" w:type="pct"/>
                  <w:shd w:val="clear" w:color="auto" w:fill="auto"/>
                  <w:vAlign w:val="bottom"/>
                </w:tcPr>
                <w:p w14:paraId="3A5E35FB" w14:textId="77777777" w:rsidR="00DA3852" w:rsidRPr="007736CB" w:rsidRDefault="00DA3852" w:rsidP="00C03F9E">
                  <w:pPr>
                    <w:pStyle w:val="TableBodyText"/>
                    <w:ind w:left="113"/>
                    <w:rPr>
                      <w:szCs w:val="18"/>
                    </w:rPr>
                  </w:pPr>
                  <w:r w:rsidRPr="007736CB">
                    <w:rPr>
                      <w:rFonts w:cs="Arial"/>
                      <w:color w:val="000000"/>
                      <w:szCs w:val="18"/>
                    </w:rPr>
                    <w:t>5.0</w:t>
                  </w:r>
                </w:p>
              </w:tc>
            </w:tr>
            <w:tr w:rsidR="00DA3852" w14:paraId="675D4AF8" w14:textId="77777777" w:rsidTr="00C03F9E">
              <w:tc>
                <w:tcPr>
                  <w:tcW w:w="792" w:type="pct"/>
                  <w:shd w:val="clear" w:color="auto" w:fill="auto"/>
                </w:tcPr>
                <w:p w14:paraId="643CE5D6" w14:textId="0AD2EDF2" w:rsidR="00DA3852" w:rsidRDefault="00DA3852" w:rsidP="00C03F9E">
                  <w:pPr>
                    <w:pStyle w:val="TableBodyText"/>
                    <w:jc w:val="left"/>
                  </w:pPr>
                  <w:r>
                    <w:t>Surat–Bowen</w:t>
                  </w:r>
                </w:p>
              </w:tc>
              <w:tc>
                <w:tcPr>
                  <w:tcW w:w="1172" w:type="pct"/>
                  <w:shd w:val="clear" w:color="auto" w:fill="auto"/>
                </w:tcPr>
                <w:p w14:paraId="0F4A262D" w14:textId="77777777" w:rsidR="00DA3852" w:rsidRDefault="00DA3852" w:rsidP="00C03F9E">
                  <w:pPr>
                    <w:pStyle w:val="TableBodyText"/>
                    <w:jc w:val="left"/>
                  </w:pPr>
                  <w:r>
                    <w:t>GLNG</w:t>
                  </w:r>
                </w:p>
              </w:tc>
              <w:tc>
                <w:tcPr>
                  <w:tcW w:w="796" w:type="pct"/>
                  <w:shd w:val="clear" w:color="auto" w:fill="auto"/>
                  <w:vAlign w:val="bottom"/>
                </w:tcPr>
                <w:p w14:paraId="2AA74140" w14:textId="77777777" w:rsidR="00DA3852" w:rsidRDefault="00DA3852" w:rsidP="00C03F9E">
                  <w:pPr>
                    <w:pStyle w:val="TableBodyText"/>
                  </w:pPr>
                  <w:r w:rsidRPr="007736CB">
                    <w:t>2.7</w:t>
                  </w:r>
                </w:p>
              </w:tc>
              <w:tc>
                <w:tcPr>
                  <w:tcW w:w="695" w:type="pct"/>
                  <w:vAlign w:val="bottom"/>
                </w:tcPr>
                <w:p w14:paraId="6D7EF0DD" w14:textId="77777777" w:rsidR="00DA3852" w:rsidRDefault="00DA3852" w:rsidP="00C03F9E">
                  <w:pPr>
                    <w:pStyle w:val="TableBodyText"/>
                  </w:pPr>
                  <w:r w:rsidRPr="007736CB">
                    <w:t>2.3</w:t>
                  </w:r>
                </w:p>
              </w:tc>
              <w:tc>
                <w:tcPr>
                  <w:tcW w:w="801" w:type="pct"/>
                  <w:shd w:val="clear" w:color="auto" w:fill="auto"/>
                  <w:vAlign w:val="bottom"/>
                </w:tcPr>
                <w:p w14:paraId="39EB4C77" w14:textId="77777777" w:rsidR="00DA3852" w:rsidRPr="00160A56" w:rsidRDefault="00DA3852" w:rsidP="00C03F9E">
                  <w:pPr>
                    <w:pStyle w:val="TableBodyText"/>
                  </w:pPr>
                  <w:r w:rsidRPr="007736CB">
                    <w:t>1.7</w:t>
                  </w:r>
                </w:p>
              </w:tc>
              <w:tc>
                <w:tcPr>
                  <w:tcW w:w="744" w:type="pct"/>
                  <w:shd w:val="clear" w:color="auto" w:fill="auto"/>
                  <w:vAlign w:val="bottom"/>
                </w:tcPr>
                <w:p w14:paraId="12E14694" w14:textId="77777777" w:rsidR="00DA3852" w:rsidRPr="007736CB" w:rsidRDefault="00DA3852" w:rsidP="00C03F9E">
                  <w:pPr>
                    <w:pStyle w:val="TableBodyText"/>
                    <w:ind w:left="113"/>
                    <w:rPr>
                      <w:szCs w:val="18"/>
                    </w:rPr>
                  </w:pPr>
                  <w:r w:rsidRPr="007736CB">
                    <w:rPr>
                      <w:rFonts w:cs="Arial"/>
                      <w:color w:val="000000"/>
                      <w:szCs w:val="18"/>
                    </w:rPr>
                    <w:t>6.6</w:t>
                  </w:r>
                </w:p>
              </w:tc>
            </w:tr>
            <w:tr w:rsidR="00DA3852" w14:paraId="67F67AD0" w14:textId="77777777" w:rsidTr="00C03F9E">
              <w:tc>
                <w:tcPr>
                  <w:tcW w:w="792" w:type="pct"/>
                  <w:shd w:val="clear" w:color="auto" w:fill="auto"/>
                </w:tcPr>
                <w:p w14:paraId="0111F692" w14:textId="6D26212A" w:rsidR="00DA3852" w:rsidRDefault="00DA3852" w:rsidP="00C03F9E">
                  <w:pPr>
                    <w:pStyle w:val="TableBodyText"/>
                    <w:jc w:val="left"/>
                  </w:pPr>
                  <w:r>
                    <w:t>Surat–Bowen</w:t>
                  </w:r>
                </w:p>
              </w:tc>
              <w:tc>
                <w:tcPr>
                  <w:tcW w:w="1172" w:type="pct"/>
                  <w:shd w:val="clear" w:color="auto" w:fill="auto"/>
                </w:tcPr>
                <w:p w14:paraId="292CF6CA" w14:textId="77777777" w:rsidR="00DA3852" w:rsidRDefault="00DA3852" w:rsidP="00C03F9E">
                  <w:pPr>
                    <w:pStyle w:val="TableBodyText"/>
                    <w:jc w:val="left"/>
                  </w:pPr>
                  <w:r>
                    <w:t>Arrow Energy</w:t>
                  </w:r>
                </w:p>
              </w:tc>
              <w:tc>
                <w:tcPr>
                  <w:tcW w:w="796" w:type="pct"/>
                  <w:shd w:val="clear" w:color="auto" w:fill="auto"/>
                  <w:vAlign w:val="bottom"/>
                </w:tcPr>
                <w:p w14:paraId="3D045C41" w14:textId="77777777" w:rsidR="00DA3852" w:rsidRDefault="00DA3852" w:rsidP="00C03F9E">
                  <w:pPr>
                    <w:pStyle w:val="TableBodyText"/>
                  </w:pPr>
                  <w:r w:rsidRPr="007736CB">
                    <w:t>1.9</w:t>
                  </w:r>
                </w:p>
              </w:tc>
              <w:tc>
                <w:tcPr>
                  <w:tcW w:w="695" w:type="pct"/>
                  <w:vAlign w:val="bottom"/>
                </w:tcPr>
                <w:p w14:paraId="6B5409C8" w14:textId="77777777" w:rsidR="00DA3852" w:rsidRDefault="00DA3852" w:rsidP="00C03F9E">
                  <w:pPr>
                    <w:pStyle w:val="TableBodyText"/>
                  </w:pPr>
                  <w:r>
                    <w:t>2</w:t>
                  </w:r>
                  <w:r w:rsidRPr="007736CB">
                    <w:t>.6</w:t>
                  </w:r>
                </w:p>
              </w:tc>
              <w:tc>
                <w:tcPr>
                  <w:tcW w:w="801" w:type="pct"/>
                  <w:shd w:val="clear" w:color="auto" w:fill="auto"/>
                  <w:vAlign w:val="bottom"/>
                </w:tcPr>
                <w:p w14:paraId="12082FED" w14:textId="77777777" w:rsidR="00DA3852" w:rsidRPr="00160A56" w:rsidRDefault="00DA3852" w:rsidP="00C03F9E">
                  <w:pPr>
                    <w:pStyle w:val="TableBodyText"/>
                  </w:pPr>
                  <w:r w:rsidRPr="007736CB">
                    <w:t>1.7</w:t>
                  </w:r>
                </w:p>
              </w:tc>
              <w:tc>
                <w:tcPr>
                  <w:tcW w:w="744" w:type="pct"/>
                  <w:shd w:val="clear" w:color="auto" w:fill="auto"/>
                  <w:vAlign w:val="bottom"/>
                </w:tcPr>
                <w:p w14:paraId="5F234AB9" w14:textId="3822E8F9" w:rsidR="00DA3852" w:rsidRPr="007736CB" w:rsidRDefault="00DA3852" w:rsidP="00C03F9E">
                  <w:pPr>
                    <w:pStyle w:val="TableBodyText"/>
                    <w:ind w:right="0"/>
                    <w:rPr>
                      <w:szCs w:val="18"/>
                    </w:rPr>
                  </w:pPr>
                  <w:r>
                    <w:rPr>
                      <w:rFonts w:cs="Arial"/>
                      <w:color w:val="000000"/>
                      <w:szCs w:val="18"/>
                    </w:rPr>
                    <w:t>6.2</w:t>
                  </w:r>
                  <w:r>
                    <w:rPr>
                      <w:rStyle w:val="NoteLabel"/>
                    </w:rPr>
                    <w:t>b</w:t>
                  </w:r>
                </w:p>
              </w:tc>
            </w:tr>
            <w:tr w:rsidR="00DA3852" w14:paraId="75005E69" w14:textId="77777777" w:rsidTr="00C03F9E">
              <w:tc>
                <w:tcPr>
                  <w:tcW w:w="792" w:type="pct"/>
                  <w:shd w:val="clear" w:color="auto" w:fill="auto"/>
                </w:tcPr>
                <w:p w14:paraId="75D27512" w14:textId="77777777" w:rsidR="00DA3852" w:rsidRDefault="00DA3852" w:rsidP="00C03F9E">
                  <w:pPr>
                    <w:pStyle w:val="TableBodyText"/>
                    <w:jc w:val="left"/>
                  </w:pPr>
                  <w:r>
                    <w:t>Sydney</w:t>
                  </w:r>
                </w:p>
              </w:tc>
              <w:tc>
                <w:tcPr>
                  <w:tcW w:w="1172" w:type="pct"/>
                  <w:shd w:val="clear" w:color="auto" w:fill="auto"/>
                </w:tcPr>
                <w:p w14:paraId="25E228E1" w14:textId="77777777" w:rsidR="00DA3852" w:rsidRDefault="00DA3852" w:rsidP="00C03F9E">
                  <w:pPr>
                    <w:pStyle w:val="TableBodyText"/>
                    <w:jc w:val="left"/>
                  </w:pPr>
                  <w:r>
                    <w:t>Camden</w:t>
                  </w:r>
                </w:p>
              </w:tc>
              <w:tc>
                <w:tcPr>
                  <w:tcW w:w="796" w:type="pct"/>
                  <w:shd w:val="clear" w:color="auto" w:fill="auto"/>
                  <w:vAlign w:val="bottom"/>
                </w:tcPr>
                <w:p w14:paraId="70470472" w14:textId="77777777" w:rsidR="00DA3852" w:rsidRDefault="00DA3852" w:rsidP="00C03F9E">
                  <w:pPr>
                    <w:pStyle w:val="TableBodyText"/>
                  </w:pPr>
                  <w:r w:rsidRPr="007736CB">
                    <w:t>1.9</w:t>
                  </w:r>
                </w:p>
              </w:tc>
              <w:tc>
                <w:tcPr>
                  <w:tcW w:w="695" w:type="pct"/>
                  <w:vAlign w:val="bottom"/>
                </w:tcPr>
                <w:p w14:paraId="6F8278E8" w14:textId="77777777" w:rsidR="00DA3852" w:rsidRDefault="00DA3852" w:rsidP="00C03F9E">
                  <w:pPr>
                    <w:pStyle w:val="TableBodyText"/>
                  </w:pPr>
                  <w:r w:rsidRPr="007736CB">
                    <w:t>1.3</w:t>
                  </w:r>
                </w:p>
              </w:tc>
              <w:tc>
                <w:tcPr>
                  <w:tcW w:w="801" w:type="pct"/>
                  <w:shd w:val="clear" w:color="auto" w:fill="auto"/>
                  <w:vAlign w:val="bottom"/>
                </w:tcPr>
                <w:p w14:paraId="7B6540E8" w14:textId="77777777" w:rsidR="00DA3852" w:rsidRPr="00160A56" w:rsidRDefault="00DA3852" w:rsidP="00C03F9E">
                  <w:pPr>
                    <w:pStyle w:val="TableBodyText"/>
                  </w:pPr>
                  <w:r w:rsidRPr="007736CB">
                    <w:t>0.9</w:t>
                  </w:r>
                </w:p>
              </w:tc>
              <w:tc>
                <w:tcPr>
                  <w:tcW w:w="744" w:type="pct"/>
                  <w:shd w:val="clear" w:color="auto" w:fill="auto"/>
                  <w:vAlign w:val="bottom"/>
                </w:tcPr>
                <w:p w14:paraId="76780262" w14:textId="77777777" w:rsidR="00DA3852" w:rsidRPr="007736CB" w:rsidRDefault="00DA3852" w:rsidP="00C03F9E">
                  <w:pPr>
                    <w:pStyle w:val="TableBodyText"/>
                    <w:ind w:left="113"/>
                    <w:rPr>
                      <w:szCs w:val="18"/>
                    </w:rPr>
                  </w:pPr>
                  <w:r w:rsidRPr="007736CB">
                    <w:rPr>
                      <w:rFonts w:cs="Arial"/>
                      <w:color w:val="000000"/>
                      <w:szCs w:val="18"/>
                    </w:rPr>
                    <w:t>4.1</w:t>
                  </w:r>
                </w:p>
              </w:tc>
            </w:tr>
            <w:tr w:rsidR="00DA3852" w14:paraId="2ACBC40E" w14:textId="77777777" w:rsidTr="00C03F9E">
              <w:trPr>
                <w:trHeight w:val="52"/>
              </w:trPr>
              <w:tc>
                <w:tcPr>
                  <w:tcW w:w="792" w:type="pct"/>
                  <w:shd w:val="clear" w:color="auto" w:fill="auto"/>
                </w:tcPr>
                <w:p w14:paraId="2A32E93E" w14:textId="77777777" w:rsidR="00DA3852" w:rsidRDefault="00DA3852" w:rsidP="00C03F9E">
                  <w:pPr>
                    <w:pStyle w:val="TableBodyText"/>
                    <w:jc w:val="left"/>
                  </w:pPr>
                  <w:r>
                    <w:t>Sydney</w:t>
                  </w:r>
                </w:p>
              </w:tc>
              <w:tc>
                <w:tcPr>
                  <w:tcW w:w="1172" w:type="pct"/>
                  <w:shd w:val="clear" w:color="auto" w:fill="auto"/>
                </w:tcPr>
                <w:p w14:paraId="7E2AB62D" w14:textId="77777777" w:rsidR="00DA3852" w:rsidRDefault="00DA3852" w:rsidP="00C03F9E">
                  <w:pPr>
                    <w:pStyle w:val="TableBodyText"/>
                    <w:jc w:val="left"/>
                  </w:pPr>
                  <w:r>
                    <w:t>Hunter Area</w:t>
                  </w:r>
                </w:p>
              </w:tc>
              <w:tc>
                <w:tcPr>
                  <w:tcW w:w="796" w:type="pct"/>
                  <w:shd w:val="clear" w:color="auto" w:fill="auto"/>
                  <w:vAlign w:val="bottom"/>
                </w:tcPr>
                <w:p w14:paraId="479BE790" w14:textId="77777777" w:rsidR="00DA3852" w:rsidRDefault="00DA3852" w:rsidP="00C03F9E">
                  <w:pPr>
                    <w:pStyle w:val="TableBodyText"/>
                  </w:pPr>
                  <w:r w:rsidRPr="007736CB">
                    <w:t>2.8</w:t>
                  </w:r>
                </w:p>
              </w:tc>
              <w:tc>
                <w:tcPr>
                  <w:tcW w:w="695" w:type="pct"/>
                  <w:vAlign w:val="bottom"/>
                </w:tcPr>
                <w:p w14:paraId="430F6BE2" w14:textId="77777777" w:rsidR="00DA3852" w:rsidRDefault="00DA3852" w:rsidP="00C03F9E">
                  <w:pPr>
                    <w:pStyle w:val="TableBodyText"/>
                  </w:pPr>
                  <w:r w:rsidRPr="007736CB">
                    <w:t>1.9</w:t>
                  </w:r>
                </w:p>
              </w:tc>
              <w:tc>
                <w:tcPr>
                  <w:tcW w:w="801" w:type="pct"/>
                  <w:shd w:val="clear" w:color="auto" w:fill="auto"/>
                  <w:vAlign w:val="bottom"/>
                </w:tcPr>
                <w:p w14:paraId="41AA9E82" w14:textId="77777777" w:rsidR="00DA3852" w:rsidRPr="00160A56" w:rsidRDefault="00DA3852" w:rsidP="00C03F9E">
                  <w:pPr>
                    <w:pStyle w:val="TableBodyText"/>
                  </w:pPr>
                  <w:r w:rsidRPr="007736CB">
                    <w:t>1.3</w:t>
                  </w:r>
                </w:p>
              </w:tc>
              <w:tc>
                <w:tcPr>
                  <w:tcW w:w="744" w:type="pct"/>
                  <w:shd w:val="clear" w:color="auto" w:fill="auto"/>
                  <w:vAlign w:val="bottom"/>
                </w:tcPr>
                <w:p w14:paraId="498FC029" w14:textId="77777777" w:rsidR="00DA3852" w:rsidRPr="007736CB" w:rsidRDefault="00DA3852" w:rsidP="00C03F9E">
                  <w:pPr>
                    <w:pStyle w:val="TableBodyText"/>
                    <w:ind w:left="113"/>
                    <w:rPr>
                      <w:szCs w:val="18"/>
                    </w:rPr>
                  </w:pPr>
                  <w:r w:rsidRPr="007736CB">
                    <w:rPr>
                      <w:rFonts w:cs="Arial"/>
                      <w:color w:val="000000"/>
                      <w:szCs w:val="18"/>
                    </w:rPr>
                    <w:t>6.0</w:t>
                  </w:r>
                </w:p>
              </w:tc>
            </w:tr>
            <w:tr w:rsidR="00DA3852" w14:paraId="0B281C93" w14:textId="77777777" w:rsidTr="00C03F9E">
              <w:tc>
                <w:tcPr>
                  <w:tcW w:w="792" w:type="pct"/>
                  <w:tcBorders>
                    <w:bottom w:val="single" w:sz="6" w:space="0" w:color="BFBFBF"/>
                  </w:tcBorders>
                  <w:shd w:val="clear" w:color="auto" w:fill="auto"/>
                </w:tcPr>
                <w:p w14:paraId="662D1AC9" w14:textId="77777777" w:rsidR="00DA3852" w:rsidRDefault="00DA3852" w:rsidP="00C03F9E">
                  <w:pPr>
                    <w:pStyle w:val="TableBodyText"/>
                    <w:jc w:val="left"/>
                  </w:pPr>
                  <w:r>
                    <w:t>Sydney</w:t>
                  </w:r>
                </w:p>
              </w:tc>
              <w:tc>
                <w:tcPr>
                  <w:tcW w:w="1172" w:type="pct"/>
                  <w:tcBorders>
                    <w:bottom w:val="single" w:sz="6" w:space="0" w:color="BFBFBF"/>
                  </w:tcBorders>
                  <w:shd w:val="clear" w:color="auto" w:fill="auto"/>
                </w:tcPr>
                <w:p w14:paraId="6B6978B8" w14:textId="77777777" w:rsidR="00DA3852" w:rsidRDefault="00DA3852" w:rsidP="00C03F9E">
                  <w:pPr>
                    <w:pStyle w:val="TableBodyText"/>
                    <w:jc w:val="left"/>
                  </w:pPr>
                  <w:r>
                    <w:t>New CSG</w:t>
                  </w:r>
                </w:p>
              </w:tc>
              <w:tc>
                <w:tcPr>
                  <w:tcW w:w="796" w:type="pct"/>
                  <w:tcBorders>
                    <w:bottom w:val="single" w:sz="6" w:space="0" w:color="BFBFBF"/>
                  </w:tcBorders>
                  <w:shd w:val="clear" w:color="auto" w:fill="auto"/>
                  <w:vAlign w:val="bottom"/>
                </w:tcPr>
                <w:p w14:paraId="484913AB" w14:textId="77777777" w:rsidR="00DA3852" w:rsidRDefault="00DA3852" w:rsidP="00C03F9E">
                  <w:pPr>
                    <w:pStyle w:val="TableBodyText"/>
                  </w:pPr>
                  <w:r w:rsidRPr="007736CB">
                    <w:t>2.8</w:t>
                  </w:r>
                </w:p>
              </w:tc>
              <w:tc>
                <w:tcPr>
                  <w:tcW w:w="695" w:type="pct"/>
                  <w:tcBorders>
                    <w:bottom w:val="single" w:sz="6" w:space="0" w:color="BFBFBF"/>
                  </w:tcBorders>
                  <w:vAlign w:val="bottom"/>
                </w:tcPr>
                <w:p w14:paraId="36846575" w14:textId="77777777" w:rsidR="00DA3852" w:rsidRDefault="00DA3852" w:rsidP="00C03F9E">
                  <w:pPr>
                    <w:pStyle w:val="TableBodyText"/>
                  </w:pPr>
                  <w:r w:rsidRPr="007736CB">
                    <w:t>1.9</w:t>
                  </w:r>
                </w:p>
              </w:tc>
              <w:tc>
                <w:tcPr>
                  <w:tcW w:w="801" w:type="pct"/>
                  <w:tcBorders>
                    <w:bottom w:val="single" w:sz="6" w:space="0" w:color="BFBFBF"/>
                  </w:tcBorders>
                  <w:shd w:val="clear" w:color="auto" w:fill="auto"/>
                  <w:vAlign w:val="bottom"/>
                </w:tcPr>
                <w:p w14:paraId="10350748" w14:textId="77777777" w:rsidR="00DA3852" w:rsidRPr="00160A56" w:rsidRDefault="00DA3852" w:rsidP="00C03F9E">
                  <w:pPr>
                    <w:pStyle w:val="TableBodyText"/>
                  </w:pPr>
                  <w:r w:rsidRPr="007736CB">
                    <w:t>1.3</w:t>
                  </w:r>
                </w:p>
              </w:tc>
              <w:tc>
                <w:tcPr>
                  <w:tcW w:w="744" w:type="pct"/>
                  <w:tcBorders>
                    <w:bottom w:val="single" w:sz="6" w:space="0" w:color="BFBFBF"/>
                  </w:tcBorders>
                  <w:shd w:val="clear" w:color="auto" w:fill="auto"/>
                  <w:vAlign w:val="bottom"/>
                </w:tcPr>
                <w:p w14:paraId="5D651D76" w14:textId="77777777" w:rsidR="00DA3852" w:rsidRPr="007736CB" w:rsidRDefault="00DA3852" w:rsidP="00C03F9E">
                  <w:pPr>
                    <w:pStyle w:val="TableBodyText"/>
                    <w:ind w:left="113"/>
                    <w:rPr>
                      <w:szCs w:val="18"/>
                    </w:rPr>
                  </w:pPr>
                  <w:r w:rsidRPr="007736CB">
                    <w:rPr>
                      <w:rFonts w:cs="Arial"/>
                      <w:color w:val="000000"/>
                      <w:szCs w:val="18"/>
                    </w:rPr>
                    <w:t>6.0</w:t>
                  </w:r>
                </w:p>
              </w:tc>
            </w:tr>
          </w:tbl>
          <w:p w14:paraId="1CDCEBAD" w14:textId="77777777" w:rsidR="00DA3852" w:rsidRDefault="00DA3852" w:rsidP="00C03F9E">
            <w:pPr>
              <w:pStyle w:val="Box"/>
            </w:pPr>
          </w:p>
        </w:tc>
      </w:tr>
      <w:tr w:rsidR="00DA3852" w14:paraId="256492F9" w14:textId="77777777" w:rsidTr="00C03F9E">
        <w:trPr>
          <w:cantSplit/>
        </w:trPr>
        <w:tc>
          <w:tcPr>
            <w:tcW w:w="8771" w:type="dxa"/>
            <w:tcBorders>
              <w:top w:val="nil"/>
              <w:left w:val="nil"/>
              <w:bottom w:val="nil"/>
              <w:right w:val="nil"/>
            </w:tcBorders>
            <w:shd w:val="clear" w:color="auto" w:fill="auto"/>
          </w:tcPr>
          <w:p w14:paraId="4E336989" w14:textId="11880425" w:rsidR="00DA3852" w:rsidRDefault="00DA3852" w:rsidP="00C03F9E">
            <w:pPr>
              <w:pStyle w:val="Source"/>
              <w:rPr>
                <w:i/>
              </w:rPr>
            </w:pPr>
            <w:proofErr w:type="gramStart"/>
            <w:r>
              <w:rPr>
                <w:rStyle w:val="NoteLabel"/>
              </w:rPr>
              <w:t>a</w:t>
            </w:r>
            <w:proofErr w:type="gramEnd"/>
            <w:r>
              <w:t xml:space="preserve"> Totals may not sum due to rounding. Costs converted into net present values per GJ of gas using a discount rate of 10 per cent.</w:t>
            </w:r>
            <w:r>
              <w:rPr>
                <w:rStyle w:val="NoteLabel"/>
              </w:rPr>
              <w:t xml:space="preserve"> </w:t>
            </w:r>
            <w:proofErr w:type="gramStart"/>
            <w:r>
              <w:rPr>
                <w:rStyle w:val="NoteLabel"/>
              </w:rPr>
              <w:t>b</w:t>
            </w:r>
            <w:proofErr w:type="gramEnd"/>
            <w:r>
              <w:t xml:space="preserve"> Within the model, an additional $1/GJ was added to the capital cost of producing from Arrow Energy reserves to account for transmission costs of transporting gas from the Bowen basin (based on transmission costs in Core Energy Group </w:t>
            </w:r>
            <w:r w:rsidRPr="00C36404">
              <w:rPr>
                <w:rFonts w:cs="Arial"/>
              </w:rPr>
              <w:t>(2015a)</w:t>
            </w:r>
            <w:r>
              <w:t xml:space="preserve">). </w:t>
            </w:r>
          </w:p>
        </w:tc>
      </w:tr>
      <w:tr w:rsidR="00DA3852" w14:paraId="76E9A951" w14:textId="77777777" w:rsidTr="00C03F9E">
        <w:trPr>
          <w:cantSplit/>
        </w:trPr>
        <w:tc>
          <w:tcPr>
            <w:tcW w:w="8771" w:type="dxa"/>
            <w:tcBorders>
              <w:top w:val="nil"/>
              <w:left w:val="nil"/>
              <w:bottom w:val="nil"/>
              <w:right w:val="nil"/>
            </w:tcBorders>
            <w:shd w:val="clear" w:color="auto" w:fill="auto"/>
          </w:tcPr>
          <w:p w14:paraId="1E672B02" w14:textId="2A13CCB2" w:rsidR="00DA3852" w:rsidRDefault="00DA3852" w:rsidP="00C03F9E">
            <w:pPr>
              <w:pStyle w:val="Source"/>
            </w:pPr>
            <w:r>
              <w:rPr>
                <w:i/>
              </w:rPr>
              <w:t>Sources</w:t>
            </w:r>
            <w:r w:rsidRPr="00167F06">
              <w:t xml:space="preserve">: </w:t>
            </w:r>
            <w:r>
              <w:t xml:space="preserve">Core Energy Group estimates prepared for the Productivity Commission and consistent with </w:t>
            </w:r>
            <w:r w:rsidRPr="00E23AB1">
              <w:rPr>
                <w:rFonts w:cs="Arial"/>
                <w:szCs w:val="24"/>
              </w:rPr>
              <w:t>Core Energy Group </w:t>
            </w:r>
            <w:r w:rsidR="00E609BC">
              <w:rPr>
                <w:rFonts w:cs="Arial"/>
                <w:szCs w:val="24"/>
              </w:rPr>
              <w:t>(</w:t>
            </w:r>
            <w:r w:rsidRPr="00E23AB1">
              <w:rPr>
                <w:rFonts w:cs="Arial"/>
                <w:szCs w:val="24"/>
              </w:rPr>
              <w:t>2015a)</w:t>
            </w:r>
            <w:r>
              <w:t>.</w:t>
            </w:r>
          </w:p>
        </w:tc>
      </w:tr>
      <w:tr w:rsidR="00DA3852" w14:paraId="20B9C805" w14:textId="77777777" w:rsidTr="00C03F9E">
        <w:trPr>
          <w:cantSplit/>
        </w:trPr>
        <w:tc>
          <w:tcPr>
            <w:tcW w:w="8771" w:type="dxa"/>
            <w:tcBorders>
              <w:top w:val="nil"/>
              <w:left w:val="nil"/>
              <w:bottom w:val="single" w:sz="6" w:space="0" w:color="78A22F"/>
              <w:right w:val="nil"/>
            </w:tcBorders>
            <w:shd w:val="clear" w:color="auto" w:fill="auto"/>
          </w:tcPr>
          <w:p w14:paraId="7D116E1A" w14:textId="77777777" w:rsidR="00DA3852" w:rsidRDefault="00DA3852" w:rsidP="00C03F9E">
            <w:pPr>
              <w:pStyle w:val="Box"/>
              <w:spacing w:before="0" w:line="120" w:lineRule="exact"/>
            </w:pPr>
          </w:p>
        </w:tc>
      </w:tr>
      <w:tr w:rsidR="00DA3852" w:rsidRPr="000863A5" w14:paraId="01B810BB" w14:textId="77777777" w:rsidTr="00C03F9E">
        <w:tc>
          <w:tcPr>
            <w:tcW w:w="8771" w:type="dxa"/>
            <w:tcBorders>
              <w:top w:val="single" w:sz="6" w:space="0" w:color="78A22F"/>
              <w:left w:val="nil"/>
              <w:bottom w:val="nil"/>
              <w:right w:val="nil"/>
            </w:tcBorders>
          </w:tcPr>
          <w:p w14:paraId="123B22F0" w14:textId="77777777" w:rsidR="00DA3852" w:rsidRPr="00626D32" w:rsidRDefault="00DA3852" w:rsidP="00C03F9E">
            <w:pPr>
              <w:pStyle w:val="BoxSpaceBelow"/>
            </w:pPr>
          </w:p>
        </w:tc>
      </w:tr>
    </w:tbl>
    <w:p w14:paraId="0D668A9D" w14:textId="2A67547D" w:rsidR="00DA3852" w:rsidRDefault="00DA3852" w:rsidP="00DA3852">
      <w:pPr>
        <w:pStyle w:val="BodyText"/>
      </w:pPr>
      <w:r w:rsidRPr="002F3343">
        <w:lastRenderedPageBreak/>
        <w:t xml:space="preserve">Central estimates of the costs of gas production were based on data provided by Core Energy Group (table B.3). These data are consistent with gas </w:t>
      </w:r>
      <w:r>
        <w:t>production</w:t>
      </w:r>
      <w:r>
        <w:rPr>
          <w:b/>
        </w:rPr>
        <w:t xml:space="preserve"> </w:t>
      </w:r>
      <w:r>
        <w:t xml:space="preserve">cost data prepared for AEMO’s 2015 Gas Statement of Opportunities </w:t>
      </w:r>
      <w:r w:rsidRPr="00D504FC">
        <w:rPr>
          <w:szCs w:val="24"/>
        </w:rPr>
        <w:t>(Core Energy Group 2015a)</w:t>
      </w:r>
      <w:r>
        <w:t xml:space="preserve">, but with greater disaggregation to facilitate use in this report. Importantly, data provided to the Commission separate upfront capital expenditure from ongoing capital and operating expenditure.   </w:t>
      </w:r>
    </w:p>
    <w:p w14:paraId="31E050C0" w14:textId="77777777" w:rsidR="00DA3852" w:rsidRDefault="00DA3852" w:rsidP="00DA3852">
      <w:pPr>
        <w:pStyle w:val="BodyText"/>
      </w:pPr>
      <w:r>
        <w:t>Upfront capital expenditure was included as a single upfront investment cost. Investment costs have also been adjusted to account for higher required rates of return on investment than the discount rate used in the model, in order to account for investment risk in the gas industry (box B.2).</w:t>
      </w:r>
    </w:p>
    <w:p w14:paraId="0586AA93" w14:textId="77777777" w:rsidR="00DA3852" w:rsidRDefault="00DA3852" w:rsidP="00DA3852">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DA3852" w14:paraId="34722EC2" w14:textId="77777777" w:rsidTr="00C03F9E">
        <w:tc>
          <w:tcPr>
            <w:tcW w:w="8771" w:type="dxa"/>
            <w:tcBorders>
              <w:top w:val="single" w:sz="6" w:space="0" w:color="78A22F"/>
              <w:left w:val="nil"/>
              <w:bottom w:val="nil"/>
              <w:right w:val="nil"/>
            </w:tcBorders>
            <w:shd w:val="clear" w:color="auto" w:fill="F2F2F2"/>
          </w:tcPr>
          <w:p w14:paraId="1A4A6E32" w14:textId="77777777" w:rsidR="00DA3852" w:rsidRDefault="00DA3852" w:rsidP="00C03F9E">
            <w:pPr>
              <w:pStyle w:val="BoxTitle"/>
            </w:pPr>
            <w:r>
              <w:rPr>
                <w:b w:val="0"/>
              </w:rPr>
              <w:t>Box B.2</w:t>
            </w:r>
            <w:r>
              <w:tab/>
              <w:t>Certainty equivalent uplift to investment costs</w:t>
            </w:r>
          </w:p>
        </w:tc>
      </w:tr>
      <w:tr w:rsidR="00DA3852" w14:paraId="20DDE511" w14:textId="77777777" w:rsidTr="00C03F9E">
        <w:trPr>
          <w:cantSplit/>
        </w:trPr>
        <w:tc>
          <w:tcPr>
            <w:tcW w:w="8771" w:type="dxa"/>
            <w:tcBorders>
              <w:top w:val="nil"/>
              <w:left w:val="nil"/>
              <w:bottom w:val="nil"/>
              <w:right w:val="nil"/>
            </w:tcBorders>
            <w:shd w:val="clear" w:color="auto" w:fill="F2F2F2"/>
          </w:tcPr>
          <w:p w14:paraId="1B78A3F7" w14:textId="77777777" w:rsidR="00DA3852" w:rsidRDefault="00DA3852" w:rsidP="00C03F9E">
            <w:pPr>
              <w:pStyle w:val="Box"/>
            </w:pPr>
            <w:r>
              <w:t>A certainty equivalent uplift has been applied to investment costs to reflect risks associated with investment in production, processing or LNG facilities. Rather than investments proceeding on the basis of returns above the 6 per cent discount rate used in the model, this uplift means that a higher rate of return on investment costs would be required that is more consistent with investor behaviour in the natural gas industry.</w:t>
            </w:r>
          </w:p>
          <w:p w14:paraId="7E370C40" w14:textId="77777777" w:rsidR="00DA3852" w:rsidRDefault="00DA3852" w:rsidP="00C03F9E">
            <w:pPr>
              <w:pStyle w:val="Box"/>
            </w:pPr>
            <w:r>
              <w:t xml:space="preserve">Investment risk would ideally be modelled explicitly, but this would add substantial complexity to the model due to the need to represent multiple states. Instead, investment risk has been addressed by applying a certainty equivalent </w:t>
            </w:r>
            <w:r w:rsidRPr="00993E07">
              <w:rPr>
                <w:rFonts w:cs="Arial"/>
                <w:szCs w:val="24"/>
              </w:rPr>
              <w:t>(Chandra 2009)</w:t>
            </w:r>
            <w:r>
              <w:t xml:space="preserve"> uplift to investment costs for new or expanded gas production, processing and LNG facilities.</w:t>
            </w:r>
            <w:r w:rsidRPr="00D54D05">
              <w:rPr>
                <w:rStyle w:val="FootnoteReference"/>
              </w:rPr>
              <w:footnoteReference w:id="10"/>
            </w:r>
            <w:r>
              <w:t xml:space="preserve"> The uplift is calibrated to the difference in upfront investment costs required to obtain the same investment decision under a 6 per cent discount rate (the risk</w:t>
            </w:r>
            <w:r>
              <w:noBreakHyphen/>
              <w:t xml:space="preserve">free discount rate used to aggregate values over time in the objective function, which also governs </w:t>
            </w:r>
            <w:proofErr w:type="spellStart"/>
            <w:r>
              <w:t>intertemporal</w:t>
            </w:r>
            <w:proofErr w:type="spellEnd"/>
            <w:r>
              <w:t xml:space="preserve"> </w:t>
            </w:r>
            <w:proofErr w:type="spellStart"/>
            <w:r>
              <w:t>tradeoffs</w:t>
            </w:r>
            <w:proofErr w:type="spellEnd"/>
            <w:r>
              <w:t xml:space="preserve"> in investment decisions) as under a 12 per cent discount rate without the certainty equivalent uplift (for example, as applied in SKM </w:t>
            </w:r>
            <w:r w:rsidRPr="004F1A86">
              <w:rPr>
                <w:rFonts w:cs="Arial"/>
              </w:rPr>
              <w:t>(2013b)</w:t>
            </w:r>
            <w:r>
              <w:t xml:space="preserve">). The certainty equivalent uplift is applied under the assumption that the cost of an investment is evenly amortised over the life of the investment. </w:t>
            </w:r>
          </w:p>
        </w:tc>
      </w:tr>
      <w:tr w:rsidR="00DA3852" w14:paraId="3394CBD1" w14:textId="77777777" w:rsidTr="00C03F9E">
        <w:trPr>
          <w:cantSplit/>
        </w:trPr>
        <w:tc>
          <w:tcPr>
            <w:tcW w:w="8771" w:type="dxa"/>
            <w:tcBorders>
              <w:top w:val="nil"/>
              <w:left w:val="nil"/>
              <w:bottom w:val="nil"/>
              <w:right w:val="nil"/>
            </w:tcBorders>
            <w:shd w:val="clear" w:color="auto" w:fill="F2F2F2"/>
          </w:tcPr>
          <w:p w14:paraId="7BA993B7" w14:textId="4865C69C" w:rsidR="00DA3852" w:rsidRDefault="00DA3852" w:rsidP="00C03F9E">
            <w:pPr>
              <w:pStyle w:val="BoxSource"/>
            </w:pPr>
            <w:r>
              <w:rPr>
                <w:i/>
              </w:rPr>
              <w:t>Source</w:t>
            </w:r>
            <w:r w:rsidR="009A13BD">
              <w:rPr>
                <w:i/>
              </w:rPr>
              <w:t>s</w:t>
            </w:r>
            <w:r w:rsidRPr="00167F06">
              <w:t>:</w:t>
            </w:r>
            <w:r>
              <w:t xml:space="preserve"> Chandra </w:t>
            </w:r>
            <w:r w:rsidRPr="00E330EC">
              <w:rPr>
                <w:rFonts w:cs="Arial"/>
              </w:rPr>
              <w:t>(2009)</w:t>
            </w:r>
            <w:r>
              <w:t xml:space="preserve">; SKM </w:t>
            </w:r>
            <w:r w:rsidRPr="004F1A86">
              <w:rPr>
                <w:rFonts w:cs="Arial"/>
              </w:rPr>
              <w:t>(2013b)</w:t>
            </w:r>
            <w:r>
              <w:t>.</w:t>
            </w:r>
          </w:p>
        </w:tc>
      </w:tr>
      <w:tr w:rsidR="00DA3852" w14:paraId="55A685C1" w14:textId="77777777" w:rsidTr="00C03F9E">
        <w:trPr>
          <w:cantSplit/>
        </w:trPr>
        <w:tc>
          <w:tcPr>
            <w:tcW w:w="8771" w:type="dxa"/>
            <w:tcBorders>
              <w:top w:val="nil"/>
              <w:left w:val="nil"/>
              <w:bottom w:val="single" w:sz="6" w:space="0" w:color="78A22F"/>
              <w:right w:val="nil"/>
            </w:tcBorders>
            <w:shd w:val="clear" w:color="auto" w:fill="F2F2F2"/>
          </w:tcPr>
          <w:p w14:paraId="6E5BDFD3" w14:textId="77777777" w:rsidR="00DA3852" w:rsidRDefault="00DA3852" w:rsidP="00C03F9E">
            <w:pPr>
              <w:pStyle w:val="Box"/>
              <w:spacing w:before="0" w:line="120" w:lineRule="exact"/>
            </w:pPr>
          </w:p>
        </w:tc>
      </w:tr>
      <w:tr w:rsidR="00DA3852" w:rsidRPr="000863A5" w14:paraId="1B6833D4" w14:textId="77777777" w:rsidTr="00C03F9E">
        <w:trPr>
          <w:hidden/>
        </w:trPr>
        <w:tc>
          <w:tcPr>
            <w:tcW w:w="8771" w:type="dxa"/>
            <w:tcBorders>
              <w:top w:val="single" w:sz="6" w:space="0" w:color="78A22F"/>
              <w:left w:val="nil"/>
              <w:bottom w:val="nil"/>
              <w:right w:val="nil"/>
            </w:tcBorders>
          </w:tcPr>
          <w:p w14:paraId="706630BA" w14:textId="77777777" w:rsidR="00DA3852" w:rsidRPr="004567EE" w:rsidRDefault="00DA3852" w:rsidP="00C03F9E">
            <w:pPr>
              <w:pStyle w:val="BoxSpaceBelow"/>
              <w:rPr>
                <w:rFonts w:ascii="Times New Roman" w:hAnsi="Times New Roman"/>
                <w:b/>
                <w:vanish/>
                <w:color w:val="FF00FF"/>
              </w:rPr>
            </w:pPr>
          </w:p>
        </w:tc>
      </w:tr>
    </w:tbl>
    <w:p w14:paraId="079900D8" w14:textId="1DA5557C" w:rsidR="00DA3852" w:rsidRDefault="00DA3852" w:rsidP="00DA3852">
      <w:pPr>
        <w:pStyle w:val="BodyText"/>
      </w:pPr>
      <w:r>
        <w:t>Investment costs for production, processing and LNG facilities have not been truncated to account for economic lifetimes that continue beyond the terminal period (box B.3). There are two reasons for this.</w:t>
      </w:r>
    </w:p>
    <w:p w14:paraId="13C2141F" w14:textId="77777777" w:rsidR="00DA3852" w:rsidRDefault="00DA3852" w:rsidP="00DA3852">
      <w:pPr>
        <w:pStyle w:val="ListNumber"/>
        <w:numPr>
          <w:ilvl w:val="0"/>
          <w:numId w:val="22"/>
        </w:numPr>
      </w:pPr>
      <w:r>
        <w:t>The simulation period is 40 years, which is longer than the economic lifetime of these facilities, so only investment that occurs late in the simulation period would be affected by truncation.</w:t>
      </w:r>
    </w:p>
    <w:p w14:paraId="178A9ED7" w14:textId="77777777" w:rsidR="00DA3852" w:rsidRDefault="00DA3852" w:rsidP="00DA3852">
      <w:pPr>
        <w:pStyle w:val="ListNumber"/>
      </w:pPr>
      <w:r>
        <w:lastRenderedPageBreak/>
        <w:t>Gas reserves might not be available in specific fields beyond the terminal period, so it is inappropriate to allocate part of the cost of these assets to periods where gas might not be available to recover those costs.</w:t>
      </w:r>
    </w:p>
    <w:p w14:paraId="3BFC4CB6" w14:textId="77777777" w:rsidR="00DA3852" w:rsidRDefault="00DA3852" w:rsidP="00DA3852">
      <w:pPr>
        <w:pStyle w:val="BodyText"/>
      </w:pPr>
      <w:r>
        <w:t xml:space="preserve">Remaining costs of gas production (operating, tax and royalty costs, as well as future capital expenditure) are classified either as variable costs — costs that vary with the quantity of gas produced — or fixed annual operating costs, which are independent of the quantity of gas produced within a single period. </w:t>
      </w:r>
    </w:p>
    <w:p w14:paraId="5917BB35" w14:textId="77777777" w:rsidR="00DA3852" w:rsidRDefault="00DA3852" w:rsidP="00DA3852">
      <w:pPr>
        <w:pStyle w:val="BodyText"/>
      </w:pPr>
      <w:r>
        <w:t>For CSG production, there is limited scope to reduce operating costs by decreasing production. In practice, costs may increase if production ceases for a period, due to the risk of wells filling with water and costs associated with further dewatering. On this basis, variable costs for CSG production are taken to be negligible, with all ongoing annual costs fixed. Future capital expenditure is particularly important for CSG production.</w:t>
      </w:r>
    </w:p>
    <w:p w14:paraId="7E75B8F7" w14:textId="77777777" w:rsidR="00DA3852" w:rsidRDefault="00DA3852" w:rsidP="00DA3852">
      <w:pPr>
        <w:pStyle w:val="BodyText"/>
      </w:pPr>
      <w:r>
        <w:t xml:space="preserve">For conventional and shale gas production, there is greater scope to vary production across seasons and all operating costs are assumed to be variable, reflecting a lack of data to enable separation of fixed annual operating costs from variable costs.  </w:t>
      </w:r>
    </w:p>
    <w:p w14:paraId="0545DE56" w14:textId="0FBE689A" w:rsidR="00DA3852" w:rsidRDefault="00DA3852" w:rsidP="00DA3852">
      <w:pPr>
        <w:pStyle w:val="BodyText"/>
      </w:pPr>
      <w:r>
        <w:t xml:space="preserve">A build time of 3 years and an economic lifetime of 20 years </w:t>
      </w:r>
      <w:proofErr w:type="gramStart"/>
      <w:r>
        <w:t>was</w:t>
      </w:r>
      <w:proofErr w:type="gramEnd"/>
      <w:r>
        <w:t xml:space="preserve"> used for production assets (including wells, gathering lines and water treatment) in CSG fields. Build time estimates were based on recent CSG developments in Queensland </w:t>
      </w:r>
      <w:r w:rsidRPr="005B4041">
        <w:rPr>
          <w:szCs w:val="24"/>
        </w:rPr>
        <w:t>(APLNG 2010; QGC 2009; Santos 2009)</w:t>
      </w:r>
      <w:r>
        <w:t xml:space="preserve">, reflecting the period 2010 to 2013 required </w:t>
      </w:r>
      <w:proofErr w:type="gramStart"/>
      <w:r>
        <w:t>to reach</w:t>
      </w:r>
      <w:proofErr w:type="gramEnd"/>
      <w:r>
        <w:t xml:space="preserve"> more than 75 per cent of maximum production </w:t>
      </w:r>
      <w:r w:rsidRPr="008E1D7B">
        <w:rPr>
          <w:szCs w:val="24"/>
        </w:rPr>
        <w:t>(Santos 2009)</w:t>
      </w:r>
      <w:r>
        <w:t xml:space="preserve"> (that is, excluding initial production of ramp gas).</w:t>
      </w:r>
      <w:r w:rsidRPr="00D54D05">
        <w:rPr>
          <w:rStyle w:val="FootnoteReference"/>
        </w:rPr>
        <w:footnoteReference w:id="11"/>
      </w:r>
      <w:r>
        <w:t xml:space="preserve"> In practice, different production assets will have different lifetimes — for example, individual CSG wells might have a lifetime of 5 to 15 years, whereas gathering lines and water treatment facilities are likely to have longer lifetimes. There is no distinction made between different assets used in gas production, so a single lifetime estimate is used to capture the different components of gas production infrastructure, based on data from IES </w:t>
      </w:r>
      <w:r w:rsidRPr="00C76CA8">
        <w:t>(2013)</w:t>
      </w:r>
      <w:r>
        <w:t xml:space="preserve">. </w:t>
      </w:r>
    </w:p>
    <w:p w14:paraId="646F2D6E" w14:textId="77777777" w:rsidR="00DA3852" w:rsidRDefault="00DA3852" w:rsidP="00DA3852">
      <w:pPr>
        <w:pStyle w:val="BodyText"/>
      </w:pPr>
      <w:r>
        <w:t xml:space="preserve">An economic lifetime of 20 years is also used for conventional gas (and shale) fields, but following a build time of 5 years, based on the recent Wheatstone and Pluto projects in Western Australia </w:t>
      </w:r>
      <w:r w:rsidRPr="00274885">
        <w:rPr>
          <w:szCs w:val="24"/>
        </w:rPr>
        <w:t>(Chevron 2014b; Woodside 2009, 2012)</w:t>
      </w:r>
      <w:r>
        <w:t xml:space="preserve">. No account is taken for considerable uncertainty in actual build times — for example, recent build times for conventional gas projects have ranged from 3 years for the Macedon Project </w:t>
      </w:r>
      <w:r w:rsidRPr="002233DF">
        <w:rPr>
          <w:szCs w:val="24"/>
        </w:rPr>
        <w:t>(BHP Billiton 2007, 2013)</w:t>
      </w:r>
      <w:r>
        <w:t xml:space="preserve">, to 6 years for the Gorgon Project </w:t>
      </w:r>
      <w:r w:rsidRPr="00274885">
        <w:rPr>
          <w:szCs w:val="24"/>
        </w:rPr>
        <w:t>(Chevron 2009, 2014a)</w:t>
      </w:r>
      <w:r>
        <w:t xml:space="preserve"> and up to as long as 9 years for the Kipper Project </w:t>
      </w:r>
      <w:r w:rsidRPr="002233DF">
        <w:rPr>
          <w:szCs w:val="24"/>
        </w:rPr>
        <w:t>(BHP Billiton 2007; ExxonMobil 2014)</w:t>
      </w:r>
      <w:r>
        <w:t>.</w:t>
      </w:r>
    </w:p>
    <w:p w14:paraId="182ECAE7" w14:textId="77777777" w:rsidR="00DA3852" w:rsidRDefault="00DA3852" w:rsidP="00DA3852">
      <w:pPr>
        <w:pStyle w:val="Heading3"/>
      </w:pPr>
      <w:bookmarkStart w:id="9" w:name="_Toc410222283"/>
      <w:r>
        <w:lastRenderedPageBreak/>
        <w:t>Gas processing</w:t>
      </w:r>
      <w:bookmarkEnd w:id="9"/>
    </w:p>
    <w:p w14:paraId="562AAFA5" w14:textId="621AC8D0" w:rsidR="00DA3852" w:rsidRDefault="00DA3852" w:rsidP="00DA3852">
      <w:pPr>
        <w:pStyle w:val="BodyText"/>
      </w:pPr>
      <w:r>
        <w:t xml:space="preserve">Similar costs for gas processing are applied across all gas processing plants of similar technologies, with differences largely reflecting whether a plant primarily processes conventional gas or CSG (table B.4). Variable costs for processing conventional gas are used to estimate the variable cost of processing shale gas in the Cooper basin, as shale gas in this basin is likely to require similar processing to conventional gas in that basin </w:t>
      </w:r>
      <w:r w:rsidRPr="004F1A86">
        <w:rPr>
          <w:szCs w:val="24"/>
        </w:rPr>
        <w:t>(SKM 2013c)</w:t>
      </w:r>
      <w:r>
        <w:t>. Initial processing capacities were based on AEMO’s 2014 Gas Statement of Opportunities.</w:t>
      </w:r>
      <w:r w:rsidRPr="00D54D05">
        <w:rPr>
          <w:rStyle w:val="FootnoteReference"/>
        </w:rPr>
        <w:footnoteReference w:id="12"/>
      </w:r>
      <w:r>
        <w:t xml:space="preserve"> </w:t>
      </w:r>
    </w:p>
    <w:p w14:paraId="3EA141D4" w14:textId="77777777" w:rsidR="00DA3852" w:rsidRPr="00801E30" w:rsidRDefault="00DA3852" w:rsidP="00DA3852">
      <w:pPr>
        <w:pStyle w:val="BodyText"/>
      </w:pPr>
      <w:r>
        <w:t xml:space="preserve">A build time of 2 years was used for conventional and shale processing facilities, based on the time taken to expand the Moomba processing plant during 2014 and 2015. All basins that can produce conventional gas have existing processing facilities, so expansions are more relevant than </w:t>
      </w:r>
      <w:proofErr w:type="gramStart"/>
      <w:r>
        <w:t>greenfield</w:t>
      </w:r>
      <w:proofErr w:type="gramEnd"/>
      <w:r>
        <w:t xml:space="preserve"> investment. A build time of 1 year was used for CSG processing facilities, b</w:t>
      </w:r>
      <w:r w:rsidRPr="00EF4D74">
        <w:t xml:space="preserve">ased on </w:t>
      </w:r>
      <w:r>
        <w:t xml:space="preserve">the </w:t>
      </w:r>
      <w:r w:rsidRPr="00EF4D74">
        <w:t xml:space="preserve">timeframe for development of CSG processing capacity at </w:t>
      </w:r>
      <w:proofErr w:type="spellStart"/>
      <w:r w:rsidRPr="00EF4D74">
        <w:t>Daandine</w:t>
      </w:r>
      <w:proofErr w:type="spellEnd"/>
      <w:r w:rsidRPr="00EF4D74">
        <w:t xml:space="preserve"> </w:t>
      </w:r>
      <w:r w:rsidRPr="00D311E1">
        <w:rPr>
          <w:szCs w:val="24"/>
        </w:rPr>
        <w:t>(Gas Today 2009)</w:t>
      </w:r>
      <w:r>
        <w:t xml:space="preserve"> </w:t>
      </w:r>
      <w:r w:rsidRPr="00EF4D74">
        <w:t>and Tipton West</w:t>
      </w:r>
      <w:r>
        <w:t xml:space="preserve"> </w:t>
      </w:r>
      <w:r w:rsidRPr="00D311E1">
        <w:rPr>
          <w:szCs w:val="24"/>
        </w:rPr>
        <w:t>(Australian Pipeline Trust 2006)</w:t>
      </w:r>
      <w:r w:rsidRPr="00EF4D74">
        <w:t>.</w:t>
      </w:r>
      <w:r>
        <w:t xml:space="preserve"> An economic lifetime of 30 years was used for all processing facilities </w:t>
      </w:r>
      <w:r w:rsidRPr="007407BA">
        <w:rPr>
          <w:szCs w:val="24"/>
        </w:rPr>
        <w:t>(based on ACIL Tasman 2013; APA Group 2010)</w:t>
      </w:r>
      <w:r>
        <w:t xml:space="preserve">. </w:t>
      </w:r>
    </w:p>
    <w:p w14:paraId="4B6749A4" w14:textId="77777777" w:rsidR="00DA3852" w:rsidRDefault="00DA3852" w:rsidP="00DA3852">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DA3852" w14:paraId="731456B4" w14:textId="77777777" w:rsidTr="00C03F9E">
        <w:tc>
          <w:tcPr>
            <w:tcW w:w="8771" w:type="dxa"/>
            <w:tcBorders>
              <w:top w:val="single" w:sz="6" w:space="0" w:color="78A22F"/>
              <w:left w:val="nil"/>
              <w:bottom w:val="nil"/>
              <w:right w:val="nil"/>
            </w:tcBorders>
            <w:shd w:val="clear" w:color="auto" w:fill="auto"/>
          </w:tcPr>
          <w:p w14:paraId="5480FA6F" w14:textId="0FA6AC0F" w:rsidR="00DA3852" w:rsidRPr="00784A05" w:rsidRDefault="00DA3852" w:rsidP="00C03F9E">
            <w:pPr>
              <w:pStyle w:val="TableTitle"/>
            </w:pPr>
            <w:r>
              <w:rPr>
                <w:b w:val="0"/>
              </w:rPr>
              <w:t>Table B.</w:t>
            </w:r>
            <w:r>
              <w:rPr>
                <w:b w:val="0"/>
                <w:noProof/>
              </w:rPr>
              <w:t>4</w:t>
            </w:r>
            <w:r>
              <w:tab/>
              <w:t>Data for gas processing plants</w:t>
            </w:r>
          </w:p>
        </w:tc>
      </w:tr>
      <w:tr w:rsidR="00DA3852" w14:paraId="140B557B" w14:textId="77777777" w:rsidTr="00C03F9E">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181"/>
              <w:gridCol w:w="1433"/>
              <w:gridCol w:w="1170"/>
              <w:gridCol w:w="979"/>
              <w:gridCol w:w="795"/>
              <w:gridCol w:w="1322"/>
              <w:gridCol w:w="1607"/>
            </w:tblGrid>
            <w:tr w:rsidR="00DA3852" w14:paraId="5AC2CC11" w14:textId="77777777" w:rsidTr="00C03F9E">
              <w:trPr>
                <w:trHeight w:val="892"/>
              </w:trPr>
              <w:tc>
                <w:tcPr>
                  <w:tcW w:w="696" w:type="pct"/>
                  <w:tcBorders>
                    <w:top w:val="single" w:sz="6" w:space="0" w:color="BFBFBF"/>
                    <w:bottom w:val="single" w:sz="6" w:space="0" w:color="BFBFBF"/>
                  </w:tcBorders>
                  <w:shd w:val="clear" w:color="auto" w:fill="auto"/>
                  <w:tcMar>
                    <w:top w:w="28" w:type="dxa"/>
                  </w:tcMar>
                </w:tcPr>
                <w:p w14:paraId="6E4F242F" w14:textId="76035712" w:rsidR="00DA3852" w:rsidRDefault="00CF3121">
                  <w:pPr>
                    <w:pStyle w:val="TableColumnHeading"/>
                    <w:jc w:val="left"/>
                  </w:pPr>
                  <w:r>
                    <w:t>B</w:t>
                  </w:r>
                  <w:r w:rsidR="00DA3852">
                    <w:t>asin</w:t>
                  </w:r>
                </w:p>
              </w:tc>
              <w:tc>
                <w:tcPr>
                  <w:tcW w:w="844" w:type="pct"/>
                  <w:tcBorders>
                    <w:top w:val="single" w:sz="6" w:space="0" w:color="BFBFBF"/>
                    <w:bottom w:val="single" w:sz="6" w:space="0" w:color="BFBFBF"/>
                  </w:tcBorders>
                  <w:shd w:val="clear" w:color="auto" w:fill="auto"/>
                </w:tcPr>
                <w:p w14:paraId="6D2C1562" w14:textId="77777777" w:rsidR="00DA3852" w:rsidRDefault="00DA3852" w:rsidP="00C03F9E">
                  <w:pPr>
                    <w:pStyle w:val="TableColumnHeading"/>
                    <w:jc w:val="left"/>
                  </w:pPr>
                  <w:r>
                    <w:t>Processing plant</w:t>
                  </w:r>
                </w:p>
              </w:tc>
              <w:tc>
                <w:tcPr>
                  <w:tcW w:w="689" w:type="pct"/>
                  <w:tcBorders>
                    <w:top w:val="single" w:sz="6" w:space="0" w:color="BFBFBF"/>
                    <w:bottom w:val="single" w:sz="6" w:space="0" w:color="BFBFBF"/>
                  </w:tcBorders>
                  <w:shd w:val="clear" w:color="auto" w:fill="auto"/>
                  <w:tcMar>
                    <w:top w:w="28" w:type="dxa"/>
                  </w:tcMar>
                </w:tcPr>
                <w:p w14:paraId="4F3D499C" w14:textId="77777777" w:rsidR="00DA3852" w:rsidRDefault="00DA3852" w:rsidP="00C03F9E">
                  <w:pPr>
                    <w:pStyle w:val="TableColumnHeading"/>
                    <w:jc w:val="left"/>
                  </w:pPr>
                  <w:r>
                    <w:t>Primary gas source</w:t>
                  </w:r>
                </w:p>
              </w:tc>
              <w:tc>
                <w:tcPr>
                  <w:tcW w:w="577" w:type="pct"/>
                  <w:tcBorders>
                    <w:top w:val="single" w:sz="6" w:space="0" w:color="BFBFBF"/>
                    <w:bottom w:val="single" w:sz="6" w:space="0" w:color="BFBFBF"/>
                  </w:tcBorders>
                  <w:shd w:val="clear" w:color="auto" w:fill="auto"/>
                </w:tcPr>
                <w:p w14:paraId="7D3DCCFF" w14:textId="77777777" w:rsidR="00DA3852" w:rsidRDefault="00DA3852" w:rsidP="00C03F9E">
                  <w:pPr>
                    <w:pStyle w:val="TableColumnHeading"/>
                    <w:ind w:right="0"/>
                  </w:pPr>
                  <w:r>
                    <w:t>Initial </w:t>
                  </w:r>
                  <w:r>
                    <w:br/>
                    <w:t xml:space="preserve"> </w:t>
                  </w:r>
                  <w:r w:rsidRPr="008263C7">
                    <w:rPr>
                      <w:position w:val="2"/>
                    </w:rPr>
                    <w:t>capacity</w:t>
                  </w:r>
                  <w:r>
                    <w:t> </w:t>
                  </w:r>
                  <w:r>
                    <w:br/>
                    <w:t xml:space="preserve"> (PJ/</w:t>
                  </w:r>
                  <w:proofErr w:type="spellStart"/>
                  <w:r>
                    <w:t>yr</w:t>
                  </w:r>
                  <w:proofErr w:type="spellEnd"/>
                  <w:r>
                    <w:t>)</w:t>
                  </w:r>
                  <w:r w:rsidRPr="008263C7">
                    <w:rPr>
                      <w:rStyle w:val="NoteLabel"/>
                      <w:position w:val="2"/>
                    </w:rPr>
                    <w:t>a</w:t>
                  </w:r>
                </w:p>
              </w:tc>
              <w:tc>
                <w:tcPr>
                  <w:tcW w:w="468" w:type="pct"/>
                  <w:tcBorders>
                    <w:top w:val="single" w:sz="6" w:space="0" w:color="BFBFBF"/>
                    <w:bottom w:val="single" w:sz="6" w:space="0" w:color="BFBFBF"/>
                  </w:tcBorders>
                  <w:shd w:val="clear" w:color="auto" w:fill="auto"/>
                  <w:tcMar>
                    <w:top w:w="28" w:type="dxa"/>
                  </w:tcMar>
                </w:tcPr>
                <w:p w14:paraId="46EE3EFC" w14:textId="77777777" w:rsidR="00DA3852" w:rsidRDefault="00DA3852" w:rsidP="00C03F9E">
                  <w:pPr>
                    <w:pStyle w:val="TableColumnHeading"/>
                    <w:ind w:right="28"/>
                  </w:pPr>
                  <w:r>
                    <w:t>Variable  </w:t>
                  </w:r>
                  <w:r>
                    <w:br/>
                    <w:t xml:space="preserve"> cost  </w:t>
                  </w:r>
                  <w:r>
                    <w:br/>
                    <w:t>($/GJ)</w:t>
                  </w:r>
                  <w:r w:rsidRPr="008263C7">
                    <w:rPr>
                      <w:rStyle w:val="NoteLabel"/>
                      <w:position w:val="2"/>
                    </w:rPr>
                    <w:t>b</w:t>
                  </w:r>
                </w:p>
              </w:tc>
              <w:tc>
                <w:tcPr>
                  <w:tcW w:w="779" w:type="pct"/>
                  <w:tcBorders>
                    <w:top w:val="single" w:sz="6" w:space="0" w:color="BFBFBF"/>
                    <w:bottom w:val="single" w:sz="6" w:space="0" w:color="BFBFBF"/>
                  </w:tcBorders>
                </w:tcPr>
                <w:p w14:paraId="3CF3160D" w14:textId="77777777" w:rsidR="00DA3852" w:rsidRDefault="00DA3852" w:rsidP="00C03F9E">
                  <w:pPr>
                    <w:pStyle w:val="TableColumnHeading"/>
                    <w:ind w:right="28"/>
                  </w:pPr>
                  <w:r>
                    <w:t>Unadjusted  </w:t>
                  </w:r>
                  <w:r>
                    <w:br/>
                    <w:t>investment  </w:t>
                  </w:r>
                  <w:r>
                    <w:br/>
                    <w:t>cost ($/GJ  </w:t>
                  </w:r>
                  <w:r>
                    <w:br/>
                    <w:t xml:space="preserve"> of annual  </w:t>
                  </w:r>
                  <w:r>
                    <w:br/>
                    <w:t xml:space="preserve"> capacity)</w:t>
                  </w:r>
                  <w:r w:rsidRPr="008263C7">
                    <w:rPr>
                      <w:rStyle w:val="NoteLabel"/>
                      <w:position w:val="2"/>
                    </w:rPr>
                    <w:t>c</w:t>
                  </w:r>
                </w:p>
              </w:tc>
              <w:tc>
                <w:tcPr>
                  <w:tcW w:w="947" w:type="pct"/>
                  <w:tcBorders>
                    <w:top w:val="single" w:sz="6" w:space="0" w:color="BFBFBF"/>
                    <w:bottom w:val="single" w:sz="6" w:space="0" w:color="BFBFBF"/>
                  </w:tcBorders>
                  <w:shd w:val="clear" w:color="auto" w:fill="auto"/>
                </w:tcPr>
                <w:p w14:paraId="54A1B5A8" w14:textId="77777777" w:rsidR="00DA3852" w:rsidRDefault="00DA3852" w:rsidP="00C03F9E">
                  <w:pPr>
                    <w:pStyle w:val="TableColumnHeading"/>
                    <w:ind w:right="28"/>
                  </w:pPr>
                  <w:r>
                    <w:t>Certainty equivalent investment</w:t>
                  </w:r>
                  <w:r>
                    <w:br/>
                    <w:t>cost ($/GJ</w:t>
                  </w:r>
                  <w:r>
                    <w:br/>
                    <w:t>of annual capacity)</w:t>
                  </w:r>
                </w:p>
              </w:tc>
            </w:tr>
            <w:tr w:rsidR="00DA3852" w14:paraId="6EAA4E2F" w14:textId="77777777" w:rsidTr="00C03F9E">
              <w:tc>
                <w:tcPr>
                  <w:tcW w:w="696" w:type="pct"/>
                  <w:tcBorders>
                    <w:top w:val="single" w:sz="6" w:space="0" w:color="BFBFBF"/>
                  </w:tcBorders>
                  <w:shd w:val="clear" w:color="auto" w:fill="auto"/>
                  <w:vAlign w:val="center"/>
                </w:tcPr>
                <w:p w14:paraId="7E1B8070" w14:textId="77777777" w:rsidR="00DA3852" w:rsidRPr="00E32BF6" w:rsidRDefault="00DA3852" w:rsidP="00C03F9E">
                  <w:pPr>
                    <w:pStyle w:val="TableBodyText"/>
                    <w:jc w:val="left"/>
                  </w:pPr>
                  <w:r>
                    <w:t>Bass</w:t>
                  </w:r>
                </w:p>
              </w:tc>
              <w:tc>
                <w:tcPr>
                  <w:tcW w:w="844" w:type="pct"/>
                  <w:tcBorders>
                    <w:top w:val="single" w:sz="6" w:space="0" w:color="BFBFBF"/>
                  </w:tcBorders>
                  <w:shd w:val="clear" w:color="auto" w:fill="auto"/>
                  <w:vAlign w:val="center"/>
                </w:tcPr>
                <w:p w14:paraId="001B47D8" w14:textId="77777777" w:rsidR="00DA3852" w:rsidRPr="00E32BF6" w:rsidRDefault="00DA3852" w:rsidP="00C03F9E">
                  <w:pPr>
                    <w:pStyle w:val="TableBodyText"/>
                    <w:jc w:val="left"/>
                  </w:pPr>
                  <w:r>
                    <w:t>Bass</w:t>
                  </w:r>
                </w:p>
              </w:tc>
              <w:tc>
                <w:tcPr>
                  <w:tcW w:w="689" w:type="pct"/>
                  <w:tcBorders>
                    <w:top w:val="single" w:sz="6" w:space="0" w:color="BFBFBF"/>
                  </w:tcBorders>
                  <w:shd w:val="clear" w:color="auto" w:fill="auto"/>
                  <w:vAlign w:val="center"/>
                </w:tcPr>
                <w:p w14:paraId="319FE663" w14:textId="77777777" w:rsidR="00DA3852" w:rsidRPr="00E32BF6" w:rsidRDefault="00DA3852" w:rsidP="00C03F9E">
                  <w:pPr>
                    <w:pStyle w:val="TableBodyText"/>
                    <w:jc w:val="left"/>
                  </w:pPr>
                  <w:r>
                    <w:t>Conventional</w:t>
                  </w:r>
                </w:p>
              </w:tc>
              <w:tc>
                <w:tcPr>
                  <w:tcW w:w="577" w:type="pct"/>
                  <w:tcBorders>
                    <w:top w:val="single" w:sz="6" w:space="0" w:color="BFBFBF"/>
                  </w:tcBorders>
                  <w:shd w:val="clear" w:color="auto" w:fill="auto"/>
                </w:tcPr>
                <w:p w14:paraId="5E56314A" w14:textId="77777777" w:rsidR="00DA3852" w:rsidRPr="00160A56" w:rsidRDefault="00DA3852" w:rsidP="00C03F9E">
                  <w:pPr>
                    <w:pStyle w:val="TableBodyText"/>
                  </w:pPr>
                  <w:r>
                    <w:t>26</w:t>
                  </w:r>
                </w:p>
              </w:tc>
              <w:tc>
                <w:tcPr>
                  <w:tcW w:w="468" w:type="pct"/>
                  <w:tcBorders>
                    <w:top w:val="single" w:sz="6" w:space="0" w:color="BFBFBF"/>
                  </w:tcBorders>
                  <w:shd w:val="clear" w:color="auto" w:fill="auto"/>
                </w:tcPr>
                <w:p w14:paraId="2BADDD7E" w14:textId="77777777" w:rsidR="00DA3852" w:rsidRDefault="00DA3852" w:rsidP="00C03F9E">
                  <w:pPr>
                    <w:pStyle w:val="TableBodyText"/>
                  </w:pPr>
                  <w:r>
                    <w:t>0.58</w:t>
                  </w:r>
                </w:p>
              </w:tc>
              <w:tc>
                <w:tcPr>
                  <w:tcW w:w="779" w:type="pct"/>
                  <w:tcBorders>
                    <w:top w:val="single" w:sz="6" w:space="0" w:color="BFBFBF"/>
                  </w:tcBorders>
                </w:tcPr>
                <w:p w14:paraId="4816FD0B" w14:textId="77777777" w:rsidR="00DA3852" w:rsidRDefault="00DA3852" w:rsidP="00C03F9E">
                  <w:pPr>
                    <w:pStyle w:val="TableBodyText"/>
                  </w:pPr>
                  <w:r>
                    <w:t>3.02</w:t>
                  </w:r>
                </w:p>
              </w:tc>
              <w:tc>
                <w:tcPr>
                  <w:tcW w:w="947" w:type="pct"/>
                  <w:tcBorders>
                    <w:top w:val="single" w:sz="6" w:space="0" w:color="BFBFBF"/>
                  </w:tcBorders>
                  <w:shd w:val="clear" w:color="auto" w:fill="auto"/>
                </w:tcPr>
                <w:p w14:paraId="34F679C5" w14:textId="77777777" w:rsidR="00DA3852" w:rsidRDefault="00DA3852" w:rsidP="00C03F9E">
                  <w:pPr>
                    <w:pStyle w:val="TableBodyText"/>
                    <w:ind w:right="0"/>
                    <w:rPr>
                      <w:i/>
                    </w:rPr>
                  </w:pPr>
                  <w:r>
                    <w:t>5.52</w:t>
                  </w:r>
                </w:p>
              </w:tc>
            </w:tr>
            <w:tr w:rsidR="00DA3852" w14:paraId="46CC28F8" w14:textId="77777777" w:rsidTr="00C03F9E">
              <w:tc>
                <w:tcPr>
                  <w:tcW w:w="696" w:type="pct"/>
                  <w:shd w:val="clear" w:color="auto" w:fill="auto"/>
                  <w:vAlign w:val="center"/>
                </w:tcPr>
                <w:p w14:paraId="16865631" w14:textId="77777777" w:rsidR="00DA3852" w:rsidRPr="00E32BF6" w:rsidRDefault="00DA3852" w:rsidP="00C03F9E">
                  <w:pPr>
                    <w:pStyle w:val="TableBodyText"/>
                    <w:jc w:val="left"/>
                  </w:pPr>
                  <w:r>
                    <w:t>Clarence-Moreton</w:t>
                  </w:r>
                </w:p>
              </w:tc>
              <w:tc>
                <w:tcPr>
                  <w:tcW w:w="844" w:type="pct"/>
                  <w:shd w:val="clear" w:color="auto" w:fill="auto"/>
                  <w:vAlign w:val="center"/>
                </w:tcPr>
                <w:p w14:paraId="3AA545AE" w14:textId="77777777" w:rsidR="00DA3852" w:rsidRPr="00E32BF6" w:rsidRDefault="00DA3852" w:rsidP="00C03F9E">
                  <w:pPr>
                    <w:pStyle w:val="TableBodyText"/>
                    <w:jc w:val="left"/>
                  </w:pPr>
                  <w:r>
                    <w:t>New</w:t>
                  </w:r>
                </w:p>
              </w:tc>
              <w:tc>
                <w:tcPr>
                  <w:tcW w:w="689" w:type="pct"/>
                  <w:shd w:val="clear" w:color="auto" w:fill="auto"/>
                  <w:vAlign w:val="center"/>
                </w:tcPr>
                <w:p w14:paraId="716F00AB" w14:textId="77777777" w:rsidR="00DA3852" w:rsidRPr="00E32BF6" w:rsidRDefault="00DA3852" w:rsidP="00C03F9E">
                  <w:pPr>
                    <w:pStyle w:val="TableBodyText"/>
                    <w:jc w:val="left"/>
                  </w:pPr>
                  <w:r>
                    <w:t>CSG</w:t>
                  </w:r>
                </w:p>
              </w:tc>
              <w:tc>
                <w:tcPr>
                  <w:tcW w:w="577" w:type="pct"/>
                  <w:shd w:val="clear" w:color="auto" w:fill="auto"/>
                </w:tcPr>
                <w:p w14:paraId="4A79A5DE" w14:textId="77777777" w:rsidR="00DA3852" w:rsidRPr="00160A56" w:rsidRDefault="00DA3852" w:rsidP="00C03F9E">
                  <w:pPr>
                    <w:pStyle w:val="TableBodyText"/>
                  </w:pPr>
                  <w:r>
                    <w:t>0</w:t>
                  </w:r>
                </w:p>
              </w:tc>
              <w:tc>
                <w:tcPr>
                  <w:tcW w:w="468" w:type="pct"/>
                  <w:shd w:val="clear" w:color="auto" w:fill="auto"/>
                </w:tcPr>
                <w:p w14:paraId="37DD1854" w14:textId="77777777" w:rsidR="00DA3852" w:rsidRDefault="00DA3852" w:rsidP="00C03F9E">
                  <w:pPr>
                    <w:pStyle w:val="TableBodyText"/>
                  </w:pPr>
                  <w:r>
                    <w:t>0.26</w:t>
                  </w:r>
                </w:p>
              </w:tc>
              <w:tc>
                <w:tcPr>
                  <w:tcW w:w="779" w:type="pct"/>
                </w:tcPr>
                <w:p w14:paraId="37FB30D3" w14:textId="77777777" w:rsidR="00DA3852" w:rsidRDefault="00DA3852" w:rsidP="00C03F9E">
                  <w:pPr>
                    <w:pStyle w:val="TableBodyText"/>
                  </w:pPr>
                  <w:r>
                    <w:t>4.32</w:t>
                  </w:r>
                </w:p>
              </w:tc>
              <w:tc>
                <w:tcPr>
                  <w:tcW w:w="947" w:type="pct"/>
                  <w:shd w:val="clear" w:color="auto" w:fill="auto"/>
                </w:tcPr>
                <w:p w14:paraId="3A8CCE1E" w14:textId="77777777" w:rsidR="00DA3852" w:rsidRDefault="00DA3852" w:rsidP="00C03F9E">
                  <w:pPr>
                    <w:pStyle w:val="TableBodyText"/>
                    <w:ind w:right="0"/>
                    <w:rPr>
                      <w:i/>
                    </w:rPr>
                  </w:pPr>
                  <w:r>
                    <w:t>7.47</w:t>
                  </w:r>
                </w:p>
              </w:tc>
            </w:tr>
            <w:tr w:rsidR="00DA3852" w14:paraId="0AA782DC" w14:textId="77777777" w:rsidTr="00C03F9E">
              <w:tc>
                <w:tcPr>
                  <w:tcW w:w="696" w:type="pct"/>
                  <w:shd w:val="clear" w:color="auto" w:fill="auto"/>
                  <w:vAlign w:val="center"/>
                </w:tcPr>
                <w:p w14:paraId="214C844B" w14:textId="77777777" w:rsidR="00DA3852" w:rsidRPr="00E32BF6" w:rsidRDefault="00DA3852" w:rsidP="00C03F9E">
                  <w:pPr>
                    <w:pStyle w:val="TableBodyText"/>
                    <w:jc w:val="left"/>
                  </w:pPr>
                  <w:r>
                    <w:t>Cooper</w:t>
                  </w:r>
                </w:p>
              </w:tc>
              <w:tc>
                <w:tcPr>
                  <w:tcW w:w="844" w:type="pct"/>
                  <w:shd w:val="clear" w:color="auto" w:fill="auto"/>
                  <w:vAlign w:val="center"/>
                </w:tcPr>
                <w:p w14:paraId="0F7BEEB1" w14:textId="77777777" w:rsidR="00DA3852" w:rsidRPr="00E32BF6" w:rsidRDefault="00DA3852" w:rsidP="00C03F9E">
                  <w:pPr>
                    <w:pStyle w:val="TableBodyText"/>
                    <w:jc w:val="left"/>
                  </w:pPr>
                  <w:proofErr w:type="spellStart"/>
                  <w:r>
                    <w:t>Ballera</w:t>
                  </w:r>
                  <w:proofErr w:type="spellEnd"/>
                  <w:r>
                    <w:t xml:space="preserve"> &amp; Moomba</w:t>
                  </w:r>
                </w:p>
              </w:tc>
              <w:tc>
                <w:tcPr>
                  <w:tcW w:w="689" w:type="pct"/>
                  <w:shd w:val="clear" w:color="auto" w:fill="auto"/>
                  <w:vAlign w:val="center"/>
                </w:tcPr>
                <w:p w14:paraId="2080ADAE" w14:textId="77777777" w:rsidR="00DA3852" w:rsidRPr="00E32BF6" w:rsidRDefault="00DA3852" w:rsidP="00C03F9E">
                  <w:pPr>
                    <w:pStyle w:val="TableBodyText"/>
                    <w:jc w:val="left"/>
                  </w:pPr>
                  <w:r>
                    <w:t>Conventional</w:t>
                  </w:r>
                </w:p>
              </w:tc>
              <w:tc>
                <w:tcPr>
                  <w:tcW w:w="577" w:type="pct"/>
                  <w:shd w:val="clear" w:color="auto" w:fill="auto"/>
                </w:tcPr>
                <w:p w14:paraId="0393BA97" w14:textId="77777777" w:rsidR="00DA3852" w:rsidRPr="00160A56" w:rsidRDefault="00DA3852" w:rsidP="00C03F9E">
                  <w:pPr>
                    <w:pStyle w:val="TableBodyText"/>
                  </w:pPr>
                  <w:r>
                    <w:t>179</w:t>
                  </w:r>
                </w:p>
              </w:tc>
              <w:tc>
                <w:tcPr>
                  <w:tcW w:w="468" w:type="pct"/>
                  <w:shd w:val="clear" w:color="auto" w:fill="auto"/>
                </w:tcPr>
                <w:p w14:paraId="5569E62E" w14:textId="77777777" w:rsidR="00DA3852" w:rsidRDefault="00DA3852" w:rsidP="00C03F9E">
                  <w:pPr>
                    <w:pStyle w:val="TableBodyText"/>
                  </w:pPr>
                  <w:r>
                    <w:t>0.58</w:t>
                  </w:r>
                </w:p>
              </w:tc>
              <w:tc>
                <w:tcPr>
                  <w:tcW w:w="779" w:type="pct"/>
                </w:tcPr>
                <w:p w14:paraId="5AB05CCF" w14:textId="77777777" w:rsidR="00DA3852" w:rsidRDefault="00DA3852" w:rsidP="00C03F9E">
                  <w:pPr>
                    <w:pStyle w:val="TableBodyText"/>
                  </w:pPr>
                  <w:r>
                    <w:t>3.02</w:t>
                  </w:r>
                </w:p>
              </w:tc>
              <w:tc>
                <w:tcPr>
                  <w:tcW w:w="947" w:type="pct"/>
                  <w:shd w:val="clear" w:color="auto" w:fill="auto"/>
                </w:tcPr>
                <w:p w14:paraId="3AE552D5" w14:textId="77777777" w:rsidR="00DA3852" w:rsidRDefault="00DA3852" w:rsidP="00C03F9E">
                  <w:pPr>
                    <w:pStyle w:val="TableBodyText"/>
                    <w:ind w:right="0"/>
                    <w:rPr>
                      <w:i/>
                    </w:rPr>
                  </w:pPr>
                  <w:r>
                    <w:t>5.52</w:t>
                  </w:r>
                </w:p>
              </w:tc>
            </w:tr>
            <w:tr w:rsidR="00DA3852" w14:paraId="60DAFA00" w14:textId="77777777" w:rsidTr="00C03F9E">
              <w:tc>
                <w:tcPr>
                  <w:tcW w:w="696" w:type="pct"/>
                  <w:shd w:val="clear" w:color="auto" w:fill="auto"/>
                  <w:vAlign w:val="center"/>
                </w:tcPr>
                <w:p w14:paraId="5753DE5A" w14:textId="77777777" w:rsidR="00DA3852" w:rsidRPr="00E32BF6" w:rsidRDefault="00DA3852" w:rsidP="00C03F9E">
                  <w:pPr>
                    <w:pStyle w:val="TableBodyText"/>
                    <w:jc w:val="left"/>
                  </w:pPr>
                  <w:r>
                    <w:t>Cooper</w:t>
                  </w:r>
                </w:p>
              </w:tc>
              <w:tc>
                <w:tcPr>
                  <w:tcW w:w="844" w:type="pct"/>
                  <w:shd w:val="clear" w:color="auto" w:fill="auto"/>
                  <w:vAlign w:val="center"/>
                </w:tcPr>
                <w:p w14:paraId="478617E2" w14:textId="77777777" w:rsidR="00DA3852" w:rsidRPr="00E32BF6" w:rsidRDefault="00DA3852" w:rsidP="00C03F9E">
                  <w:pPr>
                    <w:pStyle w:val="TableBodyText"/>
                    <w:jc w:val="left"/>
                  </w:pPr>
                  <w:r>
                    <w:t>New infill</w:t>
                  </w:r>
                </w:p>
              </w:tc>
              <w:tc>
                <w:tcPr>
                  <w:tcW w:w="689" w:type="pct"/>
                  <w:shd w:val="clear" w:color="auto" w:fill="auto"/>
                  <w:vAlign w:val="center"/>
                </w:tcPr>
                <w:p w14:paraId="7E4F163C" w14:textId="77777777" w:rsidR="00DA3852" w:rsidRPr="00E32BF6" w:rsidRDefault="00DA3852" w:rsidP="00C03F9E">
                  <w:pPr>
                    <w:pStyle w:val="TableBodyText"/>
                    <w:jc w:val="left"/>
                  </w:pPr>
                  <w:r>
                    <w:t>Conventional</w:t>
                  </w:r>
                </w:p>
              </w:tc>
              <w:tc>
                <w:tcPr>
                  <w:tcW w:w="577" w:type="pct"/>
                  <w:shd w:val="clear" w:color="auto" w:fill="auto"/>
                </w:tcPr>
                <w:p w14:paraId="3B14F388" w14:textId="77777777" w:rsidR="00DA3852" w:rsidRPr="00160A56" w:rsidRDefault="00DA3852" w:rsidP="00C03F9E">
                  <w:pPr>
                    <w:pStyle w:val="TableBodyText"/>
                  </w:pPr>
                  <w:r>
                    <w:t>0</w:t>
                  </w:r>
                </w:p>
              </w:tc>
              <w:tc>
                <w:tcPr>
                  <w:tcW w:w="468" w:type="pct"/>
                  <w:shd w:val="clear" w:color="auto" w:fill="auto"/>
                </w:tcPr>
                <w:p w14:paraId="2DCF8C49" w14:textId="77777777" w:rsidR="00DA3852" w:rsidRDefault="00DA3852" w:rsidP="00C03F9E">
                  <w:pPr>
                    <w:pStyle w:val="TableBodyText"/>
                  </w:pPr>
                  <w:r>
                    <w:t>0.58</w:t>
                  </w:r>
                </w:p>
              </w:tc>
              <w:tc>
                <w:tcPr>
                  <w:tcW w:w="779" w:type="pct"/>
                </w:tcPr>
                <w:p w14:paraId="0E45AB3B" w14:textId="77777777" w:rsidR="00DA3852" w:rsidRDefault="00DA3852" w:rsidP="00C03F9E">
                  <w:pPr>
                    <w:pStyle w:val="TableBodyText"/>
                  </w:pPr>
                  <w:r>
                    <w:t>3.02</w:t>
                  </w:r>
                </w:p>
              </w:tc>
              <w:tc>
                <w:tcPr>
                  <w:tcW w:w="947" w:type="pct"/>
                  <w:shd w:val="clear" w:color="auto" w:fill="auto"/>
                </w:tcPr>
                <w:p w14:paraId="21C6C0B1" w14:textId="77777777" w:rsidR="00DA3852" w:rsidRPr="00EC318B" w:rsidRDefault="00DA3852" w:rsidP="00C03F9E">
                  <w:pPr>
                    <w:pStyle w:val="TableBodyText"/>
                    <w:ind w:right="0"/>
                  </w:pPr>
                  <w:r>
                    <w:t>5.52.</w:t>
                  </w:r>
                </w:p>
              </w:tc>
            </w:tr>
            <w:tr w:rsidR="00DA3852" w14:paraId="52C773F8" w14:textId="77777777" w:rsidTr="00C03F9E">
              <w:tc>
                <w:tcPr>
                  <w:tcW w:w="696" w:type="pct"/>
                  <w:shd w:val="clear" w:color="auto" w:fill="auto"/>
                  <w:vAlign w:val="center"/>
                </w:tcPr>
                <w:p w14:paraId="4BB5B894" w14:textId="77777777" w:rsidR="00DA3852" w:rsidRPr="00E32BF6" w:rsidRDefault="00DA3852" w:rsidP="00C03F9E">
                  <w:pPr>
                    <w:pStyle w:val="TableBodyText"/>
                    <w:jc w:val="left"/>
                  </w:pPr>
                  <w:r>
                    <w:t>Cooper</w:t>
                  </w:r>
                </w:p>
              </w:tc>
              <w:tc>
                <w:tcPr>
                  <w:tcW w:w="844" w:type="pct"/>
                  <w:shd w:val="clear" w:color="auto" w:fill="auto"/>
                  <w:vAlign w:val="center"/>
                </w:tcPr>
                <w:p w14:paraId="1576D2CB" w14:textId="77777777" w:rsidR="00DA3852" w:rsidRPr="00E32BF6" w:rsidRDefault="00DA3852" w:rsidP="00C03F9E">
                  <w:pPr>
                    <w:pStyle w:val="TableBodyText"/>
                    <w:jc w:val="left"/>
                  </w:pPr>
                  <w:r>
                    <w:t>New shale</w:t>
                  </w:r>
                </w:p>
              </w:tc>
              <w:tc>
                <w:tcPr>
                  <w:tcW w:w="689" w:type="pct"/>
                  <w:shd w:val="clear" w:color="auto" w:fill="auto"/>
                  <w:vAlign w:val="center"/>
                </w:tcPr>
                <w:p w14:paraId="0A818519" w14:textId="77777777" w:rsidR="00DA3852" w:rsidRPr="00E32BF6" w:rsidRDefault="00DA3852" w:rsidP="00C03F9E">
                  <w:pPr>
                    <w:pStyle w:val="TableBodyText"/>
                    <w:jc w:val="left"/>
                  </w:pPr>
                  <w:r>
                    <w:t>Shale</w:t>
                  </w:r>
                </w:p>
              </w:tc>
              <w:tc>
                <w:tcPr>
                  <w:tcW w:w="577" w:type="pct"/>
                  <w:shd w:val="clear" w:color="auto" w:fill="auto"/>
                </w:tcPr>
                <w:p w14:paraId="25DBD146" w14:textId="77777777" w:rsidR="00DA3852" w:rsidRPr="00160A56" w:rsidRDefault="00DA3852" w:rsidP="00C03F9E">
                  <w:pPr>
                    <w:pStyle w:val="TableBodyText"/>
                  </w:pPr>
                  <w:r>
                    <w:t>0</w:t>
                  </w:r>
                </w:p>
              </w:tc>
              <w:tc>
                <w:tcPr>
                  <w:tcW w:w="468" w:type="pct"/>
                  <w:shd w:val="clear" w:color="auto" w:fill="auto"/>
                </w:tcPr>
                <w:p w14:paraId="7CF81EF3" w14:textId="77777777" w:rsidR="00DA3852" w:rsidRDefault="00DA3852" w:rsidP="00C03F9E">
                  <w:pPr>
                    <w:pStyle w:val="TableBodyText"/>
                  </w:pPr>
                  <w:r>
                    <w:t>0.58</w:t>
                  </w:r>
                </w:p>
              </w:tc>
              <w:tc>
                <w:tcPr>
                  <w:tcW w:w="779" w:type="pct"/>
                </w:tcPr>
                <w:p w14:paraId="55C85D24" w14:textId="77777777" w:rsidR="00DA3852" w:rsidRDefault="00DA3852" w:rsidP="00C03F9E">
                  <w:pPr>
                    <w:pStyle w:val="TableBodyText"/>
                  </w:pPr>
                  <w:r>
                    <w:t>13.33</w:t>
                  </w:r>
                </w:p>
              </w:tc>
              <w:tc>
                <w:tcPr>
                  <w:tcW w:w="947" w:type="pct"/>
                  <w:shd w:val="clear" w:color="auto" w:fill="auto"/>
                </w:tcPr>
                <w:p w14:paraId="02AA1A81" w14:textId="77777777" w:rsidR="00DA3852" w:rsidRDefault="00DA3852" w:rsidP="00C03F9E">
                  <w:pPr>
                    <w:pStyle w:val="TableBodyText"/>
                    <w:ind w:right="0"/>
                    <w:rPr>
                      <w:i/>
                    </w:rPr>
                  </w:pPr>
                  <w:r>
                    <w:t>24.37</w:t>
                  </w:r>
                </w:p>
              </w:tc>
            </w:tr>
            <w:tr w:rsidR="00DA3852" w14:paraId="61013FBE" w14:textId="77777777" w:rsidTr="00C03F9E">
              <w:tc>
                <w:tcPr>
                  <w:tcW w:w="696" w:type="pct"/>
                  <w:shd w:val="clear" w:color="auto" w:fill="auto"/>
                  <w:vAlign w:val="center"/>
                </w:tcPr>
                <w:p w14:paraId="48B8D846" w14:textId="77777777" w:rsidR="00DA3852" w:rsidRPr="00E32BF6" w:rsidRDefault="00DA3852" w:rsidP="00C03F9E">
                  <w:pPr>
                    <w:pStyle w:val="TableBodyText"/>
                    <w:jc w:val="left"/>
                  </w:pPr>
                  <w:r>
                    <w:t>Gippsland</w:t>
                  </w:r>
                </w:p>
              </w:tc>
              <w:tc>
                <w:tcPr>
                  <w:tcW w:w="844" w:type="pct"/>
                  <w:shd w:val="clear" w:color="auto" w:fill="auto"/>
                  <w:vAlign w:val="center"/>
                </w:tcPr>
                <w:p w14:paraId="764DC47A" w14:textId="77777777" w:rsidR="00DA3852" w:rsidRPr="00E32BF6" w:rsidRDefault="00DA3852" w:rsidP="00C03F9E">
                  <w:pPr>
                    <w:pStyle w:val="TableBodyText"/>
                    <w:jc w:val="left"/>
                  </w:pPr>
                  <w:r>
                    <w:t>Gippsland</w:t>
                  </w:r>
                </w:p>
              </w:tc>
              <w:tc>
                <w:tcPr>
                  <w:tcW w:w="689" w:type="pct"/>
                  <w:shd w:val="clear" w:color="auto" w:fill="auto"/>
                  <w:vAlign w:val="center"/>
                </w:tcPr>
                <w:p w14:paraId="20776E5D" w14:textId="77777777" w:rsidR="00DA3852" w:rsidRPr="00E32BF6" w:rsidRDefault="00DA3852" w:rsidP="00C03F9E">
                  <w:pPr>
                    <w:pStyle w:val="TableBodyText"/>
                    <w:jc w:val="left"/>
                  </w:pPr>
                  <w:r>
                    <w:t>Conventional</w:t>
                  </w:r>
                </w:p>
              </w:tc>
              <w:tc>
                <w:tcPr>
                  <w:tcW w:w="577" w:type="pct"/>
                  <w:shd w:val="clear" w:color="auto" w:fill="auto"/>
                </w:tcPr>
                <w:p w14:paraId="20D1AACC" w14:textId="77777777" w:rsidR="00DA3852" w:rsidRPr="00160A56" w:rsidRDefault="00DA3852" w:rsidP="00C03F9E">
                  <w:pPr>
                    <w:pStyle w:val="TableBodyText"/>
                  </w:pPr>
                  <w:r>
                    <w:t>455</w:t>
                  </w:r>
                </w:p>
              </w:tc>
              <w:tc>
                <w:tcPr>
                  <w:tcW w:w="468" w:type="pct"/>
                  <w:shd w:val="clear" w:color="auto" w:fill="auto"/>
                </w:tcPr>
                <w:p w14:paraId="269212C0" w14:textId="77777777" w:rsidR="00DA3852" w:rsidRDefault="00DA3852" w:rsidP="00C03F9E">
                  <w:pPr>
                    <w:pStyle w:val="TableBodyText"/>
                  </w:pPr>
                  <w:r>
                    <w:t>0.58</w:t>
                  </w:r>
                </w:p>
              </w:tc>
              <w:tc>
                <w:tcPr>
                  <w:tcW w:w="779" w:type="pct"/>
                </w:tcPr>
                <w:p w14:paraId="4CE623E5" w14:textId="77777777" w:rsidR="00DA3852" w:rsidRDefault="00DA3852" w:rsidP="00C03F9E">
                  <w:pPr>
                    <w:pStyle w:val="TableBodyText"/>
                  </w:pPr>
                  <w:r>
                    <w:t>3.02</w:t>
                  </w:r>
                </w:p>
              </w:tc>
              <w:tc>
                <w:tcPr>
                  <w:tcW w:w="947" w:type="pct"/>
                  <w:shd w:val="clear" w:color="auto" w:fill="auto"/>
                </w:tcPr>
                <w:p w14:paraId="33FBE15B" w14:textId="77777777" w:rsidR="00DA3852" w:rsidRDefault="00DA3852" w:rsidP="00C03F9E">
                  <w:pPr>
                    <w:pStyle w:val="TableBodyText"/>
                    <w:ind w:right="0"/>
                    <w:rPr>
                      <w:i/>
                    </w:rPr>
                  </w:pPr>
                  <w:r>
                    <w:t>5.52</w:t>
                  </w:r>
                </w:p>
              </w:tc>
            </w:tr>
            <w:tr w:rsidR="00DA3852" w14:paraId="5FEE424E" w14:textId="77777777" w:rsidTr="00C03F9E">
              <w:tc>
                <w:tcPr>
                  <w:tcW w:w="696" w:type="pct"/>
                  <w:shd w:val="clear" w:color="auto" w:fill="auto"/>
                  <w:vAlign w:val="center"/>
                </w:tcPr>
                <w:p w14:paraId="07F73425" w14:textId="77777777" w:rsidR="00DA3852" w:rsidRPr="00E32BF6" w:rsidRDefault="00DA3852" w:rsidP="00C03F9E">
                  <w:pPr>
                    <w:pStyle w:val="TableBodyText"/>
                    <w:jc w:val="left"/>
                  </w:pPr>
                  <w:r>
                    <w:t>Gippsland</w:t>
                  </w:r>
                </w:p>
              </w:tc>
              <w:tc>
                <w:tcPr>
                  <w:tcW w:w="844" w:type="pct"/>
                  <w:shd w:val="clear" w:color="auto" w:fill="auto"/>
                  <w:vAlign w:val="center"/>
                </w:tcPr>
                <w:p w14:paraId="319813EF" w14:textId="77777777" w:rsidR="00DA3852" w:rsidRPr="00E32BF6" w:rsidRDefault="00DA3852" w:rsidP="00C03F9E">
                  <w:pPr>
                    <w:pStyle w:val="TableBodyText"/>
                    <w:jc w:val="left"/>
                  </w:pPr>
                  <w:r>
                    <w:t>New unconventional</w:t>
                  </w:r>
                </w:p>
              </w:tc>
              <w:tc>
                <w:tcPr>
                  <w:tcW w:w="689" w:type="pct"/>
                  <w:shd w:val="clear" w:color="auto" w:fill="auto"/>
                  <w:vAlign w:val="center"/>
                </w:tcPr>
                <w:p w14:paraId="32417CE9" w14:textId="77777777" w:rsidR="00DA3852" w:rsidRPr="00E32BF6" w:rsidRDefault="00DA3852" w:rsidP="00C03F9E">
                  <w:pPr>
                    <w:pStyle w:val="TableBodyText"/>
                    <w:jc w:val="left"/>
                  </w:pPr>
                  <w:r>
                    <w:t>CSG</w:t>
                  </w:r>
                </w:p>
              </w:tc>
              <w:tc>
                <w:tcPr>
                  <w:tcW w:w="577" w:type="pct"/>
                  <w:shd w:val="clear" w:color="auto" w:fill="auto"/>
                </w:tcPr>
                <w:p w14:paraId="1561BC41" w14:textId="77777777" w:rsidR="00DA3852" w:rsidRPr="00160A56" w:rsidRDefault="00DA3852" w:rsidP="00C03F9E">
                  <w:pPr>
                    <w:pStyle w:val="TableBodyText"/>
                  </w:pPr>
                  <w:r>
                    <w:t>0</w:t>
                  </w:r>
                </w:p>
              </w:tc>
              <w:tc>
                <w:tcPr>
                  <w:tcW w:w="468" w:type="pct"/>
                  <w:shd w:val="clear" w:color="auto" w:fill="auto"/>
                </w:tcPr>
                <w:p w14:paraId="617FD9A3" w14:textId="77777777" w:rsidR="00DA3852" w:rsidRDefault="00DA3852" w:rsidP="00C03F9E">
                  <w:pPr>
                    <w:pStyle w:val="TableBodyText"/>
                  </w:pPr>
                  <w:r>
                    <w:t>0.26</w:t>
                  </w:r>
                </w:p>
              </w:tc>
              <w:tc>
                <w:tcPr>
                  <w:tcW w:w="779" w:type="pct"/>
                </w:tcPr>
                <w:p w14:paraId="00CD1BC2" w14:textId="77777777" w:rsidR="00DA3852" w:rsidRDefault="00DA3852" w:rsidP="00C03F9E">
                  <w:pPr>
                    <w:pStyle w:val="TableBodyText"/>
                  </w:pPr>
                  <w:r>
                    <w:t>4.32</w:t>
                  </w:r>
                </w:p>
              </w:tc>
              <w:tc>
                <w:tcPr>
                  <w:tcW w:w="947" w:type="pct"/>
                  <w:shd w:val="clear" w:color="auto" w:fill="auto"/>
                </w:tcPr>
                <w:p w14:paraId="57AE9746" w14:textId="77777777" w:rsidR="00DA3852" w:rsidRDefault="00DA3852" w:rsidP="00C03F9E">
                  <w:pPr>
                    <w:pStyle w:val="TableBodyText"/>
                    <w:ind w:right="0"/>
                    <w:rPr>
                      <w:i/>
                    </w:rPr>
                  </w:pPr>
                  <w:r>
                    <w:t>7.47</w:t>
                  </w:r>
                </w:p>
              </w:tc>
            </w:tr>
            <w:tr w:rsidR="00DA3852" w14:paraId="4C460BCA" w14:textId="77777777" w:rsidTr="00C03F9E">
              <w:tc>
                <w:tcPr>
                  <w:tcW w:w="696" w:type="pct"/>
                  <w:shd w:val="clear" w:color="auto" w:fill="auto"/>
                  <w:vAlign w:val="center"/>
                </w:tcPr>
                <w:p w14:paraId="52728287" w14:textId="77777777" w:rsidR="00DA3852" w:rsidRPr="00E32BF6" w:rsidRDefault="00DA3852" w:rsidP="00C03F9E">
                  <w:pPr>
                    <w:pStyle w:val="TableBodyText"/>
                    <w:jc w:val="left"/>
                  </w:pPr>
                  <w:r>
                    <w:t>Gloucester</w:t>
                  </w:r>
                </w:p>
              </w:tc>
              <w:tc>
                <w:tcPr>
                  <w:tcW w:w="844" w:type="pct"/>
                  <w:shd w:val="clear" w:color="auto" w:fill="auto"/>
                  <w:vAlign w:val="center"/>
                </w:tcPr>
                <w:p w14:paraId="0E0646DE" w14:textId="77777777" w:rsidR="00DA3852" w:rsidRPr="00E32BF6" w:rsidRDefault="00DA3852" w:rsidP="00C03F9E">
                  <w:pPr>
                    <w:pStyle w:val="TableBodyText"/>
                    <w:jc w:val="left"/>
                  </w:pPr>
                  <w:r>
                    <w:t>Stratford</w:t>
                  </w:r>
                </w:p>
              </w:tc>
              <w:tc>
                <w:tcPr>
                  <w:tcW w:w="689" w:type="pct"/>
                  <w:shd w:val="clear" w:color="auto" w:fill="auto"/>
                  <w:vAlign w:val="center"/>
                </w:tcPr>
                <w:p w14:paraId="21D9739D" w14:textId="77777777" w:rsidR="00DA3852" w:rsidRPr="00E32BF6" w:rsidRDefault="00DA3852" w:rsidP="00C03F9E">
                  <w:pPr>
                    <w:pStyle w:val="TableBodyText"/>
                    <w:jc w:val="left"/>
                  </w:pPr>
                  <w:r>
                    <w:t>CSG</w:t>
                  </w:r>
                </w:p>
              </w:tc>
              <w:tc>
                <w:tcPr>
                  <w:tcW w:w="577" w:type="pct"/>
                  <w:shd w:val="clear" w:color="auto" w:fill="auto"/>
                </w:tcPr>
                <w:p w14:paraId="2E351405" w14:textId="77777777" w:rsidR="00DA3852" w:rsidRPr="00160A56" w:rsidRDefault="00DA3852" w:rsidP="00C03F9E">
                  <w:pPr>
                    <w:pStyle w:val="TableBodyText"/>
                  </w:pPr>
                  <w:r>
                    <w:t>0</w:t>
                  </w:r>
                </w:p>
              </w:tc>
              <w:tc>
                <w:tcPr>
                  <w:tcW w:w="468" w:type="pct"/>
                  <w:shd w:val="clear" w:color="auto" w:fill="auto"/>
                </w:tcPr>
                <w:p w14:paraId="454DD051" w14:textId="77777777" w:rsidR="00DA3852" w:rsidRDefault="00DA3852" w:rsidP="00C03F9E">
                  <w:pPr>
                    <w:pStyle w:val="TableBodyText"/>
                  </w:pPr>
                  <w:r>
                    <w:t>0.26</w:t>
                  </w:r>
                </w:p>
              </w:tc>
              <w:tc>
                <w:tcPr>
                  <w:tcW w:w="779" w:type="pct"/>
                </w:tcPr>
                <w:p w14:paraId="553D9EB9" w14:textId="77777777" w:rsidR="00DA3852" w:rsidRDefault="00DA3852" w:rsidP="00C03F9E">
                  <w:pPr>
                    <w:pStyle w:val="TableBodyText"/>
                  </w:pPr>
                  <w:r>
                    <w:t>4.32</w:t>
                  </w:r>
                </w:p>
              </w:tc>
              <w:tc>
                <w:tcPr>
                  <w:tcW w:w="947" w:type="pct"/>
                  <w:shd w:val="clear" w:color="auto" w:fill="auto"/>
                </w:tcPr>
                <w:p w14:paraId="37FEFD3E" w14:textId="77777777" w:rsidR="00DA3852" w:rsidRDefault="00DA3852" w:rsidP="00C03F9E">
                  <w:pPr>
                    <w:pStyle w:val="TableBodyText"/>
                    <w:ind w:right="0"/>
                    <w:rPr>
                      <w:i/>
                    </w:rPr>
                  </w:pPr>
                  <w:r>
                    <w:t>7.47</w:t>
                  </w:r>
                </w:p>
              </w:tc>
            </w:tr>
            <w:tr w:rsidR="00DA3852" w14:paraId="6A15CA3B" w14:textId="77777777" w:rsidTr="00C03F9E">
              <w:tc>
                <w:tcPr>
                  <w:tcW w:w="696" w:type="pct"/>
                  <w:shd w:val="clear" w:color="auto" w:fill="auto"/>
                  <w:vAlign w:val="center"/>
                </w:tcPr>
                <w:p w14:paraId="363F1D2C" w14:textId="77777777" w:rsidR="00DA3852" w:rsidRPr="00E32BF6" w:rsidRDefault="00DA3852" w:rsidP="00C03F9E">
                  <w:pPr>
                    <w:pStyle w:val="TableBodyText"/>
                    <w:jc w:val="left"/>
                  </w:pPr>
                  <w:r>
                    <w:t>Gloucester</w:t>
                  </w:r>
                </w:p>
              </w:tc>
              <w:tc>
                <w:tcPr>
                  <w:tcW w:w="844" w:type="pct"/>
                  <w:shd w:val="clear" w:color="auto" w:fill="auto"/>
                  <w:vAlign w:val="center"/>
                </w:tcPr>
                <w:p w14:paraId="2E4F0431" w14:textId="77777777" w:rsidR="00DA3852" w:rsidRPr="00E32BF6" w:rsidRDefault="00DA3852" w:rsidP="00C03F9E">
                  <w:pPr>
                    <w:pStyle w:val="TableBodyText"/>
                    <w:jc w:val="left"/>
                  </w:pPr>
                  <w:r>
                    <w:t>New</w:t>
                  </w:r>
                </w:p>
              </w:tc>
              <w:tc>
                <w:tcPr>
                  <w:tcW w:w="689" w:type="pct"/>
                  <w:shd w:val="clear" w:color="auto" w:fill="auto"/>
                  <w:vAlign w:val="center"/>
                </w:tcPr>
                <w:p w14:paraId="28609229" w14:textId="77777777" w:rsidR="00DA3852" w:rsidRPr="00E32BF6" w:rsidRDefault="00DA3852" w:rsidP="00C03F9E">
                  <w:pPr>
                    <w:pStyle w:val="TableBodyText"/>
                    <w:jc w:val="left"/>
                  </w:pPr>
                  <w:r>
                    <w:t>CSG</w:t>
                  </w:r>
                </w:p>
              </w:tc>
              <w:tc>
                <w:tcPr>
                  <w:tcW w:w="577" w:type="pct"/>
                  <w:shd w:val="clear" w:color="auto" w:fill="auto"/>
                </w:tcPr>
                <w:p w14:paraId="1BD3F7E1" w14:textId="77777777" w:rsidR="00DA3852" w:rsidRPr="00160A56" w:rsidRDefault="00DA3852" w:rsidP="00C03F9E">
                  <w:pPr>
                    <w:pStyle w:val="TableBodyText"/>
                  </w:pPr>
                  <w:r>
                    <w:t>0</w:t>
                  </w:r>
                </w:p>
              </w:tc>
              <w:tc>
                <w:tcPr>
                  <w:tcW w:w="468" w:type="pct"/>
                  <w:shd w:val="clear" w:color="auto" w:fill="auto"/>
                </w:tcPr>
                <w:p w14:paraId="2DD92312" w14:textId="77777777" w:rsidR="00DA3852" w:rsidRDefault="00DA3852" w:rsidP="00C03F9E">
                  <w:pPr>
                    <w:pStyle w:val="TableBodyText"/>
                  </w:pPr>
                  <w:r>
                    <w:t>0.26</w:t>
                  </w:r>
                </w:p>
              </w:tc>
              <w:tc>
                <w:tcPr>
                  <w:tcW w:w="779" w:type="pct"/>
                </w:tcPr>
                <w:p w14:paraId="7E232315" w14:textId="77777777" w:rsidR="00DA3852" w:rsidRDefault="00DA3852" w:rsidP="00C03F9E">
                  <w:pPr>
                    <w:pStyle w:val="TableBodyText"/>
                  </w:pPr>
                  <w:r>
                    <w:t>4.32</w:t>
                  </w:r>
                </w:p>
              </w:tc>
              <w:tc>
                <w:tcPr>
                  <w:tcW w:w="947" w:type="pct"/>
                  <w:shd w:val="clear" w:color="auto" w:fill="auto"/>
                </w:tcPr>
                <w:p w14:paraId="2505C9A7" w14:textId="77777777" w:rsidR="00DA3852" w:rsidRDefault="00DA3852" w:rsidP="00C03F9E">
                  <w:pPr>
                    <w:pStyle w:val="TableBodyText"/>
                    <w:ind w:right="0"/>
                    <w:rPr>
                      <w:i/>
                    </w:rPr>
                  </w:pPr>
                  <w:r>
                    <w:t>7.47</w:t>
                  </w:r>
                </w:p>
              </w:tc>
            </w:tr>
            <w:tr w:rsidR="00DA3852" w14:paraId="03910CC7" w14:textId="77777777" w:rsidTr="00C03F9E">
              <w:tc>
                <w:tcPr>
                  <w:tcW w:w="696" w:type="pct"/>
                  <w:shd w:val="clear" w:color="auto" w:fill="auto"/>
                  <w:vAlign w:val="center"/>
                </w:tcPr>
                <w:p w14:paraId="60FC2CF9" w14:textId="77777777" w:rsidR="00DA3852" w:rsidRPr="00E32BF6" w:rsidRDefault="00DA3852" w:rsidP="00C03F9E">
                  <w:pPr>
                    <w:pStyle w:val="TableBodyText"/>
                    <w:jc w:val="left"/>
                  </w:pPr>
                  <w:r>
                    <w:t>Gunnedah</w:t>
                  </w:r>
                </w:p>
              </w:tc>
              <w:tc>
                <w:tcPr>
                  <w:tcW w:w="844" w:type="pct"/>
                  <w:shd w:val="clear" w:color="auto" w:fill="auto"/>
                  <w:vAlign w:val="center"/>
                </w:tcPr>
                <w:p w14:paraId="455629BE" w14:textId="77777777" w:rsidR="00DA3852" w:rsidRPr="00E32BF6" w:rsidRDefault="00DA3852" w:rsidP="00C03F9E">
                  <w:pPr>
                    <w:pStyle w:val="TableBodyText"/>
                    <w:jc w:val="left"/>
                  </w:pPr>
                  <w:r>
                    <w:t>Narrabri</w:t>
                  </w:r>
                </w:p>
              </w:tc>
              <w:tc>
                <w:tcPr>
                  <w:tcW w:w="689" w:type="pct"/>
                  <w:shd w:val="clear" w:color="auto" w:fill="auto"/>
                  <w:vAlign w:val="center"/>
                </w:tcPr>
                <w:p w14:paraId="158C3D56" w14:textId="77777777" w:rsidR="00DA3852" w:rsidRPr="00E32BF6" w:rsidRDefault="00DA3852" w:rsidP="00C03F9E">
                  <w:pPr>
                    <w:pStyle w:val="TableBodyText"/>
                    <w:jc w:val="left"/>
                  </w:pPr>
                  <w:r>
                    <w:t>CSG</w:t>
                  </w:r>
                </w:p>
              </w:tc>
              <w:tc>
                <w:tcPr>
                  <w:tcW w:w="577" w:type="pct"/>
                  <w:shd w:val="clear" w:color="auto" w:fill="auto"/>
                </w:tcPr>
                <w:p w14:paraId="4019C184" w14:textId="77777777" w:rsidR="00DA3852" w:rsidRPr="00160A56" w:rsidRDefault="00DA3852" w:rsidP="00C03F9E">
                  <w:pPr>
                    <w:pStyle w:val="TableBodyText"/>
                  </w:pPr>
                  <w:r>
                    <w:t>0</w:t>
                  </w:r>
                </w:p>
              </w:tc>
              <w:tc>
                <w:tcPr>
                  <w:tcW w:w="468" w:type="pct"/>
                  <w:shd w:val="clear" w:color="auto" w:fill="auto"/>
                </w:tcPr>
                <w:p w14:paraId="3721C46A" w14:textId="77777777" w:rsidR="00DA3852" w:rsidRDefault="00DA3852" w:rsidP="00C03F9E">
                  <w:pPr>
                    <w:pStyle w:val="TableBodyText"/>
                  </w:pPr>
                  <w:r>
                    <w:t>0.26</w:t>
                  </w:r>
                </w:p>
              </w:tc>
              <w:tc>
                <w:tcPr>
                  <w:tcW w:w="779" w:type="pct"/>
                </w:tcPr>
                <w:p w14:paraId="2578D9B8" w14:textId="77777777" w:rsidR="00DA3852" w:rsidRDefault="00DA3852" w:rsidP="00C03F9E">
                  <w:pPr>
                    <w:pStyle w:val="TableBodyText"/>
                  </w:pPr>
                  <w:r>
                    <w:t>4.32</w:t>
                  </w:r>
                </w:p>
              </w:tc>
              <w:tc>
                <w:tcPr>
                  <w:tcW w:w="947" w:type="pct"/>
                  <w:shd w:val="clear" w:color="auto" w:fill="auto"/>
                </w:tcPr>
                <w:p w14:paraId="28453F10" w14:textId="77777777" w:rsidR="00DA3852" w:rsidRDefault="00DA3852" w:rsidP="00C03F9E">
                  <w:pPr>
                    <w:pStyle w:val="TableBodyText"/>
                    <w:ind w:right="0"/>
                    <w:rPr>
                      <w:i/>
                    </w:rPr>
                  </w:pPr>
                  <w:r>
                    <w:t>7.47</w:t>
                  </w:r>
                </w:p>
              </w:tc>
            </w:tr>
            <w:tr w:rsidR="00DA3852" w14:paraId="650D9D64" w14:textId="77777777" w:rsidTr="00C03F9E">
              <w:tc>
                <w:tcPr>
                  <w:tcW w:w="696" w:type="pct"/>
                  <w:shd w:val="clear" w:color="auto" w:fill="auto"/>
                  <w:vAlign w:val="center"/>
                </w:tcPr>
                <w:p w14:paraId="6EA3D81A" w14:textId="77777777" w:rsidR="00DA3852" w:rsidRPr="00E32BF6" w:rsidRDefault="00DA3852" w:rsidP="00C03F9E">
                  <w:pPr>
                    <w:pStyle w:val="TableBodyText"/>
                    <w:jc w:val="left"/>
                  </w:pPr>
                  <w:r>
                    <w:t>Otway</w:t>
                  </w:r>
                </w:p>
              </w:tc>
              <w:tc>
                <w:tcPr>
                  <w:tcW w:w="844" w:type="pct"/>
                  <w:shd w:val="clear" w:color="auto" w:fill="auto"/>
                  <w:vAlign w:val="center"/>
                </w:tcPr>
                <w:p w14:paraId="1EA644EC" w14:textId="77777777" w:rsidR="00DA3852" w:rsidRPr="00E32BF6" w:rsidRDefault="00DA3852" w:rsidP="00C03F9E">
                  <w:pPr>
                    <w:pStyle w:val="TableBodyText"/>
                    <w:jc w:val="left"/>
                  </w:pPr>
                  <w:r>
                    <w:t>Iona UGS</w:t>
                  </w:r>
                </w:p>
              </w:tc>
              <w:tc>
                <w:tcPr>
                  <w:tcW w:w="689" w:type="pct"/>
                  <w:shd w:val="clear" w:color="auto" w:fill="auto"/>
                  <w:vAlign w:val="center"/>
                </w:tcPr>
                <w:p w14:paraId="6BAEE5BA" w14:textId="77777777" w:rsidR="00DA3852" w:rsidRPr="00E32BF6" w:rsidRDefault="00DA3852" w:rsidP="00C03F9E">
                  <w:pPr>
                    <w:pStyle w:val="TableBodyText"/>
                    <w:jc w:val="left"/>
                  </w:pPr>
                  <w:r>
                    <w:t>Conventional</w:t>
                  </w:r>
                </w:p>
              </w:tc>
              <w:tc>
                <w:tcPr>
                  <w:tcW w:w="577" w:type="pct"/>
                  <w:shd w:val="clear" w:color="auto" w:fill="auto"/>
                </w:tcPr>
                <w:p w14:paraId="2FB0022A" w14:textId="77777777" w:rsidR="00DA3852" w:rsidRPr="00160A56" w:rsidRDefault="00DA3852" w:rsidP="00C03F9E">
                  <w:pPr>
                    <w:pStyle w:val="TableBodyText"/>
                  </w:pPr>
                  <w:r>
                    <w:t>73</w:t>
                  </w:r>
                </w:p>
              </w:tc>
              <w:tc>
                <w:tcPr>
                  <w:tcW w:w="468" w:type="pct"/>
                  <w:shd w:val="clear" w:color="auto" w:fill="auto"/>
                </w:tcPr>
                <w:p w14:paraId="0E4FC6D3" w14:textId="77777777" w:rsidR="00DA3852" w:rsidRDefault="00DA3852" w:rsidP="00C03F9E">
                  <w:pPr>
                    <w:pStyle w:val="TableBodyText"/>
                  </w:pPr>
                  <w:r>
                    <w:t>0.58</w:t>
                  </w:r>
                </w:p>
              </w:tc>
              <w:tc>
                <w:tcPr>
                  <w:tcW w:w="779" w:type="pct"/>
                </w:tcPr>
                <w:p w14:paraId="258B3DA8" w14:textId="77777777" w:rsidR="00DA3852" w:rsidRDefault="00DA3852" w:rsidP="00C03F9E">
                  <w:pPr>
                    <w:pStyle w:val="TableBodyText"/>
                  </w:pPr>
                  <w:r>
                    <w:t>3.02</w:t>
                  </w:r>
                </w:p>
              </w:tc>
              <w:tc>
                <w:tcPr>
                  <w:tcW w:w="947" w:type="pct"/>
                  <w:shd w:val="clear" w:color="auto" w:fill="auto"/>
                </w:tcPr>
                <w:p w14:paraId="69C927ED" w14:textId="77777777" w:rsidR="00DA3852" w:rsidRDefault="00DA3852" w:rsidP="00C03F9E">
                  <w:pPr>
                    <w:pStyle w:val="TableBodyText"/>
                    <w:ind w:right="0"/>
                    <w:rPr>
                      <w:i/>
                    </w:rPr>
                  </w:pPr>
                  <w:r>
                    <w:t>5.52</w:t>
                  </w:r>
                </w:p>
              </w:tc>
            </w:tr>
            <w:tr w:rsidR="00DA3852" w14:paraId="0D99722C" w14:textId="77777777" w:rsidTr="00C03F9E">
              <w:tc>
                <w:tcPr>
                  <w:tcW w:w="696" w:type="pct"/>
                  <w:shd w:val="clear" w:color="auto" w:fill="auto"/>
                  <w:vAlign w:val="center"/>
                </w:tcPr>
                <w:p w14:paraId="565BED8D" w14:textId="77777777" w:rsidR="00DA3852" w:rsidRPr="00E32BF6" w:rsidRDefault="00DA3852" w:rsidP="00C03F9E">
                  <w:pPr>
                    <w:pStyle w:val="TableBodyText"/>
                    <w:jc w:val="left"/>
                  </w:pPr>
                  <w:r>
                    <w:t>Otway</w:t>
                  </w:r>
                </w:p>
              </w:tc>
              <w:tc>
                <w:tcPr>
                  <w:tcW w:w="844" w:type="pct"/>
                  <w:shd w:val="clear" w:color="auto" w:fill="auto"/>
                  <w:vAlign w:val="center"/>
                </w:tcPr>
                <w:p w14:paraId="1FB52D77" w14:textId="77777777" w:rsidR="00DA3852" w:rsidRPr="00E32BF6" w:rsidRDefault="00DA3852" w:rsidP="00C03F9E">
                  <w:pPr>
                    <w:pStyle w:val="TableBodyText"/>
                    <w:jc w:val="left"/>
                  </w:pPr>
                  <w:r>
                    <w:t>Port Campbell</w:t>
                  </w:r>
                </w:p>
              </w:tc>
              <w:tc>
                <w:tcPr>
                  <w:tcW w:w="689" w:type="pct"/>
                  <w:shd w:val="clear" w:color="auto" w:fill="auto"/>
                  <w:vAlign w:val="center"/>
                </w:tcPr>
                <w:p w14:paraId="049DEFA6" w14:textId="77777777" w:rsidR="00DA3852" w:rsidRPr="00E32BF6" w:rsidRDefault="00DA3852" w:rsidP="00C03F9E">
                  <w:pPr>
                    <w:pStyle w:val="TableBodyText"/>
                    <w:jc w:val="left"/>
                  </w:pPr>
                  <w:r>
                    <w:t>Conventional</w:t>
                  </w:r>
                </w:p>
              </w:tc>
              <w:tc>
                <w:tcPr>
                  <w:tcW w:w="577" w:type="pct"/>
                  <w:shd w:val="clear" w:color="auto" w:fill="auto"/>
                </w:tcPr>
                <w:p w14:paraId="39FF565F" w14:textId="77777777" w:rsidR="00DA3852" w:rsidRPr="00160A56" w:rsidRDefault="00DA3852" w:rsidP="00C03F9E">
                  <w:pPr>
                    <w:pStyle w:val="TableBodyText"/>
                  </w:pPr>
                  <w:r>
                    <w:t>126</w:t>
                  </w:r>
                </w:p>
              </w:tc>
              <w:tc>
                <w:tcPr>
                  <w:tcW w:w="468" w:type="pct"/>
                  <w:shd w:val="clear" w:color="auto" w:fill="auto"/>
                </w:tcPr>
                <w:p w14:paraId="13A154A7" w14:textId="77777777" w:rsidR="00DA3852" w:rsidRDefault="00DA3852" w:rsidP="00C03F9E">
                  <w:pPr>
                    <w:pStyle w:val="TableBodyText"/>
                  </w:pPr>
                  <w:r>
                    <w:t>0.58</w:t>
                  </w:r>
                </w:p>
              </w:tc>
              <w:tc>
                <w:tcPr>
                  <w:tcW w:w="779" w:type="pct"/>
                </w:tcPr>
                <w:p w14:paraId="2F3951DA" w14:textId="77777777" w:rsidR="00DA3852" w:rsidRDefault="00DA3852" w:rsidP="00C03F9E">
                  <w:pPr>
                    <w:pStyle w:val="TableBodyText"/>
                  </w:pPr>
                  <w:r>
                    <w:t>3.02</w:t>
                  </w:r>
                </w:p>
              </w:tc>
              <w:tc>
                <w:tcPr>
                  <w:tcW w:w="947" w:type="pct"/>
                  <w:shd w:val="clear" w:color="auto" w:fill="auto"/>
                </w:tcPr>
                <w:p w14:paraId="4505E11A" w14:textId="77777777" w:rsidR="00DA3852" w:rsidRDefault="00DA3852" w:rsidP="00C03F9E">
                  <w:pPr>
                    <w:pStyle w:val="TableBodyText"/>
                    <w:ind w:right="0"/>
                    <w:rPr>
                      <w:i/>
                    </w:rPr>
                  </w:pPr>
                  <w:r>
                    <w:t>5.52</w:t>
                  </w:r>
                </w:p>
              </w:tc>
            </w:tr>
            <w:tr w:rsidR="00DA3852" w14:paraId="33459670" w14:textId="77777777" w:rsidTr="00C03F9E">
              <w:tc>
                <w:tcPr>
                  <w:tcW w:w="696" w:type="pct"/>
                  <w:shd w:val="clear" w:color="auto" w:fill="auto"/>
                  <w:vAlign w:val="center"/>
                </w:tcPr>
                <w:p w14:paraId="52BDBFA6" w14:textId="77777777" w:rsidR="00DA3852" w:rsidRPr="00E32BF6" w:rsidRDefault="00DA3852" w:rsidP="00C03F9E">
                  <w:pPr>
                    <w:pStyle w:val="TableBodyText"/>
                    <w:jc w:val="left"/>
                  </w:pPr>
                  <w:r>
                    <w:t>Otway</w:t>
                  </w:r>
                </w:p>
              </w:tc>
              <w:tc>
                <w:tcPr>
                  <w:tcW w:w="844" w:type="pct"/>
                  <w:shd w:val="clear" w:color="auto" w:fill="auto"/>
                  <w:vAlign w:val="center"/>
                </w:tcPr>
                <w:p w14:paraId="546E2FF3" w14:textId="77777777" w:rsidR="00DA3852" w:rsidRPr="00E32BF6" w:rsidRDefault="00DA3852" w:rsidP="00C03F9E">
                  <w:pPr>
                    <w:pStyle w:val="TableBodyText"/>
                    <w:jc w:val="left"/>
                  </w:pPr>
                  <w:r>
                    <w:t>New CSG</w:t>
                  </w:r>
                </w:p>
              </w:tc>
              <w:tc>
                <w:tcPr>
                  <w:tcW w:w="689" w:type="pct"/>
                  <w:shd w:val="clear" w:color="auto" w:fill="auto"/>
                  <w:vAlign w:val="center"/>
                </w:tcPr>
                <w:p w14:paraId="223265A8" w14:textId="77777777" w:rsidR="00DA3852" w:rsidRPr="00E32BF6" w:rsidRDefault="00DA3852" w:rsidP="00C03F9E">
                  <w:pPr>
                    <w:pStyle w:val="TableBodyText"/>
                    <w:jc w:val="left"/>
                  </w:pPr>
                  <w:r>
                    <w:t>CSG</w:t>
                  </w:r>
                </w:p>
              </w:tc>
              <w:tc>
                <w:tcPr>
                  <w:tcW w:w="577" w:type="pct"/>
                  <w:shd w:val="clear" w:color="auto" w:fill="auto"/>
                </w:tcPr>
                <w:p w14:paraId="0272927C" w14:textId="77777777" w:rsidR="00DA3852" w:rsidRPr="00160A56" w:rsidRDefault="00DA3852" w:rsidP="00C03F9E">
                  <w:pPr>
                    <w:pStyle w:val="TableBodyText"/>
                  </w:pPr>
                  <w:r>
                    <w:t>0</w:t>
                  </w:r>
                </w:p>
              </w:tc>
              <w:tc>
                <w:tcPr>
                  <w:tcW w:w="468" w:type="pct"/>
                  <w:shd w:val="clear" w:color="auto" w:fill="auto"/>
                </w:tcPr>
                <w:p w14:paraId="006A5839" w14:textId="77777777" w:rsidR="00DA3852" w:rsidRDefault="00DA3852" w:rsidP="00C03F9E">
                  <w:pPr>
                    <w:pStyle w:val="TableBodyText"/>
                  </w:pPr>
                  <w:r>
                    <w:t>0.26</w:t>
                  </w:r>
                </w:p>
              </w:tc>
              <w:tc>
                <w:tcPr>
                  <w:tcW w:w="779" w:type="pct"/>
                </w:tcPr>
                <w:p w14:paraId="0AC72687" w14:textId="77777777" w:rsidR="00DA3852" w:rsidRDefault="00DA3852" w:rsidP="00C03F9E">
                  <w:pPr>
                    <w:pStyle w:val="TableBodyText"/>
                  </w:pPr>
                  <w:r>
                    <w:t>5.76</w:t>
                  </w:r>
                </w:p>
              </w:tc>
              <w:tc>
                <w:tcPr>
                  <w:tcW w:w="947" w:type="pct"/>
                  <w:shd w:val="clear" w:color="auto" w:fill="auto"/>
                </w:tcPr>
                <w:p w14:paraId="151DCCC6" w14:textId="77777777" w:rsidR="00DA3852" w:rsidRDefault="00DA3852" w:rsidP="00C03F9E">
                  <w:pPr>
                    <w:pStyle w:val="TableBodyText"/>
                    <w:ind w:right="0"/>
                    <w:rPr>
                      <w:i/>
                    </w:rPr>
                  </w:pPr>
                  <w:r>
                    <w:t>9.97</w:t>
                  </w:r>
                </w:p>
              </w:tc>
            </w:tr>
            <w:tr w:rsidR="00DA3852" w14:paraId="7FB3246F" w14:textId="77777777" w:rsidTr="00C03F9E">
              <w:tc>
                <w:tcPr>
                  <w:tcW w:w="696" w:type="pct"/>
                  <w:shd w:val="clear" w:color="auto" w:fill="auto"/>
                  <w:vAlign w:val="center"/>
                </w:tcPr>
                <w:p w14:paraId="0FA90FCD" w14:textId="02840780" w:rsidR="00DA3852" w:rsidRDefault="00DA3852" w:rsidP="00C03F9E">
                  <w:pPr>
                    <w:pStyle w:val="TableBodyText"/>
                    <w:jc w:val="left"/>
                  </w:pPr>
                  <w:r>
                    <w:t>Surat–Bowen</w:t>
                  </w:r>
                </w:p>
              </w:tc>
              <w:tc>
                <w:tcPr>
                  <w:tcW w:w="844" w:type="pct"/>
                  <w:shd w:val="clear" w:color="auto" w:fill="auto"/>
                  <w:vAlign w:val="center"/>
                </w:tcPr>
                <w:p w14:paraId="63CFF19B" w14:textId="77777777" w:rsidR="00DA3852" w:rsidRDefault="00DA3852" w:rsidP="00C03F9E">
                  <w:pPr>
                    <w:pStyle w:val="TableBodyText"/>
                    <w:jc w:val="left"/>
                  </w:pPr>
                  <w:proofErr w:type="spellStart"/>
                  <w:r>
                    <w:t>Kincora</w:t>
                  </w:r>
                  <w:proofErr w:type="spellEnd"/>
                  <w:r>
                    <w:t xml:space="preserve"> &amp; </w:t>
                  </w:r>
                  <w:proofErr w:type="spellStart"/>
                  <w:r>
                    <w:t>Yellowbank</w:t>
                  </w:r>
                  <w:proofErr w:type="spellEnd"/>
                </w:p>
              </w:tc>
              <w:tc>
                <w:tcPr>
                  <w:tcW w:w="689" w:type="pct"/>
                  <w:shd w:val="clear" w:color="auto" w:fill="auto"/>
                  <w:vAlign w:val="center"/>
                </w:tcPr>
                <w:p w14:paraId="3B74A1BF" w14:textId="77777777" w:rsidR="00DA3852" w:rsidRDefault="00DA3852" w:rsidP="00C03F9E">
                  <w:pPr>
                    <w:pStyle w:val="TableBodyText"/>
                    <w:jc w:val="left"/>
                  </w:pPr>
                  <w:r>
                    <w:t>Conventional</w:t>
                  </w:r>
                </w:p>
              </w:tc>
              <w:tc>
                <w:tcPr>
                  <w:tcW w:w="577" w:type="pct"/>
                  <w:shd w:val="clear" w:color="auto" w:fill="auto"/>
                </w:tcPr>
                <w:p w14:paraId="046DFF72" w14:textId="77777777" w:rsidR="00DA3852" w:rsidRDefault="00DA3852" w:rsidP="00C03F9E">
                  <w:pPr>
                    <w:pStyle w:val="TableBodyText"/>
                  </w:pPr>
                  <w:r>
                    <w:t>20</w:t>
                  </w:r>
                </w:p>
              </w:tc>
              <w:tc>
                <w:tcPr>
                  <w:tcW w:w="468" w:type="pct"/>
                  <w:shd w:val="clear" w:color="auto" w:fill="auto"/>
                </w:tcPr>
                <w:p w14:paraId="0AED70D7" w14:textId="77777777" w:rsidR="00DA3852" w:rsidRDefault="00DA3852" w:rsidP="00C03F9E">
                  <w:pPr>
                    <w:pStyle w:val="TableBodyText"/>
                  </w:pPr>
                  <w:r>
                    <w:t>0.58</w:t>
                  </w:r>
                </w:p>
              </w:tc>
              <w:tc>
                <w:tcPr>
                  <w:tcW w:w="779" w:type="pct"/>
                </w:tcPr>
                <w:p w14:paraId="520E92F7" w14:textId="77777777" w:rsidR="00DA3852" w:rsidRDefault="00DA3852" w:rsidP="00C03F9E">
                  <w:pPr>
                    <w:pStyle w:val="TableBodyText"/>
                  </w:pPr>
                  <w:r>
                    <w:t>3.02</w:t>
                  </w:r>
                </w:p>
              </w:tc>
              <w:tc>
                <w:tcPr>
                  <w:tcW w:w="947" w:type="pct"/>
                  <w:shd w:val="clear" w:color="auto" w:fill="auto"/>
                </w:tcPr>
                <w:p w14:paraId="1428E3AD" w14:textId="77777777" w:rsidR="00DA3852" w:rsidRDefault="00DA3852" w:rsidP="00C03F9E">
                  <w:pPr>
                    <w:pStyle w:val="TableBodyText"/>
                    <w:ind w:right="0"/>
                  </w:pPr>
                  <w:r>
                    <w:t>5.52</w:t>
                  </w:r>
                </w:p>
              </w:tc>
            </w:tr>
            <w:tr w:rsidR="00DA3852" w14:paraId="24CB4E66" w14:textId="77777777" w:rsidTr="00C03F9E">
              <w:tc>
                <w:tcPr>
                  <w:tcW w:w="696" w:type="pct"/>
                  <w:shd w:val="clear" w:color="auto" w:fill="auto"/>
                  <w:vAlign w:val="center"/>
                </w:tcPr>
                <w:p w14:paraId="1689A632" w14:textId="00E39D77" w:rsidR="00DA3852" w:rsidRDefault="00DA3852" w:rsidP="00C03F9E">
                  <w:pPr>
                    <w:pStyle w:val="TableBodyText"/>
                    <w:jc w:val="left"/>
                  </w:pPr>
                  <w:r>
                    <w:t>Surat–Bowen</w:t>
                  </w:r>
                </w:p>
              </w:tc>
              <w:tc>
                <w:tcPr>
                  <w:tcW w:w="844" w:type="pct"/>
                  <w:shd w:val="clear" w:color="auto" w:fill="auto"/>
                  <w:vAlign w:val="center"/>
                </w:tcPr>
                <w:p w14:paraId="39B986FC" w14:textId="77777777" w:rsidR="00DA3852" w:rsidRDefault="00DA3852" w:rsidP="00C03F9E">
                  <w:pPr>
                    <w:pStyle w:val="TableBodyText"/>
                    <w:jc w:val="left"/>
                  </w:pPr>
                  <w:r>
                    <w:t>Bellevue</w:t>
                  </w:r>
                </w:p>
              </w:tc>
              <w:tc>
                <w:tcPr>
                  <w:tcW w:w="689" w:type="pct"/>
                  <w:shd w:val="clear" w:color="auto" w:fill="auto"/>
                  <w:vAlign w:val="center"/>
                </w:tcPr>
                <w:p w14:paraId="1D7C3B94" w14:textId="77777777" w:rsidR="00DA3852" w:rsidRDefault="00DA3852" w:rsidP="00C03F9E">
                  <w:pPr>
                    <w:pStyle w:val="TableBodyText"/>
                    <w:jc w:val="left"/>
                  </w:pPr>
                  <w:r>
                    <w:t>CSG</w:t>
                  </w:r>
                </w:p>
              </w:tc>
              <w:tc>
                <w:tcPr>
                  <w:tcW w:w="577" w:type="pct"/>
                  <w:shd w:val="clear" w:color="auto" w:fill="auto"/>
                </w:tcPr>
                <w:p w14:paraId="420661ED" w14:textId="77777777" w:rsidR="00DA3852" w:rsidRDefault="00DA3852" w:rsidP="00C03F9E">
                  <w:pPr>
                    <w:pStyle w:val="TableBodyText"/>
                  </w:pPr>
                  <w:r>
                    <w:t>110</w:t>
                  </w:r>
                </w:p>
              </w:tc>
              <w:tc>
                <w:tcPr>
                  <w:tcW w:w="468" w:type="pct"/>
                  <w:shd w:val="clear" w:color="auto" w:fill="auto"/>
                </w:tcPr>
                <w:p w14:paraId="09E78DAE" w14:textId="77777777" w:rsidR="00DA3852" w:rsidRDefault="00DA3852" w:rsidP="00C03F9E">
                  <w:pPr>
                    <w:pStyle w:val="TableBodyText"/>
                  </w:pPr>
                  <w:r>
                    <w:t>0.26</w:t>
                  </w:r>
                </w:p>
              </w:tc>
              <w:tc>
                <w:tcPr>
                  <w:tcW w:w="779" w:type="pct"/>
                </w:tcPr>
                <w:p w14:paraId="1332F1C1" w14:textId="77777777" w:rsidR="00DA3852" w:rsidRDefault="00DA3852" w:rsidP="00C03F9E">
                  <w:pPr>
                    <w:pStyle w:val="TableBodyText"/>
                  </w:pPr>
                  <w:r>
                    <w:t>4.32</w:t>
                  </w:r>
                </w:p>
              </w:tc>
              <w:tc>
                <w:tcPr>
                  <w:tcW w:w="947" w:type="pct"/>
                  <w:shd w:val="clear" w:color="auto" w:fill="auto"/>
                </w:tcPr>
                <w:p w14:paraId="24712CAA" w14:textId="77777777" w:rsidR="00DA3852" w:rsidRDefault="00DA3852" w:rsidP="00C03F9E">
                  <w:pPr>
                    <w:pStyle w:val="TableBodyText"/>
                    <w:ind w:right="0"/>
                  </w:pPr>
                  <w:r>
                    <w:t>7.47</w:t>
                  </w:r>
                </w:p>
              </w:tc>
            </w:tr>
            <w:tr w:rsidR="00DA3852" w14:paraId="4DBFDF15" w14:textId="77777777" w:rsidTr="00C03F9E">
              <w:tc>
                <w:tcPr>
                  <w:tcW w:w="696" w:type="pct"/>
                  <w:shd w:val="clear" w:color="auto" w:fill="auto"/>
                  <w:vAlign w:val="center"/>
                </w:tcPr>
                <w:p w14:paraId="268B7453" w14:textId="07E4731F" w:rsidR="00DA3852" w:rsidRPr="00E32BF6" w:rsidRDefault="00DA3852" w:rsidP="00C03F9E">
                  <w:pPr>
                    <w:pStyle w:val="TableBodyText"/>
                    <w:jc w:val="left"/>
                  </w:pPr>
                  <w:r>
                    <w:t>Surat–Bowen</w:t>
                  </w:r>
                </w:p>
              </w:tc>
              <w:tc>
                <w:tcPr>
                  <w:tcW w:w="844" w:type="pct"/>
                  <w:shd w:val="clear" w:color="auto" w:fill="auto"/>
                  <w:vAlign w:val="center"/>
                </w:tcPr>
                <w:p w14:paraId="4EFA62C0" w14:textId="77777777" w:rsidR="00DA3852" w:rsidRPr="00E32BF6" w:rsidRDefault="00DA3852" w:rsidP="00C03F9E">
                  <w:pPr>
                    <w:pStyle w:val="TableBodyText"/>
                    <w:jc w:val="left"/>
                  </w:pPr>
                  <w:proofErr w:type="spellStart"/>
                  <w:r>
                    <w:t>Condabri</w:t>
                  </w:r>
                  <w:proofErr w:type="spellEnd"/>
                </w:p>
              </w:tc>
              <w:tc>
                <w:tcPr>
                  <w:tcW w:w="689" w:type="pct"/>
                  <w:shd w:val="clear" w:color="auto" w:fill="auto"/>
                  <w:vAlign w:val="center"/>
                </w:tcPr>
                <w:p w14:paraId="76AB4E57" w14:textId="77777777" w:rsidR="00DA3852" w:rsidRPr="00E32BF6" w:rsidRDefault="00DA3852" w:rsidP="00C03F9E">
                  <w:pPr>
                    <w:pStyle w:val="TableBodyText"/>
                    <w:jc w:val="left"/>
                  </w:pPr>
                  <w:r>
                    <w:t>CSG</w:t>
                  </w:r>
                </w:p>
              </w:tc>
              <w:tc>
                <w:tcPr>
                  <w:tcW w:w="577" w:type="pct"/>
                  <w:shd w:val="clear" w:color="auto" w:fill="auto"/>
                </w:tcPr>
                <w:p w14:paraId="24E963B5" w14:textId="77777777" w:rsidR="00DA3852" w:rsidRPr="00160A56" w:rsidRDefault="00DA3852" w:rsidP="00C03F9E">
                  <w:pPr>
                    <w:pStyle w:val="TableBodyText"/>
                  </w:pPr>
                  <w:r>
                    <w:t>230</w:t>
                  </w:r>
                </w:p>
              </w:tc>
              <w:tc>
                <w:tcPr>
                  <w:tcW w:w="468" w:type="pct"/>
                  <w:shd w:val="clear" w:color="auto" w:fill="auto"/>
                </w:tcPr>
                <w:p w14:paraId="28A2D339" w14:textId="77777777" w:rsidR="00DA3852" w:rsidRDefault="00DA3852" w:rsidP="00C03F9E">
                  <w:pPr>
                    <w:pStyle w:val="TableBodyText"/>
                  </w:pPr>
                  <w:r>
                    <w:t>0.26</w:t>
                  </w:r>
                </w:p>
              </w:tc>
              <w:tc>
                <w:tcPr>
                  <w:tcW w:w="779" w:type="pct"/>
                </w:tcPr>
                <w:p w14:paraId="098DFB97" w14:textId="77777777" w:rsidR="00DA3852" w:rsidRDefault="00DA3852" w:rsidP="00C03F9E">
                  <w:pPr>
                    <w:pStyle w:val="TableBodyText"/>
                  </w:pPr>
                  <w:r>
                    <w:t>4.32</w:t>
                  </w:r>
                </w:p>
              </w:tc>
              <w:tc>
                <w:tcPr>
                  <w:tcW w:w="947" w:type="pct"/>
                  <w:shd w:val="clear" w:color="auto" w:fill="auto"/>
                </w:tcPr>
                <w:p w14:paraId="26F98714" w14:textId="77777777" w:rsidR="00DA3852" w:rsidRDefault="00DA3852" w:rsidP="00C03F9E">
                  <w:pPr>
                    <w:pStyle w:val="TableBodyText"/>
                    <w:ind w:right="0"/>
                    <w:rPr>
                      <w:i/>
                    </w:rPr>
                  </w:pPr>
                  <w:r>
                    <w:t>7.47</w:t>
                  </w:r>
                </w:p>
              </w:tc>
            </w:tr>
            <w:tr w:rsidR="00DA3852" w14:paraId="6E42DD06" w14:textId="77777777" w:rsidTr="00C03F9E">
              <w:tc>
                <w:tcPr>
                  <w:tcW w:w="696" w:type="pct"/>
                  <w:shd w:val="clear" w:color="auto" w:fill="auto"/>
                  <w:vAlign w:val="center"/>
                </w:tcPr>
                <w:p w14:paraId="54DE1A25" w14:textId="60F24F46" w:rsidR="00DA3852" w:rsidRPr="00E32BF6" w:rsidRDefault="00DA3852" w:rsidP="00C03F9E">
                  <w:pPr>
                    <w:pStyle w:val="TableBodyText"/>
                    <w:jc w:val="left"/>
                  </w:pPr>
                  <w:r>
                    <w:t>Surat–Bowen</w:t>
                  </w:r>
                </w:p>
              </w:tc>
              <w:tc>
                <w:tcPr>
                  <w:tcW w:w="844" w:type="pct"/>
                  <w:shd w:val="clear" w:color="auto" w:fill="auto"/>
                  <w:vAlign w:val="center"/>
                </w:tcPr>
                <w:p w14:paraId="679DDE66" w14:textId="77777777" w:rsidR="00DA3852" w:rsidRPr="00E32BF6" w:rsidRDefault="00DA3852" w:rsidP="00C03F9E">
                  <w:pPr>
                    <w:pStyle w:val="TableBodyText"/>
                    <w:jc w:val="left"/>
                  </w:pPr>
                  <w:r>
                    <w:t>Spring Gully &amp; Fairview</w:t>
                  </w:r>
                </w:p>
              </w:tc>
              <w:tc>
                <w:tcPr>
                  <w:tcW w:w="689" w:type="pct"/>
                  <w:shd w:val="clear" w:color="auto" w:fill="auto"/>
                  <w:vAlign w:val="center"/>
                </w:tcPr>
                <w:p w14:paraId="2E69CA8B" w14:textId="77777777" w:rsidR="00DA3852" w:rsidRPr="00E32BF6" w:rsidRDefault="00DA3852" w:rsidP="00C03F9E">
                  <w:pPr>
                    <w:pStyle w:val="TableBodyText"/>
                    <w:jc w:val="left"/>
                  </w:pPr>
                  <w:r>
                    <w:t>CSG</w:t>
                  </w:r>
                </w:p>
              </w:tc>
              <w:tc>
                <w:tcPr>
                  <w:tcW w:w="577" w:type="pct"/>
                  <w:shd w:val="clear" w:color="auto" w:fill="auto"/>
                </w:tcPr>
                <w:p w14:paraId="2B8C0805" w14:textId="77777777" w:rsidR="00DA3852" w:rsidRPr="00160A56" w:rsidRDefault="00DA3852" w:rsidP="00C03F9E">
                  <w:pPr>
                    <w:pStyle w:val="TableBodyText"/>
                  </w:pPr>
                  <w:r>
                    <w:t>125</w:t>
                  </w:r>
                </w:p>
              </w:tc>
              <w:tc>
                <w:tcPr>
                  <w:tcW w:w="468" w:type="pct"/>
                  <w:shd w:val="clear" w:color="auto" w:fill="auto"/>
                </w:tcPr>
                <w:p w14:paraId="361C7345" w14:textId="77777777" w:rsidR="00DA3852" w:rsidRDefault="00DA3852" w:rsidP="00C03F9E">
                  <w:pPr>
                    <w:pStyle w:val="TableBodyText"/>
                  </w:pPr>
                  <w:r>
                    <w:t>0.26</w:t>
                  </w:r>
                </w:p>
              </w:tc>
              <w:tc>
                <w:tcPr>
                  <w:tcW w:w="779" w:type="pct"/>
                </w:tcPr>
                <w:p w14:paraId="7C7EF488" w14:textId="77777777" w:rsidR="00DA3852" w:rsidRDefault="00DA3852" w:rsidP="00C03F9E">
                  <w:pPr>
                    <w:pStyle w:val="TableBodyText"/>
                  </w:pPr>
                  <w:r>
                    <w:t>4.32</w:t>
                  </w:r>
                </w:p>
              </w:tc>
              <w:tc>
                <w:tcPr>
                  <w:tcW w:w="947" w:type="pct"/>
                  <w:shd w:val="clear" w:color="auto" w:fill="auto"/>
                </w:tcPr>
                <w:p w14:paraId="2D77F6C6" w14:textId="77777777" w:rsidR="00DA3852" w:rsidRDefault="00DA3852" w:rsidP="00C03F9E">
                  <w:pPr>
                    <w:pStyle w:val="TableBodyText"/>
                    <w:ind w:right="0"/>
                    <w:rPr>
                      <w:i/>
                    </w:rPr>
                  </w:pPr>
                  <w:r>
                    <w:t>7.47</w:t>
                  </w:r>
                </w:p>
              </w:tc>
            </w:tr>
            <w:tr w:rsidR="00DA3852" w14:paraId="30215163" w14:textId="77777777" w:rsidTr="00C03F9E">
              <w:tc>
                <w:tcPr>
                  <w:tcW w:w="696" w:type="pct"/>
                  <w:shd w:val="clear" w:color="auto" w:fill="auto"/>
                  <w:vAlign w:val="center"/>
                </w:tcPr>
                <w:p w14:paraId="162619E1" w14:textId="57B14F19" w:rsidR="00DA3852" w:rsidRPr="00E32BF6" w:rsidRDefault="00DA3852" w:rsidP="00C03F9E">
                  <w:pPr>
                    <w:pStyle w:val="TableBodyText"/>
                    <w:jc w:val="left"/>
                  </w:pPr>
                  <w:r>
                    <w:t>Surat–Bowen</w:t>
                  </w:r>
                </w:p>
              </w:tc>
              <w:tc>
                <w:tcPr>
                  <w:tcW w:w="844" w:type="pct"/>
                  <w:shd w:val="clear" w:color="auto" w:fill="auto"/>
                  <w:vAlign w:val="center"/>
                </w:tcPr>
                <w:p w14:paraId="4EBB9964" w14:textId="77777777" w:rsidR="00DA3852" w:rsidRPr="00E32BF6" w:rsidRDefault="00DA3852" w:rsidP="00C03F9E">
                  <w:pPr>
                    <w:pStyle w:val="TableBodyText"/>
                    <w:jc w:val="left"/>
                  </w:pPr>
                  <w:r>
                    <w:t xml:space="preserve">AP </w:t>
                  </w:r>
                  <w:proofErr w:type="spellStart"/>
                  <w:r>
                    <w:t>Woleebee</w:t>
                  </w:r>
                  <w:proofErr w:type="spellEnd"/>
                  <w:r>
                    <w:t xml:space="preserve"> &amp; </w:t>
                  </w:r>
                  <w:proofErr w:type="spellStart"/>
                  <w:r>
                    <w:t>Gooimbah</w:t>
                  </w:r>
                  <w:proofErr w:type="spellEnd"/>
                </w:p>
              </w:tc>
              <w:tc>
                <w:tcPr>
                  <w:tcW w:w="689" w:type="pct"/>
                  <w:shd w:val="clear" w:color="auto" w:fill="auto"/>
                  <w:vAlign w:val="center"/>
                </w:tcPr>
                <w:p w14:paraId="0DF86434" w14:textId="77777777" w:rsidR="00DA3852" w:rsidRPr="00E32BF6" w:rsidRDefault="00DA3852" w:rsidP="00C03F9E">
                  <w:pPr>
                    <w:pStyle w:val="TableBodyText"/>
                    <w:jc w:val="left"/>
                  </w:pPr>
                  <w:r>
                    <w:t>CSG</w:t>
                  </w:r>
                </w:p>
              </w:tc>
              <w:tc>
                <w:tcPr>
                  <w:tcW w:w="577" w:type="pct"/>
                  <w:shd w:val="clear" w:color="auto" w:fill="auto"/>
                </w:tcPr>
                <w:p w14:paraId="0D28CE53" w14:textId="77777777" w:rsidR="00DA3852" w:rsidRPr="00160A56" w:rsidRDefault="00DA3852" w:rsidP="00C03F9E">
                  <w:pPr>
                    <w:pStyle w:val="TableBodyText"/>
                  </w:pPr>
                  <w:r>
                    <w:t>96</w:t>
                  </w:r>
                </w:p>
              </w:tc>
              <w:tc>
                <w:tcPr>
                  <w:tcW w:w="468" w:type="pct"/>
                  <w:shd w:val="clear" w:color="auto" w:fill="auto"/>
                </w:tcPr>
                <w:p w14:paraId="717FF8CD" w14:textId="77777777" w:rsidR="00DA3852" w:rsidRDefault="00DA3852" w:rsidP="00C03F9E">
                  <w:pPr>
                    <w:pStyle w:val="TableBodyText"/>
                  </w:pPr>
                  <w:r>
                    <w:t>0.26</w:t>
                  </w:r>
                </w:p>
              </w:tc>
              <w:tc>
                <w:tcPr>
                  <w:tcW w:w="779" w:type="pct"/>
                </w:tcPr>
                <w:p w14:paraId="5578C895" w14:textId="77777777" w:rsidR="00DA3852" w:rsidRDefault="00DA3852" w:rsidP="00C03F9E">
                  <w:pPr>
                    <w:pStyle w:val="TableBodyText"/>
                  </w:pPr>
                  <w:r>
                    <w:t>4.32</w:t>
                  </w:r>
                </w:p>
              </w:tc>
              <w:tc>
                <w:tcPr>
                  <w:tcW w:w="947" w:type="pct"/>
                  <w:shd w:val="clear" w:color="auto" w:fill="auto"/>
                </w:tcPr>
                <w:p w14:paraId="15B3DC91" w14:textId="77777777" w:rsidR="00DA3852" w:rsidRDefault="00DA3852" w:rsidP="00C03F9E">
                  <w:pPr>
                    <w:pStyle w:val="TableBodyText"/>
                    <w:ind w:right="0"/>
                    <w:rPr>
                      <w:i/>
                    </w:rPr>
                  </w:pPr>
                  <w:r>
                    <w:t>7.47</w:t>
                  </w:r>
                </w:p>
              </w:tc>
            </w:tr>
            <w:tr w:rsidR="00DA3852" w14:paraId="452F641B" w14:textId="77777777" w:rsidTr="00C03F9E">
              <w:tc>
                <w:tcPr>
                  <w:tcW w:w="696" w:type="pct"/>
                  <w:shd w:val="clear" w:color="auto" w:fill="auto"/>
                  <w:vAlign w:val="center"/>
                </w:tcPr>
                <w:p w14:paraId="093C0AF9" w14:textId="18F3ED4A" w:rsidR="00DA3852" w:rsidRPr="00E32BF6" w:rsidRDefault="00DA3852" w:rsidP="00C03F9E">
                  <w:pPr>
                    <w:pStyle w:val="TableBodyText"/>
                    <w:jc w:val="left"/>
                  </w:pPr>
                  <w:r>
                    <w:t>Surat–Bowen</w:t>
                  </w:r>
                </w:p>
              </w:tc>
              <w:tc>
                <w:tcPr>
                  <w:tcW w:w="844" w:type="pct"/>
                  <w:shd w:val="clear" w:color="auto" w:fill="auto"/>
                  <w:vAlign w:val="center"/>
                </w:tcPr>
                <w:p w14:paraId="5F7DBB49" w14:textId="77777777" w:rsidR="00DA3852" w:rsidRPr="00E32BF6" w:rsidRDefault="00DA3852" w:rsidP="00C03F9E">
                  <w:pPr>
                    <w:pStyle w:val="TableBodyText"/>
                    <w:jc w:val="left"/>
                  </w:pPr>
                  <w:r>
                    <w:t>Ironbark</w:t>
                  </w:r>
                </w:p>
              </w:tc>
              <w:tc>
                <w:tcPr>
                  <w:tcW w:w="689" w:type="pct"/>
                  <w:shd w:val="clear" w:color="auto" w:fill="auto"/>
                  <w:vAlign w:val="center"/>
                </w:tcPr>
                <w:p w14:paraId="7586CEA3" w14:textId="77777777" w:rsidR="00DA3852" w:rsidRPr="00E32BF6" w:rsidRDefault="00DA3852" w:rsidP="00C03F9E">
                  <w:pPr>
                    <w:pStyle w:val="TableBodyText"/>
                    <w:jc w:val="left"/>
                  </w:pPr>
                  <w:r>
                    <w:t>CSG</w:t>
                  </w:r>
                </w:p>
              </w:tc>
              <w:tc>
                <w:tcPr>
                  <w:tcW w:w="577" w:type="pct"/>
                  <w:shd w:val="clear" w:color="auto" w:fill="auto"/>
                </w:tcPr>
                <w:p w14:paraId="4FB22B5D" w14:textId="77777777" w:rsidR="00DA3852" w:rsidRPr="00160A56" w:rsidRDefault="00DA3852" w:rsidP="00C03F9E">
                  <w:pPr>
                    <w:pStyle w:val="TableBodyText"/>
                  </w:pPr>
                  <w:r>
                    <w:t>0</w:t>
                  </w:r>
                </w:p>
              </w:tc>
              <w:tc>
                <w:tcPr>
                  <w:tcW w:w="468" w:type="pct"/>
                  <w:shd w:val="clear" w:color="auto" w:fill="auto"/>
                </w:tcPr>
                <w:p w14:paraId="01367B10" w14:textId="77777777" w:rsidR="00DA3852" w:rsidRDefault="00DA3852" w:rsidP="00C03F9E">
                  <w:pPr>
                    <w:pStyle w:val="TableBodyText"/>
                  </w:pPr>
                  <w:r>
                    <w:t>0.26</w:t>
                  </w:r>
                </w:p>
              </w:tc>
              <w:tc>
                <w:tcPr>
                  <w:tcW w:w="779" w:type="pct"/>
                </w:tcPr>
                <w:p w14:paraId="221BB3FC" w14:textId="77777777" w:rsidR="00DA3852" w:rsidRDefault="00DA3852" w:rsidP="00C03F9E">
                  <w:pPr>
                    <w:pStyle w:val="TableBodyText"/>
                  </w:pPr>
                  <w:r>
                    <w:t>4.32</w:t>
                  </w:r>
                </w:p>
              </w:tc>
              <w:tc>
                <w:tcPr>
                  <w:tcW w:w="947" w:type="pct"/>
                  <w:shd w:val="clear" w:color="auto" w:fill="auto"/>
                </w:tcPr>
                <w:p w14:paraId="1BD4939B" w14:textId="77777777" w:rsidR="00DA3852" w:rsidRDefault="00DA3852" w:rsidP="00C03F9E">
                  <w:pPr>
                    <w:pStyle w:val="TableBodyText"/>
                    <w:ind w:right="0"/>
                    <w:rPr>
                      <w:i/>
                    </w:rPr>
                  </w:pPr>
                  <w:r>
                    <w:t>7.47</w:t>
                  </w:r>
                </w:p>
              </w:tc>
            </w:tr>
            <w:tr w:rsidR="00DA3852" w14:paraId="5342EA67" w14:textId="77777777" w:rsidTr="00C03F9E">
              <w:tc>
                <w:tcPr>
                  <w:tcW w:w="696" w:type="pct"/>
                  <w:shd w:val="clear" w:color="auto" w:fill="auto"/>
                  <w:vAlign w:val="center"/>
                </w:tcPr>
                <w:p w14:paraId="46204A3F" w14:textId="0EAABF9C" w:rsidR="00DA3852" w:rsidRPr="00E32BF6" w:rsidRDefault="00DA3852" w:rsidP="00C03F9E">
                  <w:pPr>
                    <w:pStyle w:val="TableBodyText"/>
                    <w:jc w:val="left"/>
                  </w:pPr>
                  <w:r>
                    <w:t>Surat–Bowen</w:t>
                  </w:r>
                </w:p>
              </w:tc>
              <w:tc>
                <w:tcPr>
                  <w:tcW w:w="844" w:type="pct"/>
                  <w:shd w:val="clear" w:color="auto" w:fill="auto"/>
                  <w:vAlign w:val="center"/>
                </w:tcPr>
                <w:p w14:paraId="5FCD1A5E" w14:textId="77777777" w:rsidR="00DA3852" w:rsidRPr="00E32BF6" w:rsidRDefault="00DA3852" w:rsidP="00C03F9E">
                  <w:pPr>
                    <w:pStyle w:val="TableBodyText"/>
                    <w:jc w:val="left"/>
                  </w:pPr>
                  <w:r>
                    <w:t xml:space="preserve">Kenya &amp; </w:t>
                  </w:r>
                  <w:proofErr w:type="spellStart"/>
                  <w:r>
                    <w:t>Kogan</w:t>
                  </w:r>
                  <w:proofErr w:type="spellEnd"/>
                </w:p>
              </w:tc>
              <w:tc>
                <w:tcPr>
                  <w:tcW w:w="689" w:type="pct"/>
                  <w:shd w:val="clear" w:color="auto" w:fill="auto"/>
                  <w:vAlign w:val="center"/>
                </w:tcPr>
                <w:p w14:paraId="5A796CED" w14:textId="77777777" w:rsidR="00DA3852" w:rsidRPr="00E32BF6" w:rsidRDefault="00DA3852" w:rsidP="00C03F9E">
                  <w:pPr>
                    <w:pStyle w:val="TableBodyText"/>
                    <w:jc w:val="left"/>
                  </w:pPr>
                  <w:r>
                    <w:t>CSG</w:t>
                  </w:r>
                </w:p>
              </w:tc>
              <w:tc>
                <w:tcPr>
                  <w:tcW w:w="577" w:type="pct"/>
                  <w:shd w:val="clear" w:color="auto" w:fill="auto"/>
                </w:tcPr>
                <w:p w14:paraId="7F54A5B2" w14:textId="77777777" w:rsidR="00DA3852" w:rsidRPr="00160A56" w:rsidRDefault="00DA3852" w:rsidP="00C03F9E">
                  <w:pPr>
                    <w:pStyle w:val="TableBodyText"/>
                  </w:pPr>
                  <w:r>
                    <w:t>162</w:t>
                  </w:r>
                </w:p>
              </w:tc>
              <w:tc>
                <w:tcPr>
                  <w:tcW w:w="468" w:type="pct"/>
                  <w:shd w:val="clear" w:color="auto" w:fill="auto"/>
                </w:tcPr>
                <w:p w14:paraId="6D65A98E" w14:textId="77777777" w:rsidR="00DA3852" w:rsidRDefault="00DA3852" w:rsidP="00C03F9E">
                  <w:pPr>
                    <w:pStyle w:val="TableBodyText"/>
                  </w:pPr>
                  <w:r>
                    <w:t>0.26</w:t>
                  </w:r>
                </w:p>
              </w:tc>
              <w:tc>
                <w:tcPr>
                  <w:tcW w:w="779" w:type="pct"/>
                </w:tcPr>
                <w:p w14:paraId="70268B38" w14:textId="77777777" w:rsidR="00DA3852" w:rsidRDefault="00DA3852" w:rsidP="00C03F9E">
                  <w:pPr>
                    <w:pStyle w:val="TableBodyText"/>
                  </w:pPr>
                  <w:r>
                    <w:t>4.32</w:t>
                  </w:r>
                </w:p>
              </w:tc>
              <w:tc>
                <w:tcPr>
                  <w:tcW w:w="947" w:type="pct"/>
                  <w:shd w:val="clear" w:color="auto" w:fill="auto"/>
                </w:tcPr>
                <w:p w14:paraId="11B7CD12" w14:textId="77777777" w:rsidR="00DA3852" w:rsidRDefault="00DA3852" w:rsidP="00C03F9E">
                  <w:pPr>
                    <w:pStyle w:val="TableBodyText"/>
                    <w:ind w:right="0"/>
                    <w:rPr>
                      <w:i/>
                    </w:rPr>
                  </w:pPr>
                  <w:r>
                    <w:t>7.47</w:t>
                  </w:r>
                </w:p>
              </w:tc>
            </w:tr>
            <w:tr w:rsidR="00DA3852" w14:paraId="32D0D736" w14:textId="77777777" w:rsidTr="00C03F9E">
              <w:tc>
                <w:tcPr>
                  <w:tcW w:w="696" w:type="pct"/>
                  <w:shd w:val="clear" w:color="auto" w:fill="auto"/>
                  <w:vAlign w:val="center"/>
                </w:tcPr>
                <w:p w14:paraId="49275A78" w14:textId="74660E0F" w:rsidR="00DA3852" w:rsidRPr="00E32BF6" w:rsidRDefault="00DA3852" w:rsidP="00C03F9E">
                  <w:pPr>
                    <w:pStyle w:val="TableBodyText"/>
                    <w:jc w:val="left"/>
                  </w:pPr>
                  <w:r>
                    <w:t>Surat–Bowen</w:t>
                  </w:r>
                </w:p>
              </w:tc>
              <w:tc>
                <w:tcPr>
                  <w:tcW w:w="844" w:type="pct"/>
                  <w:shd w:val="clear" w:color="auto" w:fill="auto"/>
                  <w:vAlign w:val="center"/>
                </w:tcPr>
                <w:p w14:paraId="05C67A66" w14:textId="77777777" w:rsidR="00DA3852" w:rsidRPr="00E32BF6" w:rsidRDefault="00DA3852" w:rsidP="00C03F9E">
                  <w:pPr>
                    <w:pStyle w:val="TableBodyText"/>
                    <w:jc w:val="left"/>
                  </w:pPr>
                  <w:r>
                    <w:t xml:space="preserve">Jordan, QC  </w:t>
                  </w:r>
                  <w:proofErr w:type="spellStart"/>
                  <w:r>
                    <w:t>Woleebee</w:t>
                  </w:r>
                  <w:proofErr w:type="spellEnd"/>
                  <w:r>
                    <w:t xml:space="preserve"> &amp; Ruby</w:t>
                  </w:r>
                </w:p>
              </w:tc>
              <w:tc>
                <w:tcPr>
                  <w:tcW w:w="689" w:type="pct"/>
                  <w:shd w:val="clear" w:color="auto" w:fill="auto"/>
                  <w:vAlign w:val="center"/>
                </w:tcPr>
                <w:p w14:paraId="2A525580" w14:textId="77777777" w:rsidR="00DA3852" w:rsidRPr="00E32BF6" w:rsidRDefault="00DA3852" w:rsidP="00C03F9E">
                  <w:pPr>
                    <w:pStyle w:val="TableBodyText"/>
                    <w:jc w:val="left"/>
                  </w:pPr>
                  <w:r>
                    <w:t>CSG</w:t>
                  </w:r>
                </w:p>
              </w:tc>
              <w:tc>
                <w:tcPr>
                  <w:tcW w:w="577" w:type="pct"/>
                  <w:shd w:val="clear" w:color="auto" w:fill="auto"/>
                </w:tcPr>
                <w:p w14:paraId="33A6DD0D" w14:textId="77777777" w:rsidR="00DA3852" w:rsidRPr="00160A56" w:rsidRDefault="00DA3852" w:rsidP="00C03F9E">
                  <w:pPr>
                    <w:pStyle w:val="TableBodyText"/>
                  </w:pPr>
                  <w:r>
                    <w:t>0</w:t>
                  </w:r>
                </w:p>
              </w:tc>
              <w:tc>
                <w:tcPr>
                  <w:tcW w:w="468" w:type="pct"/>
                  <w:shd w:val="clear" w:color="auto" w:fill="auto"/>
                </w:tcPr>
                <w:p w14:paraId="237B157D" w14:textId="77777777" w:rsidR="00DA3852" w:rsidRDefault="00DA3852" w:rsidP="00C03F9E">
                  <w:pPr>
                    <w:pStyle w:val="TableBodyText"/>
                  </w:pPr>
                  <w:r>
                    <w:t>0.26</w:t>
                  </w:r>
                </w:p>
              </w:tc>
              <w:tc>
                <w:tcPr>
                  <w:tcW w:w="779" w:type="pct"/>
                </w:tcPr>
                <w:p w14:paraId="43F4271D" w14:textId="77777777" w:rsidR="00DA3852" w:rsidRDefault="00DA3852" w:rsidP="00C03F9E">
                  <w:pPr>
                    <w:pStyle w:val="TableBodyText"/>
                  </w:pPr>
                  <w:r>
                    <w:t>4.32</w:t>
                  </w:r>
                </w:p>
              </w:tc>
              <w:tc>
                <w:tcPr>
                  <w:tcW w:w="947" w:type="pct"/>
                  <w:shd w:val="clear" w:color="auto" w:fill="auto"/>
                </w:tcPr>
                <w:p w14:paraId="088D610D" w14:textId="77777777" w:rsidR="00DA3852" w:rsidRDefault="00DA3852" w:rsidP="00C03F9E">
                  <w:pPr>
                    <w:pStyle w:val="TableBodyText"/>
                    <w:ind w:right="0"/>
                    <w:rPr>
                      <w:i/>
                    </w:rPr>
                  </w:pPr>
                  <w:r>
                    <w:t>7.47</w:t>
                  </w:r>
                </w:p>
              </w:tc>
            </w:tr>
            <w:tr w:rsidR="00DA3852" w14:paraId="12CAEFB8" w14:textId="77777777" w:rsidTr="00662ACE">
              <w:tc>
                <w:tcPr>
                  <w:tcW w:w="696" w:type="pct"/>
                  <w:shd w:val="clear" w:color="auto" w:fill="auto"/>
                  <w:vAlign w:val="center"/>
                </w:tcPr>
                <w:p w14:paraId="10DD01E5" w14:textId="77777777" w:rsidR="00DA3852" w:rsidRPr="00E32BF6" w:rsidRDefault="00DA3852" w:rsidP="00C03F9E">
                  <w:pPr>
                    <w:pStyle w:val="TableBodyText"/>
                    <w:jc w:val="left"/>
                  </w:pPr>
                  <w:r>
                    <w:t>Sydney</w:t>
                  </w:r>
                </w:p>
              </w:tc>
              <w:tc>
                <w:tcPr>
                  <w:tcW w:w="844" w:type="pct"/>
                  <w:shd w:val="clear" w:color="auto" w:fill="auto"/>
                  <w:vAlign w:val="center"/>
                </w:tcPr>
                <w:p w14:paraId="099E686A" w14:textId="77777777" w:rsidR="00DA3852" w:rsidRPr="00E32BF6" w:rsidRDefault="00DA3852" w:rsidP="00C03F9E">
                  <w:pPr>
                    <w:pStyle w:val="TableBodyText"/>
                    <w:jc w:val="left"/>
                  </w:pPr>
                  <w:r>
                    <w:t>Sydney</w:t>
                  </w:r>
                </w:p>
              </w:tc>
              <w:tc>
                <w:tcPr>
                  <w:tcW w:w="689" w:type="pct"/>
                  <w:shd w:val="clear" w:color="auto" w:fill="auto"/>
                  <w:vAlign w:val="center"/>
                </w:tcPr>
                <w:p w14:paraId="1D186328" w14:textId="77777777" w:rsidR="00DA3852" w:rsidRPr="00E32BF6" w:rsidRDefault="00DA3852" w:rsidP="00C03F9E">
                  <w:pPr>
                    <w:pStyle w:val="TableBodyText"/>
                    <w:jc w:val="left"/>
                  </w:pPr>
                  <w:r>
                    <w:t>CSG</w:t>
                  </w:r>
                </w:p>
              </w:tc>
              <w:tc>
                <w:tcPr>
                  <w:tcW w:w="577" w:type="pct"/>
                  <w:shd w:val="clear" w:color="auto" w:fill="auto"/>
                </w:tcPr>
                <w:p w14:paraId="4BA0B54B" w14:textId="77777777" w:rsidR="00DA3852" w:rsidRPr="00160A56" w:rsidRDefault="00DA3852" w:rsidP="00C03F9E">
                  <w:pPr>
                    <w:pStyle w:val="TableBodyText"/>
                  </w:pPr>
                  <w:r>
                    <w:t>9</w:t>
                  </w:r>
                </w:p>
              </w:tc>
              <w:tc>
                <w:tcPr>
                  <w:tcW w:w="468" w:type="pct"/>
                  <w:shd w:val="clear" w:color="auto" w:fill="auto"/>
                </w:tcPr>
                <w:p w14:paraId="6F57EE30" w14:textId="77777777" w:rsidR="00DA3852" w:rsidRDefault="00DA3852" w:rsidP="00C03F9E">
                  <w:pPr>
                    <w:pStyle w:val="TableBodyText"/>
                  </w:pPr>
                  <w:r>
                    <w:t>0.26</w:t>
                  </w:r>
                </w:p>
              </w:tc>
              <w:tc>
                <w:tcPr>
                  <w:tcW w:w="779" w:type="pct"/>
                </w:tcPr>
                <w:p w14:paraId="1B598F84" w14:textId="77777777" w:rsidR="00DA3852" w:rsidRDefault="00DA3852" w:rsidP="00C03F9E">
                  <w:pPr>
                    <w:pStyle w:val="TableBodyText"/>
                  </w:pPr>
                  <w:r>
                    <w:t>4.32</w:t>
                  </w:r>
                </w:p>
              </w:tc>
              <w:tc>
                <w:tcPr>
                  <w:tcW w:w="947" w:type="pct"/>
                  <w:shd w:val="clear" w:color="auto" w:fill="auto"/>
                </w:tcPr>
                <w:p w14:paraId="55E379F8" w14:textId="77777777" w:rsidR="00DA3852" w:rsidRDefault="00DA3852" w:rsidP="00C03F9E">
                  <w:pPr>
                    <w:pStyle w:val="TableBodyText"/>
                    <w:ind w:right="0"/>
                    <w:rPr>
                      <w:i/>
                    </w:rPr>
                  </w:pPr>
                  <w:r>
                    <w:t>7.47</w:t>
                  </w:r>
                </w:p>
              </w:tc>
            </w:tr>
            <w:tr w:rsidR="00DA3852" w14:paraId="3775FB7E" w14:textId="77777777" w:rsidTr="00662ACE">
              <w:tc>
                <w:tcPr>
                  <w:tcW w:w="696" w:type="pct"/>
                  <w:tcBorders>
                    <w:bottom w:val="single" w:sz="6" w:space="0" w:color="BFBFBF" w:themeColor="background2"/>
                  </w:tcBorders>
                  <w:shd w:val="clear" w:color="auto" w:fill="auto"/>
                  <w:vAlign w:val="center"/>
                </w:tcPr>
                <w:p w14:paraId="0E5B2A68" w14:textId="77777777" w:rsidR="00DA3852" w:rsidRPr="00E32BF6" w:rsidRDefault="00DA3852" w:rsidP="00C03F9E">
                  <w:pPr>
                    <w:pStyle w:val="TableBodyText"/>
                    <w:jc w:val="left"/>
                  </w:pPr>
                  <w:r>
                    <w:t>Sydney</w:t>
                  </w:r>
                </w:p>
              </w:tc>
              <w:tc>
                <w:tcPr>
                  <w:tcW w:w="844" w:type="pct"/>
                  <w:tcBorders>
                    <w:bottom w:val="single" w:sz="6" w:space="0" w:color="BFBFBF" w:themeColor="background2"/>
                  </w:tcBorders>
                  <w:shd w:val="clear" w:color="auto" w:fill="auto"/>
                  <w:vAlign w:val="center"/>
                </w:tcPr>
                <w:p w14:paraId="5A7692F9" w14:textId="77777777" w:rsidR="00DA3852" w:rsidRPr="00E32BF6" w:rsidRDefault="00DA3852" w:rsidP="00C03F9E">
                  <w:pPr>
                    <w:pStyle w:val="TableBodyText"/>
                    <w:jc w:val="left"/>
                  </w:pPr>
                  <w:r>
                    <w:t>Hunter area</w:t>
                  </w:r>
                </w:p>
              </w:tc>
              <w:tc>
                <w:tcPr>
                  <w:tcW w:w="689" w:type="pct"/>
                  <w:tcBorders>
                    <w:bottom w:val="single" w:sz="6" w:space="0" w:color="BFBFBF" w:themeColor="background2"/>
                  </w:tcBorders>
                  <w:shd w:val="clear" w:color="auto" w:fill="auto"/>
                  <w:vAlign w:val="center"/>
                </w:tcPr>
                <w:p w14:paraId="11F14755" w14:textId="77777777" w:rsidR="00DA3852" w:rsidRPr="00E32BF6" w:rsidRDefault="00DA3852" w:rsidP="00C03F9E">
                  <w:pPr>
                    <w:pStyle w:val="TableBodyText"/>
                    <w:jc w:val="left"/>
                  </w:pPr>
                  <w:r>
                    <w:t>CSG</w:t>
                  </w:r>
                </w:p>
              </w:tc>
              <w:tc>
                <w:tcPr>
                  <w:tcW w:w="577" w:type="pct"/>
                  <w:tcBorders>
                    <w:bottom w:val="single" w:sz="6" w:space="0" w:color="BFBFBF" w:themeColor="background2"/>
                  </w:tcBorders>
                  <w:shd w:val="clear" w:color="auto" w:fill="auto"/>
                </w:tcPr>
                <w:p w14:paraId="704A386E" w14:textId="77777777" w:rsidR="00DA3852" w:rsidRPr="00160A56" w:rsidRDefault="00DA3852" w:rsidP="00C03F9E">
                  <w:pPr>
                    <w:pStyle w:val="TableBodyText"/>
                  </w:pPr>
                  <w:r>
                    <w:t>0</w:t>
                  </w:r>
                </w:p>
              </w:tc>
              <w:tc>
                <w:tcPr>
                  <w:tcW w:w="468" w:type="pct"/>
                  <w:tcBorders>
                    <w:bottom w:val="single" w:sz="6" w:space="0" w:color="BFBFBF" w:themeColor="background2"/>
                  </w:tcBorders>
                  <w:shd w:val="clear" w:color="auto" w:fill="auto"/>
                </w:tcPr>
                <w:p w14:paraId="6A63C8C6" w14:textId="77777777" w:rsidR="00DA3852" w:rsidRDefault="00DA3852" w:rsidP="00C03F9E">
                  <w:pPr>
                    <w:pStyle w:val="TableBodyText"/>
                  </w:pPr>
                  <w:r>
                    <w:t>0.26</w:t>
                  </w:r>
                </w:p>
              </w:tc>
              <w:tc>
                <w:tcPr>
                  <w:tcW w:w="779" w:type="pct"/>
                  <w:tcBorders>
                    <w:bottom w:val="single" w:sz="6" w:space="0" w:color="BFBFBF" w:themeColor="background2"/>
                  </w:tcBorders>
                </w:tcPr>
                <w:p w14:paraId="111A34AA" w14:textId="77777777" w:rsidR="00DA3852" w:rsidRDefault="00DA3852" w:rsidP="00C03F9E">
                  <w:pPr>
                    <w:pStyle w:val="TableBodyText"/>
                  </w:pPr>
                  <w:r>
                    <w:t>4.32</w:t>
                  </w:r>
                </w:p>
              </w:tc>
              <w:tc>
                <w:tcPr>
                  <w:tcW w:w="947" w:type="pct"/>
                  <w:tcBorders>
                    <w:bottom w:val="single" w:sz="6" w:space="0" w:color="BFBFBF" w:themeColor="background2"/>
                  </w:tcBorders>
                  <w:shd w:val="clear" w:color="auto" w:fill="auto"/>
                </w:tcPr>
                <w:p w14:paraId="35632457" w14:textId="77777777" w:rsidR="00DA3852" w:rsidRPr="00662ACE" w:rsidRDefault="00DA3852" w:rsidP="00C03F9E">
                  <w:pPr>
                    <w:pStyle w:val="TableBodyText"/>
                    <w:framePr w:w="2155" w:hSpace="227" w:vSpace="181" w:wrap="around" w:vAnchor="text" w:hAnchor="page" w:xAlign="outside" w:y="1"/>
                    <w:ind w:right="0"/>
                  </w:pPr>
                  <w:r>
                    <w:t>7.47</w:t>
                  </w:r>
                </w:p>
              </w:tc>
            </w:tr>
          </w:tbl>
          <w:p w14:paraId="443DDB1A" w14:textId="77777777" w:rsidR="00DA3852" w:rsidRDefault="00DA3852" w:rsidP="00C03F9E">
            <w:pPr>
              <w:pStyle w:val="Box"/>
            </w:pPr>
          </w:p>
        </w:tc>
      </w:tr>
      <w:tr w:rsidR="00DA3852" w14:paraId="1B5F9EB2" w14:textId="77777777" w:rsidTr="00C03F9E">
        <w:trPr>
          <w:cantSplit/>
        </w:trPr>
        <w:tc>
          <w:tcPr>
            <w:tcW w:w="8771" w:type="dxa"/>
            <w:tcBorders>
              <w:top w:val="nil"/>
              <w:left w:val="nil"/>
              <w:bottom w:val="nil"/>
              <w:right w:val="nil"/>
            </w:tcBorders>
            <w:shd w:val="clear" w:color="auto" w:fill="auto"/>
          </w:tcPr>
          <w:p w14:paraId="11DB0BC7" w14:textId="3D273DA5" w:rsidR="00DA3852" w:rsidRDefault="00DA3852" w:rsidP="00C03F9E">
            <w:pPr>
              <w:pStyle w:val="Note"/>
              <w:rPr>
                <w:i/>
              </w:rPr>
            </w:pPr>
            <w:proofErr w:type="gramStart"/>
            <w:r w:rsidRPr="008E77FE">
              <w:rPr>
                <w:rStyle w:val="NoteLabel"/>
              </w:rPr>
              <w:t>a</w:t>
            </w:r>
            <w:proofErr w:type="gramEnd"/>
            <w:r>
              <w:t xml:space="preserve"> Sourced from AEMO (2014b). </w:t>
            </w:r>
            <w:proofErr w:type="gramStart"/>
            <w:r>
              <w:rPr>
                <w:rStyle w:val="NoteLabel"/>
              </w:rPr>
              <w:t>b</w:t>
            </w:r>
            <w:proofErr w:type="gramEnd"/>
            <w:r>
              <w:t xml:space="preserve"> Variable costs of CSG processing from MMA </w:t>
            </w:r>
            <w:r w:rsidRPr="002F0382">
              <w:rPr>
                <w:rFonts w:cs="Arial"/>
              </w:rPr>
              <w:t>(2009)</w:t>
            </w:r>
            <w:r>
              <w:t xml:space="preserve">; conventional and shale gas processing from McDonough </w:t>
            </w:r>
            <w:r w:rsidRPr="002F0382">
              <w:rPr>
                <w:rFonts w:cs="Arial"/>
              </w:rPr>
              <w:t>(1997)</w:t>
            </w:r>
            <w:r>
              <w:t>, updated to 2014</w:t>
            </w:r>
            <w:r>
              <w:noBreakHyphen/>
              <w:t xml:space="preserve">15 dollars using a gross domestic product deflator </w:t>
            </w:r>
            <w:r w:rsidRPr="008263C7">
              <w:rPr>
                <w:rFonts w:cs="Arial"/>
                <w:szCs w:val="24"/>
              </w:rPr>
              <w:t>(ABS 2014)</w:t>
            </w:r>
            <w:r>
              <w:t xml:space="preserve">. </w:t>
            </w:r>
            <w:proofErr w:type="gramStart"/>
            <w:r>
              <w:rPr>
                <w:rStyle w:val="NoteLabel"/>
              </w:rPr>
              <w:t>c</w:t>
            </w:r>
            <w:proofErr w:type="gramEnd"/>
            <w:r>
              <w:t xml:space="preserve"> Data sourced from Core Energy Group </w:t>
            </w:r>
            <w:r w:rsidRPr="005647E8">
              <w:rPr>
                <w:rFonts w:cs="Arial"/>
              </w:rPr>
              <w:t>(2012a)</w:t>
            </w:r>
            <w:r>
              <w:t>. Where data are not available for expansion or construction of a specific processing plant, data for comparable processing facilities (CSG or conventional processing, as appropriate) are used.</w:t>
            </w:r>
          </w:p>
        </w:tc>
      </w:tr>
      <w:tr w:rsidR="00DA3852" w14:paraId="4BFF5AB8" w14:textId="77777777" w:rsidTr="00C03F9E">
        <w:trPr>
          <w:cantSplit/>
        </w:trPr>
        <w:tc>
          <w:tcPr>
            <w:tcW w:w="8771" w:type="dxa"/>
            <w:tcBorders>
              <w:top w:val="nil"/>
              <w:left w:val="nil"/>
              <w:bottom w:val="nil"/>
              <w:right w:val="nil"/>
            </w:tcBorders>
            <w:shd w:val="clear" w:color="auto" w:fill="auto"/>
          </w:tcPr>
          <w:p w14:paraId="3E57DE7E" w14:textId="553861DB" w:rsidR="00DA3852" w:rsidRDefault="00DA3852" w:rsidP="00621CCE">
            <w:pPr>
              <w:pStyle w:val="Source"/>
            </w:pPr>
            <w:r>
              <w:rPr>
                <w:i/>
              </w:rPr>
              <w:t>Sources</w:t>
            </w:r>
            <w:r w:rsidRPr="00167F06">
              <w:t xml:space="preserve">: </w:t>
            </w:r>
            <w:r>
              <w:t xml:space="preserve">ABS </w:t>
            </w:r>
            <w:r w:rsidRPr="00063EA1">
              <w:rPr>
                <w:rFonts w:cs="Arial"/>
              </w:rPr>
              <w:t>(2014)</w:t>
            </w:r>
            <w:r>
              <w:t xml:space="preserve">; AEMO </w:t>
            </w:r>
            <w:r w:rsidRPr="004F1A86">
              <w:rPr>
                <w:rFonts w:cs="Arial"/>
                <w:szCs w:val="24"/>
              </w:rPr>
              <w:t>(2013</w:t>
            </w:r>
            <w:r w:rsidR="00621CCE">
              <w:rPr>
                <w:rFonts w:cs="Arial"/>
                <w:szCs w:val="24"/>
              </w:rPr>
              <w:t>a</w:t>
            </w:r>
            <w:r w:rsidRPr="004F1A86">
              <w:rPr>
                <w:rFonts w:cs="Arial"/>
                <w:szCs w:val="24"/>
              </w:rPr>
              <w:t>, 2014</w:t>
            </w:r>
            <w:r w:rsidR="00621CCE">
              <w:rPr>
                <w:rFonts w:cs="Arial"/>
                <w:szCs w:val="24"/>
              </w:rPr>
              <w:t>b</w:t>
            </w:r>
            <w:r w:rsidRPr="004F1A86">
              <w:rPr>
                <w:rFonts w:cs="Arial"/>
                <w:szCs w:val="24"/>
              </w:rPr>
              <w:t>)</w:t>
            </w:r>
            <w:r>
              <w:t xml:space="preserve">; Core Energy Group </w:t>
            </w:r>
            <w:r w:rsidRPr="005647E8">
              <w:rPr>
                <w:rFonts w:cs="Arial"/>
              </w:rPr>
              <w:t>(2012a)</w:t>
            </w:r>
            <w:r>
              <w:t xml:space="preserve">; McDonough </w:t>
            </w:r>
            <w:r w:rsidRPr="002F0382">
              <w:rPr>
                <w:rFonts w:cs="Arial"/>
              </w:rPr>
              <w:t>(1997)</w:t>
            </w:r>
            <w:r>
              <w:t xml:space="preserve">; MMA </w:t>
            </w:r>
            <w:r w:rsidRPr="002F0382">
              <w:rPr>
                <w:rFonts w:cs="Arial"/>
              </w:rPr>
              <w:t>(2009)</w:t>
            </w:r>
            <w:r>
              <w:t>.</w:t>
            </w:r>
          </w:p>
        </w:tc>
      </w:tr>
      <w:tr w:rsidR="00DA3852" w14:paraId="503E0C34" w14:textId="77777777" w:rsidTr="00C03F9E">
        <w:trPr>
          <w:cantSplit/>
        </w:trPr>
        <w:tc>
          <w:tcPr>
            <w:tcW w:w="8771" w:type="dxa"/>
            <w:tcBorders>
              <w:top w:val="nil"/>
              <w:left w:val="nil"/>
              <w:bottom w:val="single" w:sz="6" w:space="0" w:color="78A22F"/>
              <w:right w:val="nil"/>
            </w:tcBorders>
            <w:shd w:val="clear" w:color="auto" w:fill="auto"/>
          </w:tcPr>
          <w:p w14:paraId="1E48219B" w14:textId="77777777" w:rsidR="00DA3852" w:rsidRDefault="00DA3852" w:rsidP="00C03F9E">
            <w:pPr>
              <w:pStyle w:val="Box"/>
              <w:spacing w:before="0" w:line="120" w:lineRule="exact"/>
            </w:pPr>
          </w:p>
        </w:tc>
      </w:tr>
      <w:tr w:rsidR="00DA3852" w:rsidRPr="000863A5" w14:paraId="446BC4ED" w14:textId="77777777" w:rsidTr="00C03F9E">
        <w:tc>
          <w:tcPr>
            <w:tcW w:w="8771" w:type="dxa"/>
            <w:tcBorders>
              <w:top w:val="single" w:sz="6" w:space="0" w:color="78A22F"/>
              <w:left w:val="nil"/>
              <w:bottom w:val="nil"/>
              <w:right w:val="nil"/>
            </w:tcBorders>
          </w:tcPr>
          <w:p w14:paraId="7766F902" w14:textId="77777777" w:rsidR="00DA3852" w:rsidRPr="00626D32" w:rsidRDefault="00DA3852" w:rsidP="00C03F9E">
            <w:pPr>
              <w:pStyle w:val="BoxSpaceBelow"/>
            </w:pPr>
          </w:p>
        </w:tc>
      </w:tr>
    </w:tbl>
    <w:p w14:paraId="756E9408" w14:textId="77777777" w:rsidR="00DA3852" w:rsidRDefault="00DA3852" w:rsidP="00DA3852">
      <w:pPr>
        <w:pStyle w:val="Heading3"/>
      </w:pPr>
      <w:bookmarkStart w:id="10" w:name="_Toc410222284"/>
      <w:bookmarkStart w:id="11" w:name="_Toc410222285"/>
      <w:r>
        <w:lastRenderedPageBreak/>
        <w:t>Transmission pipelines</w:t>
      </w:r>
      <w:bookmarkEnd w:id="10"/>
    </w:p>
    <w:p w14:paraId="2E31F23D" w14:textId="38D206D1" w:rsidR="00DA3852" w:rsidRDefault="00DA3852" w:rsidP="00DA3852">
      <w:pPr>
        <w:pStyle w:val="BodyText"/>
      </w:pPr>
      <w:r>
        <w:t>For each transmission pipeline, data have been collected on system use of gas,</w:t>
      </w:r>
      <w:r w:rsidRPr="00D54D05">
        <w:rPr>
          <w:rStyle w:val="FootnoteReference"/>
        </w:rPr>
        <w:footnoteReference w:id="13"/>
      </w:r>
      <w:r>
        <w:t xml:space="preserve"> lifetime, build time, the extent to which existing pipelines can be expanded (expansion limits), investment cost, length and capacity. These parameters are all relevant to determining pipeline usage, operating and investment costs.</w:t>
      </w:r>
    </w:p>
    <w:p w14:paraId="4BFF989A" w14:textId="77777777" w:rsidR="00CC518F" w:rsidRDefault="00DA3852" w:rsidP="00DA3852">
      <w:pPr>
        <w:pStyle w:val="BodyText"/>
      </w:pPr>
      <w:r>
        <w:t xml:space="preserve">System use of gas varies across pipelines and depends primarily on the amount of compression installed on a pipeline, which in turn depends on the amount of gas flow and the distance it is required to flow </w:t>
      </w:r>
      <w:r w:rsidRPr="00485B5D">
        <w:rPr>
          <w:szCs w:val="24"/>
        </w:rPr>
        <w:t>(IEA 2007)</w:t>
      </w:r>
      <w:r>
        <w:t>.</w:t>
      </w:r>
      <w:r w:rsidDel="00386BEC">
        <w:t xml:space="preserve"> </w:t>
      </w:r>
      <w:r>
        <w:t>However, pipeline</w:t>
      </w:r>
      <w:r>
        <w:noBreakHyphen/>
        <w:t xml:space="preserve">specific data on system use of gas are not publically available so a generic estimate of system use of gas has been applied for all pipelines. Generic estimates of lifetime and build time are also applied across all pipelines (table B.5). </w:t>
      </w:r>
    </w:p>
    <w:p w14:paraId="09C084A4" w14:textId="77777777" w:rsidR="00CC518F" w:rsidRDefault="00CC518F" w:rsidP="00CC518F">
      <w:pPr>
        <w:pStyle w:val="BodyText"/>
      </w:pPr>
      <w:r>
        <w:t>Expansion limits, investment cost, length and capacity of pipelines have been estimated for each pipeline route in the model, as explained in the following sections.</w:t>
      </w:r>
    </w:p>
    <w:p w14:paraId="68825AF7" w14:textId="77777777" w:rsidR="00DA3852" w:rsidRDefault="00DA3852" w:rsidP="00DA3852">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DA3852" w14:paraId="02274D03" w14:textId="77777777" w:rsidTr="00C03F9E">
        <w:tc>
          <w:tcPr>
            <w:tcW w:w="8771" w:type="dxa"/>
            <w:tcBorders>
              <w:top w:val="single" w:sz="6" w:space="0" w:color="78A22F"/>
              <w:left w:val="nil"/>
              <w:bottom w:val="nil"/>
              <w:right w:val="nil"/>
            </w:tcBorders>
            <w:shd w:val="clear" w:color="auto" w:fill="auto"/>
          </w:tcPr>
          <w:p w14:paraId="6BE891F7" w14:textId="2865CAD7" w:rsidR="00DA3852" w:rsidRDefault="00DA3852" w:rsidP="00C03F9E">
            <w:pPr>
              <w:pStyle w:val="TableTitle"/>
            </w:pPr>
            <w:r>
              <w:rPr>
                <w:b w:val="0"/>
              </w:rPr>
              <w:t>Table B.</w:t>
            </w:r>
            <w:r>
              <w:rPr>
                <w:b w:val="0"/>
                <w:noProof/>
              </w:rPr>
              <w:t>5</w:t>
            </w:r>
            <w:r>
              <w:tab/>
              <w:t>Transmission inputs</w:t>
            </w:r>
          </w:p>
          <w:p w14:paraId="5434A192" w14:textId="77777777" w:rsidR="00DA3852" w:rsidRPr="00784A05" w:rsidRDefault="00DA3852" w:rsidP="00C03F9E">
            <w:pPr>
              <w:pStyle w:val="Subtitle"/>
            </w:pPr>
            <w:r>
              <w:t>Applied to all pipelines</w:t>
            </w:r>
          </w:p>
        </w:tc>
      </w:tr>
      <w:tr w:rsidR="00DA3852" w14:paraId="12BC73E9" w14:textId="77777777" w:rsidTr="00C03F9E">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962"/>
              <w:gridCol w:w="1701"/>
              <w:gridCol w:w="4824"/>
            </w:tblGrid>
            <w:tr w:rsidR="00DA3852" w14:paraId="7F142ABD" w14:textId="77777777" w:rsidTr="00C03F9E">
              <w:tc>
                <w:tcPr>
                  <w:tcW w:w="1156" w:type="pct"/>
                  <w:tcBorders>
                    <w:top w:val="single" w:sz="6" w:space="0" w:color="BFBFBF"/>
                    <w:bottom w:val="single" w:sz="6" w:space="0" w:color="BFBFBF"/>
                  </w:tcBorders>
                  <w:shd w:val="clear" w:color="auto" w:fill="auto"/>
                  <w:tcMar>
                    <w:top w:w="28" w:type="dxa"/>
                  </w:tcMar>
                </w:tcPr>
                <w:p w14:paraId="38C21FF1" w14:textId="77777777" w:rsidR="00DA3852" w:rsidRDefault="00DA3852" w:rsidP="00C03F9E">
                  <w:pPr>
                    <w:pStyle w:val="TableColumnHeading"/>
                    <w:jc w:val="left"/>
                  </w:pPr>
                  <w:r>
                    <w:t>Input</w:t>
                  </w:r>
                </w:p>
              </w:tc>
              <w:tc>
                <w:tcPr>
                  <w:tcW w:w="1002" w:type="pct"/>
                  <w:tcBorders>
                    <w:top w:val="single" w:sz="6" w:space="0" w:color="BFBFBF"/>
                    <w:bottom w:val="single" w:sz="6" w:space="0" w:color="BFBFBF"/>
                  </w:tcBorders>
                  <w:shd w:val="clear" w:color="auto" w:fill="auto"/>
                  <w:tcMar>
                    <w:top w:w="28" w:type="dxa"/>
                  </w:tcMar>
                </w:tcPr>
                <w:p w14:paraId="0A502EB5" w14:textId="77777777" w:rsidR="00DA3852" w:rsidRDefault="00DA3852" w:rsidP="00C03F9E">
                  <w:pPr>
                    <w:pStyle w:val="TableColumnHeading"/>
                    <w:jc w:val="left"/>
                  </w:pPr>
                  <w:r>
                    <w:t>Estimate</w:t>
                  </w:r>
                </w:p>
              </w:tc>
              <w:tc>
                <w:tcPr>
                  <w:tcW w:w="2842" w:type="pct"/>
                  <w:tcBorders>
                    <w:top w:val="single" w:sz="6" w:space="0" w:color="BFBFBF"/>
                    <w:bottom w:val="single" w:sz="6" w:space="0" w:color="BFBFBF"/>
                  </w:tcBorders>
                  <w:shd w:val="clear" w:color="auto" w:fill="auto"/>
                  <w:tcMar>
                    <w:top w:w="28" w:type="dxa"/>
                  </w:tcMar>
                </w:tcPr>
                <w:p w14:paraId="411C8B2E" w14:textId="77777777" w:rsidR="00DA3852" w:rsidRDefault="00DA3852" w:rsidP="00C03F9E">
                  <w:pPr>
                    <w:pStyle w:val="TableColumnHeading"/>
                    <w:ind w:right="28"/>
                    <w:jc w:val="left"/>
                  </w:pPr>
                  <w:r>
                    <w:t>Sources</w:t>
                  </w:r>
                </w:p>
              </w:tc>
            </w:tr>
            <w:tr w:rsidR="00DA3852" w14:paraId="23518A16" w14:textId="77777777" w:rsidTr="00C03F9E">
              <w:tc>
                <w:tcPr>
                  <w:tcW w:w="1156" w:type="pct"/>
                  <w:tcBorders>
                    <w:top w:val="single" w:sz="6" w:space="0" w:color="BFBFBF"/>
                  </w:tcBorders>
                </w:tcPr>
                <w:p w14:paraId="43B89C5B" w14:textId="77777777" w:rsidR="00DA3852" w:rsidRDefault="00DA3852" w:rsidP="00A26FB5">
                  <w:pPr>
                    <w:pStyle w:val="TableBodyText"/>
                    <w:jc w:val="left"/>
                  </w:pPr>
                  <w:r>
                    <w:t>System use</w:t>
                  </w:r>
                  <w:r>
                    <w:br/>
                    <w:t>of gas</w:t>
                  </w:r>
                </w:p>
              </w:tc>
              <w:tc>
                <w:tcPr>
                  <w:tcW w:w="1002" w:type="pct"/>
                  <w:tcBorders>
                    <w:top w:val="single" w:sz="6" w:space="0" w:color="BFBFBF"/>
                  </w:tcBorders>
                </w:tcPr>
                <w:p w14:paraId="1C53271A" w14:textId="77777777" w:rsidR="00DA3852" w:rsidRDefault="00DA3852" w:rsidP="009A13BD">
                  <w:pPr>
                    <w:pStyle w:val="TableBodyText"/>
                    <w:jc w:val="left"/>
                    <w:rPr>
                      <w:i/>
                    </w:rPr>
                  </w:pPr>
                  <w:r>
                    <w:t>1.1 per cent of</w:t>
                  </w:r>
                  <w:r>
                    <w:br/>
                    <w:t xml:space="preserve">gas </w:t>
                  </w:r>
                  <w:r w:rsidDel="00483E85">
                    <w:t>t</w:t>
                  </w:r>
                  <w:r>
                    <w:t>ransported</w:t>
                  </w:r>
                </w:p>
              </w:tc>
              <w:tc>
                <w:tcPr>
                  <w:tcW w:w="2842" w:type="pct"/>
                  <w:tcBorders>
                    <w:top w:val="single" w:sz="6" w:space="0" w:color="BFBFBF"/>
                  </w:tcBorders>
                </w:tcPr>
                <w:p w14:paraId="3D0FD455" w14:textId="77777777" w:rsidR="00DA3852" w:rsidRDefault="00DA3852" w:rsidP="00334A70">
                  <w:pPr>
                    <w:pStyle w:val="TableBodyText"/>
                    <w:jc w:val="left"/>
                    <w:rPr>
                      <w:i/>
                    </w:rPr>
                  </w:pPr>
                  <w:r>
                    <w:t xml:space="preserve">DRET </w:t>
                  </w:r>
                  <w:r w:rsidRPr="00535D06">
                    <w:rPr>
                      <w:rFonts w:cs="Arial"/>
                    </w:rPr>
                    <w:t>(2013)</w:t>
                  </w:r>
                  <w:r>
                    <w:t xml:space="preserve"> examined system use of gas for 24 pipelines and found a volume-weighted average of 1.1 per cent. Eight of 24 pipelines had system use of gas greater than 1 per cent and five of these pipelines had system use of gas greater than 1.5 per cent.</w:t>
                  </w:r>
                </w:p>
              </w:tc>
            </w:tr>
            <w:tr w:rsidR="00DA3852" w14:paraId="7EB8E2FF" w14:textId="77777777" w:rsidTr="00C03F9E">
              <w:tc>
                <w:tcPr>
                  <w:tcW w:w="1156" w:type="pct"/>
                </w:tcPr>
                <w:p w14:paraId="0A2B333B" w14:textId="77777777" w:rsidR="00DA3852" w:rsidRDefault="00DA3852" w:rsidP="00334A70">
                  <w:pPr>
                    <w:pStyle w:val="TableBodyText"/>
                    <w:jc w:val="left"/>
                    <w:rPr>
                      <w:i/>
                    </w:rPr>
                  </w:pPr>
                  <w:r>
                    <w:t>Pipeline expansion build time</w:t>
                  </w:r>
                  <w:r>
                    <w:rPr>
                      <w:rStyle w:val="NoteLabel"/>
                    </w:rPr>
                    <w:t xml:space="preserve"> </w:t>
                  </w:r>
                </w:p>
              </w:tc>
              <w:tc>
                <w:tcPr>
                  <w:tcW w:w="1002" w:type="pct"/>
                </w:tcPr>
                <w:p w14:paraId="36590B9E" w14:textId="77777777" w:rsidR="00DA3852" w:rsidRDefault="00DA3852" w:rsidP="00A26FB5">
                  <w:pPr>
                    <w:pStyle w:val="TableBodyText"/>
                    <w:jc w:val="left"/>
                    <w:rPr>
                      <w:i/>
                    </w:rPr>
                  </w:pPr>
                  <w:r>
                    <w:t>2 years</w:t>
                  </w:r>
                </w:p>
              </w:tc>
              <w:tc>
                <w:tcPr>
                  <w:tcW w:w="2842" w:type="pct"/>
                </w:tcPr>
                <w:p w14:paraId="111F742F" w14:textId="77777777" w:rsidR="00DA3852" w:rsidRPr="00334A70" w:rsidRDefault="00DA3852" w:rsidP="00334A70">
                  <w:pPr>
                    <w:pStyle w:val="TableBodyText"/>
                    <w:jc w:val="left"/>
                  </w:pPr>
                  <w:r w:rsidRPr="00334A70">
                    <w:t xml:space="preserve">Based on an average of historical and forecast build times for pipeline expansions (APA Group 2011b, 2012a; </w:t>
                  </w:r>
                  <w:proofErr w:type="spellStart"/>
                  <w:r w:rsidRPr="00334A70">
                    <w:t>Jemena</w:t>
                  </w:r>
                  <w:proofErr w:type="spellEnd"/>
                  <w:r w:rsidRPr="00334A70">
                    <w:t> </w:t>
                  </w:r>
                  <w:proofErr w:type="spellStart"/>
                  <w:r w:rsidRPr="00334A70">
                    <w:t>nd</w:t>
                  </w:r>
                  <w:proofErr w:type="spellEnd"/>
                  <w:r w:rsidRPr="00334A70">
                    <w:t xml:space="preserve">; The Australian </w:t>
                  </w:r>
                  <w:proofErr w:type="spellStart"/>
                  <w:r w:rsidRPr="00334A70">
                    <w:t>Pipeliner</w:t>
                  </w:r>
                  <w:proofErr w:type="spellEnd"/>
                  <w:r w:rsidRPr="00334A70">
                    <w:t> 2009, 2013).</w:t>
                  </w:r>
                </w:p>
              </w:tc>
            </w:tr>
            <w:tr w:rsidR="00DA3852" w14:paraId="70510B06" w14:textId="77777777" w:rsidTr="00C03F9E">
              <w:tc>
                <w:tcPr>
                  <w:tcW w:w="1156" w:type="pct"/>
                </w:tcPr>
                <w:p w14:paraId="15E94C1F" w14:textId="77777777" w:rsidR="00DA3852" w:rsidRDefault="00DA3852" w:rsidP="00334A70">
                  <w:pPr>
                    <w:pStyle w:val="TableBodyText"/>
                    <w:jc w:val="left"/>
                  </w:pPr>
                  <w:r>
                    <w:t>New pipeline</w:t>
                  </w:r>
                  <w:r>
                    <w:br/>
                    <w:t>build time</w:t>
                  </w:r>
                </w:p>
              </w:tc>
              <w:tc>
                <w:tcPr>
                  <w:tcW w:w="1002" w:type="pct"/>
                </w:tcPr>
                <w:p w14:paraId="321A01ED" w14:textId="77777777" w:rsidR="00DA3852" w:rsidRDefault="00DA3852" w:rsidP="00A26FB5">
                  <w:pPr>
                    <w:pStyle w:val="TableBodyText"/>
                    <w:jc w:val="left"/>
                    <w:rPr>
                      <w:i/>
                    </w:rPr>
                  </w:pPr>
                  <w:r>
                    <w:t>3 years</w:t>
                  </w:r>
                </w:p>
              </w:tc>
              <w:tc>
                <w:tcPr>
                  <w:tcW w:w="2842" w:type="pct"/>
                </w:tcPr>
                <w:p w14:paraId="2AC8B192" w14:textId="032E11C5" w:rsidR="00DA3852" w:rsidRPr="00334A70" w:rsidRDefault="00DA3852" w:rsidP="00334A70">
                  <w:pPr>
                    <w:pStyle w:val="TableBodyText"/>
                    <w:jc w:val="left"/>
                  </w:pPr>
                  <w:r w:rsidRPr="00334A70">
                    <w:t xml:space="preserve">Based on an average of historical and forecast pipeline build times (APIA 2011; APLNG 2012b; </w:t>
                  </w:r>
                  <w:proofErr w:type="spellStart"/>
                  <w:r w:rsidRPr="00334A70">
                    <w:t>Jemena</w:t>
                  </w:r>
                  <w:proofErr w:type="spellEnd"/>
                  <w:r w:rsidRPr="00334A70">
                    <w:t> 2015b; Santos </w:t>
                  </w:r>
                  <w:proofErr w:type="spellStart"/>
                  <w:r w:rsidRPr="00334A70">
                    <w:t>nd</w:t>
                  </w:r>
                  <w:proofErr w:type="spellEnd"/>
                  <w:r w:rsidRPr="00334A70">
                    <w:t xml:space="preserve">; The </w:t>
                  </w:r>
                  <w:r w:rsidR="00621CCE">
                    <w:t xml:space="preserve">Australian </w:t>
                  </w:r>
                  <w:proofErr w:type="spellStart"/>
                  <w:r w:rsidR="00621CCE">
                    <w:t>Pipeliner</w:t>
                  </w:r>
                  <w:proofErr w:type="spellEnd"/>
                  <w:r w:rsidR="00621CCE">
                    <w:t> 2006, 2012</w:t>
                  </w:r>
                  <w:r w:rsidRPr="00334A70">
                    <w:t>).</w:t>
                  </w:r>
                </w:p>
              </w:tc>
            </w:tr>
            <w:tr w:rsidR="00DA3852" w14:paraId="07AD79C3" w14:textId="77777777" w:rsidTr="00C03F9E">
              <w:tc>
                <w:tcPr>
                  <w:tcW w:w="1156" w:type="pct"/>
                  <w:tcBorders>
                    <w:bottom w:val="single" w:sz="6" w:space="0" w:color="BFBFBF"/>
                  </w:tcBorders>
                </w:tcPr>
                <w:p w14:paraId="7020CEFA" w14:textId="77777777" w:rsidR="00DA3852" w:rsidRDefault="00DA3852" w:rsidP="00C03F9E">
                  <w:pPr>
                    <w:pStyle w:val="TableBodyText"/>
                    <w:jc w:val="left"/>
                  </w:pPr>
                  <w:r w:rsidRPr="00334A70">
                    <w:t>Pipeline lifetime</w:t>
                  </w:r>
                  <w:r>
                    <w:rPr>
                      <w:rStyle w:val="NoteLabel"/>
                    </w:rPr>
                    <w:t>a</w:t>
                  </w:r>
                </w:p>
              </w:tc>
              <w:tc>
                <w:tcPr>
                  <w:tcW w:w="1002" w:type="pct"/>
                  <w:tcBorders>
                    <w:bottom w:val="single" w:sz="6" w:space="0" w:color="BFBFBF"/>
                  </w:tcBorders>
                </w:tcPr>
                <w:p w14:paraId="35B138F1" w14:textId="77777777" w:rsidR="00DA3852" w:rsidRDefault="00DA3852" w:rsidP="00A26FB5">
                  <w:pPr>
                    <w:pStyle w:val="TableBodyText"/>
                    <w:jc w:val="left"/>
                    <w:rPr>
                      <w:i/>
                    </w:rPr>
                  </w:pPr>
                  <w:r>
                    <w:t>60 years</w:t>
                  </w:r>
                </w:p>
              </w:tc>
              <w:tc>
                <w:tcPr>
                  <w:tcW w:w="2842" w:type="pct"/>
                  <w:tcBorders>
                    <w:bottom w:val="single" w:sz="6" w:space="0" w:color="BFBFBF"/>
                  </w:tcBorders>
                </w:tcPr>
                <w:p w14:paraId="6AE25395" w14:textId="194CCFFA" w:rsidR="00DA3852" w:rsidRPr="00334A70" w:rsidRDefault="00DA3852" w:rsidP="00621CCE">
                  <w:pPr>
                    <w:pStyle w:val="TableBodyText"/>
                    <w:jc w:val="left"/>
                  </w:pPr>
                  <w:r w:rsidRPr="00334A70">
                    <w:t>Based on estimates of pipeline lifetime (AER 2012</w:t>
                  </w:r>
                  <w:r w:rsidR="00621CCE">
                    <w:t>b</w:t>
                  </w:r>
                  <w:r w:rsidRPr="00334A70">
                    <w:t xml:space="preserve">; APA Group 2011a; Arrow Energy 2011; Australian Pipeline Trust 2003; DRET 2013; Frontier Economics 2010; </w:t>
                  </w:r>
                  <w:proofErr w:type="spellStart"/>
                  <w:r w:rsidRPr="00334A70">
                    <w:t>Jemena</w:t>
                  </w:r>
                  <w:proofErr w:type="spellEnd"/>
                  <w:r w:rsidRPr="00334A70">
                    <w:t> 2015b; Santos </w:t>
                  </w:r>
                  <w:proofErr w:type="spellStart"/>
                  <w:r w:rsidRPr="00334A70">
                    <w:t>nd</w:t>
                  </w:r>
                  <w:proofErr w:type="spellEnd"/>
                  <w:r w:rsidRPr="00334A70">
                    <w:t>).</w:t>
                  </w:r>
                </w:p>
              </w:tc>
            </w:tr>
          </w:tbl>
          <w:p w14:paraId="2524E045" w14:textId="77777777" w:rsidR="00DA3852" w:rsidRDefault="00DA3852" w:rsidP="00C03F9E">
            <w:pPr>
              <w:pStyle w:val="Box"/>
            </w:pPr>
          </w:p>
        </w:tc>
      </w:tr>
      <w:tr w:rsidR="00DA3852" w14:paraId="33838758" w14:textId="77777777" w:rsidTr="00C03F9E">
        <w:trPr>
          <w:cantSplit/>
        </w:trPr>
        <w:tc>
          <w:tcPr>
            <w:tcW w:w="8771" w:type="dxa"/>
            <w:tcBorders>
              <w:top w:val="nil"/>
              <w:left w:val="nil"/>
              <w:bottom w:val="nil"/>
              <w:right w:val="nil"/>
            </w:tcBorders>
            <w:shd w:val="clear" w:color="auto" w:fill="auto"/>
          </w:tcPr>
          <w:p w14:paraId="62B77800" w14:textId="77777777" w:rsidR="00DA3852" w:rsidRDefault="00DA3852" w:rsidP="00C03F9E">
            <w:pPr>
              <w:pStyle w:val="Note"/>
              <w:rPr>
                <w:i/>
              </w:rPr>
            </w:pPr>
            <w:proofErr w:type="spellStart"/>
            <w:proofErr w:type="gramStart"/>
            <w:r>
              <w:rPr>
                <w:rStyle w:val="NoteLabel"/>
              </w:rPr>
              <w:t>a</w:t>
            </w:r>
            <w:proofErr w:type="spellEnd"/>
            <w:proofErr w:type="gramEnd"/>
            <w:r>
              <w:t xml:space="preserve"> The same lifetime estimates are used for new pipelines and expansions to existing pipelines. </w:t>
            </w:r>
          </w:p>
        </w:tc>
      </w:tr>
      <w:tr w:rsidR="00DA3852" w14:paraId="166E604E" w14:textId="77777777" w:rsidTr="00C03F9E">
        <w:trPr>
          <w:cantSplit/>
        </w:trPr>
        <w:tc>
          <w:tcPr>
            <w:tcW w:w="8771" w:type="dxa"/>
            <w:tcBorders>
              <w:top w:val="nil"/>
              <w:left w:val="nil"/>
              <w:bottom w:val="single" w:sz="6" w:space="0" w:color="78A22F"/>
              <w:right w:val="nil"/>
            </w:tcBorders>
            <w:shd w:val="clear" w:color="auto" w:fill="auto"/>
          </w:tcPr>
          <w:p w14:paraId="57EC11A9" w14:textId="77777777" w:rsidR="00DA3852" w:rsidRDefault="00DA3852" w:rsidP="00C03F9E">
            <w:pPr>
              <w:pStyle w:val="Box"/>
              <w:spacing w:before="0" w:line="120" w:lineRule="exact"/>
            </w:pPr>
          </w:p>
        </w:tc>
      </w:tr>
      <w:tr w:rsidR="00DA3852" w:rsidRPr="000863A5" w14:paraId="4E233320" w14:textId="77777777" w:rsidTr="00C03F9E">
        <w:tc>
          <w:tcPr>
            <w:tcW w:w="8771" w:type="dxa"/>
            <w:tcBorders>
              <w:top w:val="single" w:sz="6" w:space="0" w:color="78A22F"/>
              <w:left w:val="nil"/>
              <w:bottom w:val="nil"/>
              <w:right w:val="nil"/>
            </w:tcBorders>
          </w:tcPr>
          <w:p w14:paraId="237156FF" w14:textId="77777777" w:rsidR="00DA3852" w:rsidRPr="00626D32" w:rsidRDefault="00DA3852" w:rsidP="00C03F9E">
            <w:pPr>
              <w:pStyle w:val="BoxSpaceBelow"/>
            </w:pPr>
          </w:p>
        </w:tc>
      </w:tr>
    </w:tbl>
    <w:p w14:paraId="751E4291" w14:textId="77777777" w:rsidR="00DA3852" w:rsidRDefault="00DA3852" w:rsidP="00DA3852">
      <w:pPr>
        <w:pStyle w:val="Heading4"/>
      </w:pPr>
      <w:r>
        <w:lastRenderedPageBreak/>
        <w:t>Expansion limits</w:t>
      </w:r>
    </w:p>
    <w:p w14:paraId="24ECB9FA" w14:textId="4E71F520" w:rsidR="00DA3852" w:rsidRDefault="00DA3852" w:rsidP="00DA3852">
      <w:pPr>
        <w:pStyle w:val="BodyText"/>
      </w:pPr>
      <w:r>
        <w:t xml:space="preserve">‘Brownfield’ and ‘greenfield’ expansion of pipeline capacity are allowed. </w:t>
      </w:r>
      <w:r w:rsidRPr="00893D4A">
        <w:t>Brownfield investment refers to expansions of capacity through compression and/or looping</w:t>
      </w:r>
      <w:r>
        <w:t>, which is likely to be lower cost than l</w:t>
      </w:r>
      <w:r w:rsidRPr="00893D4A">
        <w:t xml:space="preserve">arger expansions </w:t>
      </w:r>
      <w:r>
        <w:t xml:space="preserve">or building a new pipeline (collectively referred to as </w:t>
      </w:r>
      <w:proofErr w:type="gramStart"/>
      <w:r>
        <w:t>greenfield</w:t>
      </w:r>
      <w:proofErr w:type="gramEnd"/>
      <w:r>
        <w:t xml:space="preserve"> expansions)</w:t>
      </w:r>
      <w:r w:rsidRPr="00D54D05">
        <w:rPr>
          <w:rStyle w:val="FootnoteReference"/>
        </w:rPr>
        <w:footnoteReference w:id="14"/>
      </w:r>
      <w:r>
        <w:t xml:space="preserve"> unless a very large expansion of capacity is required</w:t>
      </w:r>
      <w:r w:rsidRPr="00893D4A">
        <w:t>.</w:t>
      </w:r>
      <w:r>
        <w:t xml:space="preserve"> Limits are placed on brownfield expansion of existing pipelines as there are limits to the extent to which expansion of capacity is physically feasible and economical, through compression in particular. Brownfield expansions are limited to a tripling of existing pipeline capacity for all pipelines (table B.6). The brownfield expansion limit applies to cumulative expansion over the simulation period, which can occur over multiple years.</w:t>
      </w:r>
    </w:p>
    <w:p w14:paraId="28A764B1" w14:textId="77777777" w:rsidR="00DA3852" w:rsidRDefault="00DA3852" w:rsidP="00DA3852">
      <w:pPr>
        <w:pStyle w:val="BodyText"/>
      </w:pPr>
      <w:r>
        <w:t xml:space="preserve">Once the limit on brownfield expansion is reached, </w:t>
      </w:r>
      <w:proofErr w:type="gramStart"/>
      <w:r>
        <w:t>greenfield</w:t>
      </w:r>
      <w:proofErr w:type="gramEnd"/>
      <w:r>
        <w:t xml:space="preserve"> expansion can follow for selected routes. There is a limit of one new pipeline per route. Brownfield expansion on new pipelines is not considered in modelling. </w:t>
      </w:r>
    </w:p>
    <w:p w14:paraId="38CEAEF8" w14:textId="77777777" w:rsidR="00DA3852" w:rsidRDefault="00DA3852" w:rsidP="00DA3852">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67"/>
      </w:tblGrid>
      <w:tr w:rsidR="00DA3852" w14:paraId="350D4250" w14:textId="77777777" w:rsidTr="000A13FB">
        <w:tc>
          <w:tcPr>
            <w:tcW w:w="8767" w:type="dxa"/>
            <w:tcBorders>
              <w:top w:val="single" w:sz="6" w:space="0" w:color="78A22F"/>
              <w:left w:val="nil"/>
              <w:bottom w:val="nil"/>
              <w:right w:val="nil"/>
            </w:tcBorders>
            <w:shd w:val="clear" w:color="auto" w:fill="auto"/>
          </w:tcPr>
          <w:p w14:paraId="6C1B43AC" w14:textId="07FACAE2" w:rsidR="00DA3852" w:rsidRDefault="00DA3852" w:rsidP="00C03F9E">
            <w:pPr>
              <w:pStyle w:val="TableTitle"/>
            </w:pPr>
            <w:r>
              <w:rPr>
                <w:b w:val="0"/>
              </w:rPr>
              <w:t>Table B.</w:t>
            </w:r>
            <w:r>
              <w:rPr>
                <w:b w:val="0"/>
                <w:noProof/>
              </w:rPr>
              <w:t>6</w:t>
            </w:r>
            <w:r>
              <w:tab/>
              <w:t>Expansion limits</w:t>
            </w:r>
          </w:p>
          <w:p w14:paraId="6D0006AE" w14:textId="77777777" w:rsidR="00DA3852" w:rsidRPr="00784A05" w:rsidRDefault="00DA3852" w:rsidP="00C03F9E">
            <w:pPr>
              <w:pStyle w:val="Subtitle"/>
            </w:pPr>
            <w:r>
              <w:t>Applied to all pipelines</w:t>
            </w:r>
          </w:p>
        </w:tc>
      </w:tr>
      <w:tr w:rsidR="00DA3852" w14:paraId="2208C600" w14:textId="77777777" w:rsidTr="000D5B63">
        <w:trPr>
          <w:cantSplit/>
        </w:trPr>
        <w:tc>
          <w:tcPr>
            <w:tcW w:w="8767"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372"/>
              <w:gridCol w:w="1859"/>
              <w:gridCol w:w="4252"/>
            </w:tblGrid>
            <w:tr w:rsidR="00DA3852" w14:paraId="6A8EC4DE" w14:textId="77777777" w:rsidTr="000A13FB">
              <w:tc>
                <w:tcPr>
                  <w:tcW w:w="1398" w:type="pct"/>
                  <w:tcBorders>
                    <w:top w:val="single" w:sz="6" w:space="0" w:color="BFBFBF"/>
                    <w:bottom w:val="single" w:sz="6" w:space="0" w:color="BFBFBF"/>
                  </w:tcBorders>
                  <w:shd w:val="clear" w:color="auto" w:fill="auto"/>
                  <w:tcMar>
                    <w:top w:w="28" w:type="dxa"/>
                  </w:tcMar>
                </w:tcPr>
                <w:p w14:paraId="58B5CFB4" w14:textId="77777777" w:rsidR="00DA3852" w:rsidRDefault="00DA3852" w:rsidP="00C03F9E">
                  <w:pPr>
                    <w:pStyle w:val="TableColumnHeading"/>
                    <w:jc w:val="left"/>
                  </w:pPr>
                  <w:r>
                    <w:t>Input</w:t>
                  </w:r>
                </w:p>
              </w:tc>
              <w:tc>
                <w:tcPr>
                  <w:tcW w:w="1096" w:type="pct"/>
                  <w:tcBorders>
                    <w:top w:val="single" w:sz="6" w:space="0" w:color="BFBFBF"/>
                    <w:bottom w:val="single" w:sz="6" w:space="0" w:color="BFBFBF"/>
                  </w:tcBorders>
                  <w:shd w:val="clear" w:color="auto" w:fill="auto"/>
                  <w:tcMar>
                    <w:top w:w="28" w:type="dxa"/>
                  </w:tcMar>
                </w:tcPr>
                <w:p w14:paraId="51EE01A9" w14:textId="77777777" w:rsidR="00DA3852" w:rsidRDefault="00DA3852" w:rsidP="00C03F9E">
                  <w:pPr>
                    <w:pStyle w:val="TableColumnHeading"/>
                    <w:jc w:val="left"/>
                  </w:pPr>
                  <w:r>
                    <w:t>Estimate</w:t>
                  </w:r>
                </w:p>
              </w:tc>
              <w:tc>
                <w:tcPr>
                  <w:tcW w:w="2506" w:type="pct"/>
                  <w:tcBorders>
                    <w:top w:val="single" w:sz="6" w:space="0" w:color="BFBFBF"/>
                    <w:bottom w:val="single" w:sz="6" w:space="0" w:color="BFBFBF"/>
                  </w:tcBorders>
                  <w:shd w:val="clear" w:color="auto" w:fill="auto"/>
                  <w:tcMar>
                    <w:top w:w="28" w:type="dxa"/>
                  </w:tcMar>
                </w:tcPr>
                <w:p w14:paraId="32C27EFF" w14:textId="77777777" w:rsidR="00DA3852" w:rsidRDefault="00DA3852" w:rsidP="00C03F9E">
                  <w:pPr>
                    <w:pStyle w:val="TableColumnHeading"/>
                    <w:ind w:right="28"/>
                    <w:jc w:val="left"/>
                  </w:pPr>
                  <w:r>
                    <w:t>Sources</w:t>
                  </w:r>
                </w:p>
              </w:tc>
            </w:tr>
            <w:tr w:rsidR="00DA3852" w14:paraId="7DD6E196" w14:textId="77777777" w:rsidTr="000A13FB">
              <w:tc>
                <w:tcPr>
                  <w:tcW w:w="1398" w:type="pct"/>
                  <w:tcBorders>
                    <w:top w:val="single" w:sz="6" w:space="0" w:color="BFBFBF"/>
                  </w:tcBorders>
                </w:tcPr>
                <w:p w14:paraId="02235663" w14:textId="77777777" w:rsidR="00DA3852" w:rsidRDefault="00DA3852" w:rsidP="00C03F9E">
                  <w:pPr>
                    <w:pStyle w:val="TableBodyText"/>
                    <w:spacing w:before="80"/>
                    <w:jc w:val="left"/>
                    <w:rPr>
                      <w:szCs w:val="24"/>
                    </w:rPr>
                  </w:pPr>
                  <w:r>
                    <w:t>Brownfield expansion limit</w:t>
                  </w:r>
                </w:p>
              </w:tc>
              <w:tc>
                <w:tcPr>
                  <w:tcW w:w="1096" w:type="pct"/>
                  <w:tcBorders>
                    <w:top w:val="single" w:sz="6" w:space="0" w:color="BFBFBF"/>
                  </w:tcBorders>
                </w:tcPr>
                <w:p w14:paraId="20B5D05C" w14:textId="77777777" w:rsidR="00DA3852" w:rsidRDefault="00DA3852" w:rsidP="00C03F9E">
                  <w:pPr>
                    <w:pStyle w:val="TableBodyText"/>
                    <w:spacing w:before="80"/>
                    <w:jc w:val="left"/>
                  </w:pPr>
                  <w:r>
                    <w:t>Current capacity can be expanded by up to</w:t>
                  </w:r>
                  <w:r>
                    <w:br/>
                    <w:t xml:space="preserve">200 per cent. </w:t>
                  </w:r>
                </w:p>
              </w:tc>
              <w:tc>
                <w:tcPr>
                  <w:tcW w:w="2506" w:type="pct"/>
                  <w:tcBorders>
                    <w:top w:val="single" w:sz="6" w:space="0" w:color="BFBFBF"/>
                  </w:tcBorders>
                </w:tcPr>
                <w:p w14:paraId="7A071C55" w14:textId="3398A8C1" w:rsidR="00DA3852" w:rsidRDefault="00DA3852" w:rsidP="00C03F9E">
                  <w:pPr>
                    <w:pStyle w:val="TableBodyText"/>
                    <w:spacing w:before="80"/>
                    <w:ind w:right="28"/>
                    <w:jc w:val="left"/>
                    <w:rPr>
                      <w:i/>
                    </w:rPr>
                  </w:pPr>
                  <w:r>
                    <w:t xml:space="preserve">Most recent expansion projects have increased (or proposed to increase) capacity between 10 and 100 per cent. However, many pipelines have been expanded multiple times over their lifetime, </w:t>
                  </w:r>
                  <w:r w:rsidDel="001B6C5A">
                    <w:t xml:space="preserve">increasing capacity </w:t>
                  </w:r>
                  <w:r>
                    <w:t>by up to or more than 200</w:t>
                  </w:r>
                  <w:proofErr w:type="gramStart"/>
                  <w:r>
                    <w:t>  per</w:t>
                  </w:r>
                  <w:proofErr w:type="gramEnd"/>
                  <w:r>
                    <w:t xml:space="preserve"> cent. For example, capacity on the RBP has increased more than fivefold since the 1960s </w:t>
                  </w:r>
                  <w:r w:rsidRPr="003E7B78">
                    <w:rPr>
                      <w:rFonts w:cs="Arial"/>
                      <w:szCs w:val="24"/>
                    </w:rPr>
                    <w:t xml:space="preserve">(The Australian </w:t>
                  </w:r>
                  <w:proofErr w:type="spellStart"/>
                  <w:r w:rsidRPr="003E7B78">
                    <w:rPr>
                      <w:rFonts w:cs="Arial"/>
                      <w:szCs w:val="24"/>
                    </w:rPr>
                    <w:t>Pipeliner</w:t>
                  </w:r>
                  <w:proofErr w:type="spellEnd"/>
                  <w:r w:rsidRPr="003E7B78">
                    <w:rPr>
                      <w:rFonts w:cs="Arial"/>
                      <w:szCs w:val="24"/>
                    </w:rPr>
                    <w:t> 2012a)</w:t>
                  </w:r>
                  <w:r>
                    <w:t xml:space="preserve">. Details of recent expansion projects are outlined in table B.9. </w:t>
                  </w:r>
                </w:p>
              </w:tc>
            </w:tr>
            <w:tr w:rsidR="00DA3852" w14:paraId="546EA509" w14:textId="77777777" w:rsidTr="000A13FB">
              <w:tc>
                <w:tcPr>
                  <w:tcW w:w="1398" w:type="pct"/>
                  <w:tcBorders>
                    <w:bottom w:val="single" w:sz="6" w:space="0" w:color="BFBFBF"/>
                  </w:tcBorders>
                  <w:shd w:val="clear" w:color="auto" w:fill="auto"/>
                </w:tcPr>
                <w:p w14:paraId="3799294F" w14:textId="77777777" w:rsidR="00DA3852" w:rsidRDefault="00DA3852" w:rsidP="00C03F9E">
                  <w:pPr>
                    <w:pStyle w:val="TableBodyText"/>
                    <w:jc w:val="left"/>
                  </w:pPr>
                  <w:r>
                    <w:t>Greenfield expansion limit</w:t>
                  </w:r>
                  <w:r w:rsidRPr="0097435E">
                    <w:rPr>
                      <w:rStyle w:val="NoteLabel"/>
                    </w:rPr>
                    <w:t>a</w:t>
                  </w:r>
                  <w:r>
                    <w:t xml:space="preserve"> </w:t>
                  </w:r>
                </w:p>
              </w:tc>
              <w:tc>
                <w:tcPr>
                  <w:tcW w:w="1096" w:type="pct"/>
                  <w:tcBorders>
                    <w:bottom w:val="single" w:sz="6" w:space="0" w:color="BFBFBF"/>
                  </w:tcBorders>
                  <w:shd w:val="clear" w:color="auto" w:fill="auto"/>
                </w:tcPr>
                <w:p w14:paraId="09D2923F" w14:textId="77777777" w:rsidR="00DA3852" w:rsidRDefault="00DA3852" w:rsidP="00C03F9E">
                  <w:pPr>
                    <w:pStyle w:val="TableBodyText"/>
                    <w:spacing w:before="60"/>
                    <w:jc w:val="left"/>
                    <w:rPr>
                      <w:i/>
                    </w:rPr>
                  </w:pPr>
                  <w:r>
                    <w:t>One new pipeline per route during the simulation period.</w:t>
                  </w:r>
                </w:p>
              </w:tc>
              <w:tc>
                <w:tcPr>
                  <w:tcW w:w="2506" w:type="pct"/>
                  <w:tcBorders>
                    <w:bottom w:val="single" w:sz="6" w:space="0" w:color="BFBFBF"/>
                  </w:tcBorders>
                  <w:shd w:val="clear" w:color="auto" w:fill="auto"/>
                </w:tcPr>
                <w:p w14:paraId="6E41267E" w14:textId="77777777" w:rsidR="00DA3852" w:rsidRDefault="00DA3852" w:rsidP="00C03F9E">
                  <w:pPr>
                    <w:pStyle w:val="TableBodyText"/>
                    <w:ind w:right="28"/>
                    <w:jc w:val="left"/>
                  </w:pPr>
                </w:p>
              </w:tc>
            </w:tr>
          </w:tbl>
          <w:p w14:paraId="33BE2E73" w14:textId="77777777" w:rsidR="00DA3852" w:rsidRDefault="00DA3852" w:rsidP="00C03F9E">
            <w:pPr>
              <w:pStyle w:val="Box"/>
            </w:pPr>
          </w:p>
        </w:tc>
      </w:tr>
      <w:tr w:rsidR="00DA3852" w14:paraId="3F510C21" w14:textId="77777777" w:rsidTr="000D5B63">
        <w:trPr>
          <w:cantSplit/>
        </w:trPr>
        <w:tc>
          <w:tcPr>
            <w:tcW w:w="8767" w:type="dxa"/>
            <w:tcBorders>
              <w:top w:val="nil"/>
              <w:left w:val="nil"/>
              <w:bottom w:val="nil"/>
              <w:right w:val="nil"/>
            </w:tcBorders>
            <w:shd w:val="clear" w:color="auto" w:fill="auto"/>
          </w:tcPr>
          <w:p w14:paraId="45A0A7C5" w14:textId="77777777" w:rsidR="00DA3852" w:rsidRDefault="00DA3852" w:rsidP="00C03F9E">
            <w:pPr>
              <w:pStyle w:val="Note"/>
              <w:rPr>
                <w:i/>
              </w:rPr>
            </w:pPr>
            <w:proofErr w:type="gramStart"/>
            <w:r w:rsidRPr="008E77FE">
              <w:rPr>
                <w:rStyle w:val="NoteLabel"/>
              </w:rPr>
              <w:t>a</w:t>
            </w:r>
            <w:proofErr w:type="gramEnd"/>
            <w:r>
              <w:t xml:space="preserve"> Greenfield expansion is restricted to pipeline routes where greenfield expansion is likely to be an economic option — the Surat–Bowen to Gladstone route, the Gunnedah to Young route and the Clarence–Morton to Brisbane route. These routes were chosen because testing suggested that new pipelines are unlikely to be economic on other routes. Including redundant options requires increasing the number of binary variables, which increases the time taken to solve the model.</w:t>
            </w:r>
          </w:p>
        </w:tc>
      </w:tr>
      <w:tr w:rsidR="00DA3852" w14:paraId="15100405" w14:textId="77777777" w:rsidTr="000D5B63">
        <w:trPr>
          <w:cantSplit/>
        </w:trPr>
        <w:tc>
          <w:tcPr>
            <w:tcW w:w="8767" w:type="dxa"/>
            <w:tcBorders>
              <w:top w:val="nil"/>
              <w:left w:val="nil"/>
              <w:bottom w:val="single" w:sz="6" w:space="0" w:color="78A22F"/>
              <w:right w:val="nil"/>
            </w:tcBorders>
            <w:shd w:val="clear" w:color="auto" w:fill="auto"/>
          </w:tcPr>
          <w:p w14:paraId="234B267B" w14:textId="77777777" w:rsidR="00DA3852" w:rsidRDefault="00DA3852" w:rsidP="00C03F9E">
            <w:pPr>
              <w:pStyle w:val="Box"/>
              <w:spacing w:before="0" w:line="120" w:lineRule="exact"/>
            </w:pPr>
          </w:p>
        </w:tc>
      </w:tr>
      <w:tr w:rsidR="00DA3852" w:rsidRPr="000863A5" w14:paraId="4620FF17" w14:textId="77777777" w:rsidTr="000A13FB">
        <w:tc>
          <w:tcPr>
            <w:tcW w:w="8767" w:type="dxa"/>
            <w:tcBorders>
              <w:top w:val="single" w:sz="6" w:space="0" w:color="78A22F"/>
              <w:left w:val="nil"/>
              <w:bottom w:val="nil"/>
              <w:right w:val="nil"/>
            </w:tcBorders>
          </w:tcPr>
          <w:p w14:paraId="2276E44C" w14:textId="77777777" w:rsidR="00DA3852" w:rsidRPr="00626D32" w:rsidRDefault="00DA3852" w:rsidP="00C03F9E">
            <w:pPr>
              <w:pStyle w:val="BoxSpaceBelow"/>
            </w:pPr>
          </w:p>
        </w:tc>
      </w:tr>
    </w:tbl>
    <w:p w14:paraId="174D9210" w14:textId="77777777" w:rsidR="00CC518F" w:rsidRDefault="00CC518F" w:rsidP="00DA3852">
      <w:pPr>
        <w:pStyle w:val="Heading4"/>
      </w:pPr>
    </w:p>
    <w:p w14:paraId="2B8E6478" w14:textId="77777777" w:rsidR="00CC518F" w:rsidRDefault="00CC518F" w:rsidP="00CC518F">
      <w:pPr>
        <w:pStyle w:val="BodyText"/>
        <w:rPr>
          <w:rFonts w:ascii="Arial" w:hAnsi="Arial"/>
        </w:rPr>
      </w:pPr>
      <w:r>
        <w:br w:type="page"/>
      </w:r>
    </w:p>
    <w:p w14:paraId="7AE6FA21" w14:textId="15E92072" w:rsidR="00DA3852" w:rsidRDefault="00DA3852" w:rsidP="00DA3852">
      <w:pPr>
        <w:pStyle w:val="Heading4"/>
      </w:pPr>
      <w:r>
        <w:lastRenderedPageBreak/>
        <w:t>Investment cost</w:t>
      </w:r>
    </w:p>
    <w:p w14:paraId="0A16CFF5" w14:textId="77777777" w:rsidR="00DA3852" w:rsidRDefault="00DA3852" w:rsidP="00DA3852">
      <w:pPr>
        <w:pStyle w:val="BodyText"/>
      </w:pPr>
      <w:r>
        <w:t>The cost of building a pipeline consists of right of way costs, material used (which affects friction), the amount of compression installed, engineering and overhead costs and other installation</w:t>
      </w:r>
      <w:r>
        <w:noBreakHyphen/>
        <w:t xml:space="preserve">related costs </w:t>
      </w:r>
      <w:r w:rsidRPr="00910704">
        <w:rPr>
          <w:szCs w:val="24"/>
        </w:rPr>
        <w:t xml:space="preserve">(IEA 1994; </w:t>
      </w:r>
      <w:proofErr w:type="spellStart"/>
      <w:r w:rsidRPr="00910704">
        <w:rPr>
          <w:szCs w:val="24"/>
        </w:rPr>
        <w:t>Yepez</w:t>
      </w:r>
      <w:proofErr w:type="spellEnd"/>
      <w:r w:rsidRPr="00B77CE0">
        <w:rPr>
          <w:szCs w:val="24"/>
        </w:rPr>
        <w:t> 2008)</w:t>
      </w:r>
      <w:r>
        <w:t>. These costs are a function of a pipeline’s length and its capacity (which depends principally on its diameter). Pipeline construction costs can exhibit increasing returns to scale, as pipeline capacity depends on the pipeline’s interior cross</w:t>
      </w:r>
      <w:r>
        <w:noBreakHyphen/>
        <w:t xml:space="preserve">sectional area, which is proportional to the square of its diameter. However, there are limits to increasing returns to scale determined by pressure differentials, the length of a pipeline and other factors </w:t>
      </w:r>
      <w:r w:rsidRPr="00611CBB">
        <w:rPr>
          <w:szCs w:val="24"/>
        </w:rPr>
        <w:t>(Kahn 1988)</w:t>
      </w:r>
      <w:r>
        <w:t xml:space="preserve">. </w:t>
      </w:r>
    </w:p>
    <w:p w14:paraId="2834A92C" w14:textId="028EC0FE" w:rsidR="00DA3852" w:rsidRDefault="00DA3852" w:rsidP="00DA3852">
      <w:pPr>
        <w:pStyle w:val="BodyText"/>
      </w:pPr>
      <w:r>
        <w:t xml:space="preserve">Greenfield investment costs were estimated using data for a selection of </w:t>
      </w:r>
      <w:r w:rsidRPr="00893D4A">
        <w:t xml:space="preserve">recently built </w:t>
      </w:r>
      <w:r>
        <w:t>or</w:t>
      </w:r>
      <w:r w:rsidRPr="00893D4A">
        <w:t xml:space="preserve"> proposed pipelines</w:t>
      </w:r>
      <w:r>
        <w:t xml:space="preserve"> (table B.7). A functional form incorporating increasing returns to scale was used, based on DRET </w:t>
      </w:r>
      <w:r w:rsidRPr="00387CE4">
        <w:t>(2013)</w:t>
      </w:r>
      <w:r>
        <w:t xml:space="preserve">. To implement </w:t>
      </w:r>
      <w:proofErr w:type="gramStart"/>
      <w:r>
        <w:t>greenfield</w:t>
      </w:r>
      <w:proofErr w:type="gramEnd"/>
      <w:r>
        <w:t xml:space="preserve"> investment in the model, two sizes of pipelines can be built. Cost estimates are based on the Commission’s regression results (reported in figure B.4).</w:t>
      </w:r>
    </w:p>
    <w:p w14:paraId="074AB52F" w14:textId="77777777" w:rsidR="00DA3852" w:rsidRDefault="00DA3852" w:rsidP="00DA3852">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DA3852" w14:paraId="4D1E46A2" w14:textId="77777777" w:rsidTr="00C03F9E">
        <w:tc>
          <w:tcPr>
            <w:tcW w:w="8771" w:type="dxa"/>
            <w:tcBorders>
              <w:top w:val="single" w:sz="6" w:space="0" w:color="78A22F"/>
              <w:left w:val="nil"/>
              <w:bottom w:val="nil"/>
              <w:right w:val="nil"/>
            </w:tcBorders>
            <w:shd w:val="clear" w:color="auto" w:fill="auto"/>
          </w:tcPr>
          <w:p w14:paraId="58158864" w14:textId="77777777" w:rsidR="00DA3852" w:rsidRPr="00176D3F" w:rsidRDefault="00DA3852" w:rsidP="00C03F9E">
            <w:pPr>
              <w:pStyle w:val="FigureTitle"/>
            </w:pPr>
            <w:r w:rsidRPr="00784A05">
              <w:rPr>
                <w:b w:val="0"/>
              </w:rPr>
              <w:t xml:space="preserve">Figure </w:t>
            </w:r>
            <w:r>
              <w:rPr>
                <w:b w:val="0"/>
              </w:rPr>
              <w:t>B.4</w:t>
            </w:r>
            <w:r>
              <w:tab/>
              <w:t>Brownfield and greenfield investment costs</w:t>
            </w:r>
          </w:p>
        </w:tc>
      </w:tr>
      <w:tr w:rsidR="00DA3852" w14:paraId="5947756A" w14:textId="77777777" w:rsidTr="00C03F9E">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4252"/>
              <w:gridCol w:w="4252"/>
            </w:tblGrid>
            <w:tr w:rsidR="00DA3852" w14:paraId="2E76715B" w14:textId="77777777" w:rsidTr="00C03F9E">
              <w:trPr>
                <w:jc w:val="center"/>
              </w:trPr>
              <w:tc>
                <w:tcPr>
                  <w:tcW w:w="4252" w:type="dxa"/>
                  <w:tcBorders>
                    <w:top w:val="nil"/>
                    <w:bottom w:val="nil"/>
                  </w:tcBorders>
                </w:tcPr>
                <w:p w14:paraId="1D889AAE" w14:textId="77777777" w:rsidR="00DA3852" w:rsidRPr="00CB258D" w:rsidRDefault="00DA3852" w:rsidP="00C03F9E">
                  <w:pPr>
                    <w:pStyle w:val="Figure"/>
                    <w:spacing w:before="60" w:after="60"/>
                    <w:rPr>
                      <w:rFonts w:asciiTheme="majorHAnsi" w:hAnsiTheme="majorHAnsi" w:cstheme="majorHAnsi"/>
                      <w:b/>
                      <w:sz w:val="20"/>
                    </w:rPr>
                  </w:pPr>
                  <w:r>
                    <w:rPr>
                      <w:rFonts w:ascii="Arial" w:hAnsi="Arial" w:cs="Arial"/>
                      <w:b/>
                      <w:sz w:val="20"/>
                    </w:rPr>
                    <w:t>G</w:t>
                  </w:r>
                  <w:r w:rsidRPr="00CB258D">
                    <w:rPr>
                      <w:rFonts w:ascii="Arial" w:hAnsi="Arial" w:cs="Arial"/>
                      <w:b/>
                      <w:sz w:val="20"/>
                    </w:rPr>
                    <w:t xml:space="preserve">reenfield </w:t>
                  </w:r>
                  <w:r w:rsidRPr="00EE5C7B">
                    <w:rPr>
                      <w:rFonts w:ascii="Arial" w:hAnsi="Arial" w:cs="Arial"/>
                      <w:b/>
                      <w:sz w:val="20"/>
                    </w:rPr>
                    <w:t>costs</w:t>
                  </w:r>
                </w:p>
              </w:tc>
              <w:tc>
                <w:tcPr>
                  <w:tcW w:w="4252" w:type="dxa"/>
                  <w:tcBorders>
                    <w:top w:val="nil"/>
                    <w:bottom w:val="nil"/>
                  </w:tcBorders>
                </w:tcPr>
                <w:p w14:paraId="1CA2D948" w14:textId="77777777" w:rsidR="00DA3852" w:rsidRPr="00CB258D" w:rsidRDefault="00DA3852" w:rsidP="00C03F9E">
                  <w:pPr>
                    <w:pStyle w:val="Figure"/>
                    <w:spacing w:before="60" w:after="60"/>
                    <w:rPr>
                      <w:rFonts w:ascii="Arial" w:hAnsi="Arial" w:cs="Arial"/>
                      <w:b/>
                      <w:sz w:val="20"/>
                    </w:rPr>
                  </w:pPr>
                  <w:r w:rsidRPr="00EE5C7B">
                    <w:rPr>
                      <w:rFonts w:ascii="Arial" w:hAnsi="Arial" w:cs="Arial"/>
                      <w:b/>
                      <w:sz w:val="20"/>
                    </w:rPr>
                    <w:t>Brownfield</w:t>
                  </w:r>
                  <w:r w:rsidRPr="00CB258D">
                    <w:rPr>
                      <w:rFonts w:ascii="Arial" w:hAnsi="Arial" w:cs="Arial"/>
                      <w:b/>
                      <w:sz w:val="20"/>
                    </w:rPr>
                    <w:t xml:space="preserve"> costs</w:t>
                  </w:r>
                </w:p>
              </w:tc>
            </w:tr>
            <w:tr w:rsidR="008923A3" w14:paraId="674F8AFC" w14:textId="77777777" w:rsidTr="008923A3">
              <w:trPr>
                <w:jc w:val="center"/>
              </w:trPr>
              <w:tc>
                <w:tcPr>
                  <w:tcW w:w="4252" w:type="dxa"/>
                  <w:tcBorders>
                    <w:top w:val="nil"/>
                    <w:bottom w:val="nil"/>
                  </w:tcBorders>
                </w:tcPr>
                <w:p w14:paraId="7AF3E652" w14:textId="5121BF5F" w:rsidR="008923A3" w:rsidRDefault="008923A3" w:rsidP="00C03F9E">
                  <w:pPr>
                    <w:pStyle w:val="Figure"/>
                    <w:spacing w:before="60" w:after="60"/>
                    <w:rPr>
                      <w:noProof/>
                    </w:rPr>
                  </w:pPr>
                  <w:r>
                    <w:rPr>
                      <w:noProof/>
                    </w:rPr>
                    <w:drawing>
                      <wp:inline distT="0" distB="0" distL="0" distR="0" wp14:anchorId="2CCC9ADC" wp14:editId="6969D27F">
                        <wp:extent cx="2524125" cy="2524125"/>
                        <wp:effectExtent l="0" t="0" r="9525" b="9525"/>
                        <wp:docPr id="4" name="Picture 4" descr="Recent greenfield projects show that costs per kilometre increase with capacity but at a decreasing rate — i.e. these projects exhibit increasing returns to scale. Smaller greenfield projects (capacity of less than 200 petajoules per year) cost about one million per kilometre. Larger greenfield projects cost more. A non-linear regression has been estimated based on these projec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pic:spPr>
                            </pic:pic>
                          </a:graphicData>
                        </a:graphic>
                      </wp:inline>
                    </w:drawing>
                  </w:r>
                </w:p>
              </w:tc>
              <w:tc>
                <w:tcPr>
                  <w:tcW w:w="4252" w:type="dxa"/>
                  <w:tcBorders>
                    <w:top w:val="nil"/>
                    <w:bottom w:val="nil"/>
                  </w:tcBorders>
                </w:tcPr>
                <w:p w14:paraId="79D7CFE5" w14:textId="6DC4E0C7" w:rsidR="008923A3" w:rsidRDefault="008923A3" w:rsidP="00C03F9E">
                  <w:pPr>
                    <w:pStyle w:val="Figure"/>
                    <w:spacing w:before="60" w:after="60"/>
                  </w:pPr>
                  <w:r>
                    <w:rPr>
                      <w:noProof/>
                    </w:rPr>
                    <w:drawing>
                      <wp:inline distT="0" distB="0" distL="0" distR="0" wp14:anchorId="34F0260F" wp14:editId="675FC313">
                        <wp:extent cx="2524125" cy="2585085"/>
                        <wp:effectExtent l="0" t="0" r="9525" b="5715"/>
                        <wp:docPr id="1" name="Picture 1" descr="Recent brownfield projects show that costs increase with capacity. These brownfield projects range from expansions of less than five petajoules per year to up to 60 petajoules per year. Costs range from less than $10 dollars up to $160 mill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24125" cy="2585085"/>
                                </a:xfrm>
                                <a:prstGeom prst="rect">
                                  <a:avLst/>
                                </a:prstGeom>
                                <a:noFill/>
                              </pic:spPr>
                            </pic:pic>
                          </a:graphicData>
                        </a:graphic>
                      </wp:inline>
                    </w:drawing>
                  </w:r>
                </w:p>
              </w:tc>
            </w:tr>
            <w:tr w:rsidR="00DA3852" w14:paraId="7DEA7964" w14:textId="77777777" w:rsidTr="00C03F9E">
              <w:trPr>
                <w:jc w:val="center"/>
              </w:trPr>
              <w:tc>
                <w:tcPr>
                  <w:tcW w:w="4252" w:type="dxa"/>
                  <w:tcBorders>
                    <w:top w:val="nil"/>
                    <w:bottom w:val="nil"/>
                  </w:tcBorders>
                </w:tcPr>
                <w:p w14:paraId="1D05E03F" w14:textId="1509C309" w:rsidR="00DA3852" w:rsidRPr="00CB258D" w:rsidRDefault="007231F7">
                  <w:pPr>
                    <w:pStyle w:val="Figure"/>
                    <w:keepLines/>
                    <w:spacing w:before="60" w:after="60"/>
                    <w:rPr>
                      <w:rFonts w:ascii="Arial" w:hAnsi="Arial" w:cs="Arial"/>
                      <w:i/>
                      <w:noProof/>
                      <w:sz w:val="20"/>
                    </w:rPr>
                  </w:pPr>
                  <m:oMath>
                    <m:sSub>
                      <m:sSubPr>
                        <m:ctrlPr>
                          <w:rPr>
                            <w:rFonts w:ascii="Cambria Math" w:hAnsi="Cambria Math" w:cs="Arial"/>
                            <w:i/>
                            <w:noProof/>
                            <w:sz w:val="20"/>
                          </w:rPr>
                        </m:ctrlPr>
                      </m:sSubPr>
                      <m:e>
                        <m:r>
                          <w:rPr>
                            <w:rFonts w:ascii="Cambria Math" w:hAnsi="Cambria Math" w:cs="Arial"/>
                            <w:noProof/>
                            <w:sz w:val="20"/>
                          </w:rPr>
                          <m:t>cost/km = α</m:t>
                        </m:r>
                      </m:e>
                      <m:sub>
                        <m:r>
                          <w:rPr>
                            <w:rFonts w:ascii="Cambria Math" w:hAnsi="Cambria Math" w:cs="Arial"/>
                            <w:noProof/>
                            <w:sz w:val="20"/>
                          </w:rPr>
                          <m:t>1</m:t>
                        </m:r>
                      </m:sub>
                    </m:sSub>
                    <m:sSup>
                      <m:sSupPr>
                        <m:ctrlPr>
                          <w:rPr>
                            <w:rFonts w:ascii="Cambria Math" w:hAnsi="Cambria Math" w:cs="Arial"/>
                            <w:i/>
                            <w:noProof/>
                            <w:sz w:val="20"/>
                          </w:rPr>
                        </m:ctrlPr>
                      </m:sSupPr>
                      <m:e>
                        <m:r>
                          <w:rPr>
                            <w:rFonts w:ascii="Cambria Math" w:hAnsi="Cambria Math" w:cs="Arial"/>
                            <w:noProof/>
                            <w:sz w:val="20"/>
                          </w:rPr>
                          <m:t>capacity</m:t>
                        </m:r>
                      </m:e>
                      <m:sup>
                        <m:sSub>
                          <m:sSubPr>
                            <m:ctrlPr>
                              <w:rPr>
                                <w:rFonts w:ascii="Cambria Math" w:hAnsi="Cambria Math" w:cs="Arial"/>
                                <w:i/>
                                <w:noProof/>
                                <w:sz w:val="20"/>
                              </w:rPr>
                            </m:ctrlPr>
                          </m:sSubPr>
                          <m:e>
                            <m:r>
                              <w:rPr>
                                <w:rFonts w:ascii="Cambria Math" w:hAnsi="Cambria Math" w:cs="Arial"/>
                                <w:noProof/>
                                <w:sz w:val="20"/>
                              </w:rPr>
                              <m:t>α</m:t>
                            </m:r>
                          </m:e>
                          <m:sub>
                            <m:r>
                              <w:rPr>
                                <w:rFonts w:ascii="Cambria Math" w:hAnsi="Cambria Math" w:cs="Arial"/>
                                <w:noProof/>
                                <w:sz w:val="20"/>
                              </w:rPr>
                              <m:t>2</m:t>
                            </m:r>
                          </m:sub>
                        </m:sSub>
                      </m:sup>
                    </m:sSup>
                  </m:oMath>
                  <w:r w:rsidR="00DA3852">
                    <w:rPr>
                      <w:rStyle w:val="NoteLabel"/>
                    </w:rPr>
                    <w:t>a</w:t>
                  </w:r>
                </w:p>
              </w:tc>
              <w:tc>
                <w:tcPr>
                  <w:tcW w:w="4252" w:type="dxa"/>
                  <w:tcBorders>
                    <w:top w:val="nil"/>
                    <w:bottom w:val="nil"/>
                  </w:tcBorders>
                </w:tcPr>
                <w:p w14:paraId="057894A0" w14:textId="14DDBFA2" w:rsidR="00DA3852" w:rsidRDefault="009C77B7">
                  <w:pPr>
                    <w:pStyle w:val="Figure"/>
                    <w:spacing w:before="60" w:after="60"/>
                    <w:rPr>
                      <w:szCs w:val="24"/>
                    </w:rPr>
                  </w:pPr>
                  <m:oMath>
                    <m:r>
                      <w:rPr>
                        <w:rFonts w:ascii="Cambria Math" w:hAnsi="Cambria Math" w:cs="Arial"/>
                        <w:noProof/>
                        <w:sz w:val="20"/>
                      </w:rPr>
                      <m:t>cost=</m:t>
                    </m:r>
                    <m:sSub>
                      <m:sSubPr>
                        <m:ctrlPr>
                          <w:rPr>
                            <w:rFonts w:ascii="Cambria Math" w:hAnsi="Cambria Math" w:cs="Arial"/>
                            <w:i/>
                            <w:noProof/>
                            <w:sz w:val="20"/>
                          </w:rPr>
                        </m:ctrlPr>
                      </m:sSubPr>
                      <m:e>
                        <m:r>
                          <w:rPr>
                            <w:rFonts w:ascii="Cambria Math" w:hAnsi="Cambria Math" w:cs="Arial"/>
                            <w:noProof/>
                            <w:sz w:val="20"/>
                          </w:rPr>
                          <m:t>β</m:t>
                        </m:r>
                      </m:e>
                      <m:sub>
                        <m:r>
                          <w:rPr>
                            <w:rFonts w:ascii="Cambria Math" w:hAnsi="Cambria Math" w:cs="Arial"/>
                            <w:noProof/>
                            <w:sz w:val="20"/>
                          </w:rPr>
                          <m:t>1</m:t>
                        </m:r>
                      </m:sub>
                    </m:sSub>
                    <m:r>
                      <w:rPr>
                        <w:rFonts w:ascii="Cambria Math" w:hAnsi="Cambria Math" w:cs="Arial"/>
                        <w:noProof/>
                        <w:sz w:val="20"/>
                      </w:rPr>
                      <m:t>capacity</m:t>
                    </m:r>
                  </m:oMath>
                  <w:r w:rsidR="00DA3852">
                    <w:rPr>
                      <w:rStyle w:val="NoteLabel"/>
                    </w:rPr>
                    <w:t>b</w:t>
                  </w:r>
                </w:p>
              </w:tc>
            </w:tr>
          </w:tbl>
          <w:p w14:paraId="273FE52B" w14:textId="77777777" w:rsidR="00DA3852" w:rsidRDefault="00DA3852" w:rsidP="00C03F9E">
            <w:pPr>
              <w:pStyle w:val="Figure"/>
            </w:pPr>
          </w:p>
        </w:tc>
      </w:tr>
      <w:tr w:rsidR="00DA3852" w:rsidRPr="00176D3F" w14:paraId="620781CC" w14:textId="77777777" w:rsidTr="00C03F9E">
        <w:tc>
          <w:tcPr>
            <w:tcW w:w="8771" w:type="dxa"/>
            <w:tcBorders>
              <w:top w:val="nil"/>
              <w:left w:val="nil"/>
              <w:bottom w:val="nil"/>
              <w:right w:val="nil"/>
            </w:tcBorders>
            <w:shd w:val="clear" w:color="auto" w:fill="auto"/>
          </w:tcPr>
          <w:p w14:paraId="257058B3" w14:textId="1F7E98E9" w:rsidR="00DA3852" w:rsidRPr="00176D3F" w:rsidRDefault="00DA3852" w:rsidP="00C03F9E">
            <w:pPr>
              <w:pStyle w:val="Note"/>
              <w:rPr>
                <w:i/>
              </w:rPr>
            </w:pPr>
            <w:proofErr w:type="gramStart"/>
            <w:r>
              <w:rPr>
                <w:rStyle w:val="NoteLabel"/>
              </w:rPr>
              <w:t>a</w:t>
            </w:r>
            <w:proofErr w:type="gramEnd"/>
            <w:r>
              <w:t xml:space="preserve"> DRET </w:t>
            </w:r>
            <w:r w:rsidRPr="00787411">
              <w:rPr>
                <w:rFonts w:cs="Arial"/>
              </w:rPr>
              <w:t>(2013)</w:t>
            </w:r>
            <w:r>
              <w:t xml:space="preserve"> noted that the cost per km of building a pipeline is proportional to capacity to the power of 0.24 (cost/km </w:t>
            </w:r>
            <w:r w:rsidRPr="00A26FB5">
              <w:rPr>
                <w:rFonts w:asciiTheme="majorHAnsi" w:hAnsiTheme="majorHAnsi"/>
              </w:rPr>
              <w:t>α</w:t>
            </w:r>
            <w:r>
              <w:t xml:space="preserve"> capacity</w:t>
            </w:r>
            <w:r w:rsidRPr="007322FF">
              <w:rPr>
                <w:vertAlign w:val="superscript"/>
              </w:rPr>
              <w:t>0.24</w:t>
            </w:r>
            <w:r>
              <w:t>). This functional form was generalised by the Commission in the form</w:t>
            </w:r>
            <w:proofErr w:type="gramStart"/>
            <w:r>
              <w:t xml:space="preserve">: </w:t>
            </w:r>
            <w:proofErr w:type="gramEnd"/>
            <w:r>
              <w:br/>
            </w:r>
            <m:oMath>
              <m:sSub>
                <m:sSubPr>
                  <m:ctrlPr>
                    <w:rPr>
                      <w:rFonts w:ascii="Cambria Math" w:hAnsi="Cambria Math" w:cs="Arial"/>
                      <w:i/>
                      <w:noProof/>
                      <w:sz w:val="20"/>
                    </w:rPr>
                  </m:ctrlPr>
                </m:sSubPr>
                <m:e>
                  <m:r>
                    <w:rPr>
                      <w:rFonts w:ascii="Cambria Math" w:hAnsi="Cambria Math" w:cs="Arial"/>
                      <w:noProof/>
                      <w:sz w:val="20"/>
                    </w:rPr>
                    <m:t>cost/km = α</m:t>
                  </m:r>
                </m:e>
                <m:sub>
                  <m:r>
                    <w:rPr>
                      <w:rFonts w:ascii="Cambria Math" w:hAnsi="Cambria Math" w:cs="Arial"/>
                      <w:noProof/>
                      <w:sz w:val="20"/>
                    </w:rPr>
                    <m:t>1</m:t>
                  </m:r>
                </m:sub>
              </m:sSub>
              <m:sSup>
                <m:sSupPr>
                  <m:ctrlPr>
                    <w:rPr>
                      <w:rFonts w:ascii="Cambria Math" w:hAnsi="Cambria Math" w:cs="Arial"/>
                      <w:i/>
                      <w:noProof/>
                      <w:sz w:val="20"/>
                    </w:rPr>
                  </m:ctrlPr>
                </m:sSupPr>
                <m:e>
                  <m:r>
                    <w:rPr>
                      <w:rFonts w:ascii="Cambria Math" w:hAnsi="Cambria Math" w:cs="Arial"/>
                      <w:noProof/>
                      <w:sz w:val="20"/>
                    </w:rPr>
                    <m:t>capacity</m:t>
                  </m:r>
                </m:e>
                <m:sup>
                  <m:sSub>
                    <m:sSubPr>
                      <m:ctrlPr>
                        <w:rPr>
                          <w:rFonts w:ascii="Cambria Math" w:hAnsi="Cambria Math" w:cs="Arial"/>
                          <w:i/>
                          <w:noProof/>
                          <w:sz w:val="20"/>
                        </w:rPr>
                      </m:ctrlPr>
                    </m:sSubPr>
                    <m:e>
                      <m:r>
                        <w:rPr>
                          <w:rFonts w:ascii="Cambria Math" w:hAnsi="Cambria Math" w:cs="Arial"/>
                          <w:noProof/>
                          <w:sz w:val="20"/>
                        </w:rPr>
                        <m:t>α</m:t>
                      </m:r>
                    </m:e>
                    <m:sub>
                      <m:r>
                        <w:rPr>
                          <w:rFonts w:ascii="Cambria Math" w:hAnsi="Cambria Math" w:cs="Arial"/>
                          <w:noProof/>
                          <w:sz w:val="20"/>
                        </w:rPr>
                        <m:t>2</m:t>
                      </m:r>
                    </m:sub>
                  </m:sSub>
                </m:sup>
              </m:sSup>
            </m:oMath>
            <w:r>
              <w:t xml:space="preserve">. Using a logarithmic transformation, an ordinary least squares regression was used to estimate parameters: </w:t>
            </w:r>
            <w:r w:rsidRPr="005931DB">
              <w:rPr>
                <w:rFonts w:ascii="Times New Roman" w:hAnsi="Times New Roman"/>
                <w:i/>
              </w:rPr>
              <w:t>α</w:t>
            </w:r>
            <w:r w:rsidRPr="005931DB">
              <w:rPr>
                <w:i/>
                <w:vertAlign w:val="subscript"/>
              </w:rPr>
              <w:t xml:space="preserve">1 </w:t>
            </w:r>
            <w:r>
              <w:t xml:space="preserve">was estimated to be $0.19 million per km and </w:t>
            </w:r>
            <w:r w:rsidRPr="005931DB">
              <w:rPr>
                <w:rFonts w:ascii="Times New Roman" w:hAnsi="Times New Roman"/>
                <w:i/>
              </w:rPr>
              <w:t>α</w:t>
            </w:r>
            <w:r w:rsidRPr="005931DB">
              <w:rPr>
                <w:i/>
                <w:vertAlign w:val="subscript"/>
              </w:rPr>
              <w:t xml:space="preserve">2 </w:t>
            </w:r>
            <w:r>
              <w:t xml:space="preserve">was estimated to be 0.39 (higher than DRET’s estimates). The higher estimate for </w:t>
            </w:r>
            <w:r w:rsidRPr="005931DB">
              <w:rPr>
                <w:rFonts w:ascii="Times New Roman" w:hAnsi="Times New Roman"/>
                <w:i/>
              </w:rPr>
              <w:t>α</w:t>
            </w:r>
            <w:r w:rsidRPr="005931DB">
              <w:rPr>
                <w:i/>
                <w:vertAlign w:val="subscript"/>
              </w:rPr>
              <w:t>2</w:t>
            </w:r>
            <w:r>
              <w:t xml:space="preserve"> is consistent with limits to economies of scale.</w:t>
            </w:r>
            <w:r>
              <w:rPr>
                <w:rStyle w:val="NoteLabel"/>
              </w:rPr>
              <w:t xml:space="preserve"> </w:t>
            </w:r>
            <w:proofErr w:type="gramStart"/>
            <w:r>
              <w:rPr>
                <w:rStyle w:val="NoteLabel"/>
              </w:rPr>
              <w:t>b</w:t>
            </w:r>
            <w:proofErr w:type="gramEnd"/>
            <w:r>
              <w:rPr>
                <w:rStyle w:val="NoteLabel"/>
              </w:rPr>
              <w:t xml:space="preserve"> </w:t>
            </w:r>
            <w:r w:rsidRPr="005931DB">
              <w:rPr>
                <w:i/>
              </w:rPr>
              <w:t>β</w:t>
            </w:r>
            <w:r w:rsidRPr="005931DB">
              <w:rPr>
                <w:i/>
                <w:vertAlign w:val="subscript"/>
              </w:rPr>
              <w:t xml:space="preserve">1 </w:t>
            </w:r>
            <w:r>
              <w:t>was estimated to be $2.97 million dollars per PJ per year.</w:t>
            </w:r>
          </w:p>
        </w:tc>
      </w:tr>
      <w:tr w:rsidR="00DA3852" w:rsidRPr="00176D3F" w14:paraId="31755059" w14:textId="77777777" w:rsidTr="00C03F9E">
        <w:tc>
          <w:tcPr>
            <w:tcW w:w="8771" w:type="dxa"/>
            <w:tcBorders>
              <w:top w:val="nil"/>
              <w:left w:val="nil"/>
              <w:bottom w:val="nil"/>
              <w:right w:val="nil"/>
            </w:tcBorders>
            <w:shd w:val="clear" w:color="auto" w:fill="auto"/>
          </w:tcPr>
          <w:p w14:paraId="550B66D8" w14:textId="56BCD91E" w:rsidR="00DA3852" w:rsidRPr="00176D3F" w:rsidRDefault="00DA3852" w:rsidP="00416743">
            <w:pPr>
              <w:pStyle w:val="Source"/>
            </w:pPr>
            <w:r w:rsidRPr="00784A05">
              <w:rPr>
                <w:i/>
              </w:rPr>
              <w:t>Data source</w:t>
            </w:r>
            <w:r w:rsidRPr="00176D3F">
              <w:t xml:space="preserve">: </w:t>
            </w:r>
            <w:r>
              <w:t>Commission estimates based on tables </w:t>
            </w:r>
            <w:r w:rsidR="009C77B7">
              <w:t>B.</w:t>
            </w:r>
            <w:r w:rsidR="00416743">
              <w:t>8</w:t>
            </w:r>
            <w:r>
              <w:t xml:space="preserve"> and </w:t>
            </w:r>
            <w:r w:rsidR="009C77B7">
              <w:t>B.</w:t>
            </w:r>
            <w:r w:rsidR="00416743">
              <w:t>9</w:t>
            </w:r>
            <w:r>
              <w:t>.</w:t>
            </w:r>
          </w:p>
        </w:tc>
      </w:tr>
      <w:tr w:rsidR="00DA3852" w14:paraId="789D813F" w14:textId="77777777" w:rsidTr="00C03F9E">
        <w:tc>
          <w:tcPr>
            <w:tcW w:w="8771" w:type="dxa"/>
            <w:tcBorders>
              <w:top w:val="nil"/>
              <w:left w:val="nil"/>
              <w:bottom w:val="single" w:sz="6" w:space="0" w:color="78A22F"/>
              <w:right w:val="nil"/>
            </w:tcBorders>
            <w:shd w:val="clear" w:color="auto" w:fill="auto"/>
          </w:tcPr>
          <w:p w14:paraId="7C98450A" w14:textId="77777777" w:rsidR="00DA3852" w:rsidRDefault="00DA3852" w:rsidP="00C03F9E">
            <w:pPr>
              <w:pStyle w:val="Figurespace"/>
            </w:pPr>
          </w:p>
        </w:tc>
      </w:tr>
      <w:tr w:rsidR="00DA3852" w:rsidRPr="000863A5" w14:paraId="01F01997" w14:textId="77777777" w:rsidTr="00C03F9E">
        <w:tc>
          <w:tcPr>
            <w:tcW w:w="8771" w:type="dxa"/>
            <w:tcBorders>
              <w:top w:val="single" w:sz="6" w:space="0" w:color="78A22F"/>
              <w:left w:val="nil"/>
              <w:bottom w:val="nil"/>
              <w:right w:val="nil"/>
            </w:tcBorders>
          </w:tcPr>
          <w:p w14:paraId="4D744E63" w14:textId="77777777" w:rsidR="00DA3852" w:rsidRPr="00626D32" w:rsidRDefault="00DA3852" w:rsidP="00C03F9E">
            <w:pPr>
              <w:pStyle w:val="BoxSpaceBelow"/>
            </w:pPr>
          </w:p>
        </w:tc>
      </w:tr>
    </w:tbl>
    <w:p w14:paraId="73125F5D" w14:textId="77777777" w:rsidR="00DA3852" w:rsidRDefault="00DA3852" w:rsidP="00DA3852">
      <w:pPr>
        <w:pStyle w:val="BoxSpaceAbove"/>
        <w:keepLines/>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96"/>
      </w:tblGrid>
      <w:tr w:rsidR="00DA3852" w14:paraId="3BE31528" w14:textId="77777777" w:rsidTr="00C03F9E">
        <w:tc>
          <w:tcPr>
            <w:tcW w:w="8654" w:type="dxa"/>
            <w:tcBorders>
              <w:top w:val="single" w:sz="6" w:space="0" w:color="78A22F"/>
              <w:left w:val="nil"/>
              <w:bottom w:val="nil"/>
              <w:right w:val="nil"/>
            </w:tcBorders>
            <w:shd w:val="clear" w:color="auto" w:fill="auto"/>
          </w:tcPr>
          <w:p w14:paraId="22E164C1" w14:textId="11616D0E" w:rsidR="00DA3852" w:rsidRPr="00784A05" w:rsidRDefault="00DA3852" w:rsidP="00C03F9E">
            <w:pPr>
              <w:pStyle w:val="TableTitle"/>
            </w:pPr>
            <w:r>
              <w:rPr>
                <w:b w:val="0"/>
              </w:rPr>
              <w:t>Table B.</w:t>
            </w:r>
            <w:r>
              <w:rPr>
                <w:b w:val="0"/>
                <w:noProof/>
              </w:rPr>
              <w:t>7</w:t>
            </w:r>
            <w:r>
              <w:tab/>
              <w:t>Greenfield investment costs</w:t>
            </w:r>
          </w:p>
        </w:tc>
      </w:tr>
      <w:tr w:rsidR="00DA3852" w14:paraId="57F3DB77" w14:textId="77777777" w:rsidTr="00C03F9E">
        <w:trPr>
          <w:cantSplit/>
        </w:trPr>
        <w:tc>
          <w:tcPr>
            <w:tcW w:w="8654" w:type="dxa"/>
            <w:tcBorders>
              <w:top w:val="nil"/>
              <w:left w:val="nil"/>
              <w:bottom w:val="nil"/>
              <w:right w:val="nil"/>
            </w:tcBorders>
            <w:shd w:val="clear" w:color="auto" w:fill="auto"/>
          </w:tcPr>
          <w:tbl>
            <w:tblPr>
              <w:tblW w:w="8512" w:type="dxa"/>
              <w:tblCellMar>
                <w:top w:w="28" w:type="dxa"/>
                <w:left w:w="0" w:type="dxa"/>
                <w:right w:w="0" w:type="dxa"/>
              </w:tblCellMar>
              <w:tblLook w:val="0000" w:firstRow="0" w:lastRow="0" w:firstColumn="0" w:lastColumn="0" w:noHBand="0" w:noVBand="0"/>
            </w:tblPr>
            <w:tblGrid>
              <w:gridCol w:w="3127"/>
              <w:gridCol w:w="5385"/>
            </w:tblGrid>
            <w:tr w:rsidR="00DA3852" w14:paraId="6EEB5063" w14:textId="77777777" w:rsidTr="00C03F9E">
              <w:trPr>
                <w:trHeight w:val="302"/>
              </w:trPr>
              <w:tc>
                <w:tcPr>
                  <w:tcW w:w="1837" w:type="pct"/>
                  <w:tcBorders>
                    <w:top w:val="single" w:sz="6" w:space="0" w:color="BFBFBF"/>
                  </w:tcBorders>
                  <w:shd w:val="clear" w:color="auto" w:fill="auto"/>
                  <w:tcMar>
                    <w:top w:w="28" w:type="dxa"/>
                  </w:tcMar>
                </w:tcPr>
                <w:p w14:paraId="11AF7F98" w14:textId="77777777" w:rsidR="00DA3852" w:rsidRDefault="00DA3852" w:rsidP="00C03F9E">
                  <w:pPr>
                    <w:pStyle w:val="TableColumnHeading"/>
                    <w:jc w:val="left"/>
                  </w:pPr>
                  <w:r>
                    <w:t>Pipeline capacity</w:t>
                  </w:r>
                </w:p>
              </w:tc>
              <w:tc>
                <w:tcPr>
                  <w:tcW w:w="3163" w:type="pct"/>
                  <w:tcBorders>
                    <w:top w:val="single" w:sz="6" w:space="0" w:color="BFBFBF"/>
                  </w:tcBorders>
                  <w:shd w:val="clear" w:color="auto" w:fill="auto"/>
                  <w:tcMar>
                    <w:top w:w="28" w:type="dxa"/>
                  </w:tcMar>
                </w:tcPr>
                <w:p w14:paraId="14BE9874" w14:textId="77777777" w:rsidR="00DA3852" w:rsidRDefault="00DA3852" w:rsidP="00C03F9E">
                  <w:pPr>
                    <w:pStyle w:val="TableColumnHeading"/>
                    <w:ind w:right="28"/>
                  </w:pPr>
                  <w:r>
                    <w:t>Cost per km ($m)</w:t>
                  </w:r>
                  <w:r w:rsidRPr="00BA32EE">
                    <w:rPr>
                      <w:rStyle w:val="NoteLabel"/>
                      <w:i w:val="0"/>
                    </w:rPr>
                    <w:t>a</w:t>
                  </w:r>
                </w:p>
              </w:tc>
            </w:tr>
            <w:tr w:rsidR="00DA3852" w14:paraId="30ADA70F" w14:textId="77777777" w:rsidTr="00C03F9E">
              <w:tc>
                <w:tcPr>
                  <w:tcW w:w="1837" w:type="pct"/>
                  <w:tcBorders>
                    <w:top w:val="single" w:sz="6" w:space="0" w:color="BFBFBF"/>
                  </w:tcBorders>
                </w:tcPr>
                <w:p w14:paraId="5477D349" w14:textId="77777777" w:rsidR="00DA3852" w:rsidRDefault="00DA3852" w:rsidP="00C03F9E">
                  <w:pPr>
                    <w:pStyle w:val="TableUnitsRow"/>
                    <w:jc w:val="left"/>
                  </w:pPr>
                  <w:r>
                    <w:t>100 PJ/year</w:t>
                  </w:r>
                </w:p>
              </w:tc>
              <w:tc>
                <w:tcPr>
                  <w:tcW w:w="3163" w:type="pct"/>
                  <w:tcBorders>
                    <w:top w:val="single" w:sz="6" w:space="0" w:color="BFBFBF"/>
                  </w:tcBorders>
                </w:tcPr>
                <w:p w14:paraId="13F171F6" w14:textId="029F2A52" w:rsidR="00DA3852" w:rsidRDefault="00DA3852" w:rsidP="00C03F9E">
                  <w:pPr>
                    <w:pStyle w:val="TableUnitsRow"/>
                    <w:ind w:right="28"/>
                  </w:pPr>
                  <w:r>
                    <w:t>1.15</w:t>
                  </w:r>
                </w:p>
              </w:tc>
            </w:tr>
            <w:tr w:rsidR="00DA3852" w14:paraId="3B9499C2" w14:textId="77777777" w:rsidTr="00C03F9E">
              <w:tc>
                <w:tcPr>
                  <w:tcW w:w="1837" w:type="pct"/>
                  <w:tcBorders>
                    <w:bottom w:val="single" w:sz="6" w:space="0" w:color="BFBFBF"/>
                  </w:tcBorders>
                </w:tcPr>
                <w:p w14:paraId="10EEC93D" w14:textId="77777777" w:rsidR="00DA3852" w:rsidRDefault="00DA3852" w:rsidP="00C03F9E">
                  <w:pPr>
                    <w:pStyle w:val="TableBodyText"/>
                    <w:jc w:val="left"/>
                  </w:pPr>
                  <w:r>
                    <w:t>300 PJ/year</w:t>
                  </w:r>
                </w:p>
              </w:tc>
              <w:tc>
                <w:tcPr>
                  <w:tcW w:w="3163" w:type="pct"/>
                  <w:tcBorders>
                    <w:bottom w:val="single" w:sz="6" w:space="0" w:color="BFBFBF"/>
                  </w:tcBorders>
                </w:tcPr>
                <w:p w14:paraId="33AAD405" w14:textId="3F963E74" w:rsidR="00DA3852" w:rsidRDefault="00DA3852" w:rsidP="00C03F9E">
                  <w:pPr>
                    <w:pStyle w:val="TableBodyText"/>
                    <w:ind w:right="28"/>
                  </w:pPr>
                  <w:r>
                    <w:t>1.76</w:t>
                  </w:r>
                </w:p>
              </w:tc>
            </w:tr>
          </w:tbl>
          <w:p w14:paraId="4EDB8E6D" w14:textId="77777777" w:rsidR="00DA3852" w:rsidRDefault="00DA3852" w:rsidP="00C03F9E">
            <w:pPr>
              <w:pStyle w:val="Box"/>
              <w:keepLines/>
              <w:rPr>
                <w:szCs w:val="24"/>
              </w:rPr>
            </w:pPr>
          </w:p>
        </w:tc>
      </w:tr>
      <w:tr w:rsidR="00DA3852" w14:paraId="006BDDAC" w14:textId="77777777" w:rsidTr="00C03F9E">
        <w:trPr>
          <w:cantSplit/>
        </w:trPr>
        <w:tc>
          <w:tcPr>
            <w:tcW w:w="8654" w:type="dxa"/>
            <w:tcBorders>
              <w:top w:val="nil"/>
              <w:left w:val="nil"/>
              <w:bottom w:val="nil"/>
              <w:right w:val="nil"/>
            </w:tcBorders>
            <w:shd w:val="clear" w:color="auto" w:fill="auto"/>
          </w:tcPr>
          <w:p w14:paraId="41374556" w14:textId="77777777" w:rsidR="00DA3852" w:rsidRDefault="00DA3852" w:rsidP="00C03F9E">
            <w:pPr>
              <w:pStyle w:val="Note"/>
              <w:keepNext/>
              <w:rPr>
                <w:i/>
              </w:rPr>
            </w:pPr>
            <w:proofErr w:type="spellStart"/>
            <w:proofErr w:type="gramStart"/>
            <w:r w:rsidRPr="008E77FE">
              <w:rPr>
                <w:rStyle w:val="NoteLabel"/>
              </w:rPr>
              <w:t>a</w:t>
            </w:r>
            <w:proofErr w:type="spellEnd"/>
            <w:proofErr w:type="gramEnd"/>
            <w:r>
              <w:t xml:space="preserve"> Costs per km have been estimated using regression results. </w:t>
            </w:r>
          </w:p>
        </w:tc>
      </w:tr>
      <w:tr w:rsidR="00DA3852" w14:paraId="057FE5A0" w14:textId="77777777" w:rsidTr="00C03F9E">
        <w:trPr>
          <w:cantSplit/>
        </w:trPr>
        <w:tc>
          <w:tcPr>
            <w:tcW w:w="8654" w:type="dxa"/>
            <w:tcBorders>
              <w:top w:val="nil"/>
              <w:left w:val="nil"/>
              <w:bottom w:val="nil"/>
              <w:right w:val="nil"/>
            </w:tcBorders>
            <w:shd w:val="clear" w:color="auto" w:fill="auto"/>
          </w:tcPr>
          <w:p w14:paraId="4523B267" w14:textId="77777777" w:rsidR="00DA3852" w:rsidRDefault="00DA3852" w:rsidP="00C03F9E">
            <w:pPr>
              <w:pStyle w:val="TableBodyText"/>
              <w:spacing w:before="80" w:after="0" w:line="220" w:lineRule="exact"/>
              <w:ind w:left="0" w:right="0"/>
              <w:jc w:val="both"/>
              <w:rPr>
                <w:i/>
              </w:rPr>
            </w:pPr>
            <w:r>
              <w:rPr>
                <w:i/>
              </w:rPr>
              <w:t>Source</w:t>
            </w:r>
            <w:r w:rsidRPr="00167F06">
              <w:t xml:space="preserve">: </w:t>
            </w:r>
            <w:r>
              <w:t>Commission estimates.</w:t>
            </w:r>
          </w:p>
        </w:tc>
      </w:tr>
      <w:tr w:rsidR="00DA3852" w14:paraId="01C8C9D0" w14:textId="77777777" w:rsidTr="00C03F9E">
        <w:trPr>
          <w:cantSplit/>
        </w:trPr>
        <w:tc>
          <w:tcPr>
            <w:tcW w:w="8654" w:type="dxa"/>
            <w:tcBorders>
              <w:top w:val="nil"/>
              <w:left w:val="nil"/>
              <w:bottom w:val="single" w:sz="6" w:space="0" w:color="78A22F"/>
              <w:right w:val="nil"/>
            </w:tcBorders>
            <w:shd w:val="clear" w:color="auto" w:fill="auto"/>
          </w:tcPr>
          <w:p w14:paraId="1698DFA7" w14:textId="77777777" w:rsidR="00DA3852" w:rsidRDefault="00DA3852" w:rsidP="00C03F9E">
            <w:pPr>
              <w:pStyle w:val="Box"/>
              <w:keepLines/>
              <w:spacing w:before="0" w:line="120" w:lineRule="exact"/>
              <w:rPr>
                <w:szCs w:val="24"/>
              </w:rPr>
            </w:pPr>
          </w:p>
        </w:tc>
      </w:tr>
      <w:tr w:rsidR="00DA3852" w:rsidRPr="000863A5" w14:paraId="142C4774" w14:textId="77777777" w:rsidTr="00C03F9E">
        <w:tc>
          <w:tcPr>
            <w:tcW w:w="8654" w:type="dxa"/>
            <w:tcBorders>
              <w:top w:val="single" w:sz="6" w:space="0" w:color="78A22F"/>
              <w:left w:val="nil"/>
              <w:bottom w:val="nil"/>
              <w:right w:val="nil"/>
            </w:tcBorders>
          </w:tcPr>
          <w:p w14:paraId="0EF2D043" w14:textId="77777777" w:rsidR="00DA3852" w:rsidRPr="00626D32" w:rsidRDefault="00DA3852" w:rsidP="00C03F9E">
            <w:pPr>
              <w:pStyle w:val="BoxSpaceBelow"/>
              <w:keepNext/>
              <w:keepLines/>
              <w:rPr>
                <w:i/>
              </w:rPr>
            </w:pPr>
          </w:p>
        </w:tc>
      </w:tr>
    </w:tbl>
    <w:p w14:paraId="01BDDE99" w14:textId="53898C18" w:rsidR="00DA3852" w:rsidRDefault="00DA3852" w:rsidP="00DA3852">
      <w:pPr>
        <w:pStyle w:val="BodyText"/>
      </w:pPr>
      <w:r>
        <w:t>Brownfield investment costs were estimated based</w:t>
      </w:r>
      <w:r w:rsidRPr="00893D4A">
        <w:t xml:space="preserve"> on </w:t>
      </w:r>
      <w:r>
        <w:t xml:space="preserve">infrastructure </w:t>
      </w:r>
      <w:r w:rsidRPr="00893D4A">
        <w:t xml:space="preserve">projects </w:t>
      </w:r>
      <w:r>
        <w:t xml:space="preserve">since 1999 where pipeline capacity has been expanded through </w:t>
      </w:r>
      <w:r w:rsidRPr="00893D4A">
        <w:t>looping and/or compression</w:t>
      </w:r>
      <w:r>
        <w:t xml:space="preserve"> (table B.9). Length is likely to be a less important factor in the cost of brownfield relative to </w:t>
      </w:r>
      <w:proofErr w:type="gramStart"/>
      <w:r>
        <w:t>greenfield</w:t>
      </w:r>
      <w:proofErr w:type="gramEnd"/>
      <w:r>
        <w:t xml:space="preserve"> investments</w:t>
      </w:r>
      <w:r w:rsidDel="008118BD">
        <w:t>, particularly when additional capacity is added through compression</w:t>
      </w:r>
      <w:r>
        <w:t>.</w:t>
      </w:r>
      <w:r w:rsidRPr="00D54D05">
        <w:rPr>
          <w:rStyle w:val="FootnoteReference"/>
        </w:rPr>
        <w:footnoteReference w:id="15"/>
      </w:r>
      <w:r>
        <w:t xml:space="preserve"> Length was tested as an explanatory variable</w:t>
      </w:r>
      <w:r w:rsidR="005713DB">
        <w:t xml:space="preserve"> in a regression of cost as a function of capacity</w:t>
      </w:r>
      <w:r>
        <w:t xml:space="preserve"> but was not found to have a statistically significant effect on expansion costs. There may be increasing returns to scale in brownfield expansion but there are likely to be limits beyond which there will be </w:t>
      </w:r>
      <w:r w:rsidRPr="003C27A0">
        <w:rPr>
          <w:i/>
        </w:rPr>
        <w:t>decreasing</w:t>
      </w:r>
      <w:r>
        <w:t xml:space="preserve"> returns </w:t>
      </w:r>
      <w:r w:rsidR="005713DB">
        <w:t xml:space="preserve">to </w:t>
      </w:r>
      <w:r>
        <w:t>scale, particularly where expansion is through compression. Therefore a linear ordinary least squares regression of cost on capacity was used (figure </w:t>
      </w:r>
      <w:r w:rsidR="005713DB">
        <w:t>B.</w:t>
      </w:r>
      <w:r>
        <w:t>4).</w:t>
      </w:r>
      <w:r w:rsidRPr="00D24076">
        <w:t xml:space="preserve"> </w:t>
      </w:r>
      <w:r>
        <w:t xml:space="preserve">Regression results suggest that, on average, an additional unit of capacity (1 PJ per year) costs just under $3 million. </w:t>
      </w:r>
    </w:p>
    <w:p w14:paraId="6C11428F" w14:textId="77777777" w:rsidR="00DA3852" w:rsidRDefault="00DA3852" w:rsidP="00DA3852">
      <w:pPr>
        <w:pStyle w:val="BodyText"/>
      </w:pPr>
      <w:r>
        <w:t>Transmission investment costs have also been adjusted in the model for the useful life of assets outside the simulation period (box B.3).</w:t>
      </w:r>
      <w:r w:rsidDel="0027657A">
        <w:t xml:space="preserve"> </w:t>
      </w:r>
    </w:p>
    <w:p w14:paraId="6D3363E1" w14:textId="77777777" w:rsidR="00DA3852" w:rsidRDefault="00DA3852" w:rsidP="00DA3852">
      <w:pPr>
        <w:pStyle w:val="BoxSpaceAbove"/>
      </w:pPr>
    </w:p>
    <w:tbl>
      <w:tblPr>
        <w:tblW w:w="0" w:type="auto"/>
        <w:tblInd w:w="164" w:type="dxa"/>
        <w:tblBorders>
          <w:top w:val="single" w:sz="6" w:space="0" w:color="78A22F"/>
          <w:bottom w:val="single" w:sz="6" w:space="0" w:color="78A22F"/>
        </w:tblBorders>
        <w:tblCellMar>
          <w:left w:w="142" w:type="dxa"/>
          <w:right w:w="142" w:type="dxa"/>
        </w:tblCellMar>
        <w:tblLook w:val="0000" w:firstRow="0" w:lastRow="0" w:firstColumn="0" w:lastColumn="0" w:noHBand="0" w:noVBand="0"/>
      </w:tblPr>
      <w:tblGrid>
        <w:gridCol w:w="8771"/>
      </w:tblGrid>
      <w:tr w:rsidR="00DA3852" w14:paraId="74F1233A" w14:textId="77777777" w:rsidTr="00C03F9E">
        <w:tc>
          <w:tcPr>
            <w:tcW w:w="8771" w:type="dxa"/>
            <w:shd w:val="clear" w:color="auto" w:fill="auto"/>
          </w:tcPr>
          <w:p w14:paraId="678BB023" w14:textId="18399B4A" w:rsidR="00DA3852" w:rsidRPr="00F97A3E" w:rsidRDefault="00DA3852" w:rsidP="00C03F9E">
            <w:pPr>
              <w:pStyle w:val="TableTitle"/>
            </w:pPr>
            <w:r>
              <w:rPr>
                <w:b w:val="0"/>
              </w:rPr>
              <w:t>Table B.</w:t>
            </w:r>
            <w:r>
              <w:rPr>
                <w:b w:val="0"/>
                <w:noProof/>
              </w:rPr>
              <w:t>8</w:t>
            </w:r>
            <w:r w:rsidRPr="009D26B6">
              <w:rPr>
                <w:b w:val="0"/>
              </w:rPr>
              <w:tab/>
            </w:r>
            <w:r w:rsidRPr="009D26B6">
              <w:t>Recent greenfield expansion projects</w:t>
            </w:r>
          </w:p>
        </w:tc>
      </w:tr>
      <w:tr w:rsidR="00DA3852" w14:paraId="1BE77F0A" w14:textId="77777777" w:rsidTr="000D5B63">
        <w:trPr>
          <w:cantSplit/>
        </w:trPr>
        <w:tc>
          <w:tcPr>
            <w:tcW w:w="8771" w:type="dxa"/>
            <w:shd w:val="clear" w:color="auto" w:fill="auto"/>
          </w:tcPr>
          <w:tbl>
            <w:tblPr>
              <w:tblW w:w="4998" w:type="pct"/>
              <w:tblCellMar>
                <w:top w:w="28" w:type="dxa"/>
                <w:left w:w="0" w:type="dxa"/>
                <w:right w:w="0" w:type="dxa"/>
              </w:tblCellMar>
              <w:tblLook w:val="0000" w:firstRow="0" w:lastRow="0" w:firstColumn="0" w:lastColumn="0" w:noHBand="0" w:noVBand="0"/>
            </w:tblPr>
            <w:tblGrid>
              <w:gridCol w:w="2076"/>
              <w:gridCol w:w="8"/>
              <w:gridCol w:w="594"/>
              <w:gridCol w:w="633"/>
              <w:gridCol w:w="920"/>
              <w:gridCol w:w="725"/>
              <w:gridCol w:w="12"/>
              <w:gridCol w:w="1159"/>
              <w:gridCol w:w="10"/>
              <w:gridCol w:w="2347"/>
            </w:tblGrid>
            <w:tr w:rsidR="00DA3852" w14:paraId="656685C1" w14:textId="77777777" w:rsidTr="00A806C7">
              <w:trPr>
                <w:trHeight w:val="557"/>
              </w:trPr>
              <w:tc>
                <w:tcPr>
                  <w:tcW w:w="1228" w:type="pct"/>
                  <w:gridSpan w:val="2"/>
                  <w:tcBorders>
                    <w:bottom w:val="single" w:sz="6" w:space="0" w:color="BFBFBF"/>
                  </w:tcBorders>
                  <w:shd w:val="clear" w:color="auto" w:fill="auto"/>
                  <w:tcMar>
                    <w:top w:w="28" w:type="dxa"/>
                  </w:tcMar>
                </w:tcPr>
                <w:p w14:paraId="61E15337" w14:textId="77777777" w:rsidR="00DA3852" w:rsidRDefault="00DA3852" w:rsidP="00C03F9E">
                  <w:pPr>
                    <w:pStyle w:val="TableColumnHeading"/>
                    <w:jc w:val="both"/>
                  </w:pPr>
                  <w:r>
                    <w:t>Pipeline</w:t>
                  </w:r>
                </w:p>
              </w:tc>
              <w:tc>
                <w:tcPr>
                  <w:tcW w:w="350" w:type="pct"/>
                  <w:tcBorders>
                    <w:bottom w:val="single" w:sz="6" w:space="0" w:color="BFBFBF"/>
                  </w:tcBorders>
                  <w:shd w:val="clear" w:color="auto" w:fill="auto"/>
                  <w:tcMar>
                    <w:top w:w="28" w:type="dxa"/>
                  </w:tcMar>
                </w:tcPr>
                <w:p w14:paraId="1C425B72" w14:textId="77777777" w:rsidR="00DA3852" w:rsidRDefault="00DA3852" w:rsidP="00C03F9E">
                  <w:pPr>
                    <w:pStyle w:val="TableColumnHeading"/>
                    <w:spacing w:before="20"/>
                    <w:ind w:right="0"/>
                  </w:pPr>
                  <w:r>
                    <w:t>Year</w:t>
                  </w:r>
                  <w:r>
                    <w:rPr>
                      <w:rStyle w:val="NoteLabel"/>
                    </w:rPr>
                    <w:t>a</w:t>
                  </w:r>
                </w:p>
              </w:tc>
              <w:tc>
                <w:tcPr>
                  <w:tcW w:w="373" w:type="pct"/>
                  <w:tcBorders>
                    <w:bottom w:val="single" w:sz="6" w:space="0" w:color="BFBFBF"/>
                  </w:tcBorders>
                </w:tcPr>
                <w:p w14:paraId="38BADE8F" w14:textId="77777777" w:rsidR="00DA3852" w:rsidRDefault="00DA3852" w:rsidP="00C03F9E">
                  <w:pPr>
                    <w:pStyle w:val="TableColumnHeading"/>
                    <w:ind w:right="28"/>
                  </w:pPr>
                  <w:r>
                    <w:t>Length (km)</w:t>
                  </w:r>
                </w:p>
              </w:tc>
              <w:tc>
                <w:tcPr>
                  <w:tcW w:w="542" w:type="pct"/>
                  <w:tcBorders>
                    <w:left w:val="nil"/>
                    <w:bottom w:val="single" w:sz="6" w:space="0" w:color="BFBFBF"/>
                  </w:tcBorders>
                </w:tcPr>
                <w:p w14:paraId="73F8EBFD" w14:textId="77777777" w:rsidR="00DA3852" w:rsidRDefault="00DA3852" w:rsidP="00C03F9E">
                  <w:pPr>
                    <w:pStyle w:val="TableColumnHeading"/>
                    <w:spacing w:before="20"/>
                    <w:ind w:right="28"/>
                  </w:pPr>
                  <w:r>
                    <w:t>Capacity</w:t>
                  </w:r>
                  <w:r w:rsidRPr="000A6ACE">
                    <w:rPr>
                      <w:rStyle w:val="NoteLabel"/>
                    </w:rPr>
                    <w:t>b</w:t>
                  </w:r>
                  <w:r>
                    <w:t xml:space="preserve"> (PJ/year)</w:t>
                  </w:r>
                </w:p>
              </w:tc>
              <w:tc>
                <w:tcPr>
                  <w:tcW w:w="427" w:type="pct"/>
                  <w:tcBorders>
                    <w:bottom w:val="single" w:sz="6" w:space="0" w:color="BFBFBF"/>
                  </w:tcBorders>
                </w:tcPr>
                <w:p w14:paraId="2F823329" w14:textId="77777777" w:rsidR="00DA3852" w:rsidRDefault="00DA3852" w:rsidP="00C03F9E">
                  <w:pPr>
                    <w:pStyle w:val="TableColumnHeading"/>
                    <w:spacing w:before="20"/>
                    <w:ind w:right="28"/>
                  </w:pPr>
                  <w:r>
                    <w:t>Capital</w:t>
                  </w:r>
                  <w:r>
                    <w:rPr>
                      <w:rStyle w:val="NoteLabel"/>
                    </w:rPr>
                    <w:t>c</w:t>
                  </w:r>
                  <w:r>
                    <w:t xml:space="preserve"> </w:t>
                  </w:r>
                  <w:r w:rsidDel="00FD422B">
                    <w:t>cost</w:t>
                  </w:r>
                  <w:r>
                    <w:t>  </w:t>
                  </w:r>
                  <w:r>
                    <w:br/>
                    <w:t>($m)  </w:t>
                  </w:r>
                </w:p>
              </w:tc>
              <w:tc>
                <w:tcPr>
                  <w:tcW w:w="690" w:type="pct"/>
                  <w:gridSpan w:val="2"/>
                  <w:tcBorders>
                    <w:bottom w:val="single" w:sz="6" w:space="0" w:color="BFBFBF"/>
                  </w:tcBorders>
                </w:tcPr>
                <w:p w14:paraId="30F1751A" w14:textId="77777777" w:rsidR="00DA3852" w:rsidRDefault="00DA3852" w:rsidP="00C03F9E">
                  <w:pPr>
                    <w:pStyle w:val="TableColumnHeading"/>
                    <w:ind w:left="113" w:right="0"/>
                    <w:jc w:val="left"/>
                  </w:pPr>
                  <w:r>
                    <w:t>Type of</w:t>
                  </w:r>
                  <w:r>
                    <w:br/>
                    <w:t>cost</w:t>
                  </w:r>
                </w:p>
              </w:tc>
              <w:tc>
                <w:tcPr>
                  <w:tcW w:w="1389" w:type="pct"/>
                  <w:gridSpan w:val="2"/>
                  <w:tcBorders>
                    <w:bottom w:val="single" w:sz="6" w:space="0" w:color="BFBFBF"/>
                  </w:tcBorders>
                  <w:shd w:val="clear" w:color="auto" w:fill="auto"/>
                  <w:tcMar>
                    <w:top w:w="28" w:type="dxa"/>
                  </w:tcMar>
                </w:tcPr>
                <w:p w14:paraId="3A262BAE" w14:textId="77777777" w:rsidR="00DA3852" w:rsidRDefault="00DA3852" w:rsidP="00C03F9E">
                  <w:pPr>
                    <w:pStyle w:val="TableColumnHeading"/>
                    <w:ind w:right="28"/>
                    <w:jc w:val="left"/>
                  </w:pPr>
                  <w:r>
                    <w:t>Sources</w:t>
                  </w:r>
                </w:p>
              </w:tc>
            </w:tr>
            <w:tr w:rsidR="00DA3852" w14:paraId="7EBD6994" w14:textId="77777777" w:rsidTr="00A806C7">
              <w:tc>
                <w:tcPr>
                  <w:tcW w:w="1228" w:type="pct"/>
                  <w:gridSpan w:val="2"/>
                </w:tcPr>
                <w:p w14:paraId="29262B42" w14:textId="77777777" w:rsidR="00DA3852" w:rsidRDefault="00DA3852" w:rsidP="00C03F9E">
                  <w:pPr>
                    <w:pStyle w:val="TableBodyText"/>
                    <w:spacing w:before="80"/>
                    <w:jc w:val="left"/>
                    <w:rPr>
                      <w:i/>
                    </w:rPr>
                  </w:pPr>
                  <w:r w:rsidRPr="00702F0C">
                    <w:t>APLNG</w:t>
                  </w:r>
                </w:p>
              </w:tc>
              <w:tc>
                <w:tcPr>
                  <w:tcW w:w="350" w:type="pct"/>
                </w:tcPr>
                <w:p w14:paraId="38565D44" w14:textId="77777777" w:rsidR="00DA3852" w:rsidRPr="00702F0C" w:rsidRDefault="00DA3852" w:rsidP="00C03F9E">
                  <w:pPr>
                    <w:pStyle w:val="TableBodyText"/>
                    <w:spacing w:before="80"/>
                  </w:pPr>
                  <w:r>
                    <w:t>2014</w:t>
                  </w:r>
                </w:p>
              </w:tc>
              <w:tc>
                <w:tcPr>
                  <w:tcW w:w="373" w:type="pct"/>
                </w:tcPr>
                <w:p w14:paraId="6444CED2" w14:textId="77777777" w:rsidR="00DA3852" w:rsidRPr="002F4B4E" w:rsidRDefault="00DA3852" w:rsidP="00C03F9E">
                  <w:pPr>
                    <w:pStyle w:val="TableBodyText"/>
                    <w:spacing w:before="80"/>
                    <w:rPr>
                      <w:color w:val="000000"/>
                    </w:rPr>
                  </w:pPr>
                  <w:r w:rsidRPr="002F4B4E">
                    <w:rPr>
                      <w:color w:val="000000"/>
                    </w:rPr>
                    <w:t>362</w:t>
                  </w:r>
                </w:p>
              </w:tc>
              <w:tc>
                <w:tcPr>
                  <w:tcW w:w="542" w:type="pct"/>
                  <w:tcBorders>
                    <w:left w:val="nil"/>
                  </w:tcBorders>
                </w:tcPr>
                <w:p w14:paraId="3EBF3551" w14:textId="77777777" w:rsidR="00DA3852" w:rsidRPr="00CD2834" w:rsidRDefault="00DA3852" w:rsidP="00C03F9E">
                  <w:pPr>
                    <w:pStyle w:val="TableBodyText"/>
                    <w:spacing w:before="80"/>
                  </w:pPr>
                  <w:r>
                    <w:rPr>
                      <w:rFonts w:cs="Arial"/>
                      <w:color w:val="000000"/>
                      <w:szCs w:val="18"/>
                    </w:rPr>
                    <w:t>456</w:t>
                  </w:r>
                </w:p>
              </w:tc>
              <w:tc>
                <w:tcPr>
                  <w:tcW w:w="427" w:type="pct"/>
                </w:tcPr>
                <w:p w14:paraId="486D34E6" w14:textId="77777777" w:rsidR="00DA3852" w:rsidRPr="00CD2834" w:rsidRDefault="00DA3852" w:rsidP="00C03F9E">
                  <w:pPr>
                    <w:pStyle w:val="TableBodyText"/>
                    <w:spacing w:before="80"/>
                    <w:rPr>
                      <w:i/>
                    </w:rPr>
                  </w:pPr>
                  <w:r w:rsidRPr="0028080F">
                    <w:t>1</w:t>
                  </w:r>
                  <w:r>
                    <w:t> </w:t>
                  </w:r>
                  <w:r w:rsidRPr="0028080F">
                    <w:t>2</w:t>
                  </w:r>
                  <w:r>
                    <w:t>66</w:t>
                  </w:r>
                </w:p>
              </w:tc>
              <w:tc>
                <w:tcPr>
                  <w:tcW w:w="690" w:type="pct"/>
                  <w:gridSpan w:val="2"/>
                </w:tcPr>
                <w:p w14:paraId="2093388B" w14:textId="77777777" w:rsidR="00DA3852" w:rsidRPr="00285B50" w:rsidRDefault="00DA3852" w:rsidP="00C03F9E">
                  <w:pPr>
                    <w:pStyle w:val="TableBodyText"/>
                    <w:spacing w:before="80"/>
                    <w:ind w:left="113" w:right="0"/>
                    <w:jc w:val="left"/>
                    <w:rPr>
                      <w:i/>
                    </w:rPr>
                  </w:pPr>
                  <w:r>
                    <w:t>P</w:t>
                  </w:r>
                  <w:r w:rsidRPr="00285B50">
                    <w:t>red</w:t>
                  </w:r>
                  <w:r>
                    <w:t>icted</w:t>
                  </w:r>
                </w:p>
              </w:tc>
              <w:tc>
                <w:tcPr>
                  <w:tcW w:w="1389" w:type="pct"/>
                  <w:gridSpan w:val="2"/>
                </w:tcPr>
                <w:p w14:paraId="4AECEFEE" w14:textId="77777777" w:rsidR="00DA3852" w:rsidRPr="00702F0C" w:rsidRDefault="00DA3852" w:rsidP="00C03F9E">
                  <w:pPr>
                    <w:pStyle w:val="TableBodyText"/>
                    <w:spacing w:before="80"/>
                    <w:ind w:right="28"/>
                    <w:jc w:val="left"/>
                    <w:rPr>
                      <w:i/>
                    </w:rPr>
                  </w:pPr>
                  <w:r w:rsidRPr="005931DB">
                    <w:rPr>
                      <w:rFonts w:cs="Arial"/>
                      <w:szCs w:val="24"/>
                    </w:rPr>
                    <w:t>(Core Energy Group 2012b)</w:t>
                  </w:r>
                </w:p>
              </w:tc>
            </w:tr>
            <w:tr w:rsidR="00DA3852" w14:paraId="4D63FAB9" w14:textId="77777777" w:rsidTr="00A806C7">
              <w:tc>
                <w:tcPr>
                  <w:tcW w:w="1228" w:type="pct"/>
                  <w:gridSpan w:val="2"/>
                </w:tcPr>
                <w:p w14:paraId="43885717" w14:textId="77777777" w:rsidR="00DA3852" w:rsidRDefault="00DA3852" w:rsidP="00C03F9E">
                  <w:pPr>
                    <w:pStyle w:val="TableBodyText"/>
                    <w:spacing w:afterLines="40" w:after="96"/>
                    <w:jc w:val="left"/>
                  </w:pPr>
                  <w:r>
                    <w:t>Arrow Bowen</w:t>
                  </w:r>
                </w:p>
              </w:tc>
              <w:tc>
                <w:tcPr>
                  <w:tcW w:w="350" w:type="pct"/>
                </w:tcPr>
                <w:p w14:paraId="6081DEA7" w14:textId="77777777" w:rsidR="00DA3852" w:rsidRDefault="00DA3852" w:rsidP="00C03F9E">
                  <w:pPr>
                    <w:pStyle w:val="TableBodyText"/>
                    <w:spacing w:afterLines="40" w:after="96"/>
                  </w:pPr>
                  <w:proofErr w:type="spellStart"/>
                  <w:r>
                    <w:t>na</w:t>
                  </w:r>
                  <w:proofErr w:type="spellEnd"/>
                </w:p>
              </w:tc>
              <w:tc>
                <w:tcPr>
                  <w:tcW w:w="373" w:type="pct"/>
                </w:tcPr>
                <w:p w14:paraId="71478994" w14:textId="77777777" w:rsidR="00DA3852" w:rsidRPr="002F4B4E" w:rsidRDefault="00DA3852" w:rsidP="00C03F9E">
                  <w:pPr>
                    <w:pStyle w:val="TableBodyText"/>
                    <w:spacing w:afterLines="40" w:after="96"/>
                    <w:rPr>
                      <w:color w:val="000000"/>
                    </w:rPr>
                  </w:pPr>
                  <w:r w:rsidRPr="002F4B4E">
                    <w:rPr>
                      <w:rFonts w:cs="Arial"/>
                      <w:color w:val="000000"/>
                      <w:szCs w:val="18"/>
                    </w:rPr>
                    <w:t>600</w:t>
                  </w:r>
                </w:p>
              </w:tc>
              <w:tc>
                <w:tcPr>
                  <w:tcW w:w="542" w:type="pct"/>
                  <w:tcBorders>
                    <w:left w:val="nil"/>
                  </w:tcBorders>
                </w:tcPr>
                <w:p w14:paraId="6075D598" w14:textId="77777777" w:rsidR="00DA3852" w:rsidRPr="00CD2834" w:rsidRDefault="00DA3852" w:rsidP="00C03F9E">
                  <w:pPr>
                    <w:pStyle w:val="TableBodyText"/>
                    <w:spacing w:afterLines="40" w:after="96"/>
                  </w:pPr>
                  <w:r>
                    <w:rPr>
                      <w:rFonts w:cs="Arial"/>
                      <w:color w:val="000000"/>
                      <w:szCs w:val="18"/>
                    </w:rPr>
                    <w:t>272</w:t>
                  </w:r>
                </w:p>
              </w:tc>
              <w:tc>
                <w:tcPr>
                  <w:tcW w:w="427" w:type="pct"/>
                </w:tcPr>
                <w:p w14:paraId="2390188A" w14:textId="77777777" w:rsidR="00DA3852" w:rsidRPr="00CD2834" w:rsidRDefault="00DA3852" w:rsidP="00C03F9E">
                  <w:pPr>
                    <w:pStyle w:val="TableBodyText"/>
                    <w:spacing w:afterLines="40" w:after="96"/>
                    <w:rPr>
                      <w:i/>
                    </w:rPr>
                  </w:pPr>
                  <w:r>
                    <w:t>1 222</w:t>
                  </w:r>
                </w:p>
              </w:tc>
              <w:tc>
                <w:tcPr>
                  <w:tcW w:w="690" w:type="pct"/>
                  <w:gridSpan w:val="2"/>
                </w:tcPr>
                <w:p w14:paraId="6A0A2452" w14:textId="77777777" w:rsidR="00DA3852" w:rsidRDefault="00DA3852" w:rsidP="00C03F9E">
                  <w:pPr>
                    <w:pStyle w:val="TableBodyText"/>
                    <w:spacing w:afterLines="40" w:after="96"/>
                    <w:ind w:left="113" w:right="0"/>
                    <w:jc w:val="left"/>
                    <w:rPr>
                      <w:i/>
                    </w:rPr>
                  </w:pPr>
                  <w:r>
                    <w:t>P</w:t>
                  </w:r>
                  <w:r w:rsidRPr="00285B50">
                    <w:t>red</w:t>
                  </w:r>
                  <w:r>
                    <w:t>icted</w:t>
                  </w:r>
                </w:p>
              </w:tc>
              <w:tc>
                <w:tcPr>
                  <w:tcW w:w="1389" w:type="pct"/>
                  <w:gridSpan w:val="2"/>
                </w:tcPr>
                <w:p w14:paraId="222054DA" w14:textId="77777777" w:rsidR="00DA3852" w:rsidRDefault="00DA3852" w:rsidP="00C03F9E">
                  <w:pPr>
                    <w:pStyle w:val="TableBodyText"/>
                    <w:spacing w:afterLines="40" w:after="96"/>
                    <w:ind w:right="28"/>
                    <w:jc w:val="left"/>
                    <w:rPr>
                      <w:i/>
                    </w:rPr>
                  </w:pPr>
                  <w:r w:rsidRPr="00743166">
                    <w:rPr>
                      <w:rFonts w:cs="Arial"/>
                      <w:szCs w:val="24"/>
                    </w:rPr>
                    <w:t>(Core Energy Group 2012b)</w:t>
                  </w:r>
                </w:p>
              </w:tc>
            </w:tr>
            <w:tr w:rsidR="00DA3852" w14:paraId="0F6597B4" w14:textId="77777777" w:rsidTr="00A806C7">
              <w:tc>
                <w:tcPr>
                  <w:tcW w:w="1228" w:type="pct"/>
                  <w:gridSpan w:val="2"/>
                </w:tcPr>
                <w:p w14:paraId="0F9668A5" w14:textId="77777777" w:rsidR="00DA3852" w:rsidRDefault="00DA3852" w:rsidP="00C03F9E">
                  <w:pPr>
                    <w:pStyle w:val="TableBodyText"/>
                    <w:spacing w:afterLines="40" w:after="96"/>
                    <w:jc w:val="left"/>
                  </w:pPr>
                  <w:r>
                    <w:t>Arrow Surat</w:t>
                  </w:r>
                </w:p>
              </w:tc>
              <w:tc>
                <w:tcPr>
                  <w:tcW w:w="350" w:type="pct"/>
                </w:tcPr>
                <w:p w14:paraId="183948D4" w14:textId="77777777" w:rsidR="00DA3852" w:rsidRDefault="00DA3852" w:rsidP="00C03F9E">
                  <w:pPr>
                    <w:pStyle w:val="TableBodyText"/>
                    <w:spacing w:afterLines="40" w:after="96"/>
                  </w:pPr>
                  <w:proofErr w:type="spellStart"/>
                  <w:r>
                    <w:t>na</w:t>
                  </w:r>
                  <w:proofErr w:type="spellEnd"/>
                </w:p>
              </w:tc>
              <w:tc>
                <w:tcPr>
                  <w:tcW w:w="373" w:type="pct"/>
                </w:tcPr>
                <w:p w14:paraId="68AB9A0C" w14:textId="77777777" w:rsidR="00DA3852" w:rsidRPr="002F4B4E" w:rsidRDefault="00DA3852" w:rsidP="00C03F9E">
                  <w:pPr>
                    <w:pStyle w:val="TableBodyText"/>
                    <w:spacing w:afterLines="40" w:after="96"/>
                    <w:rPr>
                      <w:rFonts w:cs="Arial"/>
                      <w:color w:val="000000"/>
                      <w:szCs w:val="18"/>
                    </w:rPr>
                  </w:pPr>
                  <w:r w:rsidRPr="002F4B4E">
                    <w:rPr>
                      <w:rFonts w:cs="Arial"/>
                      <w:color w:val="000000"/>
                      <w:szCs w:val="18"/>
                    </w:rPr>
                    <w:t>470</w:t>
                  </w:r>
                </w:p>
              </w:tc>
              <w:tc>
                <w:tcPr>
                  <w:tcW w:w="542" w:type="pct"/>
                  <w:tcBorders>
                    <w:left w:val="nil"/>
                  </w:tcBorders>
                </w:tcPr>
                <w:p w14:paraId="1A419E92" w14:textId="77777777" w:rsidR="00DA3852" w:rsidRDefault="00DA3852" w:rsidP="00C03F9E">
                  <w:pPr>
                    <w:pStyle w:val="TableBodyText"/>
                    <w:spacing w:afterLines="40" w:after="96"/>
                    <w:rPr>
                      <w:rFonts w:cs="Arial"/>
                      <w:color w:val="000000"/>
                      <w:szCs w:val="18"/>
                    </w:rPr>
                  </w:pPr>
                  <w:r>
                    <w:rPr>
                      <w:rFonts w:cs="Arial"/>
                      <w:color w:val="000000"/>
                      <w:szCs w:val="18"/>
                    </w:rPr>
                    <w:t>272</w:t>
                  </w:r>
                </w:p>
              </w:tc>
              <w:tc>
                <w:tcPr>
                  <w:tcW w:w="427" w:type="pct"/>
                </w:tcPr>
                <w:p w14:paraId="626D0334" w14:textId="77777777" w:rsidR="00DA3852" w:rsidRPr="0028080F" w:rsidRDefault="00DA3852" w:rsidP="00C03F9E">
                  <w:pPr>
                    <w:pStyle w:val="TableBodyText"/>
                    <w:spacing w:afterLines="40" w:after="96"/>
                  </w:pPr>
                  <w:r w:rsidRPr="0028080F">
                    <w:t>60</w:t>
                  </w:r>
                  <w:r>
                    <w:t>8</w:t>
                  </w:r>
                </w:p>
              </w:tc>
              <w:tc>
                <w:tcPr>
                  <w:tcW w:w="690" w:type="pct"/>
                  <w:gridSpan w:val="2"/>
                </w:tcPr>
                <w:p w14:paraId="0B20DCA0" w14:textId="77777777" w:rsidR="00DA3852" w:rsidRDefault="00DA3852" w:rsidP="00C03F9E">
                  <w:pPr>
                    <w:pStyle w:val="TableBodyText"/>
                    <w:spacing w:afterLines="40" w:after="96"/>
                    <w:ind w:left="113" w:right="0"/>
                    <w:jc w:val="left"/>
                  </w:pPr>
                  <w:r>
                    <w:t>P</w:t>
                  </w:r>
                  <w:r w:rsidRPr="00285B50">
                    <w:t>red</w:t>
                  </w:r>
                  <w:r>
                    <w:t>icted</w:t>
                  </w:r>
                </w:p>
              </w:tc>
              <w:tc>
                <w:tcPr>
                  <w:tcW w:w="1389" w:type="pct"/>
                  <w:gridSpan w:val="2"/>
                </w:tcPr>
                <w:p w14:paraId="06BCADD6" w14:textId="77777777" w:rsidR="00DA3852" w:rsidRDefault="00DA3852" w:rsidP="00C03F9E">
                  <w:pPr>
                    <w:pStyle w:val="TableBodyText"/>
                    <w:spacing w:afterLines="40" w:after="96"/>
                    <w:ind w:right="28"/>
                    <w:jc w:val="left"/>
                  </w:pPr>
                  <w:r w:rsidRPr="00743166">
                    <w:rPr>
                      <w:rFonts w:cs="Arial"/>
                      <w:szCs w:val="24"/>
                    </w:rPr>
                    <w:t>(Core Energy Group 2012b)</w:t>
                  </w:r>
                </w:p>
              </w:tc>
            </w:tr>
            <w:tr w:rsidR="00DA3852" w14:paraId="4A9ED71F" w14:textId="77777777" w:rsidTr="00A806C7">
              <w:tc>
                <w:tcPr>
                  <w:tcW w:w="1228" w:type="pct"/>
                  <w:gridSpan w:val="2"/>
                </w:tcPr>
                <w:p w14:paraId="47798744" w14:textId="77777777" w:rsidR="00DA3852" w:rsidRPr="00602EA7" w:rsidRDefault="00DA3852" w:rsidP="00C03F9E">
                  <w:pPr>
                    <w:pStyle w:val="TableBodyText"/>
                    <w:jc w:val="left"/>
                  </w:pPr>
                  <w:r w:rsidRPr="00602EA7">
                    <w:t>Blackwater</w:t>
                  </w:r>
                </w:p>
              </w:tc>
              <w:tc>
                <w:tcPr>
                  <w:tcW w:w="350" w:type="pct"/>
                </w:tcPr>
                <w:p w14:paraId="1C47225B" w14:textId="77777777" w:rsidR="00DA3852" w:rsidRDefault="00DA3852" w:rsidP="00C03F9E">
                  <w:pPr>
                    <w:pStyle w:val="TableBodyText"/>
                  </w:pPr>
                  <w:proofErr w:type="spellStart"/>
                  <w:r>
                    <w:t>na</w:t>
                  </w:r>
                  <w:proofErr w:type="spellEnd"/>
                </w:p>
              </w:tc>
              <w:tc>
                <w:tcPr>
                  <w:tcW w:w="373" w:type="pct"/>
                </w:tcPr>
                <w:p w14:paraId="6FFDD10D" w14:textId="77777777" w:rsidR="00DA3852" w:rsidRPr="002F4B4E" w:rsidRDefault="00DA3852" w:rsidP="00C03F9E">
                  <w:pPr>
                    <w:pStyle w:val="TableBodyText"/>
                    <w:spacing w:afterLines="40" w:after="96"/>
                    <w:rPr>
                      <w:color w:val="000000"/>
                    </w:rPr>
                  </w:pPr>
                  <w:r w:rsidRPr="002F4B4E">
                    <w:rPr>
                      <w:color w:val="000000"/>
                    </w:rPr>
                    <w:t>257</w:t>
                  </w:r>
                </w:p>
              </w:tc>
              <w:tc>
                <w:tcPr>
                  <w:tcW w:w="542" w:type="pct"/>
                  <w:tcBorders>
                    <w:left w:val="nil"/>
                  </w:tcBorders>
                </w:tcPr>
                <w:p w14:paraId="7749D150" w14:textId="77777777" w:rsidR="00DA3852" w:rsidRPr="00163C03" w:rsidRDefault="00DA3852" w:rsidP="00C03F9E">
                  <w:pPr>
                    <w:pStyle w:val="TableBodyText"/>
                    <w:spacing w:afterLines="40" w:after="96"/>
                  </w:pPr>
                  <w:r>
                    <w:rPr>
                      <w:rFonts w:cs="Arial"/>
                      <w:color w:val="000000"/>
                      <w:szCs w:val="18"/>
                    </w:rPr>
                    <w:t>100</w:t>
                  </w:r>
                </w:p>
              </w:tc>
              <w:tc>
                <w:tcPr>
                  <w:tcW w:w="434" w:type="pct"/>
                  <w:gridSpan w:val="2"/>
                </w:tcPr>
                <w:p w14:paraId="65EFD1FC" w14:textId="77777777" w:rsidR="00DA3852" w:rsidRPr="00AE4DA9" w:rsidRDefault="00DA3852" w:rsidP="00C03F9E">
                  <w:pPr>
                    <w:pStyle w:val="TableBodyText"/>
                    <w:spacing w:afterLines="40" w:after="96"/>
                    <w:rPr>
                      <w:i/>
                    </w:rPr>
                  </w:pPr>
                  <w:r w:rsidRPr="00AE4DA9">
                    <w:t>32</w:t>
                  </w:r>
                  <w:r>
                    <w:t>5</w:t>
                  </w:r>
                </w:p>
              </w:tc>
              <w:tc>
                <w:tcPr>
                  <w:tcW w:w="689" w:type="pct"/>
                  <w:gridSpan w:val="2"/>
                </w:tcPr>
                <w:p w14:paraId="3C57AE5A" w14:textId="77777777" w:rsidR="00DA3852" w:rsidRDefault="00DA3852" w:rsidP="00C03F9E">
                  <w:pPr>
                    <w:pStyle w:val="TableBodyText"/>
                    <w:ind w:left="113" w:right="0"/>
                    <w:jc w:val="left"/>
                    <w:rPr>
                      <w:i/>
                    </w:rPr>
                  </w:pPr>
                  <w:r>
                    <w:t>P</w:t>
                  </w:r>
                  <w:r w:rsidRPr="00285B50">
                    <w:t>red</w:t>
                  </w:r>
                  <w:r>
                    <w:t>icted</w:t>
                  </w:r>
                </w:p>
              </w:tc>
              <w:tc>
                <w:tcPr>
                  <w:tcW w:w="1383" w:type="pct"/>
                </w:tcPr>
                <w:p w14:paraId="0AC88B90" w14:textId="77777777" w:rsidR="00DA3852" w:rsidRDefault="00DA3852" w:rsidP="00C03F9E">
                  <w:pPr>
                    <w:pStyle w:val="TableBodyText"/>
                    <w:ind w:right="28"/>
                    <w:jc w:val="left"/>
                    <w:rPr>
                      <w:i/>
                    </w:rPr>
                  </w:pPr>
                  <w:r w:rsidRPr="00743166">
                    <w:rPr>
                      <w:rFonts w:cs="Arial"/>
                      <w:szCs w:val="24"/>
                    </w:rPr>
                    <w:t>(Core Energy Group 2012b)</w:t>
                  </w:r>
                </w:p>
              </w:tc>
            </w:tr>
            <w:tr w:rsidR="00DA3852" w14:paraId="28423998" w14:textId="77777777" w:rsidTr="00A806C7">
              <w:tc>
                <w:tcPr>
                  <w:tcW w:w="1228" w:type="pct"/>
                  <w:gridSpan w:val="2"/>
                </w:tcPr>
                <w:p w14:paraId="4AAFA8DC" w14:textId="77777777" w:rsidR="00DA3852" w:rsidRDefault="00DA3852" w:rsidP="00C03F9E">
                  <w:pPr>
                    <w:pStyle w:val="TableBodyText"/>
                    <w:jc w:val="left"/>
                  </w:pPr>
                  <w:r w:rsidRPr="00602EA7">
                    <w:t>Bonaparte</w:t>
                  </w:r>
                </w:p>
              </w:tc>
              <w:tc>
                <w:tcPr>
                  <w:tcW w:w="350" w:type="pct"/>
                </w:tcPr>
                <w:p w14:paraId="4FEDEFA4" w14:textId="77777777" w:rsidR="00DA3852" w:rsidRPr="00AE0E46" w:rsidRDefault="00DA3852" w:rsidP="00C03F9E">
                  <w:pPr>
                    <w:pStyle w:val="TableBodyText"/>
                  </w:pPr>
                  <w:r w:rsidRPr="00AE0E46">
                    <w:t>2008</w:t>
                  </w:r>
                </w:p>
              </w:tc>
              <w:tc>
                <w:tcPr>
                  <w:tcW w:w="373" w:type="pct"/>
                </w:tcPr>
                <w:p w14:paraId="760F39BF" w14:textId="77777777" w:rsidR="00DA3852" w:rsidRPr="002F4B4E" w:rsidRDefault="00DA3852" w:rsidP="00C03F9E">
                  <w:pPr>
                    <w:pStyle w:val="TableBodyText"/>
                    <w:spacing w:afterLines="40" w:after="96"/>
                    <w:rPr>
                      <w:color w:val="000000"/>
                    </w:rPr>
                  </w:pPr>
                  <w:r w:rsidRPr="002F4B4E">
                    <w:rPr>
                      <w:color w:val="000000"/>
                    </w:rPr>
                    <w:t>287</w:t>
                  </w:r>
                </w:p>
              </w:tc>
              <w:tc>
                <w:tcPr>
                  <w:tcW w:w="542" w:type="pct"/>
                  <w:tcBorders>
                    <w:left w:val="nil"/>
                  </w:tcBorders>
                </w:tcPr>
                <w:p w14:paraId="4127460E" w14:textId="77777777" w:rsidR="00DA3852" w:rsidRPr="00163C03" w:rsidRDefault="00DA3852" w:rsidP="00C03F9E">
                  <w:pPr>
                    <w:pStyle w:val="TableBodyText"/>
                    <w:spacing w:afterLines="40" w:after="96"/>
                  </w:pPr>
                  <w:r>
                    <w:rPr>
                      <w:rFonts w:cs="Arial"/>
                      <w:color w:val="000000"/>
                      <w:szCs w:val="18"/>
                    </w:rPr>
                    <w:t>29</w:t>
                  </w:r>
                </w:p>
              </w:tc>
              <w:tc>
                <w:tcPr>
                  <w:tcW w:w="434" w:type="pct"/>
                  <w:gridSpan w:val="2"/>
                </w:tcPr>
                <w:p w14:paraId="1AB74FB2" w14:textId="77777777" w:rsidR="00DA3852" w:rsidRPr="00285B50" w:rsidRDefault="00DA3852" w:rsidP="00C03F9E">
                  <w:pPr>
                    <w:pStyle w:val="TableBodyText"/>
                    <w:spacing w:afterLines="40" w:after="96"/>
                    <w:rPr>
                      <w:i/>
                    </w:rPr>
                  </w:pPr>
                  <w:r w:rsidRPr="004438AD">
                    <w:t>19</w:t>
                  </w:r>
                  <w:r>
                    <w:t>7</w:t>
                  </w:r>
                </w:p>
              </w:tc>
              <w:tc>
                <w:tcPr>
                  <w:tcW w:w="689" w:type="pct"/>
                  <w:gridSpan w:val="2"/>
                </w:tcPr>
                <w:p w14:paraId="05791385" w14:textId="77777777" w:rsidR="00DA3852" w:rsidRPr="00285B50" w:rsidRDefault="00DA3852" w:rsidP="00C03F9E">
                  <w:pPr>
                    <w:pStyle w:val="TableBodyText"/>
                    <w:ind w:left="113" w:right="0"/>
                    <w:jc w:val="left"/>
                    <w:rPr>
                      <w:i/>
                    </w:rPr>
                  </w:pPr>
                  <w:r>
                    <w:t>E</w:t>
                  </w:r>
                  <w:r w:rsidRPr="00285B50">
                    <w:t>x post</w:t>
                  </w:r>
                </w:p>
              </w:tc>
              <w:tc>
                <w:tcPr>
                  <w:tcW w:w="1383" w:type="pct"/>
                </w:tcPr>
                <w:p w14:paraId="10EE7D1B" w14:textId="77777777" w:rsidR="00DA3852" w:rsidRDefault="00DA3852" w:rsidP="00C03F9E">
                  <w:pPr>
                    <w:pStyle w:val="TableBodyText"/>
                    <w:ind w:right="28"/>
                    <w:jc w:val="left"/>
                    <w:rPr>
                      <w:i/>
                    </w:rPr>
                  </w:pPr>
                  <w:r w:rsidRPr="00E55EB8">
                    <w:rPr>
                      <w:rFonts w:cs="Arial"/>
                      <w:szCs w:val="24"/>
                    </w:rPr>
                    <w:t>(AER 2010)</w:t>
                  </w:r>
                </w:p>
              </w:tc>
            </w:tr>
            <w:tr w:rsidR="00DA3852" w14:paraId="65D80DA2" w14:textId="77777777" w:rsidTr="00A806C7">
              <w:tc>
                <w:tcPr>
                  <w:tcW w:w="1228" w:type="pct"/>
                  <w:gridSpan w:val="2"/>
                </w:tcPr>
                <w:p w14:paraId="0FA84C52" w14:textId="77777777" w:rsidR="00DA3852" w:rsidRPr="00602EA7" w:rsidRDefault="00DA3852" w:rsidP="00C03F9E">
                  <w:pPr>
                    <w:pStyle w:val="TableBodyText"/>
                    <w:jc w:val="left"/>
                  </w:pPr>
                  <w:r w:rsidRPr="00602EA7">
                    <w:t>Central Qld</w:t>
                  </w:r>
                </w:p>
              </w:tc>
              <w:tc>
                <w:tcPr>
                  <w:tcW w:w="350" w:type="pct"/>
                </w:tcPr>
                <w:p w14:paraId="46849FEF" w14:textId="77777777" w:rsidR="00DA3852" w:rsidRDefault="00DA3852" w:rsidP="00C03F9E">
                  <w:pPr>
                    <w:pStyle w:val="TableBodyText"/>
                  </w:pPr>
                  <w:proofErr w:type="spellStart"/>
                  <w:r>
                    <w:t>na</w:t>
                  </w:r>
                  <w:proofErr w:type="spellEnd"/>
                </w:p>
              </w:tc>
              <w:tc>
                <w:tcPr>
                  <w:tcW w:w="373" w:type="pct"/>
                </w:tcPr>
                <w:p w14:paraId="68F86BDD" w14:textId="77777777" w:rsidR="00DA3852" w:rsidRPr="002F4B4E" w:rsidRDefault="00DA3852" w:rsidP="00C03F9E">
                  <w:pPr>
                    <w:pStyle w:val="TableBodyText"/>
                    <w:spacing w:afterLines="40" w:after="96"/>
                    <w:rPr>
                      <w:color w:val="000000"/>
                    </w:rPr>
                  </w:pPr>
                  <w:r w:rsidRPr="002F4B4E">
                    <w:rPr>
                      <w:color w:val="000000"/>
                    </w:rPr>
                    <w:t>440</w:t>
                  </w:r>
                </w:p>
              </w:tc>
              <w:tc>
                <w:tcPr>
                  <w:tcW w:w="542" w:type="pct"/>
                  <w:tcBorders>
                    <w:left w:val="nil"/>
                  </w:tcBorders>
                </w:tcPr>
                <w:p w14:paraId="1D4EE789" w14:textId="77777777" w:rsidR="00DA3852" w:rsidRPr="00163C03" w:rsidRDefault="00DA3852" w:rsidP="00C03F9E">
                  <w:pPr>
                    <w:pStyle w:val="TableBodyText"/>
                    <w:spacing w:afterLines="40" w:after="96"/>
                  </w:pPr>
                  <w:r>
                    <w:rPr>
                      <w:rFonts w:cs="Arial"/>
                      <w:color w:val="000000"/>
                      <w:szCs w:val="18"/>
                    </w:rPr>
                    <w:t>35</w:t>
                  </w:r>
                </w:p>
              </w:tc>
              <w:tc>
                <w:tcPr>
                  <w:tcW w:w="434" w:type="pct"/>
                  <w:gridSpan w:val="2"/>
                </w:tcPr>
                <w:p w14:paraId="77153BF9" w14:textId="77777777" w:rsidR="00DA3852" w:rsidRPr="00014279" w:rsidRDefault="00DA3852" w:rsidP="00C03F9E">
                  <w:pPr>
                    <w:pStyle w:val="TableBodyText"/>
                    <w:spacing w:afterLines="40" w:after="96"/>
                    <w:rPr>
                      <w:i/>
                    </w:rPr>
                  </w:pPr>
                  <w:r w:rsidRPr="00AE4DA9">
                    <w:t>4</w:t>
                  </w:r>
                  <w:r>
                    <w:t>81</w:t>
                  </w:r>
                </w:p>
              </w:tc>
              <w:tc>
                <w:tcPr>
                  <w:tcW w:w="689" w:type="pct"/>
                  <w:gridSpan w:val="2"/>
                </w:tcPr>
                <w:p w14:paraId="04AAAB0F" w14:textId="77777777" w:rsidR="00DA3852" w:rsidRDefault="00DA3852" w:rsidP="00C03F9E">
                  <w:pPr>
                    <w:pStyle w:val="TableBodyText"/>
                    <w:ind w:left="113" w:right="0"/>
                    <w:jc w:val="left"/>
                    <w:rPr>
                      <w:i/>
                    </w:rPr>
                  </w:pPr>
                  <w:r>
                    <w:t>P</w:t>
                  </w:r>
                  <w:r w:rsidRPr="00285B50">
                    <w:t>red</w:t>
                  </w:r>
                  <w:r>
                    <w:t>icted</w:t>
                  </w:r>
                </w:p>
              </w:tc>
              <w:tc>
                <w:tcPr>
                  <w:tcW w:w="1383" w:type="pct"/>
                </w:tcPr>
                <w:p w14:paraId="22710BA2" w14:textId="77777777" w:rsidR="00DA3852" w:rsidRDefault="00DA3852" w:rsidP="00C03F9E">
                  <w:pPr>
                    <w:pStyle w:val="TableBodyText"/>
                    <w:ind w:right="28"/>
                    <w:jc w:val="left"/>
                    <w:rPr>
                      <w:i/>
                    </w:rPr>
                  </w:pPr>
                  <w:r w:rsidRPr="00720D75">
                    <w:rPr>
                      <w:rFonts w:cs="Arial"/>
                      <w:szCs w:val="24"/>
                    </w:rPr>
                    <w:t>(Core Energy Group 2012b)</w:t>
                  </w:r>
                </w:p>
              </w:tc>
            </w:tr>
            <w:tr w:rsidR="00DA3852" w14:paraId="59C8B576" w14:textId="77777777" w:rsidTr="00A806C7">
              <w:tc>
                <w:tcPr>
                  <w:tcW w:w="1228" w:type="pct"/>
                  <w:gridSpan w:val="2"/>
                </w:tcPr>
                <w:p w14:paraId="2C8FDA24" w14:textId="77777777" w:rsidR="00DA3852" w:rsidRPr="00602EA7" w:rsidRDefault="00DA3852" w:rsidP="00C03F9E">
                  <w:pPr>
                    <w:pStyle w:val="TableBodyText"/>
                    <w:jc w:val="left"/>
                  </w:pPr>
                  <w:r w:rsidRPr="00602EA7">
                    <w:t>Coolah to Newcastle</w:t>
                  </w:r>
                </w:p>
              </w:tc>
              <w:tc>
                <w:tcPr>
                  <w:tcW w:w="350" w:type="pct"/>
                </w:tcPr>
                <w:p w14:paraId="25B06C33" w14:textId="77777777" w:rsidR="00DA3852" w:rsidRDefault="00DA3852" w:rsidP="00C03F9E">
                  <w:pPr>
                    <w:pStyle w:val="TableBodyText"/>
                  </w:pPr>
                  <w:proofErr w:type="spellStart"/>
                  <w:r>
                    <w:t>na</w:t>
                  </w:r>
                  <w:proofErr w:type="spellEnd"/>
                </w:p>
              </w:tc>
              <w:tc>
                <w:tcPr>
                  <w:tcW w:w="373" w:type="pct"/>
                </w:tcPr>
                <w:p w14:paraId="7C33A130" w14:textId="77777777" w:rsidR="00DA3852" w:rsidRPr="002F4B4E" w:rsidRDefault="00DA3852" w:rsidP="00C03F9E">
                  <w:pPr>
                    <w:pStyle w:val="TableBodyText"/>
                    <w:spacing w:afterLines="40" w:after="96"/>
                    <w:rPr>
                      <w:color w:val="000000"/>
                    </w:rPr>
                  </w:pPr>
                  <w:r w:rsidRPr="002F4B4E">
                    <w:rPr>
                      <w:color w:val="000000"/>
                    </w:rPr>
                    <w:t>280</w:t>
                  </w:r>
                </w:p>
              </w:tc>
              <w:tc>
                <w:tcPr>
                  <w:tcW w:w="542" w:type="pct"/>
                  <w:tcBorders>
                    <w:left w:val="nil"/>
                  </w:tcBorders>
                </w:tcPr>
                <w:p w14:paraId="63BBA546" w14:textId="77777777" w:rsidR="00DA3852" w:rsidRPr="00163C03" w:rsidRDefault="00DA3852" w:rsidP="00C03F9E">
                  <w:pPr>
                    <w:pStyle w:val="TableBodyText"/>
                    <w:spacing w:afterLines="40" w:after="96"/>
                  </w:pPr>
                  <w:r>
                    <w:rPr>
                      <w:rFonts w:cs="Arial"/>
                      <w:color w:val="000000"/>
                      <w:szCs w:val="18"/>
                    </w:rPr>
                    <w:t>146</w:t>
                  </w:r>
                </w:p>
              </w:tc>
              <w:tc>
                <w:tcPr>
                  <w:tcW w:w="434" w:type="pct"/>
                  <w:gridSpan w:val="2"/>
                </w:tcPr>
                <w:p w14:paraId="30C04B6B" w14:textId="77777777" w:rsidR="00DA3852" w:rsidRPr="00014279" w:rsidRDefault="00DA3852" w:rsidP="00C03F9E">
                  <w:pPr>
                    <w:pStyle w:val="TableBodyText"/>
                    <w:spacing w:afterLines="40" w:after="96"/>
                    <w:rPr>
                      <w:i/>
                    </w:rPr>
                  </w:pPr>
                  <w:r w:rsidRPr="00AE4DA9">
                    <w:t>25</w:t>
                  </w:r>
                  <w:r>
                    <w:t>5</w:t>
                  </w:r>
                </w:p>
              </w:tc>
              <w:tc>
                <w:tcPr>
                  <w:tcW w:w="689" w:type="pct"/>
                  <w:gridSpan w:val="2"/>
                </w:tcPr>
                <w:p w14:paraId="5C1A0B4E" w14:textId="77777777" w:rsidR="00DA3852" w:rsidRDefault="00DA3852" w:rsidP="00C03F9E">
                  <w:pPr>
                    <w:pStyle w:val="TableBodyText"/>
                    <w:ind w:left="113" w:right="0"/>
                    <w:jc w:val="left"/>
                    <w:rPr>
                      <w:i/>
                    </w:rPr>
                  </w:pPr>
                  <w:r>
                    <w:t>P</w:t>
                  </w:r>
                  <w:r w:rsidRPr="00285B50">
                    <w:t>red</w:t>
                  </w:r>
                  <w:r>
                    <w:t>icted</w:t>
                  </w:r>
                </w:p>
              </w:tc>
              <w:tc>
                <w:tcPr>
                  <w:tcW w:w="1383" w:type="pct"/>
                </w:tcPr>
                <w:p w14:paraId="6E309B74" w14:textId="77777777" w:rsidR="00DA3852" w:rsidRDefault="00DA3852" w:rsidP="00C03F9E">
                  <w:pPr>
                    <w:pStyle w:val="TableBodyText"/>
                    <w:ind w:right="28"/>
                    <w:jc w:val="left"/>
                    <w:rPr>
                      <w:i/>
                    </w:rPr>
                  </w:pPr>
                  <w:r w:rsidRPr="00743166">
                    <w:rPr>
                      <w:rFonts w:cs="Arial"/>
                      <w:szCs w:val="24"/>
                    </w:rPr>
                    <w:t>(Core Energy Group 2012b)</w:t>
                  </w:r>
                </w:p>
              </w:tc>
            </w:tr>
            <w:tr w:rsidR="00DA3852" w14:paraId="4671EBA6" w14:textId="77777777" w:rsidTr="00A806C7">
              <w:tc>
                <w:tcPr>
                  <w:tcW w:w="1228" w:type="pct"/>
                  <w:gridSpan w:val="2"/>
                </w:tcPr>
                <w:p w14:paraId="03E66788" w14:textId="77777777" w:rsidR="00DA3852" w:rsidRPr="00602EA7" w:rsidRDefault="00DA3852" w:rsidP="00C03F9E">
                  <w:pPr>
                    <w:pStyle w:val="TableBodyText"/>
                    <w:jc w:val="left"/>
                  </w:pPr>
                  <w:r w:rsidRPr="00602EA7">
                    <w:t>E</w:t>
                  </w:r>
                  <w:r>
                    <w:t>GP</w:t>
                  </w:r>
                </w:p>
              </w:tc>
              <w:tc>
                <w:tcPr>
                  <w:tcW w:w="350" w:type="pct"/>
                </w:tcPr>
                <w:p w14:paraId="391E82F4" w14:textId="77777777" w:rsidR="00DA3852" w:rsidRDefault="00DA3852" w:rsidP="00C03F9E">
                  <w:pPr>
                    <w:pStyle w:val="TableBodyText"/>
                  </w:pPr>
                  <w:r>
                    <w:t>2000</w:t>
                  </w:r>
                </w:p>
              </w:tc>
              <w:tc>
                <w:tcPr>
                  <w:tcW w:w="373" w:type="pct"/>
                </w:tcPr>
                <w:p w14:paraId="6292AD78" w14:textId="77777777" w:rsidR="00DA3852" w:rsidRPr="002F4B4E" w:rsidRDefault="00DA3852" w:rsidP="00C03F9E">
                  <w:pPr>
                    <w:pStyle w:val="TableBodyText"/>
                    <w:spacing w:afterLines="40" w:after="96"/>
                    <w:rPr>
                      <w:color w:val="000000"/>
                    </w:rPr>
                  </w:pPr>
                  <w:r>
                    <w:rPr>
                      <w:color w:val="000000"/>
                    </w:rPr>
                    <w:t>797</w:t>
                  </w:r>
                </w:p>
              </w:tc>
              <w:tc>
                <w:tcPr>
                  <w:tcW w:w="542" w:type="pct"/>
                  <w:tcBorders>
                    <w:left w:val="nil"/>
                  </w:tcBorders>
                </w:tcPr>
                <w:p w14:paraId="3015C4D6" w14:textId="77777777" w:rsidR="00DA3852" w:rsidRPr="00163C03" w:rsidRDefault="00DA3852" w:rsidP="00C03F9E">
                  <w:pPr>
                    <w:pStyle w:val="TableBodyText"/>
                    <w:spacing w:afterLines="40" w:after="96"/>
                  </w:pPr>
                  <w:r>
                    <w:rPr>
                      <w:rFonts w:cs="Arial"/>
                      <w:color w:val="000000"/>
                      <w:szCs w:val="18"/>
                    </w:rPr>
                    <w:t>55</w:t>
                  </w:r>
                </w:p>
              </w:tc>
              <w:tc>
                <w:tcPr>
                  <w:tcW w:w="434" w:type="pct"/>
                  <w:gridSpan w:val="2"/>
                </w:tcPr>
                <w:p w14:paraId="4E2D2354" w14:textId="77777777" w:rsidR="00DA3852" w:rsidRPr="00285B50" w:rsidRDefault="00DA3852" w:rsidP="00C03F9E">
                  <w:pPr>
                    <w:pStyle w:val="TableBodyText"/>
                    <w:spacing w:afterLines="40" w:after="96"/>
                    <w:rPr>
                      <w:i/>
                    </w:rPr>
                  </w:pPr>
                  <w:r w:rsidRPr="00D21CCA">
                    <w:t>7</w:t>
                  </w:r>
                  <w:r>
                    <w:t>14</w:t>
                  </w:r>
                </w:p>
              </w:tc>
              <w:tc>
                <w:tcPr>
                  <w:tcW w:w="689" w:type="pct"/>
                  <w:gridSpan w:val="2"/>
                </w:tcPr>
                <w:p w14:paraId="34B12256" w14:textId="77777777" w:rsidR="00DA3852" w:rsidRDefault="00DA3852" w:rsidP="00C03F9E">
                  <w:pPr>
                    <w:pStyle w:val="TableBodyText"/>
                    <w:ind w:left="113" w:right="0"/>
                    <w:jc w:val="left"/>
                    <w:rPr>
                      <w:i/>
                    </w:rPr>
                  </w:pPr>
                  <w:r>
                    <w:t>E</w:t>
                  </w:r>
                  <w:r w:rsidRPr="00285B50">
                    <w:t>x post</w:t>
                  </w:r>
                </w:p>
              </w:tc>
              <w:tc>
                <w:tcPr>
                  <w:tcW w:w="1383" w:type="pct"/>
                </w:tcPr>
                <w:p w14:paraId="0A7F0866" w14:textId="77777777" w:rsidR="00DA3852" w:rsidRDefault="00DA3852" w:rsidP="00C03F9E">
                  <w:pPr>
                    <w:pStyle w:val="TableBodyText"/>
                    <w:ind w:right="28"/>
                    <w:jc w:val="left"/>
                    <w:rPr>
                      <w:i/>
                    </w:rPr>
                  </w:pPr>
                  <w:r w:rsidRPr="00E55EB8">
                    <w:rPr>
                      <w:rFonts w:cs="Arial"/>
                      <w:szCs w:val="24"/>
                    </w:rPr>
                    <w:t xml:space="preserve">(AER 2008; </w:t>
                  </w:r>
                  <w:proofErr w:type="spellStart"/>
                  <w:r w:rsidRPr="00E55EB8">
                    <w:rPr>
                      <w:rFonts w:cs="Arial"/>
                      <w:szCs w:val="24"/>
                    </w:rPr>
                    <w:t>Jemena</w:t>
                  </w:r>
                  <w:proofErr w:type="spellEnd"/>
                  <w:r w:rsidRPr="00E55EB8">
                    <w:rPr>
                      <w:rFonts w:cs="Arial"/>
                      <w:szCs w:val="24"/>
                    </w:rPr>
                    <w:t> 2015a; LECG Economics and Finance 2000)</w:t>
                  </w:r>
                </w:p>
              </w:tc>
            </w:tr>
            <w:tr w:rsidR="00DA3852" w14:paraId="4BFA30D5" w14:textId="77777777" w:rsidTr="00A806C7">
              <w:tc>
                <w:tcPr>
                  <w:tcW w:w="1228" w:type="pct"/>
                  <w:gridSpan w:val="2"/>
                </w:tcPr>
                <w:p w14:paraId="1B6A1ACB" w14:textId="77777777" w:rsidR="00DA3852" w:rsidRDefault="00DA3852" w:rsidP="00C03F9E">
                  <w:pPr>
                    <w:pStyle w:val="TableBodyText"/>
                    <w:jc w:val="left"/>
                  </w:pPr>
                  <w:r>
                    <w:t>GLNG</w:t>
                  </w:r>
                </w:p>
              </w:tc>
              <w:tc>
                <w:tcPr>
                  <w:tcW w:w="350" w:type="pct"/>
                </w:tcPr>
                <w:p w14:paraId="5092AF44" w14:textId="77777777" w:rsidR="00DA3852" w:rsidRDefault="00DA3852" w:rsidP="00C03F9E">
                  <w:pPr>
                    <w:pStyle w:val="TableBodyText"/>
                  </w:pPr>
                  <w:r>
                    <w:t>2014</w:t>
                  </w:r>
                </w:p>
              </w:tc>
              <w:tc>
                <w:tcPr>
                  <w:tcW w:w="373" w:type="pct"/>
                </w:tcPr>
                <w:p w14:paraId="265AB585" w14:textId="77777777" w:rsidR="00DA3852" w:rsidRPr="002F4B4E" w:rsidRDefault="00DA3852" w:rsidP="00C03F9E">
                  <w:pPr>
                    <w:pStyle w:val="TableBodyText"/>
                    <w:spacing w:afterLines="40" w:after="96"/>
                    <w:rPr>
                      <w:color w:val="000000"/>
                    </w:rPr>
                  </w:pPr>
                  <w:r w:rsidRPr="002F4B4E">
                    <w:rPr>
                      <w:color w:val="000000"/>
                    </w:rPr>
                    <w:t>435</w:t>
                  </w:r>
                </w:p>
              </w:tc>
              <w:tc>
                <w:tcPr>
                  <w:tcW w:w="542" w:type="pct"/>
                  <w:tcBorders>
                    <w:left w:val="nil"/>
                  </w:tcBorders>
                </w:tcPr>
                <w:p w14:paraId="00F285CA" w14:textId="77777777" w:rsidR="00DA3852" w:rsidRPr="00163C03" w:rsidRDefault="00DA3852" w:rsidP="00C03F9E">
                  <w:pPr>
                    <w:pStyle w:val="TableBodyText"/>
                    <w:spacing w:afterLines="40" w:after="96"/>
                  </w:pPr>
                  <w:r>
                    <w:rPr>
                      <w:rFonts w:cs="Arial"/>
                      <w:color w:val="000000"/>
                      <w:szCs w:val="18"/>
                    </w:rPr>
                    <w:t>498</w:t>
                  </w:r>
                </w:p>
              </w:tc>
              <w:tc>
                <w:tcPr>
                  <w:tcW w:w="434" w:type="pct"/>
                  <w:gridSpan w:val="2"/>
                </w:tcPr>
                <w:p w14:paraId="73033B05" w14:textId="77777777" w:rsidR="00DA3852" w:rsidRPr="00AE4DA9" w:rsidRDefault="00DA3852" w:rsidP="00C03F9E">
                  <w:pPr>
                    <w:pStyle w:val="TableBodyText"/>
                    <w:spacing w:afterLines="40" w:after="96"/>
                    <w:rPr>
                      <w:i/>
                    </w:rPr>
                  </w:pPr>
                  <w:r>
                    <w:t>1 013</w:t>
                  </w:r>
                </w:p>
              </w:tc>
              <w:tc>
                <w:tcPr>
                  <w:tcW w:w="689" w:type="pct"/>
                  <w:gridSpan w:val="2"/>
                </w:tcPr>
                <w:p w14:paraId="5DFC2833" w14:textId="77777777" w:rsidR="00DA3852" w:rsidRPr="00784269" w:rsidRDefault="00DA3852" w:rsidP="00C03F9E">
                  <w:pPr>
                    <w:pStyle w:val="TableBodyText"/>
                    <w:ind w:left="113" w:right="0"/>
                    <w:jc w:val="left"/>
                    <w:rPr>
                      <w:i/>
                    </w:rPr>
                  </w:pPr>
                  <w:r>
                    <w:t>P</w:t>
                  </w:r>
                  <w:r w:rsidRPr="00285B50">
                    <w:t>red</w:t>
                  </w:r>
                  <w:r>
                    <w:t>icted</w:t>
                  </w:r>
                </w:p>
              </w:tc>
              <w:tc>
                <w:tcPr>
                  <w:tcW w:w="1383" w:type="pct"/>
                </w:tcPr>
                <w:p w14:paraId="2D9F1BCC" w14:textId="77777777" w:rsidR="00DA3852" w:rsidRDefault="00DA3852" w:rsidP="00C03F9E">
                  <w:pPr>
                    <w:pStyle w:val="TableBodyText"/>
                    <w:ind w:right="28"/>
                    <w:jc w:val="left"/>
                    <w:rPr>
                      <w:i/>
                    </w:rPr>
                  </w:pPr>
                  <w:r w:rsidRPr="008D45FF">
                    <w:rPr>
                      <w:rFonts w:cs="Arial"/>
                      <w:szCs w:val="24"/>
                    </w:rPr>
                    <w:t>(Core Energy Group 2012b)</w:t>
                  </w:r>
                </w:p>
              </w:tc>
            </w:tr>
            <w:tr w:rsidR="00DA3852" w14:paraId="58EB1A6E" w14:textId="77777777" w:rsidTr="00A806C7">
              <w:tc>
                <w:tcPr>
                  <w:tcW w:w="1228" w:type="pct"/>
                  <w:gridSpan w:val="2"/>
                </w:tcPr>
                <w:p w14:paraId="58303F68" w14:textId="77777777" w:rsidR="00DA3852" w:rsidRDefault="00DA3852" w:rsidP="00C03F9E">
                  <w:pPr>
                    <w:pStyle w:val="TableBodyText"/>
                    <w:jc w:val="left"/>
                  </w:pPr>
                  <w:r w:rsidRPr="00602EA7">
                    <w:t>Gloucester</w:t>
                  </w:r>
                  <w:r>
                    <w:t xml:space="preserve"> to Hexham</w:t>
                  </w:r>
                </w:p>
              </w:tc>
              <w:tc>
                <w:tcPr>
                  <w:tcW w:w="350" w:type="pct"/>
                </w:tcPr>
                <w:p w14:paraId="4DFD656D" w14:textId="77777777" w:rsidR="00DA3852" w:rsidRDefault="00DA3852" w:rsidP="00C03F9E">
                  <w:pPr>
                    <w:pStyle w:val="TableBodyText"/>
                  </w:pPr>
                  <w:proofErr w:type="spellStart"/>
                  <w:r>
                    <w:t>na</w:t>
                  </w:r>
                  <w:proofErr w:type="spellEnd"/>
                </w:p>
              </w:tc>
              <w:tc>
                <w:tcPr>
                  <w:tcW w:w="373" w:type="pct"/>
                </w:tcPr>
                <w:p w14:paraId="0D28EEFA" w14:textId="77777777" w:rsidR="00DA3852" w:rsidRPr="002F4B4E" w:rsidRDefault="00DA3852" w:rsidP="00C03F9E">
                  <w:pPr>
                    <w:pStyle w:val="TableBodyText"/>
                    <w:spacing w:afterLines="40" w:after="96"/>
                    <w:rPr>
                      <w:color w:val="000000"/>
                    </w:rPr>
                  </w:pPr>
                  <w:r w:rsidRPr="002F4B4E">
                    <w:rPr>
                      <w:color w:val="000000"/>
                    </w:rPr>
                    <w:t>98</w:t>
                  </w:r>
                </w:p>
              </w:tc>
              <w:tc>
                <w:tcPr>
                  <w:tcW w:w="542" w:type="pct"/>
                  <w:tcBorders>
                    <w:left w:val="nil"/>
                  </w:tcBorders>
                </w:tcPr>
                <w:p w14:paraId="7664A144" w14:textId="77777777" w:rsidR="00DA3852" w:rsidRDefault="00DA3852" w:rsidP="00C03F9E">
                  <w:pPr>
                    <w:pStyle w:val="TableBodyText"/>
                    <w:spacing w:afterLines="40" w:after="96"/>
                  </w:pPr>
                  <w:r>
                    <w:rPr>
                      <w:rFonts w:cs="Arial"/>
                      <w:color w:val="000000"/>
                      <w:szCs w:val="18"/>
                    </w:rPr>
                    <w:t>22</w:t>
                  </w:r>
                </w:p>
              </w:tc>
              <w:tc>
                <w:tcPr>
                  <w:tcW w:w="434" w:type="pct"/>
                  <w:gridSpan w:val="2"/>
                </w:tcPr>
                <w:p w14:paraId="0D8BB39A" w14:textId="77777777" w:rsidR="00DA3852" w:rsidRDefault="00DA3852" w:rsidP="00C03F9E">
                  <w:pPr>
                    <w:pStyle w:val="TableBodyText"/>
                    <w:spacing w:afterLines="40" w:after="96"/>
                  </w:pPr>
                  <w:r w:rsidRPr="00AE4DA9">
                    <w:t>8</w:t>
                  </w:r>
                  <w:r>
                    <w:t>1</w:t>
                  </w:r>
                </w:p>
              </w:tc>
              <w:tc>
                <w:tcPr>
                  <w:tcW w:w="689" w:type="pct"/>
                  <w:gridSpan w:val="2"/>
                </w:tcPr>
                <w:p w14:paraId="4375E533" w14:textId="77777777" w:rsidR="00DA3852" w:rsidRDefault="00DA3852" w:rsidP="00C03F9E">
                  <w:pPr>
                    <w:pStyle w:val="TableBodyText"/>
                    <w:ind w:left="113" w:right="0"/>
                    <w:jc w:val="left"/>
                  </w:pPr>
                  <w:r>
                    <w:t>P</w:t>
                  </w:r>
                  <w:r w:rsidRPr="00285B50">
                    <w:t>red</w:t>
                  </w:r>
                  <w:r>
                    <w:t>icted</w:t>
                  </w:r>
                </w:p>
              </w:tc>
              <w:tc>
                <w:tcPr>
                  <w:tcW w:w="1383" w:type="pct"/>
                </w:tcPr>
                <w:p w14:paraId="1CE6AF98" w14:textId="77777777" w:rsidR="00DA3852" w:rsidRDefault="00DA3852" w:rsidP="00C03F9E">
                  <w:pPr>
                    <w:pStyle w:val="TableBodyText"/>
                    <w:ind w:right="28"/>
                    <w:jc w:val="left"/>
                  </w:pPr>
                  <w:r w:rsidRPr="004F1A86">
                    <w:rPr>
                      <w:rFonts w:cs="Arial"/>
                      <w:szCs w:val="24"/>
                    </w:rPr>
                    <w:t>(BREE 2014e)</w:t>
                  </w:r>
                </w:p>
              </w:tc>
            </w:tr>
            <w:tr w:rsidR="00DA3852" w14:paraId="2BFF2B01" w14:textId="77777777" w:rsidTr="00A806C7">
              <w:tc>
                <w:tcPr>
                  <w:tcW w:w="1228" w:type="pct"/>
                  <w:gridSpan w:val="2"/>
                </w:tcPr>
                <w:p w14:paraId="4E61E15A" w14:textId="77777777" w:rsidR="00DA3852" w:rsidRDefault="00DA3852" w:rsidP="00C03F9E">
                  <w:pPr>
                    <w:pStyle w:val="TableBodyText"/>
                    <w:jc w:val="left"/>
                  </w:pPr>
                  <w:r w:rsidRPr="00602EA7">
                    <w:t>Great Northern</w:t>
                  </w:r>
                  <w:r>
                    <w:br/>
                  </w:r>
                  <w:r w:rsidRPr="00602EA7">
                    <w:t>(Broome to Pt Hedland)</w:t>
                  </w:r>
                </w:p>
              </w:tc>
              <w:tc>
                <w:tcPr>
                  <w:tcW w:w="350" w:type="pct"/>
                </w:tcPr>
                <w:p w14:paraId="1C0F090C" w14:textId="77777777" w:rsidR="00DA3852" w:rsidRDefault="00DA3852" w:rsidP="00C03F9E">
                  <w:pPr>
                    <w:pStyle w:val="TableBodyText"/>
                  </w:pPr>
                  <w:proofErr w:type="spellStart"/>
                  <w:r>
                    <w:t>na</w:t>
                  </w:r>
                  <w:proofErr w:type="spellEnd"/>
                </w:p>
              </w:tc>
              <w:tc>
                <w:tcPr>
                  <w:tcW w:w="373" w:type="pct"/>
                </w:tcPr>
                <w:p w14:paraId="07DAD28D" w14:textId="77777777" w:rsidR="00DA3852" w:rsidRPr="002F4B4E" w:rsidRDefault="00DA3852" w:rsidP="00C03F9E">
                  <w:pPr>
                    <w:pStyle w:val="TableBodyText"/>
                    <w:spacing w:afterLines="40" w:after="96"/>
                    <w:rPr>
                      <w:color w:val="000000"/>
                    </w:rPr>
                  </w:pPr>
                  <w:r w:rsidRPr="002F4B4E">
                    <w:rPr>
                      <w:color w:val="000000"/>
                    </w:rPr>
                    <w:t>550</w:t>
                  </w:r>
                </w:p>
              </w:tc>
              <w:tc>
                <w:tcPr>
                  <w:tcW w:w="542" w:type="pct"/>
                  <w:tcBorders>
                    <w:left w:val="nil"/>
                  </w:tcBorders>
                </w:tcPr>
                <w:p w14:paraId="70CC1FBF" w14:textId="77777777" w:rsidR="00DA3852" w:rsidRPr="00AE4DA9" w:rsidRDefault="00DA3852" w:rsidP="00C03F9E">
                  <w:pPr>
                    <w:pStyle w:val="TableBodyText"/>
                    <w:spacing w:afterLines="40" w:after="96"/>
                  </w:pPr>
                  <w:r>
                    <w:rPr>
                      <w:rFonts w:cs="Arial"/>
                      <w:color w:val="000000"/>
                      <w:szCs w:val="18"/>
                    </w:rPr>
                    <w:t>90</w:t>
                  </w:r>
                </w:p>
              </w:tc>
              <w:tc>
                <w:tcPr>
                  <w:tcW w:w="434" w:type="pct"/>
                  <w:gridSpan w:val="2"/>
                </w:tcPr>
                <w:p w14:paraId="61EAC8E3" w14:textId="77777777" w:rsidR="00DA3852" w:rsidRPr="000C63EA" w:rsidRDefault="00DA3852" w:rsidP="00C03F9E">
                  <w:pPr>
                    <w:pStyle w:val="TableBodyText"/>
                    <w:spacing w:afterLines="40" w:after="96"/>
                    <w:rPr>
                      <w:i/>
                    </w:rPr>
                  </w:pPr>
                  <w:r w:rsidRPr="00AE4DA9">
                    <w:t>50</w:t>
                  </w:r>
                  <w:r>
                    <w:t>0</w:t>
                  </w:r>
                </w:p>
              </w:tc>
              <w:tc>
                <w:tcPr>
                  <w:tcW w:w="689" w:type="pct"/>
                  <w:gridSpan w:val="2"/>
                </w:tcPr>
                <w:p w14:paraId="072998E4" w14:textId="77777777" w:rsidR="00DA3852" w:rsidRDefault="00DA3852" w:rsidP="00C03F9E">
                  <w:pPr>
                    <w:pStyle w:val="TableBodyText"/>
                    <w:ind w:left="113" w:right="0"/>
                    <w:jc w:val="left"/>
                    <w:rPr>
                      <w:i/>
                    </w:rPr>
                  </w:pPr>
                  <w:r>
                    <w:t>P</w:t>
                  </w:r>
                  <w:r w:rsidRPr="00285B50">
                    <w:t>red</w:t>
                  </w:r>
                  <w:r>
                    <w:t>icted</w:t>
                  </w:r>
                </w:p>
              </w:tc>
              <w:tc>
                <w:tcPr>
                  <w:tcW w:w="1383" w:type="pct"/>
                </w:tcPr>
                <w:p w14:paraId="61DB0FEF" w14:textId="77777777" w:rsidR="00DA3852" w:rsidRDefault="00DA3852" w:rsidP="00C03F9E">
                  <w:pPr>
                    <w:pStyle w:val="TableBodyText"/>
                    <w:ind w:right="28"/>
                    <w:jc w:val="left"/>
                    <w:rPr>
                      <w:i/>
                    </w:rPr>
                  </w:pPr>
                  <w:r w:rsidRPr="004F1A86">
                    <w:rPr>
                      <w:rFonts w:cs="Arial"/>
                      <w:szCs w:val="24"/>
                    </w:rPr>
                    <w:t>(BREE 2014e)</w:t>
                  </w:r>
                </w:p>
              </w:tc>
            </w:tr>
            <w:tr w:rsidR="00DA3852" w14:paraId="799BE741" w14:textId="77777777" w:rsidTr="00A806C7">
              <w:tc>
                <w:tcPr>
                  <w:tcW w:w="1223" w:type="pct"/>
                </w:tcPr>
                <w:p w14:paraId="77217D68" w14:textId="77777777" w:rsidR="00DA3852" w:rsidRDefault="00DA3852" w:rsidP="00C03F9E">
                  <w:pPr>
                    <w:pStyle w:val="TableBodyText"/>
                    <w:jc w:val="left"/>
                  </w:pPr>
                  <w:r w:rsidRPr="00602EA7">
                    <w:t>Ironbark</w:t>
                  </w:r>
                </w:p>
              </w:tc>
              <w:tc>
                <w:tcPr>
                  <w:tcW w:w="355" w:type="pct"/>
                  <w:gridSpan w:val="2"/>
                </w:tcPr>
                <w:p w14:paraId="5AD4F9E3" w14:textId="77777777" w:rsidR="00DA3852" w:rsidRDefault="00DA3852" w:rsidP="00C03F9E">
                  <w:pPr>
                    <w:pStyle w:val="TableBodyText"/>
                  </w:pPr>
                  <w:proofErr w:type="spellStart"/>
                  <w:r>
                    <w:t>na</w:t>
                  </w:r>
                  <w:proofErr w:type="spellEnd"/>
                </w:p>
              </w:tc>
              <w:tc>
                <w:tcPr>
                  <w:tcW w:w="373" w:type="pct"/>
                </w:tcPr>
                <w:p w14:paraId="37836417" w14:textId="77777777" w:rsidR="00DA3852" w:rsidRPr="002F4B4E" w:rsidRDefault="00DA3852" w:rsidP="00C03F9E">
                  <w:pPr>
                    <w:pStyle w:val="TableBodyText"/>
                    <w:spacing w:afterLines="40" w:after="96"/>
                    <w:rPr>
                      <w:color w:val="000000"/>
                    </w:rPr>
                  </w:pPr>
                  <w:r w:rsidRPr="002F4B4E">
                    <w:rPr>
                      <w:color w:val="000000"/>
                    </w:rPr>
                    <w:t>440</w:t>
                  </w:r>
                </w:p>
              </w:tc>
              <w:tc>
                <w:tcPr>
                  <w:tcW w:w="542" w:type="pct"/>
                  <w:tcBorders>
                    <w:left w:val="nil"/>
                  </w:tcBorders>
                </w:tcPr>
                <w:p w14:paraId="46A38C0A" w14:textId="77777777" w:rsidR="00DA3852" w:rsidRPr="00AE4DA9" w:rsidRDefault="00DA3852" w:rsidP="00C03F9E">
                  <w:pPr>
                    <w:pStyle w:val="TableBodyText"/>
                    <w:spacing w:afterLines="40" w:after="96"/>
                  </w:pPr>
                  <w:r>
                    <w:rPr>
                      <w:rFonts w:cs="Arial"/>
                      <w:color w:val="000000"/>
                      <w:szCs w:val="18"/>
                    </w:rPr>
                    <w:t>35</w:t>
                  </w:r>
                </w:p>
              </w:tc>
              <w:tc>
                <w:tcPr>
                  <w:tcW w:w="434" w:type="pct"/>
                  <w:gridSpan w:val="2"/>
                </w:tcPr>
                <w:p w14:paraId="0B4032A1" w14:textId="77777777" w:rsidR="00DA3852" w:rsidRPr="000E5258" w:rsidRDefault="00DA3852" w:rsidP="00C03F9E">
                  <w:pPr>
                    <w:pStyle w:val="TableBodyText"/>
                    <w:spacing w:afterLines="40" w:after="96"/>
                    <w:rPr>
                      <w:i/>
                    </w:rPr>
                  </w:pPr>
                  <w:r>
                    <w:t>401</w:t>
                  </w:r>
                </w:p>
              </w:tc>
              <w:tc>
                <w:tcPr>
                  <w:tcW w:w="689" w:type="pct"/>
                  <w:gridSpan w:val="2"/>
                </w:tcPr>
                <w:p w14:paraId="38E2F98B" w14:textId="77777777" w:rsidR="00DA3852" w:rsidRDefault="00DA3852" w:rsidP="00C03F9E">
                  <w:pPr>
                    <w:pStyle w:val="TableBodyText"/>
                    <w:ind w:left="113" w:right="0"/>
                    <w:jc w:val="left"/>
                    <w:rPr>
                      <w:i/>
                    </w:rPr>
                  </w:pPr>
                  <w:r>
                    <w:t>P</w:t>
                  </w:r>
                  <w:r w:rsidRPr="00285B50">
                    <w:t>red</w:t>
                  </w:r>
                  <w:r>
                    <w:t>icted</w:t>
                  </w:r>
                </w:p>
              </w:tc>
              <w:tc>
                <w:tcPr>
                  <w:tcW w:w="1383" w:type="pct"/>
                </w:tcPr>
                <w:p w14:paraId="768C2608" w14:textId="77777777" w:rsidR="00DA3852" w:rsidRDefault="00DA3852" w:rsidP="00C03F9E">
                  <w:pPr>
                    <w:pStyle w:val="TableBodyText"/>
                    <w:ind w:right="28"/>
                    <w:jc w:val="left"/>
                    <w:rPr>
                      <w:i/>
                    </w:rPr>
                  </w:pPr>
                  <w:r w:rsidRPr="00743166">
                    <w:rPr>
                      <w:rFonts w:cs="Arial"/>
                      <w:szCs w:val="24"/>
                    </w:rPr>
                    <w:t>(Core Energy Group 2012b)</w:t>
                  </w:r>
                </w:p>
              </w:tc>
            </w:tr>
            <w:tr w:rsidR="00DA3852" w14:paraId="2D62D3BC" w14:textId="77777777" w:rsidTr="00A806C7">
              <w:tc>
                <w:tcPr>
                  <w:tcW w:w="1228" w:type="pct"/>
                  <w:gridSpan w:val="2"/>
                </w:tcPr>
                <w:p w14:paraId="6D03AD75" w14:textId="77777777" w:rsidR="00DA3852" w:rsidRDefault="00DA3852" w:rsidP="00C03F9E">
                  <w:pPr>
                    <w:pStyle w:val="TableBodyText"/>
                    <w:jc w:val="left"/>
                  </w:pPr>
                  <w:r w:rsidRPr="00602EA7">
                    <w:t>Lions Way</w:t>
                  </w:r>
                </w:p>
              </w:tc>
              <w:tc>
                <w:tcPr>
                  <w:tcW w:w="350" w:type="pct"/>
                </w:tcPr>
                <w:p w14:paraId="412263A8" w14:textId="77777777" w:rsidR="00DA3852" w:rsidRPr="004918BC" w:rsidRDefault="00DA3852" w:rsidP="00C03F9E">
                  <w:pPr>
                    <w:pStyle w:val="TableBodyText"/>
                  </w:pPr>
                  <w:proofErr w:type="spellStart"/>
                  <w:r>
                    <w:t>na</w:t>
                  </w:r>
                  <w:proofErr w:type="spellEnd"/>
                </w:p>
              </w:tc>
              <w:tc>
                <w:tcPr>
                  <w:tcW w:w="373" w:type="pct"/>
                </w:tcPr>
                <w:p w14:paraId="5F55EB23" w14:textId="77777777" w:rsidR="00DA3852" w:rsidRPr="002F4B4E" w:rsidRDefault="00DA3852" w:rsidP="00C03F9E">
                  <w:pPr>
                    <w:pStyle w:val="TableBodyText"/>
                    <w:spacing w:afterLines="40" w:after="96"/>
                    <w:rPr>
                      <w:color w:val="000000"/>
                    </w:rPr>
                  </w:pPr>
                  <w:r w:rsidRPr="002F4B4E">
                    <w:rPr>
                      <w:color w:val="000000"/>
                    </w:rPr>
                    <w:t>145</w:t>
                  </w:r>
                </w:p>
              </w:tc>
              <w:tc>
                <w:tcPr>
                  <w:tcW w:w="542" w:type="pct"/>
                  <w:tcBorders>
                    <w:left w:val="nil"/>
                  </w:tcBorders>
                </w:tcPr>
                <w:p w14:paraId="7E2A8603" w14:textId="77777777" w:rsidR="00DA3852" w:rsidRPr="00AE4DA9" w:rsidRDefault="00DA3852" w:rsidP="00C03F9E">
                  <w:pPr>
                    <w:pStyle w:val="TableBodyText"/>
                    <w:spacing w:afterLines="40" w:after="96"/>
                  </w:pPr>
                  <w:r>
                    <w:rPr>
                      <w:rFonts w:cs="Arial"/>
                      <w:color w:val="000000"/>
                      <w:szCs w:val="18"/>
                    </w:rPr>
                    <w:t>27</w:t>
                  </w:r>
                </w:p>
              </w:tc>
              <w:tc>
                <w:tcPr>
                  <w:tcW w:w="434" w:type="pct"/>
                  <w:gridSpan w:val="2"/>
                </w:tcPr>
                <w:p w14:paraId="40641B4C" w14:textId="77777777" w:rsidR="00DA3852" w:rsidRPr="000E5258" w:rsidRDefault="00DA3852" w:rsidP="00C03F9E">
                  <w:pPr>
                    <w:pStyle w:val="TableBodyText"/>
                    <w:spacing w:afterLines="40" w:after="96"/>
                    <w:rPr>
                      <w:i/>
                    </w:rPr>
                  </w:pPr>
                  <w:r w:rsidRPr="00AE4DA9">
                    <w:t>12</w:t>
                  </w:r>
                  <w:r>
                    <w:t>2</w:t>
                  </w:r>
                </w:p>
              </w:tc>
              <w:tc>
                <w:tcPr>
                  <w:tcW w:w="689" w:type="pct"/>
                  <w:gridSpan w:val="2"/>
                </w:tcPr>
                <w:p w14:paraId="5B781656" w14:textId="77777777" w:rsidR="00DA3852" w:rsidRDefault="00DA3852" w:rsidP="00C03F9E">
                  <w:pPr>
                    <w:pStyle w:val="TableBodyText"/>
                    <w:ind w:left="113" w:right="0"/>
                    <w:jc w:val="left"/>
                    <w:rPr>
                      <w:i/>
                    </w:rPr>
                  </w:pPr>
                  <w:r>
                    <w:t>P</w:t>
                  </w:r>
                  <w:r w:rsidRPr="00285B50">
                    <w:t>red</w:t>
                  </w:r>
                  <w:r>
                    <w:t>icted</w:t>
                  </w:r>
                </w:p>
              </w:tc>
              <w:tc>
                <w:tcPr>
                  <w:tcW w:w="1383" w:type="pct"/>
                </w:tcPr>
                <w:p w14:paraId="28FDD861" w14:textId="77777777" w:rsidR="00DA3852" w:rsidRDefault="00DA3852" w:rsidP="00C03F9E">
                  <w:pPr>
                    <w:pStyle w:val="TableBodyText"/>
                    <w:ind w:right="28"/>
                    <w:jc w:val="left"/>
                    <w:rPr>
                      <w:i/>
                    </w:rPr>
                  </w:pPr>
                  <w:r w:rsidRPr="008D45FF">
                    <w:rPr>
                      <w:rFonts w:cs="Arial"/>
                      <w:szCs w:val="24"/>
                    </w:rPr>
                    <w:t>(Core Energy Group 2012b)</w:t>
                  </w:r>
                </w:p>
              </w:tc>
            </w:tr>
            <w:tr w:rsidR="00DA3852" w14:paraId="247373D1" w14:textId="77777777" w:rsidTr="00A806C7">
              <w:tc>
                <w:tcPr>
                  <w:tcW w:w="1228" w:type="pct"/>
                  <w:gridSpan w:val="2"/>
                </w:tcPr>
                <w:p w14:paraId="4361AC9D" w14:textId="77777777" w:rsidR="00DA3852" w:rsidRDefault="00DA3852" w:rsidP="00C03F9E">
                  <w:pPr>
                    <w:pStyle w:val="TableBodyText"/>
                    <w:jc w:val="left"/>
                  </w:pPr>
                  <w:r w:rsidRPr="00602EA7">
                    <w:t>N</w:t>
                  </w:r>
                  <w:r>
                    <w:t>orth</w:t>
                  </w:r>
                  <w:r w:rsidRPr="00602EA7">
                    <w:t xml:space="preserve"> Q</w:t>
                  </w:r>
                  <w:r>
                    <w:t>ueensland</w:t>
                  </w:r>
                  <w:r>
                    <w:br/>
                    <w:t>Gas Pipeline</w:t>
                  </w:r>
                </w:p>
              </w:tc>
              <w:tc>
                <w:tcPr>
                  <w:tcW w:w="350" w:type="pct"/>
                </w:tcPr>
                <w:p w14:paraId="1527CA4B" w14:textId="77777777" w:rsidR="00DA3852" w:rsidRDefault="00DA3852" w:rsidP="00C03F9E">
                  <w:pPr>
                    <w:pStyle w:val="TableBodyText"/>
                  </w:pPr>
                  <w:r w:rsidRPr="00AE0E46">
                    <w:t>2005</w:t>
                  </w:r>
                </w:p>
              </w:tc>
              <w:tc>
                <w:tcPr>
                  <w:tcW w:w="373" w:type="pct"/>
                </w:tcPr>
                <w:p w14:paraId="32886F1F" w14:textId="77777777" w:rsidR="00DA3852" w:rsidRPr="002F4B4E" w:rsidRDefault="00DA3852" w:rsidP="00C03F9E">
                  <w:pPr>
                    <w:pStyle w:val="TableBodyText"/>
                    <w:spacing w:afterLines="40" w:after="96"/>
                    <w:rPr>
                      <w:color w:val="000000"/>
                    </w:rPr>
                  </w:pPr>
                  <w:r w:rsidRPr="002F4B4E">
                    <w:rPr>
                      <w:color w:val="000000"/>
                    </w:rPr>
                    <w:t>369</w:t>
                  </w:r>
                </w:p>
              </w:tc>
              <w:tc>
                <w:tcPr>
                  <w:tcW w:w="542" w:type="pct"/>
                  <w:tcBorders>
                    <w:left w:val="nil"/>
                  </w:tcBorders>
                </w:tcPr>
                <w:p w14:paraId="371BC3DE" w14:textId="77777777" w:rsidR="00DA3852" w:rsidRPr="00163C03" w:rsidRDefault="00DA3852" w:rsidP="00C03F9E">
                  <w:pPr>
                    <w:pStyle w:val="TableBodyText"/>
                    <w:spacing w:afterLines="40" w:after="96"/>
                  </w:pPr>
                  <w:r>
                    <w:rPr>
                      <w:rFonts w:cs="Arial"/>
                      <w:color w:val="000000"/>
                      <w:szCs w:val="18"/>
                    </w:rPr>
                    <w:t>20</w:t>
                  </w:r>
                </w:p>
              </w:tc>
              <w:tc>
                <w:tcPr>
                  <w:tcW w:w="434" w:type="pct"/>
                  <w:gridSpan w:val="2"/>
                </w:tcPr>
                <w:p w14:paraId="3F35D9B0" w14:textId="77777777" w:rsidR="00DA3852" w:rsidRPr="00285B50" w:rsidRDefault="00DA3852" w:rsidP="00C03F9E">
                  <w:pPr>
                    <w:pStyle w:val="TableBodyText"/>
                    <w:spacing w:afterLines="40" w:after="96"/>
                    <w:rPr>
                      <w:i/>
                    </w:rPr>
                  </w:pPr>
                  <w:r w:rsidRPr="004438AD">
                    <w:t>2</w:t>
                  </w:r>
                  <w:r>
                    <w:t>00</w:t>
                  </w:r>
                </w:p>
              </w:tc>
              <w:tc>
                <w:tcPr>
                  <w:tcW w:w="689" w:type="pct"/>
                  <w:gridSpan w:val="2"/>
                </w:tcPr>
                <w:p w14:paraId="0FED1E11" w14:textId="77777777" w:rsidR="00DA3852" w:rsidRPr="000E5258" w:rsidRDefault="00DA3852" w:rsidP="00C03F9E">
                  <w:pPr>
                    <w:pStyle w:val="TableBodyText"/>
                    <w:ind w:left="113" w:right="0"/>
                    <w:jc w:val="left"/>
                    <w:rPr>
                      <w:i/>
                    </w:rPr>
                  </w:pPr>
                  <w:r>
                    <w:t>E</w:t>
                  </w:r>
                  <w:r w:rsidRPr="00285B50">
                    <w:t>x post</w:t>
                  </w:r>
                </w:p>
              </w:tc>
              <w:tc>
                <w:tcPr>
                  <w:tcW w:w="1383" w:type="pct"/>
                </w:tcPr>
                <w:p w14:paraId="16A71F96" w14:textId="77777777" w:rsidR="00DA3852" w:rsidRDefault="00DA3852" w:rsidP="00C03F9E">
                  <w:pPr>
                    <w:pStyle w:val="TableBodyText"/>
                    <w:ind w:right="28"/>
                    <w:jc w:val="left"/>
                    <w:rPr>
                      <w:i/>
                    </w:rPr>
                  </w:pPr>
                  <w:r w:rsidRPr="00E55EB8">
                    <w:rPr>
                      <w:rFonts w:cs="Arial"/>
                      <w:szCs w:val="24"/>
                    </w:rPr>
                    <w:t>(AER 2007)</w:t>
                  </w:r>
                </w:p>
              </w:tc>
            </w:tr>
            <w:tr w:rsidR="00DA3852" w14:paraId="765E6F9D" w14:textId="77777777" w:rsidTr="00A806C7">
              <w:tc>
                <w:tcPr>
                  <w:tcW w:w="1228" w:type="pct"/>
                  <w:gridSpan w:val="2"/>
                </w:tcPr>
                <w:p w14:paraId="7C2EE6D9" w14:textId="77777777" w:rsidR="00DA3852" w:rsidRDefault="00DA3852" w:rsidP="00C03F9E">
                  <w:pPr>
                    <w:pStyle w:val="TableBodyText"/>
                    <w:jc w:val="left"/>
                  </w:pPr>
                  <w:r>
                    <w:t>QCLNG</w:t>
                  </w:r>
                </w:p>
              </w:tc>
              <w:tc>
                <w:tcPr>
                  <w:tcW w:w="350" w:type="pct"/>
                </w:tcPr>
                <w:p w14:paraId="2E5B0F70" w14:textId="77777777" w:rsidR="00DA3852" w:rsidRPr="00AE0E46" w:rsidRDefault="00DA3852" w:rsidP="00C03F9E">
                  <w:pPr>
                    <w:pStyle w:val="TableBodyText"/>
                  </w:pPr>
                  <w:r>
                    <w:t>2013</w:t>
                  </w:r>
                </w:p>
              </w:tc>
              <w:tc>
                <w:tcPr>
                  <w:tcW w:w="373" w:type="pct"/>
                </w:tcPr>
                <w:p w14:paraId="766C1839" w14:textId="77777777" w:rsidR="00DA3852" w:rsidRPr="002F4B4E" w:rsidRDefault="00DA3852" w:rsidP="00C03F9E">
                  <w:pPr>
                    <w:pStyle w:val="TableBodyText"/>
                    <w:spacing w:afterLines="40" w:after="96"/>
                    <w:rPr>
                      <w:color w:val="000000"/>
                    </w:rPr>
                  </w:pPr>
                  <w:r w:rsidRPr="002F4B4E">
                    <w:rPr>
                      <w:color w:val="000000"/>
                    </w:rPr>
                    <w:t>334</w:t>
                  </w:r>
                </w:p>
              </w:tc>
              <w:tc>
                <w:tcPr>
                  <w:tcW w:w="542" w:type="pct"/>
                  <w:tcBorders>
                    <w:left w:val="nil"/>
                  </w:tcBorders>
                </w:tcPr>
                <w:p w14:paraId="2BEA2910" w14:textId="77777777" w:rsidR="00DA3852" w:rsidRDefault="00DA3852" w:rsidP="00C03F9E">
                  <w:pPr>
                    <w:pStyle w:val="TableBodyText"/>
                    <w:spacing w:afterLines="40" w:after="96"/>
                  </w:pPr>
                  <w:r>
                    <w:rPr>
                      <w:rFonts w:cs="Arial"/>
                      <w:color w:val="000000"/>
                      <w:szCs w:val="18"/>
                    </w:rPr>
                    <w:t>515</w:t>
                  </w:r>
                </w:p>
              </w:tc>
              <w:tc>
                <w:tcPr>
                  <w:tcW w:w="434" w:type="pct"/>
                  <w:gridSpan w:val="2"/>
                </w:tcPr>
                <w:p w14:paraId="513602EF" w14:textId="77777777" w:rsidR="00DA3852" w:rsidRPr="004438AD" w:rsidRDefault="00DA3852" w:rsidP="00C03F9E">
                  <w:pPr>
                    <w:pStyle w:val="TableBodyText"/>
                    <w:spacing w:afterLines="40" w:after="96"/>
                    <w:rPr>
                      <w:i/>
                    </w:rPr>
                  </w:pPr>
                  <w:r>
                    <w:t>1 114</w:t>
                  </w:r>
                </w:p>
              </w:tc>
              <w:tc>
                <w:tcPr>
                  <w:tcW w:w="689" w:type="pct"/>
                  <w:gridSpan w:val="2"/>
                </w:tcPr>
                <w:p w14:paraId="201B668A" w14:textId="77777777" w:rsidR="00DA3852" w:rsidRPr="00285B50" w:rsidRDefault="00DA3852" w:rsidP="00C03F9E">
                  <w:pPr>
                    <w:pStyle w:val="TableBodyText"/>
                    <w:ind w:left="113" w:right="0"/>
                    <w:jc w:val="left"/>
                    <w:rPr>
                      <w:i/>
                    </w:rPr>
                  </w:pPr>
                  <w:r>
                    <w:t>P</w:t>
                  </w:r>
                  <w:r w:rsidRPr="00285B50">
                    <w:t>red</w:t>
                  </w:r>
                  <w:r>
                    <w:t>icted</w:t>
                  </w:r>
                </w:p>
              </w:tc>
              <w:tc>
                <w:tcPr>
                  <w:tcW w:w="1383" w:type="pct"/>
                </w:tcPr>
                <w:p w14:paraId="56397C32" w14:textId="77777777" w:rsidR="00DA3852" w:rsidRDefault="00DA3852" w:rsidP="00C03F9E">
                  <w:pPr>
                    <w:pStyle w:val="TableBodyText"/>
                    <w:ind w:right="28"/>
                    <w:jc w:val="left"/>
                    <w:rPr>
                      <w:i/>
                    </w:rPr>
                  </w:pPr>
                  <w:r w:rsidRPr="008D45FF">
                    <w:rPr>
                      <w:rFonts w:cs="Arial"/>
                      <w:szCs w:val="24"/>
                    </w:rPr>
                    <w:t>(Core Energy Group 2012b)</w:t>
                  </w:r>
                </w:p>
              </w:tc>
            </w:tr>
            <w:tr w:rsidR="00DA3852" w14:paraId="227563E0" w14:textId="77777777" w:rsidTr="00A806C7">
              <w:tc>
                <w:tcPr>
                  <w:tcW w:w="1228" w:type="pct"/>
                  <w:gridSpan w:val="2"/>
                  <w:shd w:val="clear" w:color="auto" w:fill="auto"/>
                </w:tcPr>
                <w:p w14:paraId="1FECD7FE" w14:textId="77777777" w:rsidR="00DA3852" w:rsidRDefault="00DA3852" w:rsidP="00C03F9E">
                  <w:pPr>
                    <w:pStyle w:val="TableBodyText"/>
                    <w:jc w:val="left"/>
                  </w:pPr>
                  <w:r w:rsidRPr="00602EA7">
                    <w:t>Qld Hunter</w:t>
                  </w:r>
                </w:p>
              </w:tc>
              <w:tc>
                <w:tcPr>
                  <w:tcW w:w="350" w:type="pct"/>
                  <w:shd w:val="clear" w:color="auto" w:fill="auto"/>
                </w:tcPr>
                <w:p w14:paraId="5C26EBC9" w14:textId="77777777" w:rsidR="00DA3852" w:rsidRDefault="00DA3852" w:rsidP="00C03F9E">
                  <w:pPr>
                    <w:pStyle w:val="TableBodyText"/>
                  </w:pPr>
                  <w:proofErr w:type="spellStart"/>
                  <w:r>
                    <w:t>na</w:t>
                  </w:r>
                  <w:proofErr w:type="spellEnd"/>
                </w:p>
              </w:tc>
              <w:tc>
                <w:tcPr>
                  <w:tcW w:w="373" w:type="pct"/>
                </w:tcPr>
                <w:p w14:paraId="5C3066EB" w14:textId="77777777" w:rsidR="00DA3852" w:rsidRPr="002F4B4E" w:rsidRDefault="00DA3852" w:rsidP="00C03F9E">
                  <w:pPr>
                    <w:pStyle w:val="TableBodyText"/>
                    <w:spacing w:afterLines="40" w:after="96"/>
                    <w:rPr>
                      <w:color w:val="000000"/>
                    </w:rPr>
                  </w:pPr>
                  <w:r w:rsidRPr="002F4B4E">
                    <w:rPr>
                      <w:color w:val="000000"/>
                    </w:rPr>
                    <w:t>825</w:t>
                  </w:r>
                </w:p>
              </w:tc>
              <w:tc>
                <w:tcPr>
                  <w:tcW w:w="542" w:type="pct"/>
                  <w:tcBorders>
                    <w:left w:val="nil"/>
                  </w:tcBorders>
                </w:tcPr>
                <w:p w14:paraId="47E92A99" w14:textId="77777777" w:rsidR="00DA3852" w:rsidRPr="00AE4DA9" w:rsidRDefault="00DA3852" w:rsidP="00C03F9E">
                  <w:pPr>
                    <w:pStyle w:val="TableBodyText"/>
                    <w:spacing w:afterLines="40" w:after="96"/>
                  </w:pPr>
                  <w:r>
                    <w:rPr>
                      <w:rFonts w:cs="Arial"/>
                      <w:color w:val="000000"/>
                      <w:szCs w:val="18"/>
                    </w:rPr>
                    <w:t>124</w:t>
                  </w:r>
                </w:p>
              </w:tc>
              <w:tc>
                <w:tcPr>
                  <w:tcW w:w="434" w:type="pct"/>
                  <w:gridSpan w:val="2"/>
                </w:tcPr>
                <w:p w14:paraId="571418A1" w14:textId="77777777" w:rsidR="00DA3852" w:rsidRDefault="00DA3852" w:rsidP="00C03F9E">
                  <w:pPr>
                    <w:pStyle w:val="TableBodyText"/>
                    <w:spacing w:afterLines="40" w:after="96"/>
                    <w:rPr>
                      <w:i/>
                    </w:rPr>
                  </w:pPr>
                  <w:r>
                    <w:t>911</w:t>
                  </w:r>
                </w:p>
              </w:tc>
              <w:tc>
                <w:tcPr>
                  <w:tcW w:w="689" w:type="pct"/>
                  <w:gridSpan w:val="2"/>
                </w:tcPr>
                <w:p w14:paraId="3901CBA7" w14:textId="77777777" w:rsidR="00DA3852" w:rsidRDefault="00DA3852" w:rsidP="00C03F9E">
                  <w:pPr>
                    <w:pStyle w:val="TableBodyText"/>
                    <w:ind w:left="113" w:right="0"/>
                    <w:jc w:val="left"/>
                    <w:rPr>
                      <w:i/>
                    </w:rPr>
                  </w:pPr>
                  <w:r>
                    <w:t>P</w:t>
                  </w:r>
                  <w:r w:rsidRPr="00285B50">
                    <w:t>red</w:t>
                  </w:r>
                  <w:r>
                    <w:t>icted</w:t>
                  </w:r>
                </w:p>
              </w:tc>
              <w:tc>
                <w:tcPr>
                  <w:tcW w:w="1383" w:type="pct"/>
                  <w:shd w:val="clear" w:color="auto" w:fill="auto"/>
                </w:tcPr>
                <w:p w14:paraId="14EEA67A" w14:textId="77777777" w:rsidR="00DA3852" w:rsidRDefault="00DA3852" w:rsidP="00C03F9E">
                  <w:pPr>
                    <w:pStyle w:val="TableBodyText"/>
                    <w:ind w:right="28"/>
                    <w:jc w:val="left"/>
                    <w:rPr>
                      <w:i/>
                    </w:rPr>
                  </w:pPr>
                  <w:r w:rsidRPr="00EF53E4">
                    <w:rPr>
                      <w:rFonts w:cs="Arial"/>
                      <w:szCs w:val="24"/>
                    </w:rPr>
                    <w:t>(BREE 2012; Core Energy Group 2012b)</w:t>
                  </w:r>
                </w:p>
              </w:tc>
            </w:tr>
            <w:tr w:rsidR="00DA3852" w14:paraId="48B7ABCD" w14:textId="77777777" w:rsidTr="00A806C7">
              <w:tc>
                <w:tcPr>
                  <w:tcW w:w="1228" w:type="pct"/>
                  <w:gridSpan w:val="2"/>
                  <w:shd w:val="clear" w:color="auto" w:fill="auto"/>
                </w:tcPr>
                <w:p w14:paraId="0C853BC7" w14:textId="77777777" w:rsidR="00DA3852" w:rsidRPr="00602EA7" w:rsidRDefault="00DA3852" w:rsidP="00C03F9E">
                  <w:pPr>
                    <w:pStyle w:val="TableBodyText"/>
                    <w:jc w:val="left"/>
                  </w:pPr>
                  <w:r w:rsidRPr="00602EA7">
                    <w:t>QSN Link</w:t>
                  </w:r>
                </w:p>
              </w:tc>
              <w:tc>
                <w:tcPr>
                  <w:tcW w:w="350" w:type="pct"/>
                  <w:shd w:val="clear" w:color="auto" w:fill="auto"/>
                </w:tcPr>
                <w:p w14:paraId="6E530BFE" w14:textId="77777777" w:rsidR="00DA3852" w:rsidRDefault="00DA3852" w:rsidP="00C03F9E">
                  <w:pPr>
                    <w:pStyle w:val="TableBodyText"/>
                  </w:pPr>
                  <w:r w:rsidRPr="00AE0E46">
                    <w:t>2009</w:t>
                  </w:r>
                </w:p>
              </w:tc>
              <w:tc>
                <w:tcPr>
                  <w:tcW w:w="373" w:type="pct"/>
                </w:tcPr>
                <w:p w14:paraId="03001327" w14:textId="77777777" w:rsidR="00DA3852" w:rsidRPr="002F4B4E" w:rsidRDefault="00DA3852" w:rsidP="00C03F9E">
                  <w:pPr>
                    <w:pStyle w:val="TableBodyText"/>
                    <w:spacing w:afterLines="40" w:after="96"/>
                    <w:rPr>
                      <w:color w:val="000000"/>
                    </w:rPr>
                  </w:pPr>
                  <w:r w:rsidRPr="002F4B4E">
                    <w:rPr>
                      <w:color w:val="000000"/>
                    </w:rPr>
                    <w:t>180</w:t>
                  </w:r>
                </w:p>
              </w:tc>
              <w:tc>
                <w:tcPr>
                  <w:tcW w:w="542" w:type="pct"/>
                  <w:tcBorders>
                    <w:left w:val="nil"/>
                  </w:tcBorders>
                </w:tcPr>
                <w:p w14:paraId="34EB66A8" w14:textId="77777777" w:rsidR="00DA3852" w:rsidRPr="00163C03" w:rsidRDefault="00DA3852" w:rsidP="00C03F9E">
                  <w:pPr>
                    <w:pStyle w:val="TableBodyText"/>
                    <w:spacing w:afterLines="40" w:after="96"/>
                  </w:pPr>
                  <w:r>
                    <w:rPr>
                      <w:rFonts w:cs="Arial"/>
                      <w:color w:val="000000"/>
                      <w:szCs w:val="18"/>
                    </w:rPr>
                    <w:t>77</w:t>
                  </w:r>
                </w:p>
              </w:tc>
              <w:tc>
                <w:tcPr>
                  <w:tcW w:w="434" w:type="pct"/>
                  <w:gridSpan w:val="2"/>
                </w:tcPr>
                <w:p w14:paraId="45CE0A4F" w14:textId="77777777" w:rsidR="00DA3852" w:rsidRPr="00285B50" w:rsidRDefault="00DA3852" w:rsidP="00C03F9E">
                  <w:pPr>
                    <w:pStyle w:val="TableBodyText"/>
                    <w:spacing w:afterLines="40" w:after="96"/>
                    <w:rPr>
                      <w:i/>
                    </w:rPr>
                  </w:pPr>
                  <w:r w:rsidRPr="004438AD">
                    <w:t>18</w:t>
                  </w:r>
                  <w:r>
                    <w:t>2</w:t>
                  </w:r>
                </w:p>
              </w:tc>
              <w:tc>
                <w:tcPr>
                  <w:tcW w:w="689" w:type="pct"/>
                  <w:gridSpan w:val="2"/>
                </w:tcPr>
                <w:p w14:paraId="0C6E49ED" w14:textId="77777777" w:rsidR="00DA3852" w:rsidRDefault="00DA3852" w:rsidP="00C03F9E">
                  <w:pPr>
                    <w:pStyle w:val="TableBodyText"/>
                    <w:ind w:left="113" w:right="0"/>
                    <w:jc w:val="left"/>
                    <w:rPr>
                      <w:i/>
                    </w:rPr>
                  </w:pPr>
                  <w:r>
                    <w:t>E</w:t>
                  </w:r>
                  <w:r w:rsidRPr="00285B50">
                    <w:t>x post</w:t>
                  </w:r>
                </w:p>
              </w:tc>
              <w:tc>
                <w:tcPr>
                  <w:tcW w:w="1383" w:type="pct"/>
                  <w:shd w:val="clear" w:color="auto" w:fill="auto"/>
                </w:tcPr>
                <w:p w14:paraId="7E16B8AC" w14:textId="77777777" w:rsidR="00DA3852" w:rsidRDefault="00DA3852" w:rsidP="00C03F9E">
                  <w:pPr>
                    <w:pStyle w:val="TableBodyText"/>
                    <w:ind w:right="28"/>
                    <w:jc w:val="left"/>
                    <w:rPr>
                      <w:i/>
                    </w:rPr>
                  </w:pPr>
                  <w:r w:rsidRPr="00A95038">
                    <w:rPr>
                      <w:rFonts w:cs="Arial"/>
                      <w:szCs w:val="24"/>
                    </w:rPr>
                    <w:t>(AER 2011b)</w:t>
                  </w:r>
                </w:p>
              </w:tc>
            </w:tr>
            <w:tr w:rsidR="00DA3852" w14:paraId="788C242A" w14:textId="77777777" w:rsidTr="00A806C7">
              <w:tc>
                <w:tcPr>
                  <w:tcW w:w="1228" w:type="pct"/>
                  <w:gridSpan w:val="2"/>
                  <w:shd w:val="clear" w:color="auto" w:fill="auto"/>
                </w:tcPr>
                <w:p w14:paraId="4946A0FA" w14:textId="77777777" w:rsidR="00DA3852" w:rsidRDefault="00DA3852" w:rsidP="00C03F9E">
                  <w:pPr>
                    <w:pStyle w:val="TableBodyText"/>
                    <w:jc w:val="left"/>
                  </w:pPr>
                  <w:r>
                    <w:t>SGP</w:t>
                  </w:r>
                </w:p>
              </w:tc>
              <w:tc>
                <w:tcPr>
                  <w:tcW w:w="350" w:type="pct"/>
                  <w:shd w:val="clear" w:color="auto" w:fill="auto"/>
                </w:tcPr>
                <w:p w14:paraId="359A77EE" w14:textId="77777777" w:rsidR="00DA3852" w:rsidRPr="00AE0E46" w:rsidRDefault="00DA3852" w:rsidP="00C03F9E">
                  <w:pPr>
                    <w:pStyle w:val="TableBodyText"/>
                  </w:pPr>
                  <w:r w:rsidRPr="00AE0E46">
                    <w:t>2003</w:t>
                  </w:r>
                </w:p>
              </w:tc>
              <w:tc>
                <w:tcPr>
                  <w:tcW w:w="373" w:type="pct"/>
                </w:tcPr>
                <w:p w14:paraId="01F7A887" w14:textId="77777777" w:rsidR="00DA3852" w:rsidRPr="002F4B4E" w:rsidRDefault="00DA3852" w:rsidP="00C03F9E">
                  <w:pPr>
                    <w:pStyle w:val="TableBodyText"/>
                    <w:spacing w:afterLines="40" w:after="96"/>
                    <w:rPr>
                      <w:color w:val="000000"/>
                    </w:rPr>
                  </w:pPr>
                  <w:r w:rsidRPr="002F4B4E">
                    <w:rPr>
                      <w:rFonts w:cs="Arial"/>
                      <w:color w:val="000000"/>
                      <w:szCs w:val="18"/>
                    </w:rPr>
                    <w:t>6</w:t>
                  </w:r>
                  <w:r>
                    <w:rPr>
                      <w:rFonts w:cs="Arial"/>
                      <w:color w:val="000000"/>
                      <w:szCs w:val="18"/>
                    </w:rPr>
                    <w:t>6</w:t>
                  </w:r>
                  <w:r w:rsidRPr="002F4B4E">
                    <w:rPr>
                      <w:rFonts w:cs="Arial"/>
                      <w:color w:val="000000"/>
                      <w:szCs w:val="18"/>
                    </w:rPr>
                    <w:t>0</w:t>
                  </w:r>
                </w:p>
              </w:tc>
              <w:tc>
                <w:tcPr>
                  <w:tcW w:w="542" w:type="pct"/>
                  <w:tcBorders>
                    <w:left w:val="nil"/>
                  </w:tcBorders>
                </w:tcPr>
                <w:p w14:paraId="1508E5F6" w14:textId="77777777" w:rsidR="00DA3852" w:rsidRPr="00163C03" w:rsidRDefault="00DA3852" w:rsidP="00C03F9E">
                  <w:pPr>
                    <w:pStyle w:val="TableBodyText"/>
                    <w:spacing w:afterLines="40" w:after="96"/>
                  </w:pPr>
                  <w:r>
                    <w:rPr>
                      <w:rFonts w:cs="Arial"/>
                      <w:color w:val="000000"/>
                      <w:szCs w:val="18"/>
                    </w:rPr>
                    <w:t>125</w:t>
                  </w:r>
                </w:p>
              </w:tc>
              <w:tc>
                <w:tcPr>
                  <w:tcW w:w="434" w:type="pct"/>
                  <w:gridSpan w:val="2"/>
                </w:tcPr>
                <w:p w14:paraId="116ADA93" w14:textId="77777777" w:rsidR="00DA3852" w:rsidRPr="00285B50" w:rsidRDefault="00DA3852" w:rsidP="00C03F9E">
                  <w:pPr>
                    <w:pStyle w:val="TableBodyText"/>
                    <w:spacing w:afterLines="40" w:after="96"/>
                    <w:rPr>
                      <w:i/>
                    </w:rPr>
                  </w:pPr>
                  <w:r w:rsidRPr="004438AD">
                    <w:t>7</w:t>
                  </w:r>
                  <w:r>
                    <w:t>27</w:t>
                  </w:r>
                </w:p>
              </w:tc>
              <w:tc>
                <w:tcPr>
                  <w:tcW w:w="689" w:type="pct"/>
                  <w:gridSpan w:val="2"/>
                </w:tcPr>
                <w:p w14:paraId="4B4FF977" w14:textId="77777777" w:rsidR="00DA3852" w:rsidRPr="00285B50" w:rsidRDefault="00DA3852" w:rsidP="00C03F9E">
                  <w:pPr>
                    <w:pStyle w:val="TableBodyText"/>
                    <w:ind w:left="113" w:right="0"/>
                    <w:jc w:val="left"/>
                    <w:rPr>
                      <w:i/>
                    </w:rPr>
                  </w:pPr>
                  <w:r>
                    <w:t>E</w:t>
                  </w:r>
                  <w:r w:rsidRPr="00285B50">
                    <w:t>x post</w:t>
                  </w:r>
                </w:p>
              </w:tc>
              <w:tc>
                <w:tcPr>
                  <w:tcW w:w="1383" w:type="pct"/>
                  <w:shd w:val="clear" w:color="auto" w:fill="auto"/>
                </w:tcPr>
                <w:p w14:paraId="56222FAF" w14:textId="77777777" w:rsidR="00DA3852" w:rsidRDefault="00DA3852" w:rsidP="00C03F9E">
                  <w:pPr>
                    <w:pStyle w:val="TableBodyText"/>
                    <w:ind w:right="28"/>
                    <w:jc w:val="left"/>
                    <w:rPr>
                      <w:i/>
                    </w:rPr>
                  </w:pPr>
                  <w:r w:rsidRPr="00A92083">
                    <w:rPr>
                      <w:rFonts w:cs="Arial"/>
                      <w:szCs w:val="24"/>
                    </w:rPr>
                    <w:t>(AER 2007)</w:t>
                  </w:r>
                </w:p>
              </w:tc>
            </w:tr>
            <w:tr w:rsidR="00DA3852" w14:paraId="57DBBF5B" w14:textId="77777777" w:rsidTr="00A806C7">
              <w:tc>
                <w:tcPr>
                  <w:tcW w:w="1228" w:type="pct"/>
                  <w:gridSpan w:val="2"/>
                  <w:tcBorders>
                    <w:bottom w:val="single" w:sz="6" w:space="0" w:color="BFBFBF"/>
                  </w:tcBorders>
                  <w:shd w:val="clear" w:color="auto" w:fill="auto"/>
                </w:tcPr>
                <w:p w14:paraId="3354460F" w14:textId="77777777" w:rsidR="00DA3852" w:rsidRDefault="00DA3852" w:rsidP="00C03F9E">
                  <w:pPr>
                    <w:pStyle w:val="TableBodyText"/>
                    <w:jc w:val="left"/>
                  </w:pPr>
                  <w:r w:rsidRPr="00602EA7">
                    <w:t>Wallumbilla to Darling</w:t>
                  </w:r>
                </w:p>
              </w:tc>
              <w:tc>
                <w:tcPr>
                  <w:tcW w:w="350" w:type="pct"/>
                  <w:tcBorders>
                    <w:bottom w:val="single" w:sz="6" w:space="0" w:color="BFBFBF"/>
                  </w:tcBorders>
                  <w:shd w:val="clear" w:color="auto" w:fill="auto"/>
                </w:tcPr>
                <w:p w14:paraId="43108F61" w14:textId="77777777" w:rsidR="00DA3852" w:rsidRPr="00AE0E46" w:rsidRDefault="00DA3852" w:rsidP="00C03F9E">
                  <w:pPr>
                    <w:pStyle w:val="TableBodyText"/>
                  </w:pPr>
                  <w:r w:rsidRPr="00AE0E46">
                    <w:t>2009</w:t>
                  </w:r>
                </w:p>
              </w:tc>
              <w:tc>
                <w:tcPr>
                  <w:tcW w:w="373" w:type="pct"/>
                  <w:tcBorders>
                    <w:bottom w:val="single" w:sz="6" w:space="0" w:color="BFBFBF"/>
                  </w:tcBorders>
                </w:tcPr>
                <w:p w14:paraId="6D596596" w14:textId="77777777" w:rsidR="00DA3852" w:rsidRPr="002F4B4E" w:rsidRDefault="00DA3852" w:rsidP="00C03F9E">
                  <w:pPr>
                    <w:pStyle w:val="TableBodyText"/>
                    <w:spacing w:afterLines="40" w:after="96"/>
                    <w:rPr>
                      <w:color w:val="000000"/>
                    </w:rPr>
                  </w:pPr>
                  <w:r w:rsidRPr="002F4B4E">
                    <w:rPr>
                      <w:color w:val="000000"/>
                    </w:rPr>
                    <w:t>205</w:t>
                  </w:r>
                </w:p>
              </w:tc>
              <w:tc>
                <w:tcPr>
                  <w:tcW w:w="542" w:type="pct"/>
                  <w:tcBorders>
                    <w:left w:val="nil"/>
                    <w:bottom w:val="single" w:sz="6" w:space="0" w:color="BFBFBF"/>
                  </w:tcBorders>
                </w:tcPr>
                <w:p w14:paraId="199B142B" w14:textId="77777777" w:rsidR="00DA3852" w:rsidRPr="00163C03" w:rsidRDefault="00DA3852" w:rsidP="00C03F9E">
                  <w:pPr>
                    <w:pStyle w:val="TableBodyText"/>
                    <w:spacing w:afterLines="40" w:after="96"/>
                  </w:pPr>
                  <w:r>
                    <w:rPr>
                      <w:rFonts w:cs="Arial"/>
                      <w:color w:val="000000"/>
                      <w:szCs w:val="18"/>
                    </w:rPr>
                    <w:t>146</w:t>
                  </w:r>
                </w:p>
              </w:tc>
              <w:tc>
                <w:tcPr>
                  <w:tcW w:w="434" w:type="pct"/>
                  <w:gridSpan w:val="2"/>
                  <w:tcBorders>
                    <w:bottom w:val="single" w:sz="6" w:space="0" w:color="BFBFBF"/>
                  </w:tcBorders>
                </w:tcPr>
                <w:p w14:paraId="6D618604" w14:textId="77777777" w:rsidR="00DA3852" w:rsidRPr="00285B50" w:rsidRDefault="00DA3852" w:rsidP="00C03F9E">
                  <w:pPr>
                    <w:pStyle w:val="TableBodyText"/>
                    <w:spacing w:afterLines="40" w:after="96"/>
                    <w:rPr>
                      <w:i/>
                    </w:rPr>
                  </w:pPr>
                  <w:r w:rsidRPr="004438AD">
                    <w:t>9</w:t>
                  </w:r>
                  <w:r>
                    <w:t>9</w:t>
                  </w:r>
                </w:p>
              </w:tc>
              <w:tc>
                <w:tcPr>
                  <w:tcW w:w="689" w:type="pct"/>
                  <w:gridSpan w:val="2"/>
                  <w:tcBorders>
                    <w:bottom w:val="single" w:sz="6" w:space="0" w:color="BFBFBF"/>
                  </w:tcBorders>
                </w:tcPr>
                <w:p w14:paraId="515F43D5" w14:textId="77777777" w:rsidR="00DA3852" w:rsidRPr="00285B50" w:rsidRDefault="00DA3852" w:rsidP="00C03F9E">
                  <w:pPr>
                    <w:pStyle w:val="TableBodyText"/>
                    <w:ind w:left="113" w:right="0"/>
                    <w:jc w:val="left"/>
                    <w:rPr>
                      <w:i/>
                    </w:rPr>
                  </w:pPr>
                  <w:r>
                    <w:t>E</w:t>
                  </w:r>
                  <w:r w:rsidRPr="00285B50">
                    <w:t>x post</w:t>
                  </w:r>
                </w:p>
              </w:tc>
              <w:tc>
                <w:tcPr>
                  <w:tcW w:w="1383" w:type="pct"/>
                  <w:tcBorders>
                    <w:bottom w:val="single" w:sz="6" w:space="0" w:color="BFBFBF"/>
                  </w:tcBorders>
                  <w:shd w:val="clear" w:color="auto" w:fill="auto"/>
                </w:tcPr>
                <w:p w14:paraId="4EBA304C" w14:textId="77777777" w:rsidR="00DA3852" w:rsidRDefault="00DA3852" w:rsidP="00C03F9E">
                  <w:pPr>
                    <w:pStyle w:val="TableBodyText"/>
                    <w:ind w:right="28"/>
                    <w:jc w:val="left"/>
                    <w:rPr>
                      <w:i/>
                    </w:rPr>
                  </w:pPr>
                  <w:r w:rsidRPr="00E55EB8">
                    <w:rPr>
                      <w:rFonts w:cs="Arial"/>
                      <w:szCs w:val="24"/>
                    </w:rPr>
                    <w:t>(AER 2009)</w:t>
                  </w:r>
                </w:p>
              </w:tc>
            </w:tr>
          </w:tbl>
          <w:p w14:paraId="2448E78B" w14:textId="77777777" w:rsidR="00DA3852" w:rsidRDefault="00DA3852" w:rsidP="00C03F9E">
            <w:pPr>
              <w:pStyle w:val="Box"/>
            </w:pPr>
          </w:p>
        </w:tc>
      </w:tr>
      <w:tr w:rsidR="00DA3852" w14:paraId="1D7F3FC7" w14:textId="77777777" w:rsidTr="000D5B63">
        <w:trPr>
          <w:cantSplit/>
        </w:trPr>
        <w:tc>
          <w:tcPr>
            <w:tcW w:w="8771" w:type="dxa"/>
            <w:shd w:val="clear" w:color="auto" w:fill="auto"/>
          </w:tcPr>
          <w:p w14:paraId="1B01574F" w14:textId="0AAA5DAD" w:rsidR="00DA3852" w:rsidRDefault="00DA3852">
            <w:pPr>
              <w:pStyle w:val="Note"/>
              <w:keepNext/>
              <w:rPr>
                <w:i/>
              </w:rPr>
            </w:pPr>
            <w:proofErr w:type="spellStart"/>
            <w:proofErr w:type="gramStart"/>
            <w:r>
              <w:rPr>
                <w:rStyle w:val="NoteLabel"/>
              </w:rPr>
              <w:t>a</w:t>
            </w:r>
            <w:proofErr w:type="spellEnd"/>
            <w:proofErr w:type="gramEnd"/>
            <w:r>
              <w:t xml:space="preserve"> </w:t>
            </w:r>
            <w:r w:rsidR="00D31437">
              <w:t xml:space="preserve">Some </w:t>
            </w:r>
            <w:r>
              <w:t xml:space="preserve">projects are </w:t>
            </w:r>
            <w:r w:rsidR="00D31437">
              <w:t xml:space="preserve">either </w:t>
            </w:r>
            <w:r>
              <w:t xml:space="preserve">yet to be completed, construction has not begun or are proposed.  </w:t>
            </w:r>
            <w:proofErr w:type="gramStart"/>
            <w:r>
              <w:rPr>
                <w:rStyle w:val="NoteLabel"/>
              </w:rPr>
              <w:t>b</w:t>
            </w:r>
            <w:proofErr w:type="gramEnd"/>
            <w:r>
              <w:t xml:space="preserve"> Capacity when the pipeline was built. Some of these pipelines have been expanded since they were built. </w:t>
            </w:r>
            <w:proofErr w:type="gramStart"/>
            <w:r>
              <w:rPr>
                <w:rStyle w:val="NoteLabel"/>
              </w:rPr>
              <w:t>c</w:t>
            </w:r>
            <w:proofErr w:type="gramEnd"/>
            <w:r>
              <w:t xml:space="preserve"> For projects completed prior to 2014</w:t>
            </w:r>
            <w:r>
              <w:noBreakHyphen/>
              <w:t xml:space="preserve">15, nominal project costs have been inflated using the GDP deflator </w:t>
            </w:r>
            <w:r w:rsidRPr="00EF53E4">
              <w:rPr>
                <w:rFonts w:cs="Arial"/>
                <w:szCs w:val="24"/>
              </w:rPr>
              <w:t>(ABS 2015)</w:t>
            </w:r>
            <w:r>
              <w:t>.</w:t>
            </w:r>
          </w:p>
        </w:tc>
      </w:tr>
      <w:tr w:rsidR="00DA3852" w14:paraId="6652CD64" w14:textId="77777777" w:rsidTr="000D5B63">
        <w:trPr>
          <w:cantSplit/>
        </w:trPr>
        <w:tc>
          <w:tcPr>
            <w:tcW w:w="8771" w:type="dxa"/>
            <w:shd w:val="clear" w:color="auto" w:fill="auto"/>
          </w:tcPr>
          <w:p w14:paraId="35BE731C" w14:textId="77777777" w:rsidR="00DA3852" w:rsidRDefault="00DA3852" w:rsidP="00C03F9E">
            <w:pPr>
              <w:pStyle w:val="Box"/>
              <w:keepLines/>
              <w:spacing w:before="0" w:line="120" w:lineRule="exact"/>
            </w:pPr>
          </w:p>
        </w:tc>
      </w:tr>
    </w:tbl>
    <w:p w14:paraId="119E5577" w14:textId="77777777" w:rsidR="00DA3852" w:rsidRDefault="00DA3852" w:rsidP="00DA3852">
      <w:pPr>
        <w:pStyle w:val="BodyText"/>
      </w:pPr>
    </w:p>
    <w:p w14:paraId="02416B6F" w14:textId="77777777" w:rsidR="00DA3852" w:rsidRDefault="00DA3852" w:rsidP="00DA3852">
      <w:pPr>
        <w:pStyle w:val="BoxSpaceAbove"/>
        <w:keepLines/>
        <w:spacing w:before="240"/>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DA3852" w14:paraId="3599B07A" w14:textId="77777777" w:rsidTr="00C03F9E">
        <w:tc>
          <w:tcPr>
            <w:tcW w:w="8771" w:type="dxa"/>
            <w:tcBorders>
              <w:top w:val="single" w:sz="6" w:space="0" w:color="78A22F"/>
              <w:left w:val="nil"/>
              <w:bottom w:val="nil"/>
              <w:right w:val="nil"/>
            </w:tcBorders>
            <w:shd w:val="clear" w:color="auto" w:fill="auto"/>
          </w:tcPr>
          <w:p w14:paraId="22C33374" w14:textId="62ED6A22" w:rsidR="00DA3852" w:rsidRPr="00784A05" w:rsidRDefault="00DA3852" w:rsidP="00C03F9E">
            <w:pPr>
              <w:pStyle w:val="TableTitle"/>
            </w:pPr>
            <w:r>
              <w:rPr>
                <w:b w:val="0"/>
              </w:rPr>
              <w:t>Table B.</w:t>
            </w:r>
            <w:r>
              <w:rPr>
                <w:b w:val="0"/>
                <w:noProof/>
              </w:rPr>
              <w:t>9</w:t>
            </w:r>
            <w:r>
              <w:tab/>
              <w:t>Recent brownfield expansion projects</w:t>
            </w:r>
          </w:p>
        </w:tc>
      </w:tr>
      <w:tr w:rsidR="00DA3852" w14:paraId="1EB67DD4" w14:textId="77777777" w:rsidTr="00C03F9E">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156"/>
              <w:gridCol w:w="611"/>
              <w:gridCol w:w="2466"/>
              <w:gridCol w:w="708"/>
              <w:gridCol w:w="991"/>
              <w:gridCol w:w="2555"/>
            </w:tblGrid>
            <w:tr w:rsidR="00DA3852" w14:paraId="10FB3869" w14:textId="77777777" w:rsidTr="00C03F9E">
              <w:tc>
                <w:tcPr>
                  <w:tcW w:w="681" w:type="pct"/>
                  <w:tcBorders>
                    <w:top w:val="single" w:sz="6" w:space="0" w:color="BFBFBF"/>
                    <w:bottom w:val="single" w:sz="6" w:space="0" w:color="BFBFBF"/>
                  </w:tcBorders>
                  <w:shd w:val="clear" w:color="auto" w:fill="auto"/>
                  <w:tcMar>
                    <w:top w:w="28" w:type="dxa"/>
                  </w:tcMar>
                </w:tcPr>
                <w:p w14:paraId="6413FFCD" w14:textId="77777777" w:rsidR="00DA3852" w:rsidRDefault="00DA3852" w:rsidP="00C03F9E">
                  <w:pPr>
                    <w:pStyle w:val="TableColumnHeading"/>
                    <w:jc w:val="left"/>
                  </w:pPr>
                  <w:r>
                    <w:t>Pipeline</w:t>
                  </w:r>
                </w:p>
              </w:tc>
              <w:tc>
                <w:tcPr>
                  <w:tcW w:w="360" w:type="pct"/>
                  <w:tcBorders>
                    <w:top w:val="single" w:sz="6" w:space="0" w:color="BFBFBF"/>
                    <w:bottom w:val="single" w:sz="6" w:space="0" w:color="BFBFBF"/>
                  </w:tcBorders>
                </w:tcPr>
                <w:p w14:paraId="6E494040" w14:textId="77777777" w:rsidR="00DA3852" w:rsidRDefault="00DA3852" w:rsidP="00C03F9E">
                  <w:pPr>
                    <w:pStyle w:val="TableColumnHeading"/>
                    <w:spacing w:before="20"/>
                    <w:jc w:val="left"/>
                  </w:pPr>
                  <w:r>
                    <w:t>Year</w:t>
                  </w:r>
                  <w:r w:rsidRPr="0043225E">
                    <w:rPr>
                      <w:rStyle w:val="NoteLabel"/>
                    </w:rPr>
                    <w:t>a</w:t>
                  </w:r>
                </w:p>
              </w:tc>
              <w:tc>
                <w:tcPr>
                  <w:tcW w:w="1453" w:type="pct"/>
                  <w:tcBorders>
                    <w:top w:val="single" w:sz="6" w:space="0" w:color="BFBFBF"/>
                    <w:bottom w:val="single" w:sz="6" w:space="0" w:color="BFBFBF"/>
                  </w:tcBorders>
                </w:tcPr>
                <w:p w14:paraId="0B32BCDB" w14:textId="77777777" w:rsidR="00DA3852" w:rsidRDefault="00DA3852" w:rsidP="00C03F9E">
                  <w:pPr>
                    <w:pStyle w:val="TableColumnHeading"/>
                    <w:jc w:val="left"/>
                  </w:pPr>
                  <w:r>
                    <w:t>Type of expansion</w:t>
                  </w:r>
                </w:p>
              </w:tc>
              <w:tc>
                <w:tcPr>
                  <w:tcW w:w="417" w:type="pct"/>
                  <w:tcBorders>
                    <w:top w:val="single" w:sz="6" w:space="0" w:color="BFBFBF"/>
                    <w:bottom w:val="single" w:sz="6" w:space="0" w:color="BFBFBF"/>
                  </w:tcBorders>
                </w:tcPr>
                <w:p w14:paraId="3483DCB9" w14:textId="77777777" w:rsidR="00DA3852" w:rsidRDefault="00DA3852" w:rsidP="00C03F9E">
                  <w:pPr>
                    <w:pStyle w:val="TableColumnHeading"/>
                    <w:spacing w:before="20"/>
                    <w:ind w:right="28"/>
                  </w:pPr>
                  <w:r>
                    <w:t>Capital</w:t>
                  </w:r>
                  <w:r>
                    <w:rPr>
                      <w:rStyle w:val="NoteLabel"/>
                    </w:rPr>
                    <w:t>b</w:t>
                  </w:r>
                  <w:r>
                    <w:t xml:space="preserve"> cost  </w:t>
                  </w:r>
                  <w:r>
                    <w:br/>
                    <w:t>($m)  </w:t>
                  </w:r>
                </w:p>
              </w:tc>
              <w:tc>
                <w:tcPr>
                  <w:tcW w:w="584" w:type="pct"/>
                  <w:tcBorders>
                    <w:top w:val="single" w:sz="6" w:space="0" w:color="BFBFBF"/>
                    <w:bottom w:val="single" w:sz="6" w:space="0" w:color="BFBFBF"/>
                  </w:tcBorders>
                  <w:shd w:val="clear" w:color="auto" w:fill="auto"/>
                  <w:tcMar>
                    <w:top w:w="28" w:type="dxa"/>
                  </w:tcMar>
                </w:tcPr>
                <w:p w14:paraId="41B783C4" w14:textId="77777777" w:rsidR="00DA3852" w:rsidRDefault="00DA3852" w:rsidP="00C03F9E">
                  <w:pPr>
                    <w:pStyle w:val="TableColumnHeading"/>
                  </w:pPr>
                  <w:r>
                    <w:t>Capacity increase (PJ/year)</w:t>
                  </w:r>
                </w:p>
              </w:tc>
              <w:tc>
                <w:tcPr>
                  <w:tcW w:w="1505" w:type="pct"/>
                  <w:tcBorders>
                    <w:top w:val="single" w:sz="6" w:space="0" w:color="BFBFBF"/>
                    <w:bottom w:val="single" w:sz="6" w:space="0" w:color="BFBFBF"/>
                  </w:tcBorders>
                  <w:shd w:val="clear" w:color="auto" w:fill="auto"/>
                  <w:tcMar>
                    <w:top w:w="28" w:type="dxa"/>
                  </w:tcMar>
                </w:tcPr>
                <w:p w14:paraId="3846D8E2" w14:textId="77777777" w:rsidR="00DA3852" w:rsidRDefault="00DA3852" w:rsidP="00C03F9E">
                  <w:pPr>
                    <w:pStyle w:val="TableColumnHeading"/>
                    <w:ind w:left="113" w:right="28"/>
                    <w:jc w:val="left"/>
                  </w:pPr>
                  <w:r>
                    <w:t>Sources</w:t>
                  </w:r>
                </w:p>
              </w:tc>
            </w:tr>
            <w:tr w:rsidR="00DA3852" w14:paraId="75C1CF7C" w14:textId="77777777" w:rsidTr="00C03F9E">
              <w:tc>
                <w:tcPr>
                  <w:tcW w:w="681" w:type="pct"/>
                  <w:tcBorders>
                    <w:top w:val="single" w:sz="6" w:space="0" w:color="BFBFBF"/>
                  </w:tcBorders>
                </w:tcPr>
                <w:p w14:paraId="10AFD39D" w14:textId="77777777" w:rsidR="00DA3852" w:rsidRDefault="00DA3852" w:rsidP="00C03F9E">
                  <w:pPr>
                    <w:pStyle w:val="TableUnitsRow"/>
                    <w:jc w:val="left"/>
                  </w:pPr>
                  <w:r w:rsidRPr="00A0588A">
                    <w:t>Canberra Lateral</w:t>
                  </w:r>
                </w:p>
              </w:tc>
              <w:tc>
                <w:tcPr>
                  <w:tcW w:w="360" w:type="pct"/>
                  <w:tcBorders>
                    <w:top w:val="single" w:sz="6" w:space="0" w:color="BFBFBF"/>
                  </w:tcBorders>
                </w:tcPr>
                <w:p w14:paraId="4455DBBE" w14:textId="77777777" w:rsidR="00DA3852" w:rsidRDefault="00DA3852" w:rsidP="00C03F9E">
                  <w:pPr>
                    <w:pStyle w:val="TableUnitsRow"/>
                    <w:jc w:val="left"/>
                    <w:rPr>
                      <w:i/>
                    </w:rPr>
                  </w:pPr>
                  <w:r w:rsidRPr="00484A5E">
                    <w:t>1999</w:t>
                  </w:r>
                </w:p>
              </w:tc>
              <w:tc>
                <w:tcPr>
                  <w:tcW w:w="1453" w:type="pct"/>
                  <w:tcBorders>
                    <w:top w:val="single" w:sz="6" w:space="0" w:color="BFBFBF"/>
                  </w:tcBorders>
                </w:tcPr>
                <w:p w14:paraId="2CDBDA39" w14:textId="77777777" w:rsidR="00DA3852" w:rsidRDefault="00DA3852" w:rsidP="00C03F9E">
                  <w:pPr>
                    <w:pStyle w:val="TableUnitsRow"/>
                    <w:jc w:val="left"/>
                    <w:rPr>
                      <w:i/>
                    </w:rPr>
                  </w:pPr>
                  <w:r w:rsidRPr="00250449">
                    <w:t>Looping</w:t>
                  </w:r>
                </w:p>
              </w:tc>
              <w:tc>
                <w:tcPr>
                  <w:tcW w:w="417" w:type="pct"/>
                  <w:tcBorders>
                    <w:top w:val="single" w:sz="6" w:space="0" w:color="BFBFBF"/>
                  </w:tcBorders>
                </w:tcPr>
                <w:p w14:paraId="094F7A27" w14:textId="77777777" w:rsidR="00DA3852" w:rsidRDefault="00DA3852" w:rsidP="00C03F9E">
                  <w:pPr>
                    <w:pStyle w:val="TableUnitsRow"/>
                    <w:rPr>
                      <w:i/>
                    </w:rPr>
                  </w:pPr>
                  <w:r w:rsidRPr="007B2C34">
                    <w:t>5.6</w:t>
                  </w:r>
                </w:p>
              </w:tc>
              <w:tc>
                <w:tcPr>
                  <w:tcW w:w="584" w:type="pct"/>
                  <w:tcBorders>
                    <w:top w:val="single" w:sz="6" w:space="0" w:color="BFBFBF"/>
                  </w:tcBorders>
                </w:tcPr>
                <w:p w14:paraId="490DDB8C" w14:textId="77777777" w:rsidR="00DA3852" w:rsidRDefault="00DA3852" w:rsidP="00C03F9E">
                  <w:pPr>
                    <w:pStyle w:val="TableUnitsRow"/>
                    <w:rPr>
                      <w:i/>
                    </w:rPr>
                  </w:pPr>
                  <w:r w:rsidRPr="00AB3475">
                    <w:t>4.4</w:t>
                  </w:r>
                </w:p>
              </w:tc>
              <w:tc>
                <w:tcPr>
                  <w:tcW w:w="1505" w:type="pct"/>
                  <w:tcBorders>
                    <w:top w:val="single" w:sz="6" w:space="0" w:color="BFBFBF"/>
                  </w:tcBorders>
                </w:tcPr>
                <w:p w14:paraId="33AC583C" w14:textId="77777777" w:rsidR="00DA3852" w:rsidRDefault="00DA3852" w:rsidP="00C03F9E">
                  <w:pPr>
                    <w:pStyle w:val="TableUnitsRow"/>
                    <w:ind w:left="113" w:right="28"/>
                    <w:jc w:val="left"/>
                    <w:rPr>
                      <w:i/>
                    </w:rPr>
                  </w:pPr>
                  <w:r w:rsidRPr="001F60A8">
                    <w:rPr>
                      <w:rFonts w:cs="Arial"/>
                      <w:szCs w:val="24"/>
                    </w:rPr>
                    <w:t>(NCC 2002)</w:t>
                  </w:r>
                </w:p>
              </w:tc>
            </w:tr>
            <w:tr w:rsidR="00DA3852" w14:paraId="284A28EF" w14:textId="77777777" w:rsidTr="00C03F9E">
              <w:tc>
                <w:tcPr>
                  <w:tcW w:w="681" w:type="pct"/>
                </w:tcPr>
                <w:p w14:paraId="2741B226" w14:textId="77777777" w:rsidR="00DA3852" w:rsidRDefault="00DA3852" w:rsidP="00C03F9E">
                  <w:pPr>
                    <w:pStyle w:val="TableBodyText"/>
                    <w:jc w:val="left"/>
                    <w:rPr>
                      <w:i/>
                    </w:rPr>
                  </w:pPr>
                  <w:r w:rsidRPr="00A0588A">
                    <w:t>Carpentaria</w:t>
                  </w:r>
                </w:p>
              </w:tc>
              <w:tc>
                <w:tcPr>
                  <w:tcW w:w="360" w:type="pct"/>
                </w:tcPr>
                <w:p w14:paraId="1E5C1713" w14:textId="77777777" w:rsidR="00DA3852" w:rsidRDefault="00DA3852" w:rsidP="00C03F9E">
                  <w:pPr>
                    <w:pStyle w:val="TableBodyText"/>
                    <w:jc w:val="left"/>
                    <w:rPr>
                      <w:i/>
                    </w:rPr>
                  </w:pPr>
                  <w:r w:rsidRPr="00484A5E">
                    <w:t>2009</w:t>
                  </w:r>
                </w:p>
              </w:tc>
              <w:tc>
                <w:tcPr>
                  <w:tcW w:w="1453" w:type="pct"/>
                </w:tcPr>
                <w:p w14:paraId="4DEE0161" w14:textId="77777777" w:rsidR="00DA3852" w:rsidRDefault="00DA3852" w:rsidP="00C03F9E">
                  <w:pPr>
                    <w:pStyle w:val="TableBodyText"/>
                    <w:jc w:val="left"/>
                    <w:rPr>
                      <w:i/>
                    </w:rPr>
                  </w:pPr>
                  <w:r w:rsidRPr="00250449">
                    <w:t>1 compressor</w:t>
                  </w:r>
                </w:p>
              </w:tc>
              <w:tc>
                <w:tcPr>
                  <w:tcW w:w="417" w:type="pct"/>
                </w:tcPr>
                <w:p w14:paraId="3EB7B909" w14:textId="77777777" w:rsidR="00DA3852" w:rsidRDefault="00DA3852" w:rsidP="00C03F9E">
                  <w:pPr>
                    <w:pStyle w:val="TableBodyText"/>
                    <w:rPr>
                      <w:i/>
                    </w:rPr>
                  </w:pPr>
                  <w:r w:rsidRPr="007B2C34">
                    <w:t>3</w:t>
                  </w:r>
                  <w:r>
                    <w:t>6</w:t>
                  </w:r>
                  <w:r w:rsidRPr="007B2C34">
                    <w:t>.</w:t>
                  </w:r>
                  <w:r>
                    <w:t>3</w:t>
                  </w:r>
                </w:p>
              </w:tc>
              <w:tc>
                <w:tcPr>
                  <w:tcW w:w="584" w:type="pct"/>
                </w:tcPr>
                <w:p w14:paraId="29425D19" w14:textId="77777777" w:rsidR="00DA3852" w:rsidRDefault="00DA3852" w:rsidP="00C03F9E">
                  <w:pPr>
                    <w:pStyle w:val="TableBodyText"/>
                    <w:rPr>
                      <w:i/>
                    </w:rPr>
                  </w:pPr>
                  <w:r w:rsidRPr="00AB3475">
                    <w:t>5.</w:t>
                  </w:r>
                  <w:r>
                    <w:t>6</w:t>
                  </w:r>
                </w:p>
              </w:tc>
              <w:tc>
                <w:tcPr>
                  <w:tcW w:w="1505" w:type="pct"/>
                </w:tcPr>
                <w:p w14:paraId="71FA3EDA" w14:textId="77777777" w:rsidR="00DA3852" w:rsidRDefault="00DA3852" w:rsidP="00C03F9E">
                  <w:pPr>
                    <w:pStyle w:val="TableBodyText"/>
                    <w:ind w:left="113" w:right="28"/>
                    <w:jc w:val="left"/>
                    <w:rPr>
                      <w:i/>
                    </w:rPr>
                  </w:pPr>
                  <w:r w:rsidRPr="0003171C">
                    <w:rPr>
                      <w:rFonts w:cs="Arial"/>
                      <w:szCs w:val="24"/>
                    </w:rPr>
                    <w:t xml:space="preserve">(AER 2010; APA </w:t>
                  </w:r>
                  <w:r w:rsidRPr="0003171C" w:rsidDel="0009672B">
                    <w:rPr>
                      <w:rFonts w:cs="Arial"/>
                      <w:szCs w:val="24"/>
                    </w:rPr>
                    <w:t>G</w:t>
                  </w:r>
                  <w:r w:rsidRPr="0003171C">
                    <w:rPr>
                      <w:rFonts w:cs="Arial"/>
                      <w:szCs w:val="24"/>
                    </w:rPr>
                    <w:t>roup 2009)</w:t>
                  </w:r>
                </w:p>
              </w:tc>
            </w:tr>
            <w:tr w:rsidR="00DA3852" w14:paraId="74596076" w14:textId="77777777" w:rsidTr="00C03F9E">
              <w:tc>
                <w:tcPr>
                  <w:tcW w:w="681" w:type="pct"/>
                </w:tcPr>
                <w:p w14:paraId="40111657" w14:textId="77777777" w:rsidR="00DA3852" w:rsidRDefault="00DA3852" w:rsidP="00C03F9E">
                  <w:pPr>
                    <w:pStyle w:val="TableBodyText"/>
                    <w:jc w:val="left"/>
                    <w:rPr>
                      <w:i/>
                    </w:rPr>
                  </w:pPr>
                  <w:r w:rsidRPr="00A0588A">
                    <w:t>Corio loop</w:t>
                  </w:r>
                </w:p>
              </w:tc>
              <w:tc>
                <w:tcPr>
                  <w:tcW w:w="360" w:type="pct"/>
                </w:tcPr>
                <w:p w14:paraId="6A92E650" w14:textId="77777777" w:rsidR="00DA3852" w:rsidRDefault="00DA3852" w:rsidP="00C03F9E">
                  <w:pPr>
                    <w:pStyle w:val="TableBodyText"/>
                    <w:jc w:val="left"/>
                    <w:rPr>
                      <w:i/>
                    </w:rPr>
                  </w:pPr>
                  <w:r w:rsidRPr="00484A5E">
                    <w:t>2008</w:t>
                  </w:r>
                </w:p>
              </w:tc>
              <w:tc>
                <w:tcPr>
                  <w:tcW w:w="1453" w:type="pct"/>
                </w:tcPr>
                <w:p w14:paraId="209A7BAF" w14:textId="4E3A6AD6" w:rsidR="00DA3852" w:rsidRDefault="00DA3852" w:rsidP="00C03F9E">
                  <w:pPr>
                    <w:pStyle w:val="TableBodyText"/>
                    <w:jc w:val="left"/>
                    <w:rPr>
                      <w:i/>
                    </w:rPr>
                  </w:pPr>
                  <w:r w:rsidRPr="00250449">
                    <w:t>57</w:t>
                  </w:r>
                  <w:r w:rsidR="00C03F9E">
                    <w:t> </w:t>
                  </w:r>
                  <w:r w:rsidRPr="00250449">
                    <w:t>km</w:t>
                  </w:r>
                  <w:r>
                    <w:t xml:space="preserve"> of looping</w:t>
                  </w:r>
                </w:p>
              </w:tc>
              <w:tc>
                <w:tcPr>
                  <w:tcW w:w="417" w:type="pct"/>
                </w:tcPr>
                <w:p w14:paraId="61879C46" w14:textId="77777777" w:rsidR="00DA3852" w:rsidRDefault="00DA3852" w:rsidP="00C03F9E">
                  <w:pPr>
                    <w:pStyle w:val="TableBodyText"/>
                    <w:rPr>
                      <w:i/>
                    </w:rPr>
                  </w:pPr>
                  <w:r w:rsidRPr="007B2C34">
                    <w:t>8</w:t>
                  </w:r>
                  <w:r>
                    <w:t>1.</w:t>
                  </w:r>
                  <w:r w:rsidRPr="007B2C34">
                    <w:t>0</w:t>
                  </w:r>
                </w:p>
              </w:tc>
              <w:tc>
                <w:tcPr>
                  <w:tcW w:w="584" w:type="pct"/>
                </w:tcPr>
                <w:p w14:paraId="2A831002" w14:textId="77777777" w:rsidR="00DA3852" w:rsidRDefault="00DA3852" w:rsidP="00C03F9E">
                  <w:pPr>
                    <w:pStyle w:val="TableBodyText"/>
                    <w:rPr>
                      <w:i/>
                    </w:rPr>
                  </w:pPr>
                  <w:r w:rsidRPr="00AB3475">
                    <w:t>11</w:t>
                  </w:r>
                  <w:r w:rsidRPr="00656076">
                    <w:t>.0</w:t>
                  </w:r>
                </w:p>
              </w:tc>
              <w:tc>
                <w:tcPr>
                  <w:tcW w:w="1505" w:type="pct"/>
                </w:tcPr>
                <w:p w14:paraId="0109E9C2" w14:textId="77777777" w:rsidR="00DA3852" w:rsidRDefault="00DA3852" w:rsidP="00C03F9E">
                  <w:pPr>
                    <w:pStyle w:val="TableBodyText"/>
                    <w:ind w:left="113" w:right="28"/>
                    <w:jc w:val="left"/>
                    <w:rPr>
                      <w:i/>
                    </w:rPr>
                  </w:pPr>
                  <w:r w:rsidRPr="00E55EB8">
                    <w:rPr>
                      <w:rFonts w:cs="Arial"/>
                      <w:szCs w:val="24"/>
                    </w:rPr>
                    <w:t>(AER 2008; VENCORP 2005)</w:t>
                  </w:r>
                </w:p>
              </w:tc>
            </w:tr>
            <w:tr w:rsidR="00DA3852" w14:paraId="0C38EDC8" w14:textId="77777777" w:rsidTr="00C03F9E">
              <w:tc>
                <w:tcPr>
                  <w:tcW w:w="681" w:type="pct"/>
                </w:tcPr>
                <w:p w14:paraId="23D6766C" w14:textId="77777777" w:rsidR="00DA3852" w:rsidRDefault="00DA3852" w:rsidP="00C03F9E">
                  <w:pPr>
                    <w:pStyle w:val="TableBodyText"/>
                    <w:jc w:val="left"/>
                    <w:rPr>
                      <w:i/>
                    </w:rPr>
                  </w:pPr>
                  <w:r w:rsidRPr="00A0588A">
                    <w:t>EGP</w:t>
                  </w:r>
                </w:p>
              </w:tc>
              <w:tc>
                <w:tcPr>
                  <w:tcW w:w="360" w:type="pct"/>
                </w:tcPr>
                <w:p w14:paraId="7589CD4C" w14:textId="77777777" w:rsidR="00DA3852" w:rsidRDefault="00DA3852" w:rsidP="00C03F9E">
                  <w:pPr>
                    <w:pStyle w:val="TableBodyText"/>
                    <w:jc w:val="left"/>
                    <w:rPr>
                      <w:i/>
                    </w:rPr>
                  </w:pPr>
                  <w:r w:rsidRPr="00484A5E">
                    <w:t>2000</w:t>
                  </w:r>
                </w:p>
              </w:tc>
              <w:tc>
                <w:tcPr>
                  <w:tcW w:w="1453" w:type="pct"/>
                </w:tcPr>
                <w:p w14:paraId="4295C210" w14:textId="77777777" w:rsidR="00DA3852" w:rsidRDefault="00DA3852" w:rsidP="00C03F9E">
                  <w:pPr>
                    <w:pStyle w:val="TableBodyText"/>
                    <w:jc w:val="left"/>
                    <w:rPr>
                      <w:i/>
                    </w:rPr>
                  </w:pPr>
                  <w:r w:rsidRPr="00250449">
                    <w:t>7 compressor</w:t>
                  </w:r>
                  <w:r>
                    <w:t xml:space="preserve"> units</w:t>
                  </w:r>
                  <w:r>
                    <w:br/>
                    <w:t>at 4 stations</w:t>
                  </w:r>
                </w:p>
              </w:tc>
              <w:tc>
                <w:tcPr>
                  <w:tcW w:w="417" w:type="pct"/>
                </w:tcPr>
                <w:p w14:paraId="0642B768" w14:textId="77777777" w:rsidR="00DA3852" w:rsidRDefault="00DA3852" w:rsidP="00C03F9E">
                  <w:pPr>
                    <w:pStyle w:val="TableBodyText"/>
                    <w:rPr>
                      <w:i/>
                    </w:rPr>
                  </w:pPr>
                  <w:r w:rsidRPr="007B2C34">
                    <w:t>13</w:t>
                  </w:r>
                  <w:r>
                    <w:t>9</w:t>
                  </w:r>
                  <w:r w:rsidRPr="007B2C34">
                    <w:t>.</w:t>
                  </w:r>
                  <w:r>
                    <w:t>6</w:t>
                  </w:r>
                </w:p>
              </w:tc>
              <w:tc>
                <w:tcPr>
                  <w:tcW w:w="584" w:type="pct"/>
                </w:tcPr>
                <w:p w14:paraId="4882D138" w14:textId="77777777" w:rsidR="00DA3852" w:rsidRDefault="00DA3852" w:rsidP="00C03F9E">
                  <w:pPr>
                    <w:pStyle w:val="TableBodyText"/>
                    <w:rPr>
                      <w:i/>
                    </w:rPr>
                  </w:pPr>
                  <w:r w:rsidRPr="00AB3475">
                    <w:t>55.0</w:t>
                  </w:r>
                </w:p>
              </w:tc>
              <w:tc>
                <w:tcPr>
                  <w:tcW w:w="1505" w:type="pct"/>
                </w:tcPr>
                <w:p w14:paraId="5DA13346" w14:textId="77777777" w:rsidR="00DA3852" w:rsidRDefault="00DA3852" w:rsidP="00C03F9E">
                  <w:pPr>
                    <w:pStyle w:val="TableBodyText"/>
                    <w:ind w:left="113" w:right="28"/>
                    <w:jc w:val="left"/>
                    <w:rPr>
                      <w:i/>
                    </w:rPr>
                  </w:pPr>
                  <w:r w:rsidRPr="008958D6">
                    <w:rPr>
                      <w:rFonts w:cs="Arial"/>
                      <w:szCs w:val="24"/>
                    </w:rPr>
                    <w:t>(NCC 2000)</w:t>
                  </w:r>
                </w:p>
              </w:tc>
            </w:tr>
            <w:tr w:rsidR="00DA3852" w14:paraId="485E8726" w14:textId="77777777" w:rsidTr="00C03F9E">
              <w:tc>
                <w:tcPr>
                  <w:tcW w:w="681" w:type="pct"/>
                </w:tcPr>
                <w:p w14:paraId="7F06D3F7" w14:textId="77777777" w:rsidR="00DA3852" w:rsidRDefault="00DA3852" w:rsidP="00C03F9E">
                  <w:pPr>
                    <w:pStyle w:val="TableBodyText"/>
                    <w:jc w:val="left"/>
                    <w:rPr>
                      <w:i/>
                    </w:rPr>
                  </w:pPr>
                  <w:r w:rsidRPr="00A0588A">
                    <w:t>EGP</w:t>
                  </w:r>
                </w:p>
              </w:tc>
              <w:tc>
                <w:tcPr>
                  <w:tcW w:w="360" w:type="pct"/>
                </w:tcPr>
                <w:p w14:paraId="43FEA16B" w14:textId="77777777" w:rsidR="00DA3852" w:rsidRDefault="00DA3852" w:rsidP="00C03F9E">
                  <w:pPr>
                    <w:pStyle w:val="TableBodyText"/>
                    <w:jc w:val="left"/>
                    <w:rPr>
                      <w:i/>
                    </w:rPr>
                  </w:pPr>
                  <w:r w:rsidRPr="00484A5E">
                    <w:t>2010</w:t>
                  </w:r>
                </w:p>
              </w:tc>
              <w:tc>
                <w:tcPr>
                  <w:tcW w:w="1453" w:type="pct"/>
                </w:tcPr>
                <w:p w14:paraId="1A8354EC" w14:textId="77777777" w:rsidR="00DA3852" w:rsidRDefault="00DA3852" w:rsidP="00C03F9E">
                  <w:pPr>
                    <w:pStyle w:val="TableBodyText"/>
                    <w:jc w:val="left"/>
                    <w:rPr>
                      <w:i/>
                    </w:rPr>
                  </w:pPr>
                  <w:r w:rsidRPr="00250449">
                    <w:t>1 compressor</w:t>
                  </w:r>
                </w:p>
              </w:tc>
              <w:tc>
                <w:tcPr>
                  <w:tcW w:w="417" w:type="pct"/>
                </w:tcPr>
                <w:p w14:paraId="3B5DAD6A" w14:textId="77777777" w:rsidR="00DA3852" w:rsidRDefault="00DA3852" w:rsidP="00C03F9E">
                  <w:pPr>
                    <w:pStyle w:val="TableBodyText"/>
                    <w:rPr>
                      <w:i/>
                    </w:rPr>
                  </w:pPr>
                  <w:r w:rsidRPr="007B2C34">
                    <w:t>44.</w:t>
                  </w:r>
                  <w:r>
                    <w:t>8</w:t>
                  </w:r>
                </w:p>
              </w:tc>
              <w:tc>
                <w:tcPr>
                  <w:tcW w:w="584" w:type="pct"/>
                </w:tcPr>
                <w:p w14:paraId="13D28085" w14:textId="77777777" w:rsidR="00DA3852" w:rsidRDefault="00DA3852" w:rsidP="00C03F9E">
                  <w:pPr>
                    <w:pStyle w:val="TableBodyText"/>
                    <w:rPr>
                      <w:i/>
                    </w:rPr>
                  </w:pPr>
                  <w:r w:rsidRPr="00AB3475">
                    <w:t>6.6</w:t>
                  </w:r>
                </w:p>
              </w:tc>
              <w:tc>
                <w:tcPr>
                  <w:tcW w:w="1505" w:type="pct"/>
                </w:tcPr>
                <w:p w14:paraId="0D992CF6" w14:textId="77777777" w:rsidR="00DA3852" w:rsidRDefault="00DA3852" w:rsidP="00C03F9E">
                  <w:pPr>
                    <w:pStyle w:val="TableBodyText"/>
                    <w:ind w:left="113" w:right="28"/>
                    <w:jc w:val="left"/>
                    <w:rPr>
                      <w:i/>
                    </w:rPr>
                  </w:pPr>
                  <w:r w:rsidRPr="00E55EB8">
                    <w:rPr>
                      <w:rFonts w:cs="Arial"/>
                      <w:szCs w:val="24"/>
                    </w:rPr>
                    <w:t>(AER 2010)</w:t>
                  </w:r>
                </w:p>
              </w:tc>
            </w:tr>
            <w:tr w:rsidR="00DA3852" w14:paraId="3921E457" w14:textId="77777777" w:rsidTr="00C03F9E">
              <w:tc>
                <w:tcPr>
                  <w:tcW w:w="681" w:type="pct"/>
                </w:tcPr>
                <w:p w14:paraId="6D7395F8" w14:textId="77777777" w:rsidR="00DA3852" w:rsidRDefault="00DA3852" w:rsidP="00C03F9E">
                  <w:pPr>
                    <w:pStyle w:val="TableBodyText"/>
                    <w:jc w:val="left"/>
                    <w:rPr>
                      <w:i/>
                    </w:rPr>
                  </w:pPr>
                  <w:r w:rsidRPr="00A0588A">
                    <w:t>Goldfields</w:t>
                  </w:r>
                </w:p>
              </w:tc>
              <w:tc>
                <w:tcPr>
                  <w:tcW w:w="360" w:type="pct"/>
                </w:tcPr>
                <w:p w14:paraId="064D2AC8" w14:textId="77777777" w:rsidR="00DA3852" w:rsidRDefault="00DA3852" w:rsidP="00C03F9E">
                  <w:pPr>
                    <w:pStyle w:val="TableBodyText"/>
                    <w:jc w:val="left"/>
                    <w:rPr>
                      <w:i/>
                    </w:rPr>
                  </w:pPr>
                  <w:r w:rsidRPr="00484A5E">
                    <w:t>2012</w:t>
                  </w:r>
                </w:p>
              </w:tc>
              <w:tc>
                <w:tcPr>
                  <w:tcW w:w="1453" w:type="pct"/>
                </w:tcPr>
                <w:p w14:paraId="596EEC7B" w14:textId="77777777" w:rsidR="00DA3852" w:rsidRDefault="00DA3852" w:rsidP="00C03F9E">
                  <w:pPr>
                    <w:pStyle w:val="TableBodyText"/>
                    <w:jc w:val="left"/>
                    <w:rPr>
                      <w:i/>
                    </w:rPr>
                  </w:pPr>
                  <w:r w:rsidRPr="00250449">
                    <w:t>4 compressors</w:t>
                  </w:r>
                </w:p>
              </w:tc>
              <w:tc>
                <w:tcPr>
                  <w:tcW w:w="417" w:type="pct"/>
                </w:tcPr>
                <w:p w14:paraId="0F7322DF" w14:textId="77777777" w:rsidR="00DA3852" w:rsidRDefault="00DA3852" w:rsidP="00C03F9E">
                  <w:pPr>
                    <w:pStyle w:val="TableBodyText"/>
                    <w:rPr>
                      <w:i/>
                    </w:rPr>
                  </w:pPr>
                  <w:r w:rsidRPr="007B2C34">
                    <w:t>1</w:t>
                  </w:r>
                  <w:r>
                    <w:t>51.5</w:t>
                  </w:r>
                </w:p>
              </w:tc>
              <w:tc>
                <w:tcPr>
                  <w:tcW w:w="584" w:type="pct"/>
                </w:tcPr>
                <w:p w14:paraId="4F0D85F9" w14:textId="77777777" w:rsidR="00DA3852" w:rsidRDefault="00DA3852" w:rsidP="00C03F9E">
                  <w:pPr>
                    <w:pStyle w:val="TableBodyText"/>
                    <w:rPr>
                      <w:i/>
                    </w:rPr>
                  </w:pPr>
                  <w:r w:rsidRPr="00AB3475">
                    <w:t>16.1</w:t>
                  </w:r>
                </w:p>
              </w:tc>
              <w:tc>
                <w:tcPr>
                  <w:tcW w:w="1505" w:type="pct"/>
                </w:tcPr>
                <w:p w14:paraId="54D98DCD" w14:textId="77777777" w:rsidR="00DA3852" w:rsidRDefault="00DA3852" w:rsidP="00C03F9E">
                  <w:pPr>
                    <w:pStyle w:val="TableBodyText"/>
                    <w:ind w:left="113" w:right="28"/>
                    <w:jc w:val="left"/>
                    <w:rPr>
                      <w:i/>
                    </w:rPr>
                  </w:pPr>
                  <w:r w:rsidRPr="00DF2937">
                    <w:rPr>
                      <w:rFonts w:cs="Arial"/>
                      <w:szCs w:val="24"/>
                    </w:rPr>
                    <w:t>(APA Group 2012a)</w:t>
                  </w:r>
                </w:p>
              </w:tc>
            </w:tr>
            <w:tr w:rsidR="00DA3852" w14:paraId="4C2D912D" w14:textId="77777777" w:rsidTr="00C03F9E">
              <w:tc>
                <w:tcPr>
                  <w:tcW w:w="681" w:type="pct"/>
                </w:tcPr>
                <w:p w14:paraId="6441A28A" w14:textId="77777777" w:rsidR="00DA3852" w:rsidRDefault="00DA3852" w:rsidP="00C03F9E">
                  <w:pPr>
                    <w:pStyle w:val="TableBodyText"/>
                    <w:jc w:val="left"/>
                    <w:rPr>
                      <w:i/>
                    </w:rPr>
                  </w:pPr>
                  <w:r>
                    <w:t>MSP</w:t>
                  </w:r>
                </w:p>
              </w:tc>
              <w:tc>
                <w:tcPr>
                  <w:tcW w:w="360" w:type="pct"/>
                </w:tcPr>
                <w:p w14:paraId="4505662B" w14:textId="77777777" w:rsidR="00DA3852" w:rsidRDefault="00DA3852" w:rsidP="00C03F9E">
                  <w:pPr>
                    <w:pStyle w:val="TableBodyText"/>
                    <w:jc w:val="left"/>
                    <w:rPr>
                      <w:i/>
                    </w:rPr>
                  </w:pPr>
                  <w:r w:rsidRPr="00484A5E">
                    <w:t>2000</w:t>
                  </w:r>
                </w:p>
              </w:tc>
              <w:tc>
                <w:tcPr>
                  <w:tcW w:w="1453" w:type="pct"/>
                </w:tcPr>
                <w:p w14:paraId="7B2D57E2" w14:textId="77777777" w:rsidR="00DA3852" w:rsidRDefault="00DA3852" w:rsidP="00C03F9E">
                  <w:pPr>
                    <w:pStyle w:val="TableBodyText"/>
                    <w:jc w:val="left"/>
                    <w:rPr>
                      <w:i/>
                    </w:rPr>
                  </w:pPr>
                  <w:r w:rsidRPr="00250449">
                    <w:t>Not specified</w:t>
                  </w:r>
                </w:p>
              </w:tc>
              <w:tc>
                <w:tcPr>
                  <w:tcW w:w="417" w:type="pct"/>
                </w:tcPr>
                <w:p w14:paraId="15917842" w14:textId="77777777" w:rsidR="00DA3852" w:rsidRDefault="00DA3852" w:rsidP="00C03F9E">
                  <w:pPr>
                    <w:pStyle w:val="TableBodyText"/>
                    <w:rPr>
                      <w:i/>
                    </w:rPr>
                  </w:pPr>
                  <w:r w:rsidRPr="007B2C34">
                    <w:t>9</w:t>
                  </w:r>
                  <w:r>
                    <w:t>6</w:t>
                  </w:r>
                  <w:r w:rsidRPr="007B2C34">
                    <w:t>.8</w:t>
                  </w:r>
                </w:p>
              </w:tc>
              <w:tc>
                <w:tcPr>
                  <w:tcW w:w="584" w:type="pct"/>
                </w:tcPr>
                <w:p w14:paraId="08BF38E6" w14:textId="77777777" w:rsidR="00DA3852" w:rsidRDefault="00DA3852" w:rsidP="00C03F9E">
                  <w:pPr>
                    <w:pStyle w:val="TableBodyText"/>
                    <w:rPr>
                      <w:i/>
                    </w:rPr>
                  </w:pPr>
                  <w:r w:rsidRPr="00AB3475">
                    <w:t>47.0</w:t>
                  </w:r>
                </w:p>
              </w:tc>
              <w:tc>
                <w:tcPr>
                  <w:tcW w:w="1505" w:type="pct"/>
                </w:tcPr>
                <w:p w14:paraId="2AF67685" w14:textId="77777777" w:rsidR="00DA3852" w:rsidRDefault="00DA3852" w:rsidP="00C03F9E">
                  <w:pPr>
                    <w:pStyle w:val="TableBodyText"/>
                    <w:ind w:left="113" w:right="28"/>
                    <w:jc w:val="left"/>
                    <w:rPr>
                      <w:i/>
                    </w:rPr>
                  </w:pPr>
                  <w:r w:rsidRPr="0003171C">
                    <w:rPr>
                      <w:rFonts w:cs="Arial"/>
                      <w:szCs w:val="24"/>
                    </w:rPr>
                    <w:t>(NCC 2000)</w:t>
                  </w:r>
                </w:p>
              </w:tc>
            </w:tr>
            <w:tr w:rsidR="00DA3852" w14:paraId="12D00439" w14:textId="77777777" w:rsidTr="00C03F9E">
              <w:tc>
                <w:tcPr>
                  <w:tcW w:w="681" w:type="pct"/>
                </w:tcPr>
                <w:p w14:paraId="0B27426B" w14:textId="77777777" w:rsidR="00DA3852" w:rsidRDefault="00DA3852" w:rsidP="00C03F9E">
                  <w:pPr>
                    <w:pStyle w:val="TableBodyText"/>
                    <w:jc w:val="left"/>
                    <w:rPr>
                      <w:i/>
                    </w:rPr>
                  </w:pPr>
                  <w:r>
                    <w:t>MSP</w:t>
                  </w:r>
                </w:p>
              </w:tc>
              <w:tc>
                <w:tcPr>
                  <w:tcW w:w="360" w:type="pct"/>
                </w:tcPr>
                <w:p w14:paraId="7C2BB8E4" w14:textId="77777777" w:rsidR="00DA3852" w:rsidRDefault="00DA3852" w:rsidP="00C03F9E">
                  <w:pPr>
                    <w:pStyle w:val="TableBodyText"/>
                    <w:jc w:val="left"/>
                    <w:rPr>
                      <w:i/>
                    </w:rPr>
                  </w:pPr>
                  <w:r w:rsidRPr="00484A5E">
                    <w:t>2012</w:t>
                  </w:r>
                </w:p>
              </w:tc>
              <w:tc>
                <w:tcPr>
                  <w:tcW w:w="1453" w:type="pct"/>
                </w:tcPr>
                <w:p w14:paraId="3461019C" w14:textId="77777777" w:rsidR="00DA3852" w:rsidRDefault="00DA3852" w:rsidP="00C03F9E">
                  <w:pPr>
                    <w:pStyle w:val="TableBodyText"/>
                    <w:jc w:val="left"/>
                    <w:rPr>
                      <w:i/>
                    </w:rPr>
                  </w:pPr>
                  <w:r w:rsidRPr="00250449">
                    <w:t xml:space="preserve">Not specified  </w:t>
                  </w:r>
                </w:p>
              </w:tc>
              <w:tc>
                <w:tcPr>
                  <w:tcW w:w="417" w:type="pct"/>
                </w:tcPr>
                <w:p w14:paraId="08877E0A" w14:textId="77777777" w:rsidR="00DA3852" w:rsidRDefault="00DA3852" w:rsidP="00C03F9E">
                  <w:pPr>
                    <w:pStyle w:val="TableBodyText"/>
                    <w:rPr>
                      <w:i/>
                    </w:rPr>
                  </w:pPr>
                  <w:r>
                    <w:t>101.0</w:t>
                  </w:r>
                </w:p>
              </w:tc>
              <w:tc>
                <w:tcPr>
                  <w:tcW w:w="584" w:type="pct"/>
                </w:tcPr>
                <w:p w14:paraId="50FAFA3B" w14:textId="77777777" w:rsidR="00DA3852" w:rsidRDefault="00DA3852" w:rsidP="00C03F9E">
                  <w:pPr>
                    <w:pStyle w:val="TableBodyText"/>
                    <w:rPr>
                      <w:i/>
                    </w:rPr>
                  </w:pPr>
                  <w:r w:rsidRPr="00AB3475">
                    <w:t>32.0</w:t>
                  </w:r>
                </w:p>
              </w:tc>
              <w:tc>
                <w:tcPr>
                  <w:tcW w:w="1505" w:type="pct"/>
                </w:tcPr>
                <w:p w14:paraId="475E96E7" w14:textId="77777777" w:rsidR="00DA3852" w:rsidRDefault="00DA3852" w:rsidP="00C03F9E">
                  <w:pPr>
                    <w:pStyle w:val="TableBodyText"/>
                    <w:ind w:left="113" w:right="28"/>
                    <w:jc w:val="left"/>
                    <w:rPr>
                      <w:i/>
                    </w:rPr>
                  </w:pPr>
                  <w:r w:rsidRPr="00743166">
                    <w:rPr>
                      <w:rFonts w:cs="Arial"/>
                      <w:szCs w:val="24"/>
                    </w:rPr>
                    <w:t>(Core Energy Group 2012b)</w:t>
                  </w:r>
                </w:p>
              </w:tc>
            </w:tr>
            <w:tr w:rsidR="00DA3852" w14:paraId="1EF3E2AF" w14:textId="77777777" w:rsidTr="00C03F9E">
              <w:tc>
                <w:tcPr>
                  <w:tcW w:w="681" w:type="pct"/>
                </w:tcPr>
                <w:p w14:paraId="513EAC30" w14:textId="77777777" w:rsidR="00DA3852" w:rsidRDefault="00DA3852" w:rsidP="00C03F9E">
                  <w:pPr>
                    <w:pStyle w:val="TableBodyText"/>
                    <w:jc w:val="left"/>
                    <w:rPr>
                      <w:i/>
                    </w:rPr>
                  </w:pPr>
                  <w:r>
                    <w:t>QGP</w:t>
                  </w:r>
                </w:p>
              </w:tc>
              <w:tc>
                <w:tcPr>
                  <w:tcW w:w="360" w:type="pct"/>
                </w:tcPr>
                <w:p w14:paraId="6C609117" w14:textId="77777777" w:rsidR="00DA3852" w:rsidRDefault="00DA3852" w:rsidP="00C03F9E">
                  <w:pPr>
                    <w:pStyle w:val="TableBodyText"/>
                    <w:jc w:val="left"/>
                    <w:rPr>
                      <w:i/>
                    </w:rPr>
                  </w:pPr>
                  <w:r w:rsidRPr="00484A5E">
                    <w:t>2010</w:t>
                  </w:r>
                </w:p>
              </w:tc>
              <w:tc>
                <w:tcPr>
                  <w:tcW w:w="1453" w:type="pct"/>
                </w:tcPr>
                <w:p w14:paraId="4FAB0F86" w14:textId="77777777" w:rsidR="00DA3852" w:rsidRDefault="00DA3852" w:rsidP="00C03F9E">
                  <w:pPr>
                    <w:pStyle w:val="TableBodyText"/>
                    <w:jc w:val="left"/>
                    <w:rPr>
                      <w:i/>
                    </w:rPr>
                  </w:pPr>
                  <w:r w:rsidRPr="00250449">
                    <w:t>Not specified</w:t>
                  </w:r>
                </w:p>
              </w:tc>
              <w:tc>
                <w:tcPr>
                  <w:tcW w:w="417" w:type="pct"/>
                </w:tcPr>
                <w:p w14:paraId="707F5E5E" w14:textId="77777777" w:rsidR="00DA3852" w:rsidRDefault="00DA3852" w:rsidP="00C03F9E">
                  <w:pPr>
                    <w:pStyle w:val="TableBodyText"/>
                    <w:rPr>
                      <w:i/>
                    </w:rPr>
                  </w:pPr>
                  <w:r w:rsidRPr="007B2C34">
                    <w:t>12</w:t>
                  </w:r>
                  <w:r>
                    <w:t>2.3</w:t>
                  </w:r>
                </w:p>
              </w:tc>
              <w:tc>
                <w:tcPr>
                  <w:tcW w:w="584" w:type="pct"/>
                </w:tcPr>
                <w:p w14:paraId="6154426B" w14:textId="77777777" w:rsidR="00DA3852" w:rsidRDefault="00DA3852" w:rsidP="00C03F9E">
                  <w:pPr>
                    <w:pStyle w:val="TableBodyText"/>
                    <w:rPr>
                      <w:i/>
                    </w:rPr>
                  </w:pPr>
                  <w:r w:rsidRPr="00AB3475">
                    <w:t>22.3</w:t>
                  </w:r>
                </w:p>
              </w:tc>
              <w:tc>
                <w:tcPr>
                  <w:tcW w:w="1505" w:type="pct"/>
                </w:tcPr>
                <w:p w14:paraId="7884EFE3" w14:textId="77777777" w:rsidR="00DA3852" w:rsidRDefault="00DA3852" w:rsidP="00C03F9E">
                  <w:pPr>
                    <w:pStyle w:val="TableBodyText"/>
                    <w:ind w:left="113" w:right="28"/>
                    <w:jc w:val="left"/>
                    <w:rPr>
                      <w:i/>
                    </w:rPr>
                  </w:pPr>
                  <w:r w:rsidRPr="00DF2937">
                    <w:rPr>
                      <w:rFonts w:cs="Arial"/>
                      <w:szCs w:val="24"/>
                    </w:rPr>
                    <w:t>(AER 2010)</w:t>
                  </w:r>
                </w:p>
              </w:tc>
            </w:tr>
            <w:tr w:rsidR="00DA3852" w14:paraId="75FEEF20" w14:textId="77777777" w:rsidTr="00C03F9E">
              <w:tc>
                <w:tcPr>
                  <w:tcW w:w="681" w:type="pct"/>
                </w:tcPr>
                <w:p w14:paraId="0D4C19C9" w14:textId="77777777" w:rsidR="00DA3852" w:rsidRDefault="00DA3852" w:rsidP="00C03F9E">
                  <w:pPr>
                    <w:pStyle w:val="TableBodyText"/>
                    <w:jc w:val="left"/>
                    <w:rPr>
                      <w:i/>
                    </w:rPr>
                  </w:pPr>
                  <w:r w:rsidRPr="00A0588A">
                    <w:t>R</w:t>
                  </w:r>
                  <w:r>
                    <w:t>BP</w:t>
                  </w:r>
                </w:p>
              </w:tc>
              <w:tc>
                <w:tcPr>
                  <w:tcW w:w="360" w:type="pct"/>
                </w:tcPr>
                <w:p w14:paraId="3B85EF10" w14:textId="77777777" w:rsidR="00DA3852" w:rsidRDefault="00DA3852" w:rsidP="00C03F9E">
                  <w:pPr>
                    <w:pStyle w:val="TableBodyText"/>
                    <w:jc w:val="left"/>
                    <w:rPr>
                      <w:i/>
                    </w:rPr>
                  </w:pPr>
                  <w:r w:rsidRPr="00484A5E">
                    <w:t>2011</w:t>
                  </w:r>
                </w:p>
              </w:tc>
              <w:tc>
                <w:tcPr>
                  <w:tcW w:w="1453" w:type="pct"/>
                </w:tcPr>
                <w:p w14:paraId="1C3117C0" w14:textId="40333D15" w:rsidR="00DA3852" w:rsidRDefault="00DA3852" w:rsidP="00C03F9E">
                  <w:pPr>
                    <w:pStyle w:val="TableBodyText"/>
                    <w:jc w:val="left"/>
                    <w:rPr>
                      <w:i/>
                    </w:rPr>
                  </w:pPr>
                  <w:r w:rsidRPr="00250449">
                    <w:t>6</w:t>
                  </w:r>
                  <w:r w:rsidR="00C03F9E">
                    <w:t> </w:t>
                  </w:r>
                  <w:r w:rsidRPr="00250449">
                    <w:t>km loop and</w:t>
                  </w:r>
                  <w:r>
                    <w:t xml:space="preserve"> </w:t>
                  </w:r>
                  <w:r w:rsidRPr="00250449">
                    <w:t>1 compressor</w:t>
                  </w:r>
                </w:p>
              </w:tc>
              <w:tc>
                <w:tcPr>
                  <w:tcW w:w="417" w:type="pct"/>
                </w:tcPr>
                <w:p w14:paraId="2268D98C" w14:textId="77777777" w:rsidR="00DA3852" w:rsidRDefault="00DA3852" w:rsidP="00C03F9E">
                  <w:pPr>
                    <w:pStyle w:val="TableBodyText"/>
                    <w:rPr>
                      <w:i/>
                    </w:rPr>
                  </w:pPr>
                  <w:r w:rsidRPr="007B2C34">
                    <w:t>5</w:t>
                  </w:r>
                  <w:r>
                    <w:t>1</w:t>
                  </w:r>
                  <w:r w:rsidRPr="007B2C34">
                    <w:t>.</w:t>
                  </w:r>
                  <w:r>
                    <w:t>4</w:t>
                  </w:r>
                </w:p>
              </w:tc>
              <w:tc>
                <w:tcPr>
                  <w:tcW w:w="584" w:type="pct"/>
                </w:tcPr>
                <w:p w14:paraId="2B6E9D90" w14:textId="77777777" w:rsidR="00DA3852" w:rsidRDefault="00DA3852" w:rsidP="00C03F9E">
                  <w:pPr>
                    <w:pStyle w:val="TableBodyText"/>
                    <w:rPr>
                      <w:i/>
                    </w:rPr>
                  </w:pPr>
                  <w:r w:rsidRPr="00AB3475">
                    <w:t>7.7</w:t>
                  </w:r>
                </w:p>
              </w:tc>
              <w:tc>
                <w:tcPr>
                  <w:tcW w:w="1505" w:type="pct"/>
                </w:tcPr>
                <w:p w14:paraId="4D9F5EA6" w14:textId="77777777" w:rsidR="00DA3852" w:rsidRDefault="00DA3852" w:rsidP="00C03F9E">
                  <w:pPr>
                    <w:pStyle w:val="TableBodyText"/>
                    <w:ind w:left="113" w:right="28"/>
                    <w:jc w:val="left"/>
                    <w:rPr>
                      <w:i/>
                    </w:rPr>
                  </w:pPr>
                  <w:r w:rsidRPr="008958D6">
                    <w:rPr>
                      <w:rFonts w:cs="Arial"/>
                      <w:szCs w:val="24"/>
                    </w:rPr>
                    <w:t>(Core Energy Group 2012b)</w:t>
                  </w:r>
                </w:p>
              </w:tc>
            </w:tr>
            <w:tr w:rsidR="00DA3852" w14:paraId="52C31410" w14:textId="77777777" w:rsidTr="00C03F9E">
              <w:tc>
                <w:tcPr>
                  <w:tcW w:w="681" w:type="pct"/>
                  <w:tcBorders>
                    <w:bottom w:val="single" w:sz="6" w:space="0" w:color="BFBFBF"/>
                  </w:tcBorders>
                  <w:shd w:val="clear" w:color="auto" w:fill="auto"/>
                </w:tcPr>
                <w:p w14:paraId="5028A33F" w14:textId="77777777" w:rsidR="00DA3852" w:rsidRDefault="00DA3852" w:rsidP="00C03F9E">
                  <w:pPr>
                    <w:pStyle w:val="TableBodyText"/>
                    <w:jc w:val="left"/>
                    <w:rPr>
                      <w:i/>
                    </w:rPr>
                  </w:pPr>
                  <w:r>
                    <w:t>SWP</w:t>
                  </w:r>
                  <w:r w:rsidRPr="00E67C70">
                    <w:rPr>
                      <w:rStyle w:val="NoteLabel"/>
                      <w:position w:val="4"/>
                    </w:rPr>
                    <w:t>c</w:t>
                  </w:r>
                </w:p>
              </w:tc>
              <w:tc>
                <w:tcPr>
                  <w:tcW w:w="360" w:type="pct"/>
                  <w:tcBorders>
                    <w:bottom w:val="single" w:sz="6" w:space="0" w:color="BFBFBF"/>
                  </w:tcBorders>
                </w:tcPr>
                <w:p w14:paraId="420B950F" w14:textId="77777777" w:rsidR="00DA3852" w:rsidRDefault="00DA3852" w:rsidP="00C03F9E">
                  <w:pPr>
                    <w:pStyle w:val="TableBodyText"/>
                    <w:jc w:val="left"/>
                    <w:rPr>
                      <w:i/>
                    </w:rPr>
                  </w:pPr>
                  <w:r>
                    <w:rPr>
                      <w:b/>
                    </w:rPr>
                    <w:t>..</w:t>
                  </w:r>
                </w:p>
              </w:tc>
              <w:tc>
                <w:tcPr>
                  <w:tcW w:w="1453" w:type="pct"/>
                  <w:tcBorders>
                    <w:bottom w:val="single" w:sz="6" w:space="0" w:color="BFBFBF"/>
                  </w:tcBorders>
                </w:tcPr>
                <w:p w14:paraId="51622CE0" w14:textId="77777777" w:rsidR="00DA3852" w:rsidRDefault="00DA3852" w:rsidP="00C03F9E">
                  <w:pPr>
                    <w:pStyle w:val="TableBodyText"/>
                    <w:jc w:val="left"/>
                    <w:rPr>
                      <w:i/>
                    </w:rPr>
                  </w:pPr>
                  <w:r w:rsidRPr="00250449">
                    <w:t>1 compressor</w:t>
                  </w:r>
                </w:p>
              </w:tc>
              <w:tc>
                <w:tcPr>
                  <w:tcW w:w="417" w:type="pct"/>
                  <w:tcBorders>
                    <w:bottom w:val="single" w:sz="6" w:space="0" w:color="BFBFBF"/>
                  </w:tcBorders>
                </w:tcPr>
                <w:p w14:paraId="3E6071B4" w14:textId="77777777" w:rsidR="00DA3852" w:rsidRDefault="00DA3852" w:rsidP="00C03F9E">
                  <w:pPr>
                    <w:pStyle w:val="TableBodyText"/>
                    <w:rPr>
                      <w:i/>
                    </w:rPr>
                  </w:pPr>
                  <w:r w:rsidRPr="007B2C34">
                    <w:t>3</w:t>
                  </w:r>
                  <w:r>
                    <w:t>8</w:t>
                  </w:r>
                  <w:r w:rsidRPr="007B2C34">
                    <w:t>.</w:t>
                  </w:r>
                  <w:r>
                    <w:t>6</w:t>
                  </w:r>
                </w:p>
              </w:tc>
              <w:tc>
                <w:tcPr>
                  <w:tcW w:w="584" w:type="pct"/>
                  <w:tcBorders>
                    <w:bottom w:val="single" w:sz="6" w:space="0" w:color="BFBFBF"/>
                  </w:tcBorders>
                  <w:shd w:val="clear" w:color="auto" w:fill="auto"/>
                </w:tcPr>
                <w:p w14:paraId="14F6E88D" w14:textId="77777777" w:rsidR="00DA3852" w:rsidRDefault="00DA3852" w:rsidP="00C03F9E">
                  <w:pPr>
                    <w:pStyle w:val="TableBodyText"/>
                    <w:rPr>
                      <w:i/>
                    </w:rPr>
                  </w:pPr>
                  <w:r w:rsidRPr="00AB3475">
                    <w:t>23.7</w:t>
                  </w:r>
                </w:p>
              </w:tc>
              <w:tc>
                <w:tcPr>
                  <w:tcW w:w="1505" w:type="pct"/>
                  <w:tcBorders>
                    <w:bottom w:val="single" w:sz="6" w:space="0" w:color="BFBFBF"/>
                  </w:tcBorders>
                  <w:shd w:val="clear" w:color="auto" w:fill="auto"/>
                </w:tcPr>
                <w:p w14:paraId="5F441AC0" w14:textId="77777777" w:rsidR="00DA3852" w:rsidRDefault="00DA3852" w:rsidP="00C03F9E">
                  <w:pPr>
                    <w:pStyle w:val="TableBodyText"/>
                    <w:ind w:left="113" w:right="28"/>
                    <w:jc w:val="left"/>
                    <w:rPr>
                      <w:i/>
                    </w:rPr>
                  </w:pPr>
                  <w:r w:rsidRPr="00DF2937">
                    <w:rPr>
                      <w:rFonts w:cs="Arial"/>
                      <w:szCs w:val="24"/>
                    </w:rPr>
                    <w:t>(APA Group 2012b)</w:t>
                  </w:r>
                </w:p>
              </w:tc>
            </w:tr>
          </w:tbl>
          <w:p w14:paraId="20E57B43" w14:textId="77777777" w:rsidR="00DA3852" w:rsidRDefault="00DA3852" w:rsidP="00C03F9E">
            <w:pPr>
              <w:pStyle w:val="Box"/>
              <w:keepLines/>
              <w:rPr>
                <w:szCs w:val="24"/>
              </w:rPr>
            </w:pPr>
          </w:p>
        </w:tc>
      </w:tr>
      <w:tr w:rsidR="00DA3852" w14:paraId="2EC52F27" w14:textId="77777777" w:rsidTr="00C03F9E">
        <w:trPr>
          <w:cantSplit/>
        </w:trPr>
        <w:tc>
          <w:tcPr>
            <w:tcW w:w="8771" w:type="dxa"/>
            <w:tcBorders>
              <w:top w:val="nil"/>
              <w:left w:val="nil"/>
              <w:bottom w:val="nil"/>
              <w:right w:val="nil"/>
            </w:tcBorders>
            <w:shd w:val="clear" w:color="auto" w:fill="auto"/>
          </w:tcPr>
          <w:p w14:paraId="5A05E23D" w14:textId="77777777" w:rsidR="00DA3852" w:rsidRDefault="00DA3852" w:rsidP="00C03F9E">
            <w:pPr>
              <w:pStyle w:val="Note"/>
              <w:keepNext/>
              <w:rPr>
                <w:i/>
              </w:rPr>
            </w:pPr>
            <w:proofErr w:type="gramStart"/>
            <w:r w:rsidRPr="008E77FE">
              <w:rPr>
                <w:rStyle w:val="NoteLabel"/>
              </w:rPr>
              <w:t>a</w:t>
            </w:r>
            <w:proofErr w:type="gramEnd"/>
            <w:r>
              <w:t xml:space="preserve"> Year completed. </w:t>
            </w:r>
            <w:proofErr w:type="gramStart"/>
            <w:r>
              <w:rPr>
                <w:rStyle w:val="NoteLabel"/>
              </w:rPr>
              <w:t>b</w:t>
            </w:r>
            <w:proofErr w:type="gramEnd"/>
            <w:r>
              <w:t xml:space="preserve"> For projects completed prior to 2014</w:t>
            </w:r>
            <w:r>
              <w:noBreakHyphen/>
              <w:t xml:space="preserve">15, nominal project costs have been inflated using the GDP deflator </w:t>
            </w:r>
            <w:r w:rsidRPr="00EF53E4">
              <w:rPr>
                <w:rFonts w:cs="Arial"/>
                <w:szCs w:val="24"/>
              </w:rPr>
              <w:t>(ABS 2015)</w:t>
            </w:r>
            <w:r>
              <w:t xml:space="preserve">. </w:t>
            </w:r>
            <w:proofErr w:type="gramStart"/>
            <w:r>
              <w:rPr>
                <w:rStyle w:val="NoteLabel"/>
              </w:rPr>
              <w:t>c</w:t>
            </w:r>
            <w:proofErr w:type="gramEnd"/>
            <w:r>
              <w:t xml:space="preserve"> For the SWP, an average cost and average capacity increase was used for six expansion projects submitted to the Australian Energy Regulator for approval. </w:t>
            </w:r>
            <w:r>
              <w:rPr>
                <w:b/>
              </w:rPr>
              <w:t>..</w:t>
            </w:r>
            <w:r>
              <w:t xml:space="preserve"> Not applicable.</w:t>
            </w:r>
          </w:p>
        </w:tc>
      </w:tr>
      <w:tr w:rsidR="00DA3852" w14:paraId="144A3517" w14:textId="77777777" w:rsidTr="00C03F9E">
        <w:trPr>
          <w:cantSplit/>
        </w:trPr>
        <w:tc>
          <w:tcPr>
            <w:tcW w:w="8771" w:type="dxa"/>
            <w:tcBorders>
              <w:top w:val="nil"/>
              <w:left w:val="nil"/>
              <w:bottom w:val="single" w:sz="6" w:space="0" w:color="78A22F"/>
              <w:right w:val="nil"/>
            </w:tcBorders>
            <w:shd w:val="clear" w:color="auto" w:fill="auto"/>
          </w:tcPr>
          <w:p w14:paraId="5DAEC1B5" w14:textId="77777777" w:rsidR="00DA3852" w:rsidRDefault="00DA3852" w:rsidP="00C03F9E">
            <w:pPr>
              <w:pStyle w:val="Box"/>
              <w:keepLines/>
              <w:spacing w:before="0" w:line="120" w:lineRule="exact"/>
            </w:pPr>
          </w:p>
        </w:tc>
      </w:tr>
      <w:tr w:rsidR="00DA3852" w:rsidRPr="000863A5" w14:paraId="1C08DBB8" w14:textId="77777777" w:rsidTr="00C03F9E">
        <w:tc>
          <w:tcPr>
            <w:tcW w:w="8771" w:type="dxa"/>
            <w:tcBorders>
              <w:top w:val="single" w:sz="6" w:space="0" w:color="78A22F"/>
              <w:left w:val="nil"/>
              <w:bottom w:val="nil"/>
              <w:right w:val="nil"/>
            </w:tcBorders>
          </w:tcPr>
          <w:p w14:paraId="7DE38240" w14:textId="77777777" w:rsidR="00DA3852" w:rsidRPr="00626D32" w:rsidRDefault="00DA3852" w:rsidP="00C03F9E">
            <w:pPr>
              <w:pStyle w:val="BoxSpaceBelow"/>
              <w:keepNext/>
              <w:keepLines/>
              <w:rPr>
                <w:i/>
              </w:rPr>
            </w:pPr>
          </w:p>
        </w:tc>
      </w:tr>
    </w:tbl>
    <w:p w14:paraId="2D48527C" w14:textId="77777777" w:rsidR="00CC518F" w:rsidRDefault="00CC518F" w:rsidP="00CC518F">
      <w:pPr>
        <w:pStyle w:val="Heading4"/>
      </w:pPr>
      <w:r>
        <w:t>Length and capacity of pipelines</w:t>
      </w:r>
    </w:p>
    <w:p w14:paraId="4A913357" w14:textId="70B28C8E" w:rsidR="00CC518F" w:rsidRDefault="00CC518F" w:rsidP="00CC518F">
      <w:pPr>
        <w:pStyle w:val="BodyText"/>
      </w:pPr>
      <w:r>
        <w:t xml:space="preserve">Length and capacity of pipelines were sourced from AEMO, Core Energy Group and pipeline owners (table B.10), including both standard (normal flow direction) and reverse capacities for bidirectional pipelines. The NVI, MAPS, SWP and SWQP are either bidirectional or will soon be made bidirectional. These pipelines have or will have a smaller capacity in the reverse than standard direction </w:t>
      </w:r>
      <w:r w:rsidRPr="00133FC4">
        <w:rPr>
          <w:szCs w:val="24"/>
        </w:rPr>
        <w:t>(AEMO 2013b, 2013c; Epic Energy, pers. comm., 27</w:t>
      </w:r>
      <w:r>
        <w:rPr>
          <w:szCs w:val="24"/>
        </w:rPr>
        <w:t> </w:t>
      </w:r>
      <w:r w:rsidRPr="00133FC4">
        <w:rPr>
          <w:szCs w:val="24"/>
        </w:rPr>
        <w:t>January 2015)</w:t>
      </w:r>
      <w:r>
        <w:t xml:space="preserve">. </w:t>
      </w:r>
      <w:r w:rsidDel="000431EF">
        <w:t xml:space="preserve">The </w:t>
      </w:r>
      <w:r>
        <w:t xml:space="preserve">RBP and MSP are also bidirectional </w:t>
      </w:r>
      <w:r w:rsidDel="000431EF">
        <w:t xml:space="preserve">or will </w:t>
      </w:r>
      <w:r>
        <w:t xml:space="preserve">soon </w:t>
      </w:r>
      <w:r w:rsidDel="000431EF">
        <w:t>be made</w:t>
      </w:r>
      <w:r>
        <w:t xml:space="preserve"> bidirectional (APA Group, pers. comm., 4 December 2014) but information on reverse capacity is not publicly available, so reverse capacity has been set to equal standard capacity. The Young to Gunnedah route is also set to be bidirectional despite the existing pipelines along this route (the CRP and CWP) being unidirectional (gas flows from Young to Gunnedah). This is because flows will likely be in the opposite direction (from Gunnedah to Young) if the Gunnedah gas basin is developed </w:t>
      </w:r>
      <w:r w:rsidRPr="008D45FF">
        <w:rPr>
          <w:szCs w:val="24"/>
        </w:rPr>
        <w:t>(Santos 2014b)</w:t>
      </w:r>
      <w:r>
        <w:t xml:space="preserve">. Reverse capacities have been incorporated in modelling so that reverse flows can be made available if economic. </w:t>
      </w:r>
    </w:p>
    <w:p w14:paraId="3F6B77B5" w14:textId="77777777" w:rsidR="00CC518F" w:rsidRDefault="00CC518F" w:rsidP="00CC518F">
      <w:pPr>
        <w:pStyle w:val="BodyText"/>
      </w:pPr>
      <w:r>
        <w:t xml:space="preserve">As noted above, a 200 per cent limit is placed on brownfield expansions. For bidirectional pipelines, standard and reverse </w:t>
      </w:r>
      <w:proofErr w:type="gramStart"/>
      <w:r>
        <w:t>capacity are</w:t>
      </w:r>
      <w:proofErr w:type="gramEnd"/>
      <w:r>
        <w:t xml:space="preserve"> assumed to increase in unison, so that capacity increases for reverse flow can exceed 200 per cent. </w:t>
      </w:r>
    </w:p>
    <w:p w14:paraId="689E4FF8" w14:textId="77777777" w:rsidR="00DA3852" w:rsidRDefault="00DA3852" w:rsidP="00DA3852">
      <w:pPr>
        <w:pStyle w:val="BoxSpaceAbove"/>
        <w:keepLines/>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DA3852" w14:paraId="64603BF4" w14:textId="77777777" w:rsidTr="00C03F9E">
        <w:tc>
          <w:tcPr>
            <w:tcW w:w="8771" w:type="dxa"/>
            <w:tcBorders>
              <w:top w:val="single" w:sz="6" w:space="0" w:color="78A22F"/>
              <w:left w:val="nil"/>
              <w:bottom w:val="nil"/>
              <w:right w:val="nil"/>
            </w:tcBorders>
            <w:shd w:val="clear" w:color="auto" w:fill="F2F2F2"/>
          </w:tcPr>
          <w:p w14:paraId="1C6EDEA6" w14:textId="77777777" w:rsidR="00DA3852" w:rsidRDefault="00DA3852" w:rsidP="00C03F9E">
            <w:pPr>
              <w:pStyle w:val="BoxTitle"/>
            </w:pPr>
            <w:r>
              <w:rPr>
                <w:b w:val="0"/>
              </w:rPr>
              <w:t>Box B.3</w:t>
            </w:r>
            <w:r>
              <w:tab/>
              <w:t>Truncation of investment cost data for transmission and storage assets</w:t>
            </w:r>
          </w:p>
        </w:tc>
      </w:tr>
      <w:tr w:rsidR="00DA3852" w14:paraId="41C9C140" w14:textId="77777777" w:rsidTr="00C03F9E">
        <w:trPr>
          <w:cantSplit/>
        </w:trPr>
        <w:tc>
          <w:tcPr>
            <w:tcW w:w="8771" w:type="dxa"/>
            <w:tcBorders>
              <w:top w:val="nil"/>
              <w:left w:val="nil"/>
              <w:bottom w:val="nil"/>
              <w:right w:val="nil"/>
            </w:tcBorders>
            <w:shd w:val="clear" w:color="auto" w:fill="F2F2F2"/>
          </w:tcPr>
          <w:p w14:paraId="5AE8DB94" w14:textId="4141EFB4" w:rsidR="00DA3852" w:rsidRDefault="00DA3852" w:rsidP="00C03F9E">
            <w:pPr>
              <w:pStyle w:val="Box"/>
              <w:keepLines/>
            </w:pPr>
            <w:r>
              <w:t>Transmission and storage assets have long economic lifetimes that are likely to continue beyond the 40</w:t>
            </w:r>
            <w:r w:rsidR="00416743">
              <w:t xml:space="preserve"> </w:t>
            </w:r>
            <w:r>
              <w:t>year simulation period. In such cases it is inappropriate to attribute all of the investment cost to the simulation period being modelled.</w:t>
            </w:r>
          </w:p>
          <w:p w14:paraId="323C91BC" w14:textId="7FE89947" w:rsidR="00DA3852" w:rsidRDefault="00DA3852" w:rsidP="00C03F9E">
            <w:pPr>
              <w:pStyle w:val="Box"/>
              <w:keepLines/>
            </w:pPr>
            <w:r>
              <w:t>Ideally, the full cost</w:t>
            </w:r>
            <w:r w:rsidR="00C03F9E">
              <w:t>s</w:t>
            </w:r>
            <w:r>
              <w:t xml:space="preserve"> and benefit</w:t>
            </w:r>
            <w:r w:rsidR="00C03F9E">
              <w:t>s</w:t>
            </w:r>
            <w:r>
              <w:t xml:space="preserve"> of all investments would be contained in the simulation period. However, a longer simulation period involves computational costs and, for assets with multiple period lifetimes that are commissioned toward the end of any finite modelling timeframe, some use will occur beyond the simulation period. Any formula truncating investment costs must make assumptions about the allocation of the investment costs between the simulation period of the model and beyond the simulation period. In the model, this truncation is done on a pro rata basis: the share of the asset’s economic life that is beyond the simulation period is subtracted from the total investment cost. This presupposes that the cost of investment is evenly amortised over time. An example of how transmission and storage investment costs are truncated in the model is shown in the table below.</w:t>
            </w:r>
          </w:p>
          <w:p w14:paraId="58AFB263" w14:textId="77777777" w:rsidR="00DA3852" w:rsidRDefault="00DA3852" w:rsidP="00C03F9E">
            <w:pPr>
              <w:pStyle w:val="Box"/>
              <w:keepLines/>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319"/>
            </w:tblGrid>
            <w:tr w:rsidR="00DA3852" w14:paraId="7E6CF141" w14:textId="77777777" w:rsidTr="00C03F9E">
              <w:tc>
                <w:tcPr>
                  <w:tcW w:w="8319" w:type="dxa"/>
                  <w:tcBorders>
                    <w:top w:val="nil"/>
                    <w:left w:val="nil"/>
                    <w:bottom w:val="nil"/>
                    <w:right w:val="nil"/>
                  </w:tcBorders>
                  <w:shd w:val="clear" w:color="auto" w:fill="auto"/>
                </w:tcPr>
                <w:p w14:paraId="675B58AE" w14:textId="77777777" w:rsidR="00DA3852" w:rsidRDefault="00DA3852" w:rsidP="00C03F9E">
                  <w:pPr>
                    <w:pStyle w:val="TableTitle"/>
                  </w:pPr>
                  <w:r>
                    <w:t>Example: truncation of investment costs</w:t>
                  </w:r>
                </w:p>
                <w:p w14:paraId="3665E773" w14:textId="77777777" w:rsidR="00DA3852" w:rsidRPr="00784A05" w:rsidRDefault="00DA3852" w:rsidP="00C03F9E">
                  <w:pPr>
                    <w:pStyle w:val="Subtitle"/>
                    <w:ind w:left="0"/>
                  </w:pPr>
                  <w:r>
                    <w:t>Asset with a 10 year lifetime and a 2 year build time, in a 10 year simulation with investment in year 1</w:t>
                  </w:r>
                </w:p>
              </w:tc>
            </w:tr>
            <w:tr w:rsidR="00DA3852" w14:paraId="558E42E1" w14:textId="77777777" w:rsidTr="00C03F9E">
              <w:trPr>
                <w:cantSplit/>
              </w:trPr>
              <w:tc>
                <w:tcPr>
                  <w:tcW w:w="8319" w:type="dxa"/>
                  <w:tcBorders>
                    <w:top w:val="nil"/>
                    <w:left w:val="nil"/>
                    <w:bottom w:val="nil"/>
                    <w:right w:val="nil"/>
                  </w:tcBorders>
                  <w:shd w:val="clear" w:color="auto" w:fill="auto"/>
                </w:tcPr>
                <w:tbl>
                  <w:tblPr>
                    <w:tblW w:w="5000" w:type="pct"/>
                    <w:tblLayout w:type="fixed"/>
                    <w:tblCellMar>
                      <w:top w:w="28" w:type="dxa"/>
                      <w:left w:w="0" w:type="dxa"/>
                      <w:right w:w="0" w:type="dxa"/>
                    </w:tblCellMar>
                    <w:tblLook w:val="0000" w:firstRow="0" w:lastRow="0" w:firstColumn="0" w:lastColumn="0" w:noHBand="0" w:noVBand="0"/>
                  </w:tblPr>
                  <w:tblGrid>
                    <w:gridCol w:w="1941"/>
                    <w:gridCol w:w="1136"/>
                    <w:gridCol w:w="1699"/>
                    <w:gridCol w:w="992"/>
                    <w:gridCol w:w="2267"/>
                  </w:tblGrid>
                  <w:tr w:rsidR="00DA3852" w14:paraId="46116F61" w14:textId="77777777" w:rsidTr="00C03F9E">
                    <w:tc>
                      <w:tcPr>
                        <w:tcW w:w="1208" w:type="pct"/>
                        <w:tcBorders>
                          <w:top w:val="single" w:sz="6" w:space="0" w:color="BFBFBF"/>
                          <w:bottom w:val="single" w:sz="6" w:space="0" w:color="BFBFBF"/>
                        </w:tcBorders>
                        <w:shd w:val="clear" w:color="auto" w:fill="auto"/>
                        <w:tcMar>
                          <w:top w:w="28" w:type="dxa"/>
                        </w:tcMar>
                      </w:tcPr>
                      <w:p w14:paraId="34703995" w14:textId="77777777" w:rsidR="00DA3852" w:rsidRPr="00433215" w:rsidRDefault="00DA3852" w:rsidP="00C03F9E">
                        <w:pPr>
                          <w:pStyle w:val="TableColumnHeading"/>
                          <w:jc w:val="left"/>
                        </w:pPr>
                        <w:r w:rsidRPr="00433215">
                          <w:t>Year</w:t>
                        </w:r>
                      </w:p>
                    </w:tc>
                    <w:tc>
                      <w:tcPr>
                        <w:tcW w:w="706" w:type="pct"/>
                        <w:tcBorders>
                          <w:top w:val="single" w:sz="6" w:space="0" w:color="BFBFBF"/>
                          <w:bottom w:val="single" w:sz="6" w:space="0" w:color="BFBFBF"/>
                        </w:tcBorders>
                        <w:shd w:val="clear" w:color="auto" w:fill="auto"/>
                        <w:tcMar>
                          <w:top w:w="28" w:type="dxa"/>
                        </w:tcMar>
                      </w:tcPr>
                      <w:p w14:paraId="505DE36B" w14:textId="77777777" w:rsidR="00DA3852" w:rsidRPr="00433215" w:rsidRDefault="00DA3852" w:rsidP="00C03F9E">
                        <w:pPr>
                          <w:pStyle w:val="TableColumnHeading"/>
                        </w:pPr>
                        <w:r w:rsidRPr="00433215">
                          <w:t>Investment cost ($)</w:t>
                        </w:r>
                      </w:p>
                    </w:tc>
                    <w:tc>
                      <w:tcPr>
                        <w:tcW w:w="1057" w:type="pct"/>
                        <w:tcBorders>
                          <w:top w:val="single" w:sz="6" w:space="0" w:color="BFBFBF"/>
                          <w:bottom w:val="single" w:sz="6" w:space="0" w:color="BFBFBF"/>
                        </w:tcBorders>
                        <w:shd w:val="clear" w:color="auto" w:fill="auto"/>
                        <w:tcMar>
                          <w:top w:w="28" w:type="dxa"/>
                        </w:tcMar>
                      </w:tcPr>
                      <w:p w14:paraId="3CEA54FD" w14:textId="77777777" w:rsidR="00DA3852" w:rsidRPr="00433215" w:rsidRDefault="00DA3852" w:rsidP="00C03F9E">
                        <w:pPr>
                          <w:pStyle w:val="TableColumnHeading"/>
                        </w:pPr>
                        <w:r>
                          <w:t>Amortisation</w:t>
                        </w:r>
                        <w:r w:rsidRPr="00433215">
                          <w:t xml:space="preserve"> of investment</w:t>
                        </w:r>
                        <w:r>
                          <w:br/>
                        </w:r>
                        <w:r w:rsidRPr="00433215">
                          <w:t>cost</w:t>
                        </w:r>
                        <w:r>
                          <w:t xml:space="preserve"> </w:t>
                        </w:r>
                        <w:r w:rsidRPr="00433215">
                          <w:t>($)</w:t>
                        </w:r>
                      </w:p>
                    </w:tc>
                    <w:tc>
                      <w:tcPr>
                        <w:tcW w:w="617" w:type="pct"/>
                        <w:tcBorders>
                          <w:top w:val="single" w:sz="6" w:space="0" w:color="BFBFBF"/>
                          <w:bottom w:val="single" w:sz="6" w:space="0" w:color="BFBFBF"/>
                        </w:tcBorders>
                        <w:shd w:val="clear" w:color="auto" w:fill="auto"/>
                      </w:tcPr>
                      <w:p w14:paraId="04CB54F1" w14:textId="77777777" w:rsidR="00DA3852" w:rsidRPr="00433215" w:rsidRDefault="00DA3852" w:rsidP="00C03F9E">
                        <w:pPr>
                          <w:pStyle w:val="TableColumnHeading"/>
                        </w:pPr>
                        <w:r w:rsidRPr="00433215">
                          <w:t>Discount factor</w:t>
                        </w:r>
                      </w:p>
                    </w:tc>
                    <w:tc>
                      <w:tcPr>
                        <w:tcW w:w="1411" w:type="pct"/>
                        <w:tcBorders>
                          <w:top w:val="single" w:sz="6" w:space="0" w:color="BFBFBF"/>
                          <w:bottom w:val="single" w:sz="6" w:space="0" w:color="BFBFBF"/>
                        </w:tcBorders>
                        <w:shd w:val="clear" w:color="auto" w:fill="auto"/>
                      </w:tcPr>
                      <w:p w14:paraId="07864BAA" w14:textId="77777777" w:rsidR="00DA3852" w:rsidRPr="00433215" w:rsidRDefault="00DA3852" w:rsidP="00C03F9E">
                        <w:pPr>
                          <w:pStyle w:val="TableColumnHeading"/>
                        </w:pPr>
                        <w:r w:rsidRPr="00433215">
                          <w:t>Discounted</w:t>
                        </w:r>
                        <w:r>
                          <w:br/>
                          <w:t>amortisation</w:t>
                        </w:r>
                        <w:r w:rsidRPr="00433215">
                          <w:t xml:space="preserve"> of</w:t>
                        </w:r>
                        <w:r>
                          <w:br/>
                        </w:r>
                        <w:r w:rsidRPr="00433215">
                          <w:t xml:space="preserve"> investment costs</w:t>
                        </w:r>
                        <w:r>
                          <w:t xml:space="preserve"> ($)</w:t>
                        </w:r>
                      </w:p>
                    </w:tc>
                  </w:tr>
                  <w:tr w:rsidR="00DA3852" w14:paraId="680AE097" w14:textId="77777777" w:rsidTr="00C03F9E">
                    <w:tc>
                      <w:tcPr>
                        <w:tcW w:w="1208" w:type="pct"/>
                        <w:tcBorders>
                          <w:top w:val="single" w:sz="6" w:space="0" w:color="BFBFBF"/>
                        </w:tcBorders>
                      </w:tcPr>
                      <w:p w14:paraId="25EAC60A" w14:textId="77777777" w:rsidR="00DA3852" w:rsidRDefault="00DA3852" w:rsidP="00C03F9E">
                        <w:pPr>
                          <w:pStyle w:val="TableBodyText"/>
                          <w:jc w:val="left"/>
                        </w:pPr>
                        <w:r>
                          <w:t>1</w:t>
                        </w:r>
                      </w:p>
                    </w:tc>
                    <w:tc>
                      <w:tcPr>
                        <w:tcW w:w="706" w:type="pct"/>
                        <w:tcBorders>
                          <w:top w:val="single" w:sz="6" w:space="0" w:color="BFBFBF"/>
                        </w:tcBorders>
                        <w:vAlign w:val="bottom"/>
                      </w:tcPr>
                      <w:p w14:paraId="3ABC3364" w14:textId="77777777" w:rsidR="00DA3852" w:rsidRPr="00B2569F" w:rsidRDefault="00DA3852" w:rsidP="00C03F9E">
                        <w:pPr>
                          <w:pStyle w:val="TableBodyText"/>
                          <w:rPr>
                            <w:i/>
                          </w:rPr>
                        </w:pPr>
                        <w:r w:rsidRPr="00B2569F">
                          <w:t>100</w:t>
                        </w:r>
                      </w:p>
                    </w:tc>
                    <w:tc>
                      <w:tcPr>
                        <w:tcW w:w="1057" w:type="pct"/>
                        <w:tcBorders>
                          <w:top w:val="single" w:sz="6" w:space="0" w:color="BFBFBF"/>
                        </w:tcBorders>
                        <w:vAlign w:val="bottom"/>
                      </w:tcPr>
                      <w:p w14:paraId="610C6149" w14:textId="77777777" w:rsidR="00DA3852" w:rsidRPr="00B2569F" w:rsidRDefault="00DA3852" w:rsidP="00C03F9E">
                        <w:pPr>
                          <w:pStyle w:val="TableBodyText"/>
                        </w:pPr>
                      </w:p>
                    </w:tc>
                    <w:tc>
                      <w:tcPr>
                        <w:tcW w:w="617" w:type="pct"/>
                        <w:tcBorders>
                          <w:top w:val="single" w:sz="6" w:space="0" w:color="BFBFBF"/>
                        </w:tcBorders>
                        <w:vAlign w:val="bottom"/>
                      </w:tcPr>
                      <w:p w14:paraId="32FD252E" w14:textId="77777777" w:rsidR="00DA3852" w:rsidRPr="00B2569F" w:rsidRDefault="00DA3852" w:rsidP="00C03F9E">
                        <w:pPr>
                          <w:pStyle w:val="TableBodyText"/>
                          <w:rPr>
                            <w:i/>
                          </w:rPr>
                        </w:pPr>
                        <w:r w:rsidRPr="00B2569F">
                          <w:t>1.00</w:t>
                        </w:r>
                      </w:p>
                    </w:tc>
                    <w:tc>
                      <w:tcPr>
                        <w:tcW w:w="1411" w:type="pct"/>
                        <w:tcBorders>
                          <w:top w:val="single" w:sz="6" w:space="0" w:color="BFBFBF"/>
                        </w:tcBorders>
                        <w:vAlign w:val="bottom"/>
                      </w:tcPr>
                      <w:p w14:paraId="3488329F" w14:textId="77777777" w:rsidR="00DA3852" w:rsidRPr="00B2569F" w:rsidRDefault="00DA3852" w:rsidP="00C03F9E">
                        <w:pPr>
                          <w:pStyle w:val="TableBodyText"/>
                          <w:rPr>
                            <w:i/>
                          </w:rPr>
                        </w:pPr>
                        <w:r w:rsidRPr="00B2569F">
                          <w:t>0.00</w:t>
                        </w:r>
                      </w:p>
                    </w:tc>
                  </w:tr>
                  <w:tr w:rsidR="00DA3852" w14:paraId="10CB48D3" w14:textId="77777777" w:rsidTr="00C03F9E">
                    <w:tc>
                      <w:tcPr>
                        <w:tcW w:w="1208" w:type="pct"/>
                      </w:tcPr>
                      <w:p w14:paraId="0456F11A" w14:textId="77777777" w:rsidR="00DA3852" w:rsidRDefault="00DA3852" w:rsidP="00C03F9E">
                        <w:pPr>
                          <w:pStyle w:val="TableBodyText"/>
                          <w:jc w:val="left"/>
                          <w:rPr>
                            <w:i/>
                          </w:rPr>
                        </w:pPr>
                        <w:r>
                          <w:t>2</w:t>
                        </w:r>
                      </w:p>
                    </w:tc>
                    <w:tc>
                      <w:tcPr>
                        <w:tcW w:w="706" w:type="pct"/>
                        <w:vAlign w:val="bottom"/>
                      </w:tcPr>
                      <w:p w14:paraId="166C29AC" w14:textId="77777777" w:rsidR="00DA3852" w:rsidRPr="00B2569F" w:rsidRDefault="00DA3852" w:rsidP="00C03F9E">
                        <w:pPr>
                          <w:pStyle w:val="TableBodyText"/>
                        </w:pPr>
                      </w:p>
                    </w:tc>
                    <w:tc>
                      <w:tcPr>
                        <w:tcW w:w="1057" w:type="pct"/>
                        <w:vAlign w:val="bottom"/>
                      </w:tcPr>
                      <w:p w14:paraId="4E8759F0" w14:textId="77777777" w:rsidR="00DA3852" w:rsidRPr="00B2569F" w:rsidRDefault="00DA3852" w:rsidP="00C03F9E">
                        <w:pPr>
                          <w:pStyle w:val="TableBodyText"/>
                        </w:pPr>
                      </w:p>
                    </w:tc>
                    <w:tc>
                      <w:tcPr>
                        <w:tcW w:w="617" w:type="pct"/>
                        <w:vAlign w:val="bottom"/>
                      </w:tcPr>
                      <w:p w14:paraId="39923DB4" w14:textId="77777777" w:rsidR="00DA3852" w:rsidRPr="00B2569F" w:rsidRDefault="00DA3852" w:rsidP="00C03F9E">
                        <w:pPr>
                          <w:pStyle w:val="TableBodyText"/>
                          <w:rPr>
                            <w:i/>
                          </w:rPr>
                        </w:pPr>
                        <w:r w:rsidRPr="00B2569F">
                          <w:t>0.94</w:t>
                        </w:r>
                      </w:p>
                    </w:tc>
                    <w:tc>
                      <w:tcPr>
                        <w:tcW w:w="1411" w:type="pct"/>
                        <w:vAlign w:val="bottom"/>
                      </w:tcPr>
                      <w:p w14:paraId="3A560359" w14:textId="77777777" w:rsidR="00DA3852" w:rsidRPr="00B2569F" w:rsidRDefault="00DA3852" w:rsidP="00C03F9E">
                        <w:pPr>
                          <w:pStyle w:val="TableBodyText"/>
                          <w:rPr>
                            <w:i/>
                          </w:rPr>
                        </w:pPr>
                        <w:r w:rsidRPr="00B2569F">
                          <w:t>0.00</w:t>
                        </w:r>
                      </w:p>
                    </w:tc>
                  </w:tr>
                  <w:tr w:rsidR="00DA3852" w14:paraId="17281ED0" w14:textId="77777777" w:rsidTr="00C03F9E">
                    <w:tc>
                      <w:tcPr>
                        <w:tcW w:w="1208" w:type="pct"/>
                        <w:shd w:val="clear" w:color="auto" w:fill="auto"/>
                      </w:tcPr>
                      <w:p w14:paraId="61B571CF" w14:textId="77777777" w:rsidR="00DA3852" w:rsidRDefault="00DA3852" w:rsidP="00C03F9E">
                        <w:pPr>
                          <w:pStyle w:val="TableBodyText"/>
                          <w:jc w:val="left"/>
                          <w:rPr>
                            <w:i/>
                          </w:rPr>
                        </w:pPr>
                        <w:r>
                          <w:t>3</w:t>
                        </w:r>
                      </w:p>
                    </w:tc>
                    <w:tc>
                      <w:tcPr>
                        <w:tcW w:w="706" w:type="pct"/>
                        <w:shd w:val="clear" w:color="auto" w:fill="auto"/>
                        <w:vAlign w:val="bottom"/>
                      </w:tcPr>
                      <w:p w14:paraId="08DC0405" w14:textId="77777777" w:rsidR="00DA3852" w:rsidRPr="00B2569F" w:rsidRDefault="00DA3852" w:rsidP="00C03F9E">
                        <w:pPr>
                          <w:pStyle w:val="TableBodyText"/>
                        </w:pPr>
                      </w:p>
                    </w:tc>
                    <w:tc>
                      <w:tcPr>
                        <w:tcW w:w="1057" w:type="pct"/>
                        <w:shd w:val="clear" w:color="auto" w:fill="auto"/>
                        <w:vAlign w:val="bottom"/>
                      </w:tcPr>
                      <w:p w14:paraId="7B92E3EB" w14:textId="77777777" w:rsidR="00DA3852" w:rsidRPr="00B2569F" w:rsidRDefault="00DA3852" w:rsidP="00C03F9E">
                        <w:pPr>
                          <w:pStyle w:val="TableBodyText"/>
                          <w:rPr>
                            <w:i/>
                          </w:rPr>
                        </w:pPr>
                        <w:r w:rsidRPr="00B2569F">
                          <w:t>14.40</w:t>
                        </w:r>
                      </w:p>
                    </w:tc>
                    <w:tc>
                      <w:tcPr>
                        <w:tcW w:w="617" w:type="pct"/>
                        <w:shd w:val="clear" w:color="auto" w:fill="auto"/>
                        <w:vAlign w:val="bottom"/>
                      </w:tcPr>
                      <w:p w14:paraId="4D3E9FBD" w14:textId="77777777" w:rsidR="00DA3852" w:rsidRPr="00B2569F" w:rsidRDefault="00DA3852" w:rsidP="00C03F9E">
                        <w:pPr>
                          <w:pStyle w:val="TableBodyText"/>
                          <w:rPr>
                            <w:i/>
                          </w:rPr>
                        </w:pPr>
                        <w:r w:rsidRPr="00B2569F">
                          <w:t>0.89</w:t>
                        </w:r>
                      </w:p>
                    </w:tc>
                    <w:tc>
                      <w:tcPr>
                        <w:tcW w:w="1411" w:type="pct"/>
                        <w:shd w:val="clear" w:color="auto" w:fill="auto"/>
                        <w:vAlign w:val="bottom"/>
                      </w:tcPr>
                      <w:p w14:paraId="7682E8C1" w14:textId="77777777" w:rsidR="00DA3852" w:rsidRPr="00B2569F" w:rsidRDefault="00DA3852" w:rsidP="00C03F9E">
                        <w:pPr>
                          <w:pStyle w:val="TableBodyText"/>
                          <w:rPr>
                            <w:i/>
                          </w:rPr>
                        </w:pPr>
                        <w:r w:rsidRPr="00B2569F">
                          <w:t>12.82</w:t>
                        </w:r>
                      </w:p>
                    </w:tc>
                  </w:tr>
                  <w:tr w:rsidR="00DA3852" w14:paraId="571387D3" w14:textId="77777777" w:rsidTr="00C03F9E">
                    <w:tc>
                      <w:tcPr>
                        <w:tcW w:w="1208" w:type="pct"/>
                        <w:shd w:val="clear" w:color="auto" w:fill="auto"/>
                      </w:tcPr>
                      <w:p w14:paraId="7932DE36" w14:textId="77777777" w:rsidR="00DA3852" w:rsidRDefault="00DA3852" w:rsidP="00C03F9E">
                        <w:pPr>
                          <w:pStyle w:val="TableBodyText"/>
                          <w:jc w:val="left"/>
                          <w:rPr>
                            <w:i/>
                          </w:rPr>
                        </w:pPr>
                        <w:r>
                          <w:t>4</w:t>
                        </w:r>
                      </w:p>
                    </w:tc>
                    <w:tc>
                      <w:tcPr>
                        <w:tcW w:w="706" w:type="pct"/>
                        <w:shd w:val="clear" w:color="auto" w:fill="auto"/>
                        <w:vAlign w:val="bottom"/>
                      </w:tcPr>
                      <w:p w14:paraId="2F83B6DA" w14:textId="77777777" w:rsidR="00DA3852" w:rsidRPr="00B2569F" w:rsidRDefault="00DA3852" w:rsidP="00C03F9E">
                        <w:pPr>
                          <w:pStyle w:val="TableBodyText"/>
                        </w:pPr>
                      </w:p>
                    </w:tc>
                    <w:tc>
                      <w:tcPr>
                        <w:tcW w:w="1057" w:type="pct"/>
                        <w:shd w:val="clear" w:color="auto" w:fill="auto"/>
                        <w:vAlign w:val="bottom"/>
                      </w:tcPr>
                      <w:p w14:paraId="6B0A9EFC" w14:textId="77777777" w:rsidR="00DA3852" w:rsidRPr="00B2569F" w:rsidRDefault="00DA3852" w:rsidP="00C03F9E">
                        <w:pPr>
                          <w:pStyle w:val="TableBodyText"/>
                          <w:rPr>
                            <w:i/>
                          </w:rPr>
                        </w:pPr>
                        <w:r w:rsidRPr="00B2569F">
                          <w:t>14.40</w:t>
                        </w:r>
                      </w:p>
                    </w:tc>
                    <w:tc>
                      <w:tcPr>
                        <w:tcW w:w="617" w:type="pct"/>
                        <w:shd w:val="clear" w:color="auto" w:fill="auto"/>
                        <w:vAlign w:val="bottom"/>
                      </w:tcPr>
                      <w:p w14:paraId="118228EE" w14:textId="77777777" w:rsidR="00DA3852" w:rsidRPr="00B2569F" w:rsidRDefault="00DA3852" w:rsidP="00C03F9E">
                        <w:pPr>
                          <w:pStyle w:val="TableBodyText"/>
                          <w:rPr>
                            <w:i/>
                          </w:rPr>
                        </w:pPr>
                        <w:r w:rsidRPr="00B2569F">
                          <w:t>0.84</w:t>
                        </w:r>
                      </w:p>
                    </w:tc>
                    <w:tc>
                      <w:tcPr>
                        <w:tcW w:w="1411" w:type="pct"/>
                        <w:shd w:val="clear" w:color="auto" w:fill="auto"/>
                        <w:vAlign w:val="bottom"/>
                      </w:tcPr>
                      <w:p w14:paraId="4968DDD8" w14:textId="77777777" w:rsidR="00DA3852" w:rsidRPr="00B2569F" w:rsidRDefault="00DA3852" w:rsidP="00C03F9E">
                        <w:pPr>
                          <w:pStyle w:val="TableBodyText"/>
                          <w:rPr>
                            <w:i/>
                          </w:rPr>
                        </w:pPr>
                        <w:r w:rsidRPr="00B2569F">
                          <w:t>12.09</w:t>
                        </w:r>
                      </w:p>
                    </w:tc>
                  </w:tr>
                  <w:tr w:rsidR="00DA3852" w14:paraId="7BE32665" w14:textId="77777777" w:rsidTr="00C03F9E">
                    <w:tc>
                      <w:tcPr>
                        <w:tcW w:w="1208" w:type="pct"/>
                        <w:shd w:val="clear" w:color="auto" w:fill="auto"/>
                      </w:tcPr>
                      <w:p w14:paraId="234E9A1F" w14:textId="77777777" w:rsidR="00DA3852" w:rsidRDefault="00DA3852" w:rsidP="00C03F9E">
                        <w:pPr>
                          <w:pStyle w:val="TableBodyText"/>
                          <w:jc w:val="left"/>
                          <w:rPr>
                            <w:i/>
                          </w:rPr>
                        </w:pPr>
                        <w:r>
                          <w:t>5</w:t>
                        </w:r>
                      </w:p>
                    </w:tc>
                    <w:tc>
                      <w:tcPr>
                        <w:tcW w:w="706" w:type="pct"/>
                        <w:shd w:val="clear" w:color="auto" w:fill="auto"/>
                        <w:vAlign w:val="bottom"/>
                      </w:tcPr>
                      <w:p w14:paraId="197B6364" w14:textId="77777777" w:rsidR="00DA3852" w:rsidRPr="00B2569F" w:rsidRDefault="00DA3852" w:rsidP="00C03F9E">
                        <w:pPr>
                          <w:pStyle w:val="TableBodyText"/>
                        </w:pPr>
                      </w:p>
                    </w:tc>
                    <w:tc>
                      <w:tcPr>
                        <w:tcW w:w="1057" w:type="pct"/>
                        <w:shd w:val="clear" w:color="auto" w:fill="auto"/>
                        <w:vAlign w:val="bottom"/>
                      </w:tcPr>
                      <w:p w14:paraId="2DA0BBC9" w14:textId="77777777" w:rsidR="00DA3852" w:rsidRPr="00B2569F" w:rsidRDefault="00DA3852" w:rsidP="00C03F9E">
                        <w:pPr>
                          <w:pStyle w:val="TableBodyText"/>
                          <w:rPr>
                            <w:i/>
                          </w:rPr>
                        </w:pPr>
                        <w:r w:rsidRPr="00B2569F">
                          <w:t>14.40</w:t>
                        </w:r>
                      </w:p>
                    </w:tc>
                    <w:tc>
                      <w:tcPr>
                        <w:tcW w:w="617" w:type="pct"/>
                        <w:shd w:val="clear" w:color="auto" w:fill="auto"/>
                        <w:vAlign w:val="bottom"/>
                      </w:tcPr>
                      <w:p w14:paraId="0A50DA4D" w14:textId="77777777" w:rsidR="00DA3852" w:rsidRPr="00B2569F" w:rsidRDefault="00DA3852" w:rsidP="00C03F9E">
                        <w:pPr>
                          <w:pStyle w:val="TableBodyText"/>
                          <w:rPr>
                            <w:i/>
                          </w:rPr>
                        </w:pPr>
                        <w:r w:rsidRPr="00B2569F">
                          <w:t>0.79</w:t>
                        </w:r>
                      </w:p>
                    </w:tc>
                    <w:tc>
                      <w:tcPr>
                        <w:tcW w:w="1411" w:type="pct"/>
                        <w:shd w:val="clear" w:color="auto" w:fill="auto"/>
                        <w:vAlign w:val="bottom"/>
                      </w:tcPr>
                      <w:p w14:paraId="5AD36C00" w14:textId="77777777" w:rsidR="00DA3852" w:rsidRPr="00B2569F" w:rsidRDefault="00DA3852" w:rsidP="00C03F9E">
                        <w:pPr>
                          <w:pStyle w:val="TableBodyText"/>
                          <w:rPr>
                            <w:i/>
                          </w:rPr>
                        </w:pPr>
                        <w:r w:rsidRPr="00B2569F">
                          <w:t>11.41</w:t>
                        </w:r>
                      </w:p>
                    </w:tc>
                  </w:tr>
                  <w:tr w:rsidR="00DA3852" w14:paraId="3AFC93BF" w14:textId="77777777" w:rsidTr="00C03F9E">
                    <w:tc>
                      <w:tcPr>
                        <w:tcW w:w="1208" w:type="pct"/>
                        <w:shd w:val="clear" w:color="auto" w:fill="auto"/>
                      </w:tcPr>
                      <w:p w14:paraId="5444EE32" w14:textId="77777777" w:rsidR="00DA3852" w:rsidRDefault="00DA3852" w:rsidP="00C03F9E">
                        <w:pPr>
                          <w:pStyle w:val="TableBodyText"/>
                          <w:jc w:val="left"/>
                          <w:rPr>
                            <w:i/>
                          </w:rPr>
                        </w:pPr>
                        <w:r>
                          <w:t>6</w:t>
                        </w:r>
                      </w:p>
                    </w:tc>
                    <w:tc>
                      <w:tcPr>
                        <w:tcW w:w="706" w:type="pct"/>
                        <w:shd w:val="clear" w:color="auto" w:fill="auto"/>
                        <w:vAlign w:val="bottom"/>
                      </w:tcPr>
                      <w:p w14:paraId="7372D797" w14:textId="77777777" w:rsidR="00DA3852" w:rsidRPr="00B2569F" w:rsidRDefault="00DA3852" w:rsidP="00C03F9E">
                        <w:pPr>
                          <w:pStyle w:val="TableBodyText"/>
                        </w:pPr>
                      </w:p>
                    </w:tc>
                    <w:tc>
                      <w:tcPr>
                        <w:tcW w:w="1057" w:type="pct"/>
                        <w:shd w:val="clear" w:color="auto" w:fill="auto"/>
                        <w:vAlign w:val="bottom"/>
                      </w:tcPr>
                      <w:p w14:paraId="17C5BD7C" w14:textId="77777777" w:rsidR="00DA3852" w:rsidRPr="00B2569F" w:rsidRDefault="00DA3852" w:rsidP="00C03F9E">
                        <w:pPr>
                          <w:pStyle w:val="TableBodyText"/>
                          <w:rPr>
                            <w:i/>
                          </w:rPr>
                        </w:pPr>
                        <w:r w:rsidRPr="00B2569F">
                          <w:t>14.40</w:t>
                        </w:r>
                      </w:p>
                    </w:tc>
                    <w:tc>
                      <w:tcPr>
                        <w:tcW w:w="617" w:type="pct"/>
                        <w:shd w:val="clear" w:color="auto" w:fill="auto"/>
                        <w:vAlign w:val="bottom"/>
                      </w:tcPr>
                      <w:p w14:paraId="1802FAAB" w14:textId="77777777" w:rsidR="00DA3852" w:rsidRPr="00B2569F" w:rsidRDefault="00DA3852" w:rsidP="00C03F9E">
                        <w:pPr>
                          <w:pStyle w:val="TableBodyText"/>
                          <w:rPr>
                            <w:i/>
                          </w:rPr>
                        </w:pPr>
                        <w:r w:rsidRPr="00B2569F">
                          <w:t>0.75</w:t>
                        </w:r>
                      </w:p>
                    </w:tc>
                    <w:tc>
                      <w:tcPr>
                        <w:tcW w:w="1411" w:type="pct"/>
                        <w:shd w:val="clear" w:color="auto" w:fill="auto"/>
                        <w:vAlign w:val="bottom"/>
                      </w:tcPr>
                      <w:p w14:paraId="45572393" w14:textId="77777777" w:rsidR="00DA3852" w:rsidRPr="00B2569F" w:rsidRDefault="00DA3852" w:rsidP="00C03F9E">
                        <w:pPr>
                          <w:pStyle w:val="TableBodyText"/>
                          <w:rPr>
                            <w:i/>
                          </w:rPr>
                        </w:pPr>
                        <w:r w:rsidRPr="00B2569F">
                          <w:t>10.76</w:t>
                        </w:r>
                      </w:p>
                    </w:tc>
                  </w:tr>
                  <w:tr w:rsidR="00DA3852" w14:paraId="518C1CE7" w14:textId="77777777" w:rsidTr="00C03F9E">
                    <w:tc>
                      <w:tcPr>
                        <w:tcW w:w="1208" w:type="pct"/>
                        <w:shd w:val="clear" w:color="auto" w:fill="auto"/>
                      </w:tcPr>
                      <w:p w14:paraId="06BCDBF5" w14:textId="77777777" w:rsidR="00DA3852" w:rsidRDefault="00DA3852" w:rsidP="00C03F9E">
                        <w:pPr>
                          <w:pStyle w:val="TableBodyText"/>
                          <w:jc w:val="left"/>
                          <w:rPr>
                            <w:i/>
                          </w:rPr>
                        </w:pPr>
                        <w:r>
                          <w:t>7</w:t>
                        </w:r>
                      </w:p>
                    </w:tc>
                    <w:tc>
                      <w:tcPr>
                        <w:tcW w:w="706" w:type="pct"/>
                        <w:shd w:val="clear" w:color="auto" w:fill="auto"/>
                        <w:vAlign w:val="bottom"/>
                      </w:tcPr>
                      <w:p w14:paraId="164F0A1E" w14:textId="77777777" w:rsidR="00DA3852" w:rsidRPr="00B2569F" w:rsidRDefault="00DA3852" w:rsidP="00C03F9E">
                        <w:pPr>
                          <w:pStyle w:val="TableBodyText"/>
                        </w:pPr>
                      </w:p>
                    </w:tc>
                    <w:tc>
                      <w:tcPr>
                        <w:tcW w:w="1057" w:type="pct"/>
                        <w:shd w:val="clear" w:color="auto" w:fill="auto"/>
                        <w:vAlign w:val="bottom"/>
                      </w:tcPr>
                      <w:p w14:paraId="7143D8A4" w14:textId="77777777" w:rsidR="00DA3852" w:rsidRPr="00B2569F" w:rsidRDefault="00DA3852" w:rsidP="00C03F9E">
                        <w:pPr>
                          <w:pStyle w:val="TableBodyText"/>
                          <w:rPr>
                            <w:i/>
                          </w:rPr>
                        </w:pPr>
                        <w:r w:rsidRPr="00B2569F">
                          <w:t>14.40</w:t>
                        </w:r>
                      </w:p>
                    </w:tc>
                    <w:tc>
                      <w:tcPr>
                        <w:tcW w:w="617" w:type="pct"/>
                        <w:shd w:val="clear" w:color="auto" w:fill="auto"/>
                        <w:vAlign w:val="bottom"/>
                      </w:tcPr>
                      <w:p w14:paraId="52DB112D" w14:textId="77777777" w:rsidR="00DA3852" w:rsidRPr="00B2569F" w:rsidRDefault="00DA3852" w:rsidP="00C03F9E">
                        <w:pPr>
                          <w:pStyle w:val="TableBodyText"/>
                          <w:rPr>
                            <w:i/>
                          </w:rPr>
                        </w:pPr>
                        <w:r w:rsidRPr="00B2569F">
                          <w:t>0.70</w:t>
                        </w:r>
                      </w:p>
                    </w:tc>
                    <w:tc>
                      <w:tcPr>
                        <w:tcW w:w="1411" w:type="pct"/>
                        <w:shd w:val="clear" w:color="auto" w:fill="auto"/>
                        <w:vAlign w:val="bottom"/>
                      </w:tcPr>
                      <w:p w14:paraId="392EC018" w14:textId="77777777" w:rsidR="00DA3852" w:rsidRPr="00B2569F" w:rsidRDefault="00DA3852" w:rsidP="00C03F9E">
                        <w:pPr>
                          <w:pStyle w:val="TableBodyText"/>
                          <w:rPr>
                            <w:i/>
                          </w:rPr>
                        </w:pPr>
                        <w:r w:rsidRPr="00B2569F">
                          <w:t>10.15</w:t>
                        </w:r>
                      </w:p>
                    </w:tc>
                  </w:tr>
                  <w:tr w:rsidR="00DA3852" w14:paraId="51763B92" w14:textId="77777777" w:rsidTr="00C03F9E">
                    <w:tc>
                      <w:tcPr>
                        <w:tcW w:w="1208" w:type="pct"/>
                        <w:shd w:val="clear" w:color="auto" w:fill="auto"/>
                      </w:tcPr>
                      <w:p w14:paraId="073DAF00" w14:textId="77777777" w:rsidR="00DA3852" w:rsidRDefault="00DA3852" w:rsidP="00C03F9E">
                        <w:pPr>
                          <w:pStyle w:val="TableBodyText"/>
                          <w:jc w:val="left"/>
                          <w:rPr>
                            <w:i/>
                          </w:rPr>
                        </w:pPr>
                        <w:r>
                          <w:t>8</w:t>
                        </w:r>
                      </w:p>
                    </w:tc>
                    <w:tc>
                      <w:tcPr>
                        <w:tcW w:w="706" w:type="pct"/>
                        <w:shd w:val="clear" w:color="auto" w:fill="auto"/>
                        <w:vAlign w:val="bottom"/>
                      </w:tcPr>
                      <w:p w14:paraId="646F47BF" w14:textId="77777777" w:rsidR="00DA3852" w:rsidRPr="00B2569F" w:rsidRDefault="00DA3852" w:rsidP="00C03F9E">
                        <w:pPr>
                          <w:pStyle w:val="TableBodyText"/>
                        </w:pPr>
                      </w:p>
                    </w:tc>
                    <w:tc>
                      <w:tcPr>
                        <w:tcW w:w="1057" w:type="pct"/>
                        <w:shd w:val="clear" w:color="auto" w:fill="auto"/>
                        <w:vAlign w:val="bottom"/>
                      </w:tcPr>
                      <w:p w14:paraId="1C2065CC" w14:textId="77777777" w:rsidR="00DA3852" w:rsidRPr="00B2569F" w:rsidRDefault="00DA3852" w:rsidP="00C03F9E">
                        <w:pPr>
                          <w:pStyle w:val="TableBodyText"/>
                          <w:rPr>
                            <w:i/>
                          </w:rPr>
                        </w:pPr>
                        <w:r w:rsidRPr="00B2569F">
                          <w:t>14.40</w:t>
                        </w:r>
                      </w:p>
                    </w:tc>
                    <w:tc>
                      <w:tcPr>
                        <w:tcW w:w="617" w:type="pct"/>
                        <w:shd w:val="clear" w:color="auto" w:fill="auto"/>
                        <w:vAlign w:val="bottom"/>
                      </w:tcPr>
                      <w:p w14:paraId="21EDFCCE" w14:textId="77777777" w:rsidR="00DA3852" w:rsidRPr="00B2569F" w:rsidRDefault="00DA3852" w:rsidP="00C03F9E">
                        <w:pPr>
                          <w:pStyle w:val="TableBodyText"/>
                          <w:rPr>
                            <w:i/>
                          </w:rPr>
                        </w:pPr>
                        <w:r w:rsidRPr="00B2569F">
                          <w:t>0.67</w:t>
                        </w:r>
                      </w:p>
                    </w:tc>
                    <w:tc>
                      <w:tcPr>
                        <w:tcW w:w="1411" w:type="pct"/>
                        <w:shd w:val="clear" w:color="auto" w:fill="auto"/>
                        <w:vAlign w:val="bottom"/>
                      </w:tcPr>
                      <w:p w14:paraId="42083F6E" w14:textId="77777777" w:rsidR="00DA3852" w:rsidRPr="00B2569F" w:rsidRDefault="00DA3852" w:rsidP="00C03F9E">
                        <w:pPr>
                          <w:pStyle w:val="TableBodyText"/>
                          <w:rPr>
                            <w:i/>
                          </w:rPr>
                        </w:pPr>
                        <w:r w:rsidRPr="00B2569F">
                          <w:t>9.58</w:t>
                        </w:r>
                      </w:p>
                    </w:tc>
                  </w:tr>
                  <w:tr w:rsidR="00DA3852" w14:paraId="5705E9FB" w14:textId="77777777" w:rsidTr="00C03F9E">
                    <w:tc>
                      <w:tcPr>
                        <w:tcW w:w="1208" w:type="pct"/>
                        <w:shd w:val="clear" w:color="auto" w:fill="auto"/>
                      </w:tcPr>
                      <w:p w14:paraId="3FD83D5C" w14:textId="77777777" w:rsidR="00DA3852" w:rsidRDefault="00DA3852" w:rsidP="00C03F9E">
                        <w:pPr>
                          <w:pStyle w:val="TableBodyText"/>
                          <w:jc w:val="left"/>
                          <w:rPr>
                            <w:i/>
                          </w:rPr>
                        </w:pPr>
                        <w:r>
                          <w:t>9</w:t>
                        </w:r>
                      </w:p>
                    </w:tc>
                    <w:tc>
                      <w:tcPr>
                        <w:tcW w:w="706" w:type="pct"/>
                        <w:shd w:val="clear" w:color="auto" w:fill="auto"/>
                        <w:vAlign w:val="bottom"/>
                      </w:tcPr>
                      <w:p w14:paraId="65B6CCC9" w14:textId="77777777" w:rsidR="00DA3852" w:rsidRPr="00B2569F" w:rsidRDefault="00DA3852" w:rsidP="00C03F9E">
                        <w:pPr>
                          <w:pStyle w:val="TableBodyText"/>
                        </w:pPr>
                      </w:p>
                    </w:tc>
                    <w:tc>
                      <w:tcPr>
                        <w:tcW w:w="1057" w:type="pct"/>
                        <w:shd w:val="clear" w:color="auto" w:fill="auto"/>
                        <w:vAlign w:val="bottom"/>
                      </w:tcPr>
                      <w:p w14:paraId="30DB171C" w14:textId="77777777" w:rsidR="00DA3852" w:rsidRPr="00B2569F" w:rsidRDefault="00DA3852" w:rsidP="00C03F9E">
                        <w:pPr>
                          <w:pStyle w:val="TableBodyText"/>
                          <w:rPr>
                            <w:i/>
                          </w:rPr>
                        </w:pPr>
                        <w:r w:rsidRPr="00B2569F">
                          <w:t>14.40</w:t>
                        </w:r>
                      </w:p>
                    </w:tc>
                    <w:tc>
                      <w:tcPr>
                        <w:tcW w:w="617" w:type="pct"/>
                        <w:shd w:val="clear" w:color="auto" w:fill="auto"/>
                        <w:vAlign w:val="bottom"/>
                      </w:tcPr>
                      <w:p w14:paraId="601249B6" w14:textId="77777777" w:rsidR="00DA3852" w:rsidRPr="00B2569F" w:rsidRDefault="00DA3852" w:rsidP="00C03F9E">
                        <w:pPr>
                          <w:pStyle w:val="TableBodyText"/>
                          <w:rPr>
                            <w:i/>
                          </w:rPr>
                        </w:pPr>
                        <w:r w:rsidRPr="00B2569F">
                          <w:t>0.63</w:t>
                        </w:r>
                      </w:p>
                    </w:tc>
                    <w:tc>
                      <w:tcPr>
                        <w:tcW w:w="1411" w:type="pct"/>
                        <w:shd w:val="clear" w:color="auto" w:fill="auto"/>
                        <w:vAlign w:val="bottom"/>
                      </w:tcPr>
                      <w:p w14:paraId="38A2C254" w14:textId="77777777" w:rsidR="00DA3852" w:rsidRPr="00B2569F" w:rsidRDefault="00DA3852" w:rsidP="00C03F9E">
                        <w:pPr>
                          <w:pStyle w:val="TableBodyText"/>
                          <w:rPr>
                            <w:i/>
                          </w:rPr>
                        </w:pPr>
                        <w:r w:rsidRPr="00B2569F">
                          <w:t>9.04</w:t>
                        </w:r>
                      </w:p>
                    </w:tc>
                  </w:tr>
                  <w:tr w:rsidR="00DA3852" w14:paraId="59695678" w14:textId="77777777" w:rsidTr="00C03F9E">
                    <w:tc>
                      <w:tcPr>
                        <w:tcW w:w="1208" w:type="pct"/>
                        <w:shd w:val="clear" w:color="auto" w:fill="auto"/>
                      </w:tcPr>
                      <w:p w14:paraId="18EE1761" w14:textId="77777777" w:rsidR="00DA3852" w:rsidRDefault="00DA3852" w:rsidP="00C03F9E">
                        <w:pPr>
                          <w:pStyle w:val="TableBodyText"/>
                          <w:jc w:val="left"/>
                          <w:rPr>
                            <w:i/>
                          </w:rPr>
                        </w:pPr>
                        <w:r>
                          <w:t>10</w:t>
                        </w:r>
                      </w:p>
                    </w:tc>
                    <w:tc>
                      <w:tcPr>
                        <w:tcW w:w="706" w:type="pct"/>
                        <w:shd w:val="clear" w:color="auto" w:fill="auto"/>
                        <w:vAlign w:val="bottom"/>
                      </w:tcPr>
                      <w:p w14:paraId="0103ABE0" w14:textId="77777777" w:rsidR="00DA3852" w:rsidRPr="00B2569F" w:rsidRDefault="00DA3852" w:rsidP="00C03F9E">
                        <w:pPr>
                          <w:pStyle w:val="TableBodyText"/>
                        </w:pPr>
                      </w:p>
                    </w:tc>
                    <w:tc>
                      <w:tcPr>
                        <w:tcW w:w="1057" w:type="pct"/>
                        <w:shd w:val="clear" w:color="auto" w:fill="auto"/>
                        <w:vAlign w:val="bottom"/>
                      </w:tcPr>
                      <w:p w14:paraId="04E5565E" w14:textId="77777777" w:rsidR="00DA3852" w:rsidRPr="00B2569F" w:rsidRDefault="00DA3852" w:rsidP="00C03F9E">
                        <w:pPr>
                          <w:pStyle w:val="TableBodyText"/>
                          <w:rPr>
                            <w:i/>
                          </w:rPr>
                        </w:pPr>
                        <w:r w:rsidRPr="00B2569F">
                          <w:t>14.40</w:t>
                        </w:r>
                      </w:p>
                    </w:tc>
                    <w:tc>
                      <w:tcPr>
                        <w:tcW w:w="617" w:type="pct"/>
                        <w:shd w:val="clear" w:color="auto" w:fill="auto"/>
                        <w:vAlign w:val="bottom"/>
                      </w:tcPr>
                      <w:p w14:paraId="6D2F0B25" w14:textId="77777777" w:rsidR="00DA3852" w:rsidRPr="00B2569F" w:rsidRDefault="00DA3852" w:rsidP="00C03F9E">
                        <w:pPr>
                          <w:pStyle w:val="TableBodyText"/>
                          <w:rPr>
                            <w:i/>
                          </w:rPr>
                        </w:pPr>
                        <w:r w:rsidRPr="00B2569F">
                          <w:t>0.59</w:t>
                        </w:r>
                      </w:p>
                    </w:tc>
                    <w:tc>
                      <w:tcPr>
                        <w:tcW w:w="1411" w:type="pct"/>
                        <w:shd w:val="clear" w:color="auto" w:fill="auto"/>
                        <w:vAlign w:val="bottom"/>
                      </w:tcPr>
                      <w:p w14:paraId="40CB7C38" w14:textId="77777777" w:rsidR="00DA3852" w:rsidRPr="00B2569F" w:rsidRDefault="00DA3852" w:rsidP="00C03F9E">
                        <w:pPr>
                          <w:pStyle w:val="TableBodyText"/>
                          <w:rPr>
                            <w:i/>
                          </w:rPr>
                        </w:pPr>
                        <w:r w:rsidRPr="00B2569F">
                          <w:t>8.52</w:t>
                        </w:r>
                      </w:p>
                    </w:tc>
                  </w:tr>
                  <w:tr w:rsidR="00DA3852" w14:paraId="4B17902B" w14:textId="77777777" w:rsidTr="00C03F9E">
                    <w:tc>
                      <w:tcPr>
                        <w:tcW w:w="1208" w:type="pct"/>
                        <w:shd w:val="clear" w:color="auto" w:fill="auto"/>
                      </w:tcPr>
                      <w:p w14:paraId="3927298A" w14:textId="77777777" w:rsidR="00DA3852" w:rsidRDefault="00DA3852" w:rsidP="00C03F9E">
                        <w:pPr>
                          <w:pStyle w:val="TableBodyText"/>
                          <w:jc w:val="left"/>
                          <w:rPr>
                            <w:i/>
                          </w:rPr>
                        </w:pPr>
                        <w:r>
                          <w:t>11</w:t>
                        </w:r>
                      </w:p>
                    </w:tc>
                    <w:tc>
                      <w:tcPr>
                        <w:tcW w:w="706" w:type="pct"/>
                        <w:shd w:val="clear" w:color="auto" w:fill="auto"/>
                        <w:vAlign w:val="bottom"/>
                      </w:tcPr>
                      <w:p w14:paraId="2E7154D9" w14:textId="77777777" w:rsidR="00DA3852" w:rsidRPr="00B2569F" w:rsidRDefault="00DA3852" w:rsidP="00C03F9E">
                        <w:pPr>
                          <w:pStyle w:val="TableBodyText"/>
                        </w:pPr>
                      </w:p>
                    </w:tc>
                    <w:tc>
                      <w:tcPr>
                        <w:tcW w:w="1057" w:type="pct"/>
                        <w:shd w:val="clear" w:color="auto" w:fill="auto"/>
                        <w:vAlign w:val="bottom"/>
                      </w:tcPr>
                      <w:p w14:paraId="4CD0C7C5" w14:textId="77777777" w:rsidR="00DA3852" w:rsidRPr="00B2569F" w:rsidRDefault="00DA3852" w:rsidP="00C03F9E">
                        <w:pPr>
                          <w:pStyle w:val="TableBodyText"/>
                          <w:rPr>
                            <w:i/>
                          </w:rPr>
                        </w:pPr>
                        <w:r w:rsidRPr="00B2569F">
                          <w:t>14.40</w:t>
                        </w:r>
                      </w:p>
                    </w:tc>
                    <w:tc>
                      <w:tcPr>
                        <w:tcW w:w="617" w:type="pct"/>
                        <w:shd w:val="clear" w:color="auto" w:fill="auto"/>
                        <w:vAlign w:val="bottom"/>
                      </w:tcPr>
                      <w:p w14:paraId="008CC097" w14:textId="77777777" w:rsidR="00DA3852" w:rsidRPr="00B2569F" w:rsidRDefault="00DA3852" w:rsidP="00C03F9E">
                        <w:pPr>
                          <w:pStyle w:val="TableBodyText"/>
                          <w:rPr>
                            <w:i/>
                          </w:rPr>
                        </w:pPr>
                        <w:r w:rsidRPr="00B2569F">
                          <w:t>0.56</w:t>
                        </w:r>
                      </w:p>
                    </w:tc>
                    <w:tc>
                      <w:tcPr>
                        <w:tcW w:w="1411" w:type="pct"/>
                        <w:shd w:val="clear" w:color="auto" w:fill="auto"/>
                        <w:vAlign w:val="bottom"/>
                      </w:tcPr>
                      <w:p w14:paraId="32C5032C" w14:textId="77777777" w:rsidR="00DA3852" w:rsidRPr="00B2569F" w:rsidRDefault="00DA3852" w:rsidP="00C03F9E">
                        <w:pPr>
                          <w:pStyle w:val="TableBodyText"/>
                          <w:rPr>
                            <w:i/>
                          </w:rPr>
                        </w:pPr>
                        <w:r w:rsidRPr="00B2569F">
                          <w:t>8.04</w:t>
                        </w:r>
                      </w:p>
                    </w:tc>
                  </w:tr>
                  <w:tr w:rsidR="00DA3852" w14:paraId="647CEDCF" w14:textId="77777777" w:rsidTr="00C03F9E">
                    <w:tc>
                      <w:tcPr>
                        <w:tcW w:w="1208" w:type="pct"/>
                        <w:shd w:val="clear" w:color="auto" w:fill="auto"/>
                      </w:tcPr>
                      <w:p w14:paraId="62029726" w14:textId="77777777" w:rsidR="00DA3852" w:rsidRDefault="00DA3852" w:rsidP="00C03F9E">
                        <w:pPr>
                          <w:pStyle w:val="TableBodyText"/>
                          <w:jc w:val="left"/>
                          <w:rPr>
                            <w:i/>
                          </w:rPr>
                        </w:pPr>
                        <w:r>
                          <w:t>12</w:t>
                        </w:r>
                      </w:p>
                    </w:tc>
                    <w:tc>
                      <w:tcPr>
                        <w:tcW w:w="706" w:type="pct"/>
                        <w:shd w:val="clear" w:color="auto" w:fill="auto"/>
                        <w:vAlign w:val="bottom"/>
                      </w:tcPr>
                      <w:p w14:paraId="186D8704" w14:textId="77777777" w:rsidR="00DA3852" w:rsidRPr="00B2569F" w:rsidRDefault="00DA3852" w:rsidP="00C03F9E">
                        <w:pPr>
                          <w:pStyle w:val="TableBodyText"/>
                        </w:pPr>
                      </w:p>
                    </w:tc>
                    <w:tc>
                      <w:tcPr>
                        <w:tcW w:w="1057" w:type="pct"/>
                        <w:shd w:val="clear" w:color="auto" w:fill="auto"/>
                        <w:vAlign w:val="bottom"/>
                      </w:tcPr>
                      <w:p w14:paraId="3CE161BF" w14:textId="77777777" w:rsidR="00DA3852" w:rsidRPr="00B2569F" w:rsidRDefault="00DA3852" w:rsidP="00C03F9E">
                        <w:pPr>
                          <w:pStyle w:val="TableBodyText"/>
                          <w:rPr>
                            <w:i/>
                          </w:rPr>
                        </w:pPr>
                        <w:r w:rsidRPr="00B2569F">
                          <w:t>14.40</w:t>
                        </w:r>
                      </w:p>
                    </w:tc>
                    <w:tc>
                      <w:tcPr>
                        <w:tcW w:w="617" w:type="pct"/>
                        <w:shd w:val="clear" w:color="auto" w:fill="auto"/>
                        <w:vAlign w:val="bottom"/>
                      </w:tcPr>
                      <w:p w14:paraId="2D6FA631" w14:textId="77777777" w:rsidR="00DA3852" w:rsidRPr="00B2569F" w:rsidRDefault="00DA3852" w:rsidP="00C03F9E">
                        <w:pPr>
                          <w:pStyle w:val="TableBodyText"/>
                          <w:rPr>
                            <w:i/>
                          </w:rPr>
                        </w:pPr>
                        <w:r w:rsidRPr="00B2569F">
                          <w:t>0.53</w:t>
                        </w:r>
                      </w:p>
                    </w:tc>
                    <w:tc>
                      <w:tcPr>
                        <w:tcW w:w="1411" w:type="pct"/>
                        <w:shd w:val="clear" w:color="auto" w:fill="auto"/>
                        <w:vAlign w:val="bottom"/>
                      </w:tcPr>
                      <w:p w14:paraId="2F477C6B" w14:textId="77777777" w:rsidR="00DA3852" w:rsidRPr="00B2569F" w:rsidRDefault="00DA3852" w:rsidP="00C03F9E">
                        <w:pPr>
                          <w:pStyle w:val="TableBodyText"/>
                          <w:rPr>
                            <w:i/>
                          </w:rPr>
                        </w:pPr>
                        <w:r w:rsidRPr="00B2569F">
                          <w:t>7.59</w:t>
                        </w:r>
                      </w:p>
                    </w:tc>
                  </w:tr>
                  <w:tr w:rsidR="00DA3852" w14:paraId="458F362A" w14:textId="77777777" w:rsidTr="00C03F9E">
                    <w:tc>
                      <w:tcPr>
                        <w:tcW w:w="1208" w:type="pct"/>
                        <w:shd w:val="clear" w:color="auto" w:fill="auto"/>
                      </w:tcPr>
                      <w:p w14:paraId="27BC0F58" w14:textId="77777777" w:rsidR="00DA3852" w:rsidRDefault="00DA3852" w:rsidP="00C03F9E">
                        <w:pPr>
                          <w:pStyle w:val="TableBodyText"/>
                          <w:jc w:val="left"/>
                          <w:rPr>
                            <w:i/>
                          </w:rPr>
                        </w:pPr>
                        <w:r>
                          <w:t>Total investment cost</w:t>
                        </w:r>
                      </w:p>
                    </w:tc>
                    <w:tc>
                      <w:tcPr>
                        <w:tcW w:w="706" w:type="pct"/>
                        <w:shd w:val="clear" w:color="auto" w:fill="auto"/>
                        <w:vAlign w:val="bottom"/>
                      </w:tcPr>
                      <w:p w14:paraId="74A56115" w14:textId="77777777" w:rsidR="00DA3852" w:rsidRPr="00B2569F" w:rsidRDefault="00DA3852" w:rsidP="00C03F9E">
                        <w:pPr>
                          <w:pStyle w:val="TableBodyText"/>
                          <w:rPr>
                            <w:i/>
                          </w:rPr>
                        </w:pPr>
                        <w:r w:rsidRPr="00B2569F">
                          <w:t>100</w:t>
                        </w:r>
                      </w:p>
                    </w:tc>
                    <w:tc>
                      <w:tcPr>
                        <w:tcW w:w="1057" w:type="pct"/>
                        <w:shd w:val="clear" w:color="auto" w:fill="auto"/>
                        <w:vAlign w:val="bottom"/>
                      </w:tcPr>
                      <w:p w14:paraId="078A52BA" w14:textId="77777777" w:rsidR="00DA3852" w:rsidRPr="00B2569F" w:rsidRDefault="00DA3852" w:rsidP="00C03F9E">
                        <w:pPr>
                          <w:pStyle w:val="TableBodyText"/>
                        </w:pPr>
                      </w:p>
                    </w:tc>
                    <w:tc>
                      <w:tcPr>
                        <w:tcW w:w="617" w:type="pct"/>
                        <w:shd w:val="clear" w:color="auto" w:fill="auto"/>
                        <w:vAlign w:val="bottom"/>
                      </w:tcPr>
                      <w:p w14:paraId="609452DB" w14:textId="77777777" w:rsidR="00DA3852" w:rsidRPr="00B2569F" w:rsidRDefault="00DA3852" w:rsidP="00C03F9E">
                        <w:pPr>
                          <w:pStyle w:val="TableBodyText"/>
                        </w:pPr>
                      </w:p>
                    </w:tc>
                    <w:tc>
                      <w:tcPr>
                        <w:tcW w:w="1411" w:type="pct"/>
                        <w:shd w:val="clear" w:color="auto" w:fill="auto"/>
                        <w:vAlign w:val="bottom"/>
                      </w:tcPr>
                      <w:p w14:paraId="353B789F" w14:textId="77777777" w:rsidR="00DA3852" w:rsidRPr="00B2569F" w:rsidRDefault="00DA3852" w:rsidP="00C03F9E">
                        <w:pPr>
                          <w:pStyle w:val="TableBodyText"/>
                          <w:rPr>
                            <w:i/>
                          </w:rPr>
                        </w:pPr>
                        <w:r w:rsidRPr="00B2569F">
                          <w:t>100.00</w:t>
                        </w:r>
                      </w:p>
                    </w:tc>
                  </w:tr>
                  <w:tr w:rsidR="00DA3852" w14:paraId="207EA5DA" w14:textId="77777777" w:rsidTr="00C03F9E">
                    <w:tc>
                      <w:tcPr>
                        <w:tcW w:w="1915" w:type="pct"/>
                        <w:gridSpan w:val="2"/>
                        <w:tcBorders>
                          <w:bottom w:val="single" w:sz="6" w:space="0" w:color="BFBFBF"/>
                        </w:tcBorders>
                        <w:shd w:val="clear" w:color="auto" w:fill="auto"/>
                      </w:tcPr>
                      <w:p w14:paraId="221DD143" w14:textId="77777777" w:rsidR="00DA3852" w:rsidRPr="00B2569F" w:rsidRDefault="00DA3852" w:rsidP="00C03F9E">
                        <w:pPr>
                          <w:pStyle w:val="TableBodyText"/>
                          <w:jc w:val="left"/>
                        </w:pPr>
                        <w:r>
                          <w:t>Truncated investment cost</w:t>
                        </w:r>
                        <w:r>
                          <w:br/>
                          <w:t>years 1 to 10</w:t>
                        </w:r>
                      </w:p>
                    </w:tc>
                    <w:tc>
                      <w:tcPr>
                        <w:tcW w:w="1057" w:type="pct"/>
                        <w:tcBorders>
                          <w:bottom w:val="single" w:sz="6" w:space="0" w:color="BFBFBF"/>
                        </w:tcBorders>
                        <w:shd w:val="clear" w:color="auto" w:fill="auto"/>
                        <w:vAlign w:val="bottom"/>
                      </w:tcPr>
                      <w:p w14:paraId="6CF1AF4F" w14:textId="77777777" w:rsidR="00DA3852" w:rsidRPr="00B2569F" w:rsidRDefault="00DA3852" w:rsidP="00C03F9E">
                        <w:pPr>
                          <w:pStyle w:val="TableBodyText"/>
                        </w:pPr>
                      </w:p>
                    </w:tc>
                    <w:tc>
                      <w:tcPr>
                        <w:tcW w:w="617" w:type="pct"/>
                        <w:tcBorders>
                          <w:bottom w:val="single" w:sz="6" w:space="0" w:color="BFBFBF"/>
                        </w:tcBorders>
                        <w:shd w:val="clear" w:color="auto" w:fill="auto"/>
                        <w:vAlign w:val="bottom"/>
                      </w:tcPr>
                      <w:p w14:paraId="0EDF5DD7" w14:textId="77777777" w:rsidR="00DA3852" w:rsidRPr="00B2569F" w:rsidRDefault="00DA3852" w:rsidP="00C03F9E">
                        <w:pPr>
                          <w:pStyle w:val="TableBodyText"/>
                        </w:pPr>
                      </w:p>
                    </w:tc>
                    <w:tc>
                      <w:tcPr>
                        <w:tcW w:w="1411" w:type="pct"/>
                        <w:tcBorders>
                          <w:bottom w:val="single" w:sz="6" w:space="0" w:color="BFBFBF"/>
                        </w:tcBorders>
                        <w:shd w:val="clear" w:color="auto" w:fill="auto"/>
                        <w:vAlign w:val="bottom"/>
                      </w:tcPr>
                      <w:p w14:paraId="2A1FC96A" w14:textId="77777777" w:rsidR="00DA3852" w:rsidRPr="00B2569F" w:rsidRDefault="00DA3852" w:rsidP="00C03F9E">
                        <w:pPr>
                          <w:pStyle w:val="TableBodyText"/>
                          <w:rPr>
                            <w:i/>
                          </w:rPr>
                        </w:pPr>
                        <w:r w:rsidRPr="00B2569F">
                          <w:t>84.37</w:t>
                        </w:r>
                      </w:p>
                    </w:tc>
                  </w:tr>
                </w:tbl>
                <w:p w14:paraId="35AD5478" w14:textId="77777777" w:rsidR="00DA3852" w:rsidRDefault="00DA3852" w:rsidP="00C03F9E">
                  <w:pPr>
                    <w:pStyle w:val="Box"/>
                    <w:keepLines/>
                  </w:pPr>
                </w:p>
              </w:tc>
            </w:tr>
            <w:tr w:rsidR="00DA3852" w14:paraId="56A636EF" w14:textId="77777777" w:rsidTr="00C03F9E">
              <w:trPr>
                <w:cantSplit/>
              </w:trPr>
              <w:tc>
                <w:tcPr>
                  <w:tcW w:w="8319" w:type="dxa"/>
                  <w:tcBorders>
                    <w:top w:val="nil"/>
                    <w:left w:val="nil"/>
                    <w:bottom w:val="nil"/>
                    <w:right w:val="nil"/>
                  </w:tcBorders>
                  <w:shd w:val="clear" w:color="auto" w:fill="auto"/>
                </w:tcPr>
                <w:p w14:paraId="4DA88FEC" w14:textId="77777777" w:rsidR="00DA3852" w:rsidRDefault="00DA3852" w:rsidP="00C03F9E">
                  <w:pPr>
                    <w:pStyle w:val="Box"/>
                    <w:keepLines/>
                    <w:spacing w:before="0" w:line="120" w:lineRule="exact"/>
                  </w:pPr>
                </w:p>
              </w:tc>
            </w:tr>
          </w:tbl>
          <w:p w14:paraId="419665BC" w14:textId="77777777" w:rsidR="00DA3852" w:rsidRDefault="00DA3852" w:rsidP="00C03F9E">
            <w:pPr>
              <w:pStyle w:val="Box"/>
              <w:keepLines/>
            </w:pPr>
          </w:p>
        </w:tc>
      </w:tr>
      <w:tr w:rsidR="00DA3852" w14:paraId="62A90598" w14:textId="77777777" w:rsidTr="00C03F9E">
        <w:trPr>
          <w:cantSplit/>
        </w:trPr>
        <w:tc>
          <w:tcPr>
            <w:tcW w:w="8771" w:type="dxa"/>
            <w:tcBorders>
              <w:top w:val="nil"/>
              <w:left w:val="nil"/>
              <w:bottom w:val="nil"/>
              <w:right w:val="nil"/>
            </w:tcBorders>
            <w:shd w:val="clear" w:color="auto" w:fill="F2F2F2"/>
          </w:tcPr>
          <w:p w14:paraId="740799ED" w14:textId="77777777" w:rsidR="00DA3852" w:rsidRDefault="00DA3852" w:rsidP="00C03F9E">
            <w:pPr>
              <w:pStyle w:val="BoxSource"/>
              <w:keepNext/>
              <w:rPr>
                <w:i/>
              </w:rPr>
            </w:pPr>
            <w:r>
              <w:rPr>
                <w:i/>
              </w:rPr>
              <w:t>Source</w:t>
            </w:r>
            <w:r w:rsidRPr="00167F06">
              <w:t>:</w:t>
            </w:r>
            <w:r>
              <w:t xml:space="preserve"> Based on PC </w:t>
            </w:r>
            <w:r w:rsidRPr="00E330EC">
              <w:rPr>
                <w:rFonts w:cs="Arial"/>
              </w:rPr>
              <w:t>(2011)</w:t>
            </w:r>
            <w:r>
              <w:t>.</w:t>
            </w:r>
          </w:p>
        </w:tc>
      </w:tr>
      <w:tr w:rsidR="00DA3852" w14:paraId="3B637A16" w14:textId="77777777" w:rsidTr="00C03F9E">
        <w:trPr>
          <w:cantSplit/>
        </w:trPr>
        <w:tc>
          <w:tcPr>
            <w:tcW w:w="8771" w:type="dxa"/>
            <w:tcBorders>
              <w:top w:val="nil"/>
              <w:left w:val="nil"/>
              <w:bottom w:val="single" w:sz="6" w:space="0" w:color="78A22F"/>
              <w:right w:val="nil"/>
            </w:tcBorders>
            <w:shd w:val="clear" w:color="auto" w:fill="F2F2F2"/>
          </w:tcPr>
          <w:p w14:paraId="094872A9" w14:textId="77777777" w:rsidR="00DA3852" w:rsidRDefault="00DA3852" w:rsidP="00C03F9E">
            <w:pPr>
              <w:pStyle w:val="Box"/>
              <w:keepLines/>
              <w:spacing w:before="0" w:line="120" w:lineRule="exact"/>
            </w:pPr>
          </w:p>
        </w:tc>
      </w:tr>
      <w:tr w:rsidR="00DA3852" w:rsidRPr="000863A5" w14:paraId="6E72AF83" w14:textId="77777777" w:rsidTr="00C03F9E">
        <w:tc>
          <w:tcPr>
            <w:tcW w:w="8771" w:type="dxa"/>
            <w:tcBorders>
              <w:top w:val="single" w:sz="6" w:space="0" w:color="78A22F"/>
              <w:left w:val="nil"/>
              <w:bottom w:val="nil"/>
              <w:right w:val="nil"/>
            </w:tcBorders>
          </w:tcPr>
          <w:p w14:paraId="724F7CC6" w14:textId="77777777" w:rsidR="00DA3852" w:rsidRPr="00626D32" w:rsidRDefault="00DA3852" w:rsidP="00C03F9E">
            <w:pPr>
              <w:pStyle w:val="BoxSpaceBelow"/>
              <w:keepNext/>
              <w:keepLines/>
              <w:rPr>
                <w:i/>
              </w:rPr>
            </w:pPr>
          </w:p>
        </w:tc>
      </w:tr>
    </w:tbl>
    <w:p w14:paraId="40C430E5" w14:textId="77777777" w:rsidR="00DA3852" w:rsidRDefault="00DA3852" w:rsidP="00DA3852">
      <w:pPr>
        <w:pStyle w:val="BodyText"/>
        <w:rPr>
          <w:rFonts w:ascii="Arial" w:hAnsi="Arial"/>
        </w:rPr>
      </w:pPr>
      <w:r>
        <w:br w:type="page"/>
      </w:r>
    </w:p>
    <w:p w14:paraId="2341A685" w14:textId="77777777" w:rsidR="00DA3852" w:rsidRDefault="00DA3852" w:rsidP="00DA3852">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67"/>
      </w:tblGrid>
      <w:tr w:rsidR="00DA3852" w14:paraId="51CDC4D6" w14:textId="77777777" w:rsidTr="00C03F9E">
        <w:tc>
          <w:tcPr>
            <w:tcW w:w="8767" w:type="dxa"/>
            <w:tcBorders>
              <w:top w:val="single" w:sz="6" w:space="0" w:color="78A22F"/>
              <w:left w:val="nil"/>
              <w:bottom w:val="nil"/>
              <w:right w:val="nil"/>
            </w:tcBorders>
            <w:shd w:val="clear" w:color="auto" w:fill="auto"/>
          </w:tcPr>
          <w:p w14:paraId="289E090B" w14:textId="47F5B6C8" w:rsidR="00DA3852" w:rsidRPr="00784A05" w:rsidRDefault="00DA3852" w:rsidP="00C03F9E">
            <w:pPr>
              <w:pStyle w:val="TableTitle"/>
            </w:pPr>
            <w:r>
              <w:rPr>
                <w:b w:val="0"/>
              </w:rPr>
              <w:t>Table B.</w:t>
            </w:r>
            <w:r>
              <w:rPr>
                <w:b w:val="0"/>
                <w:noProof/>
              </w:rPr>
              <w:t>10</w:t>
            </w:r>
            <w:r>
              <w:tab/>
              <w:t>Transmission pipeline length and capacity</w:t>
            </w:r>
          </w:p>
        </w:tc>
      </w:tr>
      <w:tr w:rsidR="00DA3852" w14:paraId="19B8F2F9" w14:textId="77777777" w:rsidTr="00C03F9E">
        <w:trPr>
          <w:cantSplit/>
        </w:trPr>
        <w:tc>
          <w:tcPr>
            <w:tcW w:w="8767" w:type="dxa"/>
            <w:tcBorders>
              <w:top w:val="nil"/>
              <w:left w:val="nil"/>
              <w:bottom w:val="nil"/>
              <w:right w:val="nil"/>
            </w:tcBorders>
            <w:shd w:val="clear" w:color="auto" w:fill="auto"/>
          </w:tcPr>
          <w:tbl>
            <w:tblPr>
              <w:tblW w:w="8058" w:type="dxa"/>
              <w:tblCellMar>
                <w:top w:w="28" w:type="dxa"/>
                <w:left w:w="0" w:type="dxa"/>
                <w:right w:w="0" w:type="dxa"/>
              </w:tblCellMar>
              <w:tblLook w:val="0000" w:firstRow="0" w:lastRow="0" w:firstColumn="0" w:lastColumn="0" w:noHBand="0" w:noVBand="0"/>
            </w:tblPr>
            <w:tblGrid>
              <w:gridCol w:w="1234"/>
              <w:gridCol w:w="1122"/>
              <w:gridCol w:w="1123"/>
              <w:gridCol w:w="780"/>
              <w:gridCol w:w="571"/>
              <w:gridCol w:w="677"/>
              <w:gridCol w:w="2551"/>
            </w:tblGrid>
            <w:tr w:rsidR="00DA3852" w14:paraId="2ED5C6DA" w14:textId="77777777" w:rsidTr="00C03F9E">
              <w:tc>
                <w:tcPr>
                  <w:tcW w:w="766" w:type="pct"/>
                  <w:tcBorders>
                    <w:top w:val="single" w:sz="6" w:space="0" w:color="BFBFBF"/>
                  </w:tcBorders>
                  <w:shd w:val="clear" w:color="auto" w:fill="auto"/>
                  <w:tcMar>
                    <w:top w:w="28" w:type="dxa"/>
                  </w:tcMar>
                </w:tcPr>
                <w:p w14:paraId="5E05176A" w14:textId="77777777" w:rsidR="00DA3852" w:rsidRDefault="00DA3852" w:rsidP="00C03F9E">
                  <w:pPr>
                    <w:pStyle w:val="TableColumnHeading"/>
                    <w:jc w:val="left"/>
                  </w:pPr>
                  <w:r>
                    <w:t xml:space="preserve">Node A </w:t>
                  </w:r>
                </w:p>
              </w:tc>
              <w:tc>
                <w:tcPr>
                  <w:tcW w:w="696" w:type="pct"/>
                  <w:tcBorders>
                    <w:top w:val="single" w:sz="6" w:space="0" w:color="BFBFBF"/>
                  </w:tcBorders>
                </w:tcPr>
                <w:p w14:paraId="046016E7" w14:textId="77777777" w:rsidR="00DA3852" w:rsidRDefault="00DA3852" w:rsidP="00C03F9E">
                  <w:pPr>
                    <w:pStyle w:val="TableColumnHeading"/>
                    <w:jc w:val="left"/>
                  </w:pPr>
                  <w:r>
                    <w:t>Node B</w:t>
                  </w:r>
                </w:p>
              </w:tc>
              <w:tc>
                <w:tcPr>
                  <w:tcW w:w="697" w:type="pct"/>
                  <w:tcBorders>
                    <w:top w:val="single" w:sz="6" w:space="0" w:color="BFBFBF"/>
                  </w:tcBorders>
                </w:tcPr>
                <w:p w14:paraId="755B43C7" w14:textId="77777777" w:rsidR="00DA3852" w:rsidRDefault="00DA3852" w:rsidP="00C03F9E">
                  <w:pPr>
                    <w:pStyle w:val="TableColumnHeading"/>
                    <w:jc w:val="left"/>
                  </w:pPr>
                  <w:r>
                    <w:t>Related pipe/s</w:t>
                  </w:r>
                </w:p>
              </w:tc>
              <w:tc>
                <w:tcPr>
                  <w:tcW w:w="484" w:type="pct"/>
                  <w:tcBorders>
                    <w:top w:val="single" w:sz="6" w:space="0" w:color="BFBFBF"/>
                  </w:tcBorders>
                </w:tcPr>
                <w:p w14:paraId="49441B69" w14:textId="77777777" w:rsidR="00DA3852" w:rsidRDefault="00DA3852" w:rsidP="00C03F9E">
                  <w:pPr>
                    <w:pStyle w:val="TableColumnHeading"/>
                    <w:spacing w:before="20"/>
                    <w:ind w:right="0"/>
                  </w:pPr>
                  <w:r>
                    <w:t>Length</w:t>
                  </w:r>
                  <w:r>
                    <w:rPr>
                      <w:rStyle w:val="NoteLabel"/>
                      <w:i w:val="0"/>
                    </w:rPr>
                    <w:t>d</w:t>
                  </w:r>
                  <w:r>
                    <w:rPr>
                      <w:rStyle w:val="NoteLabel"/>
                      <w:i w:val="0"/>
                    </w:rPr>
                    <w:br/>
                  </w:r>
                  <w:r>
                    <w:t>(km)  </w:t>
                  </w:r>
                </w:p>
              </w:tc>
              <w:tc>
                <w:tcPr>
                  <w:tcW w:w="774" w:type="pct"/>
                  <w:gridSpan w:val="2"/>
                  <w:tcBorders>
                    <w:top w:val="single" w:sz="6" w:space="0" w:color="BFBFBF"/>
                  </w:tcBorders>
                </w:tcPr>
                <w:p w14:paraId="54DC5732" w14:textId="6866514E" w:rsidR="00DA3852" w:rsidRDefault="00DA3852" w:rsidP="00C03F9E">
                  <w:pPr>
                    <w:pStyle w:val="TableColumnHeading"/>
                    <w:spacing w:before="20"/>
                    <w:ind w:right="0"/>
                    <w:jc w:val="left"/>
                  </w:pPr>
                  <w:r>
                    <w:t>   Capacity</w:t>
                  </w:r>
                  <w:r>
                    <w:rPr>
                      <w:rStyle w:val="NoteLabel"/>
                      <w:i w:val="0"/>
                    </w:rPr>
                    <w:t>g</w:t>
                  </w:r>
                  <w:r>
                    <w:rPr>
                      <w:rStyle w:val="NoteLabel"/>
                      <w:i w:val="0"/>
                    </w:rPr>
                    <w:br/>
                    <w:t xml:space="preserve">    </w:t>
                  </w:r>
                  <w:r>
                    <w:t>(PJ/year)  </w:t>
                  </w:r>
                </w:p>
              </w:tc>
              <w:tc>
                <w:tcPr>
                  <w:tcW w:w="1583" w:type="pct"/>
                  <w:tcBorders>
                    <w:top w:val="single" w:sz="6" w:space="0" w:color="BFBFBF"/>
                  </w:tcBorders>
                  <w:shd w:val="clear" w:color="auto" w:fill="auto"/>
                  <w:tcMar>
                    <w:top w:w="28" w:type="dxa"/>
                  </w:tcMar>
                </w:tcPr>
                <w:p w14:paraId="240A0104" w14:textId="77777777" w:rsidR="00DA3852" w:rsidRDefault="00DA3852" w:rsidP="00C03F9E">
                  <w:pPr>
                    <w:pStyle w:val="TableColumnHeading"/>
                    <w:ind w:left="113" w:right="28"/>
                    <w:jc w:val="left"/>
                  </w:pPr>
                  <w:r>
                    <w:t>Sources</w:t>
                  </w:r>
                </w:p>
              </w:tc>
            </w:tr>
            <w:tr w:rsidR="00DA3852" w14:paraId="4B9BF111" w14:textId="77777777" w:rsidTr="00C03F9E">
              <w:tc>
                <w:tcPr>
                  <w:tcW w:w="766" w:type="pct"/>
                  <w:tcBorders>
                    <w:bottom w:val="single" w:sz="6" w:space="0" w:color="BFBFBF"/>
                  </w:tcBorders>
                  <w:shd w:val="clear" w:color="auto" w:fill="auto"/>
                  <w:tcMar>
                    <w:top w:w="28" w:type="dxa"/>
                  </w:tcMar>
                </w:tcPr>
                <w:p w14:paraId="5A3A6F36" w14:textId="77777777" w:rsidR="00DA3852" w:rsidRDefault="00DA3852" w:rsidP="00C03F9E">
                  <w:pPr>
                    <w:pStyle w:val="TableColumnHeading"/>
                    <w:jc w:val="left"/>
                  </w:pPr>
                </w:p>
              </w:tc>
              <w:tc>
                <w:tcPr>
                  <w:tcW w:w="696" w:type="pct"/>
                  <w:tcBorders>
                    <w:bottom w:val="single" w:sz="6" w:space="0" w:color="BFBFBF"/>
                  </w:tcBorders>
                </w:tcPr>
                <w:p w14:paraId="0EC9588A" w14:textId="77777777" w:rsidR="00DA3852" w:rsidRDefault="00DA3852" w:rsidP="00C03F9E">
                  <w:pPr>
                    <w:pStyle w:val="TableColumnHeading"/>
                    <w:jc w:val="left"/>
                  </w:pPr>
                </w:p>
              </w:tc>
              <w:tc>
                <w:tcPr>
                  <w:tcW w:w="697" w:type="pct"/>
                  <w:tcBorders>
                    <w:bottom w:val="single" w:sz="6" w:space="0" w:color="BFBFBF"/>
                  </w:tcBorders>
                </w:tcPr>
                <w:p w14:paraId="5D566B84" w14:textId="77777777" w:rsidR="00DA3852" w:rsidRDefault="00DA3852" w:rsidP="00C03F9E">
                  <w:pPr>
                    <w:pStyle w:val="TableColumnHeading"/>
                    <w:jc w:val="left"/>
                  </w:pPr>
                </w:p>
              </w:tc>
              <w:tc>
                <w:tcPr>
                  <w:tcW w:w="484" w:type="pct"/>
                  <w:tcBorders>
                    <w:bottom w:val="single" w:sz="6" w:space="0" w:color="BFBFBF"/>
                  </w:tcBorders>
                </w:tcPr>
                <w:p w14:paraId="5767886F" w14:textId="77777777" w:rsidR="00DA3852" w:rsidRDefault="00DA3852" w:rsidP="00C03F9E">
                  <w:pPr>
                    <w:pStyle w:val="TableColumnHeading"/>
                    <w:ind w:right="0"/>
                  </w:pPr>
                </w:p>
              </w:tc>
              <w:tc>
                <w:tcPr>
                  <w:tcW w:w="354" w:type="pct"/>
                  <w:tcBorders>
                    <w:bottom w:val="single" w:sz="6" w:space="0" w:color="BFBFBF"/>
                  </w:tcBorders>
                </w:tcPr>
                <w:p w14:paraId="39E9F03A" w14:textId="77777777" w:rsidR="00DA3852" w:rsidRDefault="00DA3852" w:rsidP="00C03F9E">
                  <w:pPr>
                    <w:pStyle w:val="TableColumnHeading"/>
                  </w:pPr>
                  <w:proofErr w:type="spellStart"/>
                  <w:r>
                    <w:t>Std</w:t>
                  </w:r>
                  <w:proofErr w:type="spellEnd"/>
                </w:p>
              </w:tc>
              <w:tc>
                <w:tcPr>
                  <w:tcW w:w="420" w:type="pct"/>
                  <w:tcBorders>
                    <w:bottom w:val="single" w:sz="6" w:space="0" w:color="BFBFBF"/>
                  </w:tcBorders>
                </w:tcPr>
                <w:p w14:paraId="5EB1BC1B" w14:textId="77777777" w:rsidR="00DA3852" w:rsidRDefault="00DA3852" w:rsidP="00C03F9E">
                  <w:pPr>
                    <w:pStyle w:val="TableColumnHeading"/>
                  </w:pPr>
                  <w:r>
                    <w:t>Rev</w:t>
                  </w:r>
                </w:p>
              </w:tc>
              <w:tc>
                <w:tcPr>
                  <w:tcW w:w="1583" w:type="pct"/>
                  <w:tcBorders>
                    <w:bottom w:val="single" w:sz="6" w:space="0" w:color="BFBFBF"/>
                  </w:tcBorders>
                  <w:shd w:val="clear" w:color="auto" w:fill="auto"/>
                  <w:tcMar>
                    <w:top w:w="28" w:type="dxa"/>
                  </w:tcMar>
                  <w:vAlign w:val="center"/>
                </w:tcPr>
                <w:p w14:paraId="638A4C3F" w14:textId="77777777" w:rsidR="00DA3852" w:rsidRDefault="00DA3852" w:rsidP="00C03F9E">
                  <w:pPr>
                    <w:pStyle w:val="TableColumnHeading"/>
                    <w:ind w:left="113" w:right="28"/>
                    <w:jc w:val="left"/>
                  </w:pPr>
                </w:p>
              </w:tc>
            </w:tr>
            <w:tr w:rsidR="00DA3852" w14:paraId="64848F5F" w14:textId="77777777" w:rsidTr="00C03F9E">
              <w:tc>
                <w:tcPr>
                  <w:tcW w:w="766" w:type="pct"/>
                  <w:tcBorders>
                    <w:top w:val="single" w:sz="6" w:space="0" w:color="BFBFBF"/>
                  </w:tcBorders>
                </w:tcPr>
                <w:p w14:paraId="387BED65" w14:textId="77777777" w:rsidR="00DA3852" w:rsidRDefault="00DA3852" w:rsidP="00C03F9E">
                  <w:pPr>
                    <w:pStyle w:val="TableUnitsRow"/>
                    <w:spacing w:before="80"/>
                    <w:jc w:val="left"/>
                    <w:rPr>
                      <w:szCs w:val="24"/>
                    </w:rPr>
                  </w:pPr>
                  <w:r w:rsidRPr="007133E8">
                    <w:t xml:space="preserve">Clarence-Morton </w:t>
                  </w:r>
                </w:p>
              </w:tc>
              <w:tc>
                <w:tcPr>
                  <w:tcW w:w="696" w:type="pct"/>
                  <w:tcBorders>
                    <w:top w:val="single" w:sz="6" w:space="0" w:color="BFBFBF"/>
                  </w:tcBorders>
                </w:tcPr>
                <w:p w14:paraId="054F1BD4" w14:textId="77777777" w:rsidR="00DA3852" w:rsidRDefault="00DA3852" w:rsidP="00C03F9E">
                  <w:pPr>
                    <w:pStyle w:val="TableUnitsRow"/>
                    <w:spacing w:before="80"/>
                    <w:jc w:val="left"/>
                    <w:rPr>
                      <w:i/>
                    </w:rPr>
                  </w:pPr>
                  <w:r w:rsidRPr="007133E8">
                    <w:t>Brisbane</w:t>
                  </w:r>
                </w:p>
              </w:tc>
              <w:tc>
                <w:tcPr>
                  <w:tcW w:w="697" w:type="pct"/>
                  <w:tcBorders>
                    <w:top w:val="single" w:sz="6" w:space="0" w:color="BFBFBF"/>
                  </w:tcBorders>
                </w:tcPr>
                <w:p w14:paraId="46EB4937" w14:textId="77777777" w:rsidR="00DA3852" w:rsidRDefault="00DA3852" w:rsidP="00C03F9E">
                  <w:pPr>
                    <w:pStyle w:val="TableUnitsRow"/>
                    <w:spacing w:before="80"/>
                    <w:jc w:val="left"/>
                    <w:rPr>
                      <w:i/>
                    </w:rPr>
                  </w:pPr>
                  <w:r>
                    <w:t>Proposed Lions Way Pipeline</w:t>
                  </w:r>
                </w:p>
              </w:tc>
              <w:tc>
                <w:tcPr>
                  <w:tcW w:w="484" w:type="pct"/>
                  <w:tcBorders>
                    <w:top w:val="single" w:sz="6" w:space="0" w:color="BFBFBF"/>
                  </w:tcBorders>
                </w:tcPr>
                <w:p w14:paraId="4B649B78" w14:textId="77777777" w:rsidR="00DA3852" w:rsidRDefault="00DA3852" w:rsidP="00C03F9E">
                  <w:pPr>
                    <w:pStyle w:val="TableUnitsRow"/>
                    <w:spacing w:before="80"/>
                    <w:rPr>
                      <w:i/>
                    </w:rPr>
                  </w:pPr>
                  <w:r w:rsidRPr="002E395E">
                    <w:t>145</w:t>
                  </w:r>
                </w:p>
              </w:tc>
              <w:tc>
                <w:tcPr>
                  <w:tcW w:w="354" w:type="pct"/>
                  <w:tcBorders>
                    <w:top w:val="single" w:sz="6" w:space="0" w:color="BFBFBF"/>
                  </w:tcBorders>
                </w:tcPr>
                <w:p w14:paraId="6DAD3849" w14:textId="77777777" w:rsidR="00DA3852" w:rsidRDefault="00DA3852" w:rsidP="00C03F9E">
                  <w:pPr>
                    <w:pStyle w:val="TableUnitsRow"/>
                    <w:spacing w:before="80"/>
                    <w:rPr>
                      <w:i/>
                    </w:rPr>
                  </w:pPr>
                  <w:r w:rsidRPr="00F60B8A">
                    <w:t>0</w:t>
                  </w:r>
                </w:p>
              </w:tc>
              <w:tc>
                <w:tcPr>
                  <w:tcW w:w="420" w:type="pct"/>
                  <w:tcBorders>
                    <w:top w:val="single" w:sz="6" w:space="0" w:color="BFBFBF"/>
                  </w:tcBorders>
                </w:tcPr>
                <w:p w14:paraId="295545BA" w14:textId="77777777" w:rsidR="00DA3852" w:rsidRDefault="00DA3852" w:rsidP="00C03F9E">
                  <w:pPr>
                    <w:pStyle w:val="TableUnitsRow"/>
                    <w:spacing w:before="80"/>
                    <w:rPr>
                      <w:i/>
                    </w:rPr>
                  </w:pPr>
                  <w:proofErr w:type="spellStart"/>
                  <w:r>
                    <w:rPr>
                      <w:b/>
                    </w:rPr>
                    <w:t>n</w:t>
                  </w:r>
                  <w:r w:rsidRPr="00671876">
                    <w:rPr>
                      <w:b/>
                    </w:rPr>
                    <w:t>a</w:t>
                  </w:r>
                  <w:proofErr w:type="spellEnd"/>
                </w:p>
              </w:tc>
              <w:tc>
                <w:tcPr>
                  <w:tcW w:w="1583" w:type="pct"/>
                  <w:tcBorders>
                    <w:top w:val="single" w:sz="6" w:space="0" w:color="BFBFBF"/>
                  </w:tcBorders>
                </w:tcPr>
                <w:p w14:paraId="4760B820" w14:textId="384A1107" w:rsidR="00DA3852" w:rsidRDefault="00DA3852" w:rsidP="00C03F9E">
                  <w:pPr>
                    <w:pStyle w:val="TableUnitsRow"/>
                    <w:spacing w:before="80"/>
                    <w:ind w:left="113" w:right="28"/>
                    <w:jc w:val="left"/>
                    <w:rPr>
                      <w:i/>
                    </w:rPr>
                  </w:pPr>
                  <w:r w:rsidRPr="00743166">
                    <w:rPr>
                      <w:rFonts w:cs="Arial"/>
                      <w:szCs w:val="24"/>
                    </w:rPr>
                    <w:t>Core Energy Group </w:t>
                  </w:r>
                  <w:r w:rsidR="00C03F9E">
                    <w:rPr>
                      <w:rFonts w:cs="Arial"/>
                      <w:szCs w:val="24"/>
                    </w:rPr>
                    <w:t>(</w:t>
                  </w:r>
                  <w:r w:rsidRPr="00743166">
                    <w:rPr>
                      <w:rFonts w:cs="Arial"/>
                      <w:szCs w:val="24"/>
                    </w:rPr>
                    <w:t>2012b)</w:t>
                  </w:r>
                </w:p>
              </w:tc>
            </w:tr>
            <w:tr w:rsidR="00DA3852" w14:paraId="3BF47551" w14:textId="77777777" w:rsidTr="00C03F9E">
              <w:tc>
                <w:tcPr>
                  <w:tcW w:w="766" w:type="pct"/>
                </w:tcPr>
                <w:p w14:paraId="4C7D10FE" w14:textId="77777777" w:rsidR="00DA3852" w:rsidRDefault="00DA3852" w:rsidP="00C03F9E">
                  <w:pPr>
                    <w:pStyle w:val="TableBodyText"/>
                    <w:spacing w:before="60"/>
                    <w:jc w:val="left"/>
                  </w:pPr>
                  <w:r w:rsidRPr="007133E8">
                    <w:t>Cooper</w:t>
                  </w:r>
                </w:p>
              </w:tc>
              <w:tc>
                <w:tcPr>
                  <w:tcW w:w="696" w:type="pct"/>
                </w:tcPr>
                <w:p w14:paraId="7501C62C" w14:textId="77777777" w:rsidR="00DA3852" w:rsidRDefault="00DA3852" w:rsidP="00C03F9E">
                  <w:pPr>
                    <w:pStyle w:val="TableBodyText"/>
                    <w:spacing w:before="60"/>
                    <w:jc w:val="left"/>
                    <w:rPr>
                      <w:i/>
                    </w:rPr>
                  </w:pPr>
                  <w:r w:rsidRPr="007133E8">
                    <w:t xml:space="preserve">Adelaide </w:t>
                  </w:r>
                </w:p>
              </w:tc>
              <w:tc>
                <w:tcPr>
                  <w:tcW w:w="697" w:type="pct"/>
                </w:tcPr>
                <w:p w14:paraId="601C8762" w14:textId="77777777" w:rsidR="00DA3852" w:rsidRDefault="00DA3852" w:rsidP="00C03F9E">
                  <w:pPr>
                    <w:pStyle w:val="TableBodyText"/>
                    <w:spacing w:before="60"/>
                    <w:jc w:val="left"/>
                    <w:rPr>
                      <w:i/>
                    </w:rPr>
                  </w:pPr>
                  <w:r>
                    <w:t>MAPS</w:t>
                  </w:r>
                </w:p>
              </w:tc>
              <w:tc>
                <w:tcPr>
                  <w:tcW w:w="484" w:type="pct"/>
                </w:tcPr>
                <w:p w14:paraId="4182AF1E" w14:textId="77777777" w:rsidR="00DA3852" w:rsidRDefault="00DA3852" w:rsidP="00C03F9E">
                  <w:pPr>
                    <w:pStyle w:val="TableBodyText"/>
                    <w:spacing w:before="60"/>
                  </w:pPr>
                  <w:r w:rsidRPr="002E395E">
                    <w:t>85</w:t>
                  </w:r>
                  <w:r>
                    <w:t>8</w:t>
                  </w:r>
                </w:p>
              </w:tc>
              <w:tc>
                <w:tcPr>
                  <w:tcW w:w="354" w:type="pct"/>
                </w:tcPr>
                <w:p w14:paraId="4D84D6AF" w14:textId="77777777" w:rsidR="00DA3852" w:rsidRDefault="00DA3852" w:rsidP="00C03F9E">
                  <w:pPr>
                    <w:pStyle w:val="TableBodyText"/>
                    <w:spacing w:before="60"/>
                  </w:pPr>
                  <w:r w:rsidRPr="001023DC">
                    <w:t>92</w:t>
                  </w:r>
                </w:p>
              </w:tc>
              <w:tc>
                <w:tcPr>
                  <w:tcW w:w="420" w:type="pct"/>
                </w:tcPr>
                <w:p w14:paraId="7C2CC7AB" w14:textId="77777777" w:rsidR="00DA3852" w:rsidRDefault="00DA3852" w:rsidP="00C03F9E">
                  <w:pPr>
                    <w:pStyle w:val="TableBodyText"/>
                    <w:ind w:right="28"/>
                  </w:pPr>
                  <w:r>
                    <w:t>51</w:t>
                  </w:r>
                  <w:r>
                    <w:rPr>
                      <w:rStyle w:val="NoteLabel"/>
                    </w:rPr>
                    <w:t>h</w:t>
                  </w:r>
                </w:p>
              </w:tc>
              <w:tc>
                <w:tcPr>
                  <w:tcW w:w="1" w:type="pct"/>
                </w:tcPr>
                <w:p w14:paraId="5CF4F1FE" w14:textId="00A94D70" w:rsidR="00DA3852" w:rsidRDefault="00DA3852" w:rsidP="00C03F9E">
                  <w:pPr>
                    <w:pStyle w:val="TableBodyText"/>
                    <w:spacing w:before="60"/>
                    <w:ind w:left="113" w:right="28"/>
                    <w:jc w:val="left"/>
                    <w:rPr>
                      <w:i/>
                    </w:rPr>
                  </w:pPr>
                  <w:r w:rsidRPr="00743166">
                    <w:rPr>
                      <w:rFonts w:cs="Arial"/>
                      <w:szCs w:val="24"/>
                    </w:rPr>
                    <w:t>Core Energy Group </w:t>
                  </w:r>
                  <w:r w:rsidR="00C03F9E">
                    <w:rPr>
                      <w:rFonts w:cs="Arial"/>
                      <w:szCs w:val="24"/>
                    </w:rPr>
                    <w:t>(</w:t>
                  </w:r>
                  <w:r w:rsidRPr="00743166">
                    <w:rPr>
                      <w:rFonts w:cs="Arial"/>
                      <w:szCs w:val="24"/>
                    </w:rPr>
                    <w:t>2012b</w:t>
                  </w:r>
                  <w:r w:rsidR="00C03F9E">
                    <w:rPr>
                      <w:rFonts w:cs="Arial"/>
                      <w:szCs w:val="24"/>
                    </w:rPr>
                    <w:t>)</w:t>
                  </w:r>
                  <w:r w:rsidRPr="00743166">
                    <w:rPr>
                      <w:rFonts w:cs="Arial"/>
                      <w:szCs w:val="24"/>
                    </w:rPr>
                    <w:t>; Epic Energy </w:t>
                  </w:r>
                  <w:r w:rsidR="00C03F9E">
                    <w:rPr>
                      <w:rFonts w:cs="Arial"/>
                      <w:szCs w:val="24"/>
                    </w:rPr>
                    <w:t>(</w:t>
                  </w:r>
                  <w:r w:rsidRPr="00743166">
                    <w:rPr>
                      <w:rFonts w:cs="Arial"/>
                      <w:szCs w:val="24"/>
                    </w:rPr>
                    <w:t>2015; pers. comm. 26</w:t>
                  </w:r>
                  <w:r>
                    <w:rPr>
                      <w:rFonts w:cs="Arial"/>
                      <w:szCs w:val="24"/>
                    </w:rPr>
                    <w:t> </w:t>
                  </w:r>
                  <w:r w:rsidRPr="00743166">
                    <w:rPr>
                      <w:rFonts w:cs="Arial"/>
                      <w:szCs w:val="24"/>
                    </w:rPr>
                    <w:t>January 2015)</w:t>
                  </w:r>
                </w:p>
              </w:tc>
            </w:tr>
            <w:tr w:rsidR="00DA3852" w14:paraId="0AAC7A64" w14:textId="77777777" w:rsidTr="00C03F9E">
              <w:tc>
                <w:tcPr>
                  <w:tcW w:w="766" w:type="pct"/>
                </w:tcPr>
                <w:p w14:paraId="2C456850" w14:textId="77777777" w:rsidR="00DA3852" w:rsidRDefault="00DA3852" w:rsidP="00C03F9E">
                  <w:pPr>
                    <w:pStyle w:val="TableBodyText"/>
                    <w:spacing w:before="60"/>
                    <w:jc w:val="left"/>
                    <w:rPr>
                      <w:i/>
                    </w:rPr>
                  </w:pPr>
                  <w:r w:rsidRPr="007133E8">
                    <w:t>Cooper</w:t>
                  </w:r>
                </w:p>
              </w:tc>
              <w:tc>
                <w:tcPr>
                  <w:tcW w:w="696" w:type="pct"/>
                </w:tcPr>
                <w:p w14:paraId="7DBF8E44" w14:textId="77777777" w:rsidR="00DA3852" w:rsidRDefault="00DA3852" w:rsidP="00C03F9E">
                  <w:pPr>
                    <w:pStyle w:val="TableBodyText"/>
                    <w:jc w:val="left"/>
                    <w:rPr>
                      <w:i/>
                    </w:rPr>
                  </w:pPr>
                  <w:r w:rsidRPr="007133E8" w:rsidDel="009D60EC">
                    <w:t>Mt</w:t>
                  </w:r>
                  <w:r>
                    <w:t xml:space="preserve"> </w:t>
                  </w:r>
                  <w:r w:rsidRPr="007133E8">
                    <w:t>Isa</w:t>
                  </w:r>
                  <w:r w:rsidRPr="00366B35">
                    <w:rPr>
                      <w:rStyle w:val="NoteLabel"/>
                    </w:rPr>
                    <w:t>a</w:t>
                  </w:r>
                </w:p>
              </w:tc>
              <w:tc>
                <w:tcPr>
                  <w:tcW w:w="697" w:type="pct"/>
                </w:tcPr>
                <w:p w14:paraId="38C1B24D" w14:textId="77777777" w:rsidR="00DA3852" w:rsidRDefault="00DA3852" w:rsidP="00C03F9E">
                  <w:pPr>
                    <w:pStyle w:val="TableBodyText"/>
                    <w:spacing w:before="60"/>
                    <w:jc w:val="left"/>
                    <w:rPr>
                      <w:i/>
                    </w:rPr>
                  </w:pPr>
                  <w:r>
                    <w:t>CGP</w:t>
                  </w:r>
                </w:p>
              </w:tc>
              <w:tc>
                <w:tcPr>
                  <w:tcW w:w="484" w:type="pct"/>
                </w:tcPr>
                <w:p w14:paraId="79E20784" w14:textId="77777777" w:rsidR="00DA3852" w:rsidRDefault="00DA3852" w:rsidP="00C03F9E">
                  <w:pPr>
                    <w:pStyle w:val="TableBodyText"/>
                    <w:spacing w:before="60"/>
                    <w:rPr>
                      <w:i/>
                    </w:rPr>
                  </w:pPr>
                  <w:r w:rsidRPr="002E395E">
                    <w:t>840</w:t>
                  </w:r>
                </w:p>
              </w:tc>
              <w:tc>
                <w:tcPr>
                  <w:tcW w:w="354" w:type="pct"/>
                </w:tcPr>
                <w:p w14:paraId="6F474118" w14:textId="77777777" w:rsidR="00DA3852" w:rsidRDefault="00DA3852" w:rsidP="00C03F9E">
                  <w:pPr>
                    <w:pStyle w:val="TableBodyText"/>
                    <w:spacing w:before="60"/>
                    <w:rPr>
                      <w:i/>
                    </w:rPr>
                  </w:pPr>
                  <w:r w:rsidRPr="001023DC">
                    <w:t>43</w:t>
                  </w:r>
                </w:p>
              </w:tc>
              <w:tc>
                <w:tcPr>
                  <w:tcW w:w="420" w:type="pct"/>
                </w:tcPr>
                <w:p w14:paraId="1B993660" w14:textId="77777777" w:rsidR="00DA3852" w:rsidRDefault="00DA3852" w:rsidP="00C03F9E">
                  <w:pPr>
                    <w:pStyle w:val="TableBodyText"/>
                    <w:spacing w:before="60"/>
                    <w:rPr>
                      <w:i/>
                    </w:rPr>
                  </w:pPr>
                  <w:proofErr w:type="spellStart"/>
                  <w:r>
                    <w:rPr>
                      <w:b/>
                    </w:rPr>
                    <w:t>n</w:t>
                  </w:r>
                  <w:r w:rsidRPr="00A54E32">
                    <w:rPr>
                      <w:b/>
                    </w:rPr>
                    <w:t>a</w:t>
                  </w:r>
                  <w:proofErr w:type="spellEnd"/>
                </w:p>
              </w:tc>
              <w:tc>
                <w:tcPr>
                  <w:tcW w:w="1" w:type="pct"/>
                </w:tcPr>
                <w:p w14:paraId="5FC7AFB4" w14:textId="6938BC64" w:rsidR="00DA3852" w:rsidRDefault="00DA3852" w:rsidP="00C03F9E">
                  <w:pPr>
                    <w:pStyle w:val="TableBodyText"/>
                    <w:spacing w:before="60"/>
                    <w:ind w:left="113" w:right="28"/>
                    <w:jc w:val="left"/>
                    <w:rPr>
                      <w:i/>
                    </w:rPr>
                  </w:pPr>
                  <w:r w:rsidRPr="0058718A">
                    <w:rPr>
                      <w:rFonts w:cs="Arial"/>
                      <w:szCs w:val="24"/>
                    </w:rPr>
                    <w:t>AEMO </w:t>
                  </w:r>
                  <w:r w:rsidR="00C03F9E">
                    <w:rPr>
                      <w:rFonts w:cs="Arial"/>
                      <w:szCs w:val="24"/>
                    </w:rPr>
                    <w:t>(</w:t>
                  </w:r>
                  <w:r w:rsidRPr="0058718A">
                    <w:rPr>
                      <w:rFonts w:cs="Arial"/>
                      <w:szCs w:val="24"/>
                    </w:rPr>
                    <w:t>2013</w:t>
                  </w:r>
                  <w:r w:rsidR="00621CCE">
                    <w:rPr>
                      <w:rFonts w:cs="Arial"/>
                      <w:szCs w:val="24"/>
                    </w:rPr>
                    <w:t>b</w:t>
                  </w:r>
                  <w:r w:rsidRPr="0058718A">
                    <w:rPr>
                      <w:rFonts w:cs="Arial"/>
                      <w:szCs w:val="24"/>
                    </w:rPr>
                    <w:t>)</w:t>
                  </w:r>
                </w:p>
              </w:tc>
            </w:tr>
            <w:tr w:rsidR="00DA3852" w14:paraId="63D94F25" w14:textId="77777777" w:rsidTr="00C03F9E">
              <w:tc>
                <w:tcPr>
                  <w:tcW w:w="766" w:type="pct"/>
                </w:tcPr>
                <w:p w14:paraId="15DFF452" w14:textId="77777777" w:rsidR="00DA3852" w:rsidRDefault="00DA3852" w:rsidP="00C03F9E">
                  <w:pPr>
                    <w:pStyle w:val="TableBodyText"/>
                    <w:spacing w:before="60"/>
                    <w:jc w:val="left"/>
                    <w:rPr>
                      <w:i/>
                    </w:rPr>
                  </w:pPr>
                  <w:r w:rsidRPr="007133E8">
                    <w:t>Cooper</w:t>
                  </w:r>
                </w:p>
              </w:tc>
              <w:tc>
                <w:tcPr>
                  <w:tcW w:w="696" w:type="pct"/>
                </w:tcPr>
                <w:p w14:paraId="4BACA4C9" w14:textId="77777777" w:rsidR="00DA3852" w:rsidRDefault="00DA3852" w:rsidP="00C03F9E">
                  <w:pPr>
                    <w:pStyle w:val="TableBodyText"/>
                    <w:spacing w:before="60"/>
                    <w:jc w:val="left"/>
                    <w:rPr>
                      <w:i/>
                    </w:rPr>
                  </w:pPr>
                  <w:r w:rsidRPr="007133E8">
                    <w:t>Young</w:t>
                  </w:r>
                </w:p>
              </w:tc>
              <w:tc>
                <w:tcPr>
                  <w:tcW w:w="697" w:type="pct"/>
                </w:tcPr>
                <w:p w14:paraId="393A994C" w14:textId="77777777" w:rsidR="00DA3852" w:rsidRDefault="00DA3852" w:rsidP="00C03F9E">
                  <w:pPr>
                    <w:pStyle w:val="TableBodyText"/>
                    <w:spacing w:before="60"/>
                    <w:jc w:val="left"/>
                    <w:rPr>
                      <w:i/>
                    </w:rPr>
                  </w:pPr>
                  <w:r>
                    <w:t>MSP</w:t>
                  </w:r>
                </w:p>
              </w:tc>
              <w:tc>
                <w:tcPr>
                  <w:tcW w:w="484" w:type="pct"/>
                </w:tcPr>
                <w:p w14:paraId="1817D021" w14:textId="77777777" w:rsidR="00DA3852" w:rsidRDefault="00DA3852" w:rsidP="00C03F9E">
                  <w:pPr>
                    <w:pStyle w:val="TableBodyText"/>
                    <w:ind w:right="0"/>
                    <w:rPr>
                      <w:i/>
                    </w:rPr>
                  </w:pPr>
                  <w:r w:rsidRPr="002E395E">
                    <w:t>1</w:t>
                  </w:r>
                  <w:r>
                    <w:t> </w:t>
                  </w:r>
                  <w:r w:rsidRPr="002E395E">
                    <w:t>000</w:t>
                  </w:r>
                  <w:r>
                    <w:rPr>
                      <w:rStyle w:val="NoteLabel"/>
                    </w:rPr>
                    <w:t>e</w:t>
                  </w:r>
                </w:p>
              </w:tc>
              <w:tc>
                <w:tcPr>
                  <w:tcW w:w="354" w:type="pct"/>
                </w:tcPr>
                <w:p w14:paraId="64983B75" w14:textId="77777777" w:rsidR="00DA3852" w:rsidRDefault="00DA3852" w:rsidP="00C03F9E">
                  <w:pPr>
                    <w:pStyle w:val="TableBodyText"/>
                    <w:spacing w:before="60"/>
                    <w:rPr>
                      <w:i/>
                    </w:rPr>
                  </w:pPr>
                  <w:r w:rsidRPr="001023DC">
                    <w:t>160</w:t>
                  </w:r>
                </w:p>
              </w:tc>
              <w:tc>
                <w:tcPr>
                  <w:tcW w:w="420" w:type="pct"/>
                </w:tcPr>
                <w:p w14:paraId="3F2DDD8E" w14:textId="77777777" w:rsidR="00DA3852" w:rsidRDefault="00DA3852" w:rsidP="00C03F9E">
                  <w:pPr>
                    <w:pStyle w:val="TableBodyText"/>
                    <w:spacing w:before="60"/>
                    <w:rPr>
                      <w:i/>
                    </w:rPr>
                  </w:pPr>
                  <w:r w:rsidRPr="00036A6A">
                    <w:t>160</w:t>
                  </w:r>
                </w:p>
              </w:tc>
              <w:tc>
                <w:tcPr>
                  <w:tcW w:w="1" w:type="pct"/>
                </w:tcPr>
                <w:p w14:paraId="5D99798F" w14:textId="66803CB0" w:rsidR="00DA3852" w:rsidRDefault="00DA3852" w:rsidP="00C03F9E">
                  <w:pPr>
                    <w:pStyle w:val="TableBodyText"/>
                    <w:spacing w:before="60"/>
                    <w:ind w:left="113" w:right="28"/>
                    <w:jc w:val="left"/>
                    <w:rPr>
                      <w:i/>
                    </w:rPr>
                  </w:pPr>
                  <w:r w:rsidRPr="000A7BD8">
                    <w:t>AEMO </w:t>
                  </w:r>
                  <w:r w:rsidR="00C03F9E">
                    <w:t>(</w:t>
                  </w:r>
                  <w:r w:rsidRPr="000A7BD8">
                    <w:t>2013</w:t>
                  </w:r>
                  <w:r w:rsidR="00621CCE">
                    <w:t>b</w:t>
                  </w:r>
                  <w:r w:rsidRPr="000A7BD8">
                    <w:t>)</w:t>
                  </w:r>
                </w:p>
              </w:tc>
            </w:tr>
            <w:tr w:rsidR="00DA3852" w14:paraId="74B7334C" w14:textId="77777777" w:rsidTr="00C03F9E">
              <w:tc>
                <w:tcPr>
                  <w:tcW w:w="766" w:type="pct"/>
                </w:tcPr>
                <w:p w14:paraId="22BE235F" w14:textId="77777777" w:rsidR="00DA3852" w:rsidRDefault="00DA3852" w:rsidP="00C03F9E">
                  <w:pPr>
                    <w:pStyle w:val="TableBodyText"/>
                    <w:jc w:val="left"/>
                    <w:rPr>
                      <w:i/>
                    </w:rPr>
                  </w:pPr>
                  <w:r w:rsidRPr="007133E8">
                    <w:t>Gippsland</w:t>
                  </w:r>
                </w:p>
              </w:tc>
              <w:tc>
                <w:tcPr>
                  <w:tcW w:w="696" w:type="pct"/>
                </w:tcPr>
                <w:p w14:paraId="735FC0AF" w14:textId="77777777" w:rsidR="00DA3852" w:rsidRDefault="00DA3852" w:rsidP="00C03F9E">
                  <w:pPr>
                    <w:pStyle w:val="TableBodyText"/>
                    <w:jc w:val="left"/>
                    <w:rPr>
                      <w:i/>
                    </w:rPr>
                  </w:pPr>
                  <w:r w:rsidRPr="007133E8">
                    <w:t>Melbourne</w:t>
                  </w:r>
                </w:p>
              </w:tc>
              <w:tc>
                <w:tcPr>
                  <w:tcW w:w="697" w:type="pct"/>
                </w:tcPr>
                <w:p w14:paraId="3B6FFD39" w14:textId="77777777" w:rsidR="00DA3852" w:rsidRDefault="00DA3852" w:rsidP="00C03F9E">
                  <w:pPr>
                    <w:pStyle w:val="TableBodyText"/>
                    <w:jc w:val="left"/>
                    <w:rPr>
                      <w:i/>
                    </w:rPr>
                  </w:pPr>
                  <w:r>
                    <w:t>LMP</w:t>
                  </w:r>
                </w:p>
              </w:tc>
              <w:tc>
                <w:tcPr>
                  <w:tcW w:w="484" w:type="pct"/>
                </w:tcPr>
                <w:p w14:paraId="52525317" w14:textId="77777777" w:rsidR="00DA3852" w:rsidRDefault="00DA3852" w:rsidP="00C03F9E">
                  <w:pPr>
                    <w:pStyle w:val="TableBodyText"/>
                    <w:rPr>
                      <w:i/>
                    </w:rPr>
                  </w:pPr>
                  <w:r w:rsidRPr="002E395E">
                    <w:t>174</w:t>
                  </w:r>
                </w:p>
              </w:tc>
              <w:tc>
                <w:tcPr>
                  <w:tcW w:w="354" w:type="pct"/>
                </w:tcPr>
                <w:p w14:paraId="3B4A7BF6" w14:textId="77777777" w:rsidR="00DA3852" w:rsidRDefault="00DA3852" w:rsidP="00C03F9E">
                  <w:pPr>
                    <w:pStyle w:val="TableBodyText"/>
                    <w:rPr>
                      <w:i/>
                    </w:rPr>
                  </w:pPr>
                  <w:r w:rsidRPr="001023DC">
                    <w:t>376</w:t>
                  </w:r>
                </w:p>
              </w:tc>
              <w:tc>
                <w:tcPr>
                  <w:tcW w:w="420" w:type="pct"/>
                </w:tcPr>
                <w:p w14:paraId="338267B5" w14:textId="77777777" w:rsidR="00DA3852" w:rsidRDefault="00DA3852" w:rsidP="00C03F9E">
                  <w:pPr>
                    <w:pStyle w:val="TableBodyText"/>
                    <w:rPr>
                      <w:i/>
                    </w:rPr>
                  </w:pPr>
                  <w:proofErr w:type="spellStart"/>
                  <w:r w:rsidRPr="00A54E32">
                    <w:rPr>
                      <w:b/>
                    </w:rPr>
                    <w:t>na</w:t>
                  </w:r>
                  <w:proofErr w:type="spellEnd"/>
                </w:p>
              </w:tc>
              <w:tc>
                <w:tcPr>
                  <w:tcW w:w="1" w:type="pct"/>
                </w:tcPr>
                <w:p w14:paraId="2CD14E57" w14:textId="44D7AD50" w:rsidR="00DA3852" w:rsidRDefault="00DA3852" w:rsidP="00C03F9E">
                  <w:pPr>
                    <w:pStyle w:val="TableBodyText"/>
                    <w:ind w:left="113" w:right="28"/>
                    <w:jc w:val="left"/>
                    <w:rPr>
                      <w:i/>
                    </w:rPr>
                  </w:pPr>
                  <w:r w:rsidRPr="00743166">
                    <w:rPr>
                      <w:rFonts w:cs="Arial"/>
                      <w:szCs w:val="24"/>
                    </w:rPr>
                    <w:t>Core Energy Group </w:t>
                  </w:r>
                  <w:r w:rsidR="00C03F9E">
                    <w:rPr>
                      <w:rFonts w:cs="Arial"/>
                      <w:szCs w:val="24"/>
                    </w:rPr>
                    <w:t>(</w:t>
                  </w:r>
                  <w:r w:rsidRPr="00743166">
                    <w:rPr>
                      <w:rFonts w:cs="Arial"/>
                      <w:szCs w:val="24"/>
                    </w:rPr>
                    <w:t>2012b)</w:t>
                  </w:r>
                </w:p>
              </w:tc>
            </w:tr>
            <w:tr w:rsidR="00DA3852" w14:paraId="5B22A7F2" w14:textId="77777777" w:rsidTr="00C03F9E">
              <w:tc>
                <w:tcPr>
                  <w:tcW w:w="766" w:type="pct"/>
                </w:tcPr>
                <w:p w14:paraId="3337E6B1" w14:textId="77777777" w:rsidR="00DA3852" w:rsidRDefault="00DA3852" w:rsidP="00C03F9E">
                  <w:pPr>
                    <w:pStyle w:val="TableBodyText"/>
                    <w:jc w:val="left"/>
                    <w:rPr>
                      <w:i/>
                    </w:rPr>
                  </w:pPr>
                  <w:r w:rsidRPr="007133E8">
                    <w:t>Gippsland</w:t>
                  </w:r>
                </w:p>
              </w:tc>
              <w:tc>
                <w:tcPr>
                  <w:tcW w:w="696" w:type="pct"/>
                </w:tcPr>
                <w:p w14:paraId="0299E65A" w14:textId="77777777" w:rsidR="00DA3852" w:rsidRDefault="00DA3852" w:rsidP="00C03F9E">
                  <w:pPr>
                    <w:pStyle w:val="TableBodyText"/>
                    <w:jc w:val="left"/>
                    <w:rPr>
                      <w:i/>
                    </w:rPr>
                  </w:pPr>
                  <w:r w:rsidRPr="007133E8">
                    <w:t>Sydney</w:t>
                  </w:r>
                </w:p>
              </w:tc>
              <w:tc>
                <w:tcPr>
                  <w:tcW w:w="697" w:type="pct"/>
                </w:tcPr>
                <w:p w14:paraId="6526BA33" w14:textId="77777777" w:rsidR="00DA3852" w:rsidRDefault="00DA3852" w:rsidP="00C03F9E">
                  <w:pPr>
                    <w:pStyle w:val="TableBodyText"/>
                    <w:jc w:val="left"/>
                    <w:rPr>
                      <w:i/>
                    </w:rPr>
                  </w:pPr>
                  <w:r>
                    <w:t>EGP</w:t>
                  </w:r>
                </w:p>
              </w:tc>
              <w:tc>
                <w:tcPr>
                  <w:tcW w:w="484" w:type="pct"/>
                </w:tcPr>
                <w:p w14:paraId="19C21684" w14:textId="77777777" w:rsidR="00DA3852" w:rsidRDefault="00DA3852" w:rsidP="00C03F9E">
                  <w:pPr>
                    <w:pStyle w:val="TableBodyText"/>
                    <w:rPr>
                      <w:i/>
                    </w:rPr>
                  </w:pPr>
                  <w:r w:rsidRPr="002E395E">
                    <w:t>79</w:t>
                  </w:r>
                  <w:r>
                    <w:t>7</w:t>
                  </w:r>
                </w:p>
              </w:tc>
              <w:tc>
                <w:tcPr>
                  <w:tcW w:w="354" w:type="pct"/>
                </w:tcPr>
                <w:p w14:paraId="45E68438" w14:textId="77777777" w:rsidR="00DA3852" w:rsidRDefault="00DA3852" w:rsidP="00C03F9E">
                  <w:pPr>
                    <w:pStyle w:val="TableBodyText"/>
                    <w:rPr>
                      <w:i/>
                    </w:rPr>
                  </w:pPr>
                  <w:r w:rsidRPr="001023DC">
                    <w:t>106</w:t>
                  </w:r>
                </w:p>
              </w:tc>
              <w:tc>
                <w:tcPr>
                  <w:tcW w:w="420" w:type="pct"/>
                </w:tcPr>
                <w:p w14:paraId="376B3003" w14:textId="77777777" w:rsidR="00DA3852" w:rsidRDefault="00DA3852" w:rsidP="00C03F9E">
                  <w:pPr>
                    <w:pStyle w:val="TableBodyText"/>
                    <w:rPr>
                      <w:i/>
                    </w:rPr>
                  </w:pPr>
                  <w:proofErr w:type="spellStart"/>
                  <w:r w:rsidRPr="00A54E32">
                    <w:rPr>
                      <w:b/>
                    </w:rPr>
                    <w:t>na</w:t>
                  </w:r>
                  <w:proofErr w:type="spellEnd"/>
                </w:p>
              </w:tc>
              <w:tc>
                <w:tcPr>
                  <w:tcW w:w="1" w:type="pct"/>
                </w:tcPr>
                <w:p w14:paraId="261DAA80" w14:textId="05C6AC22" w:rsidR="00DA3852" w:rsidRDefault="00DA3852" w:rsidP="00C03F9E">
                  <w:pPr>
                    <w:pStyle w:val="TableBodyText"/>
                    <w:ind w:left="113" w:right="28"/>
                    <w:jc w:val="left"/>
                    <w:rPr>
                      <w:i/>
                    </w:rPr>
                  </w:pPr>
                  <w:r w:rsidRPr="00743166">
                    <w:rPr>
                      <w:rFonts w:cs="Arial"/>
                      <w:szCs w:val="24"/>
                    </w:rPr>
                    <w:t>AEMO </w:t>
                  </w:r>
                  <w:r w:rsidR="00C03F9E">
                    <w:rPr>
                      <w:rFonts w:cs="Arial"/>
                      <w:szCs w:val="24"/>
                    </w:rPr>
                    <w:t>(</w:t>
                  </w:r>
                  <w:r w:rsidRPr="00743166">
                    <w:rPr>
                      <w:rFonts w:cs="Arial"/>
                      <w:szCs w:val="24"/>
                    </w:rPr>
                    <w:t xml:space="preserve">2013b; </w:t>
                  </w:r>
                  <w:proofErr w:type="spellStart"/>
                  <w:r w:rsidRPr="00743166">
                    <w:rPr>
                      <w:rFonts w:cs="Arial"/>
                      <w:szCs w:val="24"/>
                    </w:rPr>
                    <w:t>Jemena</w:t>
                  </w:r>
                  <w:proofErr w:type="spellEnd"/>
                  <w:r w:rsidRPr="00743166">
                    <w:rPr>
                      <w:rFonts w:cs="Arial"/>
                      <w:szCs w:val="24"/>
                    </w:rPr>
                    <w:t> </w:t>
                  </w:r>
                  <w:r w:rsidR="00C03F9E">
                    <w:rPr>
                      <w:rFonts w:cs="Arial"/>
                      <w:szCs w:val="24"/>
                    </w:rPr>
                    <w:t>(</w:t>
                  </w:r>
                  <w:r w:rsidRPr="00743166">
                    <w:rPr>
                      <w:rFonts w:cs="Arial"/>
                      <w:szCs w:val="24"/>
                    </w:rPr>
                    <w:t>2015a)</w:t>
                  </w:r>
                </w:p>
              </w:tc>
            </w:tr>
            <w:tr w:rsidR="00DA3852" w14:paraId="4C5467EF" w14:textId="77777777" w:rsidTr="00C03F9E">
              <w:tc>
                <w:tcPr>
                  <w:tcW w:w="766" w:type="pct"/>
                </w:tcPr>
                <w:p w14:paraId="5B91D8A3" w14:textId="77777777" w:rsidR="00DA3852" w:rsidRDefault="00DA3852" w:rsidP="00C03F9E">
                  <w:pPr>
                    <w:pStyle w:val="TableBodyText"/>
                    <w:jc w:val="left"/>
                  </w:pPr>
                  <w:r w:rsidRPr="007133E8">
                    <w:t>Gippsland</w:t>
                  </w:r>
                </w:p>
              </w:tc>
              <w:tc>
                <w:tcPr>
                  <w:tcW w:w="696" w:type="pct"/>
                </w:tcPr>
                <w:p w14:paraId="0530CA5F" w14:textId="77777777" w:rsidR="00DA3852" w:rsidRDefault="00DA3852" w:rsidP="00C03F9E">
                  <w:pPr>
                    <w:pStyle w:val="TableBodyText"/>
                    <w:jc w:val="left"/>
                    <w:rPr>
                      <w:i/>
                    </w:rPr>
                  </w:pPr>
                  <w:r w:rsidRPr="007133E8">
                    <w:t>Tasmania</w:t>
                  </w:r>
                </w:p>
              </w:tc>
              <w:tc>
                <w:tcPr>
                  <w:tcW w:w="697" w:type="pct"/>
                </w:tcPr>
                <w:p w14:paraId="3BD05A3B" w14:textId="77777777" w:rsidR="00DA3852" w:rsidRDefault="00DA3852" w:rsidP="00C03F9E">
                  <w:pPr>
                    <w:pStyle w:val="TableBodyText"/>
                    <w:jc w:val="left"/>
                    <w:rPr>
                      <w:i/>
                    </w:rPr>
                  </w:pPr>
                  <w:r>
                    <w:t>TGP</w:t>
                  </w:r>
                </w:p>
              </w:tc>
              <w:tc>
                <w:tcPr>
                  <w:tcW w:w="484" w:type="pct"/>
                </w:tcPr>
                <w:p w14:paraId="43225A5B" w14:textId="77777777" w:rsidR="00DA3852" w:rsidRDefault="00DA3852" w:rsidP="00C03F9E">
                  <w:pPr>
                    <w:pStyle w:val="TableBodyText"/>
                  </w:pPr>
                  <w:r w:rsidRPr="002E395E">
                    <w:t>734</w:t>
                  </w:r>
                </w:p>
              </w:tc>
              <w:tc>
                <w:tcPr>
                  <w:tcW w:w="354" w:type="pct"/>
                </w:tcPr>
                <w:p w14:paraId="17F1357E" w14:textId="77777777" w:rsidR="00DA3852" w:rsidRDefault="00DA3852" w:rsidP="00C03F9E">
                  <w:pPr>
                    <w:pStyle w:val="TableBodyText"/>
                  </w:pPr>
                  <w:r w:rsidRPr="001023DC">
                    <w:t>47</w:t>
                  </w:r>
                </w:p>
              </w:tc>
              <w:tc>
                <w:tcPr>
                  <w:tcW w:w="419" w:type="pct"/>
                </w:tcPr>
                <w:p w14:paraId="1B9DF3D9" w14:textId="77777777" w:rsidR="00DA3852" w:rsidRDefault="00DA3852" w:rsidP="00C03F9E">
                  <w:pPr>
                    <w:pStyle w:val="TableBodyText"/>
                  </w:pPr>
                  <w:proofErr w:type="spellStart"/>
                  <w:r w:rsidRPr="00A54E32">
                    <w:rPr>
                      <w:b/>
                    </w:rPr>
                    <w:t>na</w:t>
                  </w:r>
                  <w:proofErr w:type="spellEnd"/>
                </w:p>
              </w:tc>
              <w:tc>
                <w:tcPr>
                  <w:tcW w:w="1" w:type="pct"/>
                </w:tcPr>
                <w:p w14:paraId="15A093D7" w14:textId="551340BE" w:rsidR="00DA3852" w:rsidRDefault="00DA3852" w:rsidP="00C03F9E">
                  <w:pPr>
                    <w:pStyle w:val="TableBodyText"/>
                    <w:ind w:left="113" w:right="28"/>
                    <w:jc w:val="left"/>
                    <w:rPr>
                      <w:i/>
                    </w:rPr>
                  </w:pPr>
                  <w:r w:rsidRPr="00A806C7">
                    <w:t>AEMO </w:t>
                  </w:r>
                  <w:r w:rsidR="00C03F9E">
                    <w:rPr>
                      <w:rFonts w:cs="Arial"/>
                      <w:szCs w:val="24"/>
                    </w:rPr>
                    <w:t>(</w:t>
                  </w:r>
                  <w:r w:rsidRPr="00A26FB5">
                    <w:t>2013</w:t>
                  </w:r>
                  <w:r w:rsidR="00621CCE">
                    <w:rPr>
                      <w:rFonts w:cs="Arial"/>
                      <w:szCs w:val="24"/>
                    </w:rPr>
                    <w:t>b</w:t>
                  </w:r>
                  <w:r w:rsidR="00C03F9E">
                    <w:rPr>
                      <w:rFonts w:cs="Arial"/>
                      <w:szCs w:val="24"/>
                    </w:rPr>
                    <w:t>)</w:t>
                  </w:r>
                  <w:r w:rsidRPr="00A26FB5">
                    <w:t>; AER </w:t>
                  </w:r>
                  <w:r w:rsidR="00C03F9E">
                    <w:rPr>
                      <w:rFonts w:cs="Arial"/>
                      <w:szCs w:val="24"/>
                    </w:rPr>
                    <w:t>(</w:t>
                  </w:r>
                  <w:r w:rsidRPr="00A26FB5">
                    <w:t>2013</w:t>
                  </w:r>
                  <w:r w:rsidR="00621CCE">
                    <w:rPr>
                      <w:rFonts w:cs="Arial"/>
                      <w:szCs w:val="24"/>
                    </w:rPr>
                    <w:t>a</w:t>
                  </w:r>
                  <w:r w:rsidRPr="00A26FB5">
                    <w:t>)</w:t>
                  </w:r>
                </w:p>
              </w:tc>
            </w:tr>
            <w:tr w:rsidR="00DA3852" w14:paraId="74F94082" w14:textId="77777777" w:rsidTr="00C03F9E">
              <w:tc>
                <w:tcPr>
                  <w:tcW w:w="766" w:type="pct"/>
                </w:tcPr>
                <w:p w14:paraId="5D242AF1" w14:textId="77777777" w:rsidR="00DA3852" w:rsidRDefault="00DA3852" w:rsidP="00C03F9E">
                  <w:pPr>
                    <w:pStyle w:val="TableBodyText"/>
                    <w:jc w:val="left"/>
                  </w:pPr>
                  <w:r w:rsidRPr="007133E8">
                    <w:t>Otway</w:t>
                  </w:r>
                </w:p>
              </w:tc>
              <w:tc>
                <w:tcPr>
                  <w:tcW w:w="696" w:type="pct"/>
                </w:tcPr>
                <w:p w14:paraId="4F9047B3" w14:textId="77777777" w:rsidR="00DA3852" w:rsidRDefault="00DA3852" w:rsidP="00C03F9E">
                  <w:pPr>
                    <w:pStyle w:val="TableBodyText"/>
                    <w:jc w:val="left"/>
                    <w:rPr>
                      <w:i/>
                    </w:rPr>
                  </w:pPr>
                  <w:r w:rsidRPr="007133E8">
                    <w:t xml:space="preserve">Adelaide </w:t>
                  </w:r>
                </w:p>
              </w:tc>
              <w:tc>
                <w:tcPr>
                  <w:tcW w:w="697" w:type="pct"/>
                </w:tcPr>
                <w:p w14:paraId="6D1B8A4C" w14:textId="77777777" w:rsidR="00DA3852" w:rsidRDefault="00DA3852" w:rsidP="00C03F9E">
                  <w:pPr>
                    <w:pStyle w:val="TableBodyText"/>
                    <w:jc w:val="left"/>
                    <w:rPr>
                      <w:i/>
                    </w:rPr>
                  </w:pPr>
                  <w:r>
                    <w:t>SEA</w:t>
                  </w:r>
                </w:p>
              </w:tc>
              <w:tc>
                <w:tcPr>
                  <w:tcW w:w="484" w:type="pct"/>
                </w:tcPr>
                <w:p w14:paraId="54957181" w14:textId="77777777" w:rsidR="00DA3852" w:rsidRDefault="00DA3852" w:rsidP="00C03F9E">
                  <w:pPr>
                    <w:pStyle w:val="TableBodyText"/>
                    <w:rPr>
                      <w:i/>
                    </w:rPr>
                  </w:pPr>
                  <w:r w:rsidRPr="002E395E">
                    <w:t>680</w:t>
                  </w:r>
                </w:p>
              </w:tc>
              <w:tc>
                <w:tcPr>
                  <w:tcW w:w="354" w:type="pct"/>
                </w:tcPr>
                <w:p w14:paraId="04305149" w14:textId="77777777" w:rsidR="00DA3852" w:rsidRDefault="00DA3852" w:rsidP="00C03F9E">
                  <w:pPr>
                    <w:pStyle w:val="TableBodyText"/>
                    <w:rPr>
                      <w:i/>
                    </w:rPr>
                  </w:pPr>
                  <w:r w:rsidRPr="001023DC">
                    <w:t>115</w:t>
                  </w:r>
                </w:p>
              </w:tc>
              <w:tc>
                <w:tcPr>
                  <w:tcW w:w="419" w:type="pct"/>
                </w:tcPr>
                <w:p w14:paraId="4CAB14D1" w14:textId="77777777" w:rsidR="00DA3852" w:rsidRDefault="00DA3852" w:rsidP="00C03F9E">
                  <w:pPr>
                    <w:pStyle w:val="TableBodyText"/>
                    <w:rPr>
                      <w:i/>
                    </w:rPr>
                  </w:pPr>
                  <w:proofErr w:type="spellStart"/>
                  <w:r w:rsidRPr="00A54E32">
                    <w:rPr>
                      <w:b/>
                    </w:rPr>
                    <w:t>na</w:t>
                  </w:r>
                  <w:proofErr w:type="spellEnd"/>
                </w:p>
              </w:tc>
              <w:tc>
                <w:tcPr>
                  <w:tcW w:w="1" w:type="pct"/>
                </w:tcPr>
                <w:p w14:paraId="5A4A71B6" w14:textId="623D4C60" w:rsidR="00DA3852" w:rsidRDefault="00DA3852" w:rsidP="00C03F9E">
                  <w:pPr>
                    <w:pStyle w:val="TableBodyText"/>
                    <w:ind w:left="113" w:right="28"/>
                    <w:jc w:val="left"/>
                    <w:rPr>
                      <w:i/>
                    </w:rPr>
                  </w:pPr>
                  <w:r w:rsidRPr="000A7BD8">
                    <w:t>AEMO </w:t>
                  </w:r>
                  <w:r w:rsidR="00C03F9E">
                    <w:t>(</w:t>
                  </w:r>
                  <w:r w:rsidRPr="000A7BD8">
                    <w:t>2013</w:t>
                  </w:r>
                  <w:r w:rsidR="00621CCE">
                    <w:t>b</w:t>
                  </w:r>
                  <w:r w:rsidR="00C03F9E">
                    <w:t>)</w:t>
                  </w:r>
                  <w:r w:rsidRPr="000A7BD8">
                    <w:t>; AER </w:t>
                  </w:r>
                  <w:r w:rsidR="00C03F9E">
                    <w:t>(</w:t>
                  </w:r>
                  <w:r w:rsidRPr="000A7BD8">
                    <w:t>2013</w:t>
                  </w:r>
                  <w:r w:rsidR="00621CCE">
                    <w:t>a</w:t>
                  </w:r>
                  <w:r w:rsidRPr="000A7BD8">
                    <w:t>)</w:t>
                  </w:r>
                </w:p>
              </w:tc>
            </w:tr>
            <w:tr w:rsidR="00DA3852" w14:paraId="5AA6CBE5" w14:textId="77777777" w:rsidTr="00C03F9E">
              <w:tc>
                <w:tcPr>
                  <w:tcW w:w="766" w:type="pct"/>
                </w:tcPr>
                <w:p w14:paraId="192CC2ED" w14:textId="77777777" w:rsidR="00DA3852" w:rsidRDefault="00DA3852" w:rsidP="00C03F9E">
                  <w:pPr>
                    <w:pStyle w:val="TableBodyText"/>
                    <w:spacing w:before="60"/>
                    <w:jc w:val="left"/>
                    <w:rPr>
                      <w:i/>
                    </w:rPr>
                  </w:pPr>
                  <w:r w:rsidRPr="007133E8">
                    <w:t>Otway</w:t>
                  </w:r>
                </w:p>
              </w:tc>
              <w:tc>
                <w:tcPr>
                  <w:tcW w:w="696" w:type="pct"/>
                </w:tcPr>
                <w:p w14:paraId="653EAFC6" w14:textId="77777777" w:rsidR="00DA3852" w:rsidRDefault="00DA3852" w:rsidP="00C03F9E">
                  <w:pPr>
                    <w:pStyle w:val="TableBodyText"/>
                    <w:spacing w:before="60"/>
                    <w:jc w:val="left"/>
                    <w:rPr>
                      <w:i/>
                    </w:rPr>
                  </w:pPr>
                  <w:r w:rsidRPr="007133E8">
                    <w:t>Melbourne</w:t>
                  </w:r>
                </w:p>
              </w:tc>
              <w:tc>
                <w:tcPr>
                  <w:tcW w:w="697" w:type="pct"/>
                </w:tcPr>
                <w:p w14:paraId="30EA292E" w14:textId="77777777" w:rsidR="00DA3852" w:rsidRDefault="00DA3852" w:rsidP="00C03F9E">
                  <w:pPr>
                    <w:pStyle w:val="TableBodyText"/>
                    <w:spacing w:before="60"/>
                    <w:jc w:val="left"/>
                    <w:rPr>
                      <w:i/>
                    </w:rPr>
                  </w:pPr>
                  <w:r>
                    <w:t>SWP</w:t>
                  </w:r>
                </w:p>
              </w:tc>
              <w:tc>
                <w:tcPr>
                  <w:tcW w:w="484" w:type="pct"/>
                </w:tcPr>
                <w:p w14:paraId="223A92EB" w14:textId="77777777" w:rsidR="00DA3852" w:rsidRDefault="00DA3852" w:rsidP="00C03F9E">
                  <w:pPr>
                    <w:pStyle w:val="TableBodyText"/>
                    <w:ind w:right="0"/>
                    <w:rPr>
                      <w:i/>
                    </w:rPr>
                  </w:pPr>
                  <w:r>
                    <w:t>208</w:t>
                  </w:r>
                  <w:r>
                    <w:rPr>
                      <w:rStyle w:val="NoteLabel"/>
                    </w:rPr>
                    <w:t>f</w:t>
                  </w:r>
                </w:p>
              </w:tc>
              <w:tc>
                <w:tcPr>
                  <w:tcW w:w="354" w:type="pct"/>
                </w:tcPr>
                <w:p w14:paraId="3C23069B" w14:textId="77777777" w:rsidR="00DA3852" w:rsidRDefault="00DA3852" w:rsidP="00C03F9E">
                  <w:pPr>
                    <w:pStyle w:val="TableBodyText"/>
                    <w:spacing w:before="60"/>
                    <w:rPr>
                      <w:i/>
                    </w:rPr>
                  </w:pPr>
                  <w:r w:rsidRPr="001023DC">
                    <w:t>129</w:t>
                  </w:r>
                </w:p>
              </w:tc>
              <w:tc>
                <w:tcPr>
                  <w:tcW w:w="419" w:type="pct"/>
                </w:tcPr>
                <w:p w14:paraId="26C13BDB" w14:textId="03F4583B" w:rsidR="00DA3852" w:rsidRDefault="00DA3852" w:rsidP="00C03F9E">
                  <w:pPr>
                    <w:pStyle w:val="TableBodyText"/>
                    <w:spacing w:before="60"/>
                    <w:rPr>
                      <w:i/>
                    </w:rPr>
                  </w:pPr>
                  <w:r w:rsidRPr="0099544B">
                    <w:t>4</w:t>
                  </w:r>
                  <w:r>
                    <w:t>7</w:t>
                  </w:r>
                </w:p>
              </w:tc>
              <w:tc>
                <w:tcPr>
                  <w:tcW w:w="1" w:type="pct"/>
                </w:tcPr>
                <w:p w14:paraId="5E220857" w14:textId="4FE9853B" w:rsidR="00DA3852" w:rsidRDefault="00DA3852" w:rsidP="00C03F9E">
                  <w:pPr>
                    <w:pStyle w:val="TableBodyText"/>
                    <w:tabs>
                      <w:tab w:val="right" w:pos="2523"/>
                    </w:tabs>
                    <w:spacing w:before="60"/>
                    <w:ind w:left="113" w:right="28"/>
                    <w:jc w:val="left"/>
                    <w:rPr>
                      <w:i/>
                    </w:rPr>
                  </w:pPr>
                  <w:r w:rsidRPr="000A7BD8">
                    <w:t>AEMO </w:t>
                  </w:r>
                  <w:r w:rsidR="00C03F9E">
                    <w:t>(</w:t>
                  </w:r>
                  <w:r w:rsidRPr="000A7BD8">
                    <w:t>2013</w:t>
                  </w:r>
                  <w:r w:rsidR="00621CCE">
                    <w:t>b</w:t>
                  </w:r>
                  <w:r w:rsidRPr="000A7BD8">
                    <w:t>)</w:t>
                  </w:r>
                </w:p>
              </w:tc>
            </w:tr>
            <w:tr w:rsidR="00DA3852" w14:paraId="476849E8" w14:textId="77777777" w:rsidTr="00C03F9E">
              <w:tc>
                <w:tcPr>
                  <w:tcW w:w="766" w:type="pct"/>
                </w:tcPr>
                <w:p w14:paraId="4BE8E54F" w14:textId="0C4B8871" w:rsidR="00DA3852" w:rsidRDefault="00DA3852" w:rsidP="00C03F9E">
                  <w:pPr>
                    <w:pStyle w:val="TableBodyText"/>
                    <w:jc w:val="left"/>
                  </w:pPr>
                  <w:r>
                    <w:t>Surat–Bowen</w:t>
                  </w:r>
                </w:p>
              </w:tc>
              <w:tc>
                <w:tcPr>
                  <w:tcW w:w="696" w:type="pct"/>
                </w:tcPr>
                <w:p w14:paraId="40B1EEBA" w14:textId="77777777" w:rsidR="00DA3852" w:rsidRDefault="00DA3852" w:rsidP="00C03F9E">
                  <w:pPr>
                    <w:pStyle w:val="TableBodyText"/>
                    <w:jc w:val="left"/>
                    <w:rPr>
                      <w:i/>
                    </w:rPr>
                  </w:pPr>
                  <w:r w:rsidRPr="007133E8">
                    <w:t>Brisbane</w:t>
                  </w:r>
                </w:p>
              </w:tc>
              <w:tc>
                <w:tcPr>
                  <w:tcW w:w="697" w:type="pct"/>
                </w:tcPr>
                <w:p w14:paraId="0520260C" w14:textId="77777777" w:rsidR="00DA3852" w:rsidRDefault="00DA3852" w:rsidP="00C03F9E">
                  <w:pPr>
                    <w:pStyle w:val="TableBodyText"/>
                    <w:jc w:val="left"/>
                    <w:rPr>
                      <w:i/>
                    </w:rPr>
                  </w:pPr>
                  <w:r>
                    <w:t>RBP</w:t>
                  </w:r>
                </w:p>
              </w:tc>
              <w:tc>
                <w:tcPr>
                  <w:tcW w:w="484" w:type="pct"/>
                </w:tcPr>
                <w:p w14:paraId="3D6050FC" w14:textId="77777777" w:rsidR="00DA3852" w:rsidRDefault="00DA3852" w:rsidP="00C03F9E">
                  <w:pPr>
                    <w:pStyle w:val="TableBodyText"/>
                  </w:pPr>
                  <w:r w:rsidRPr="002E395E">
                    <w:t>438</w:t>
                  </w:r>
                </w:p>
              </w:tc>
              <w:tc>
                <w:tcPr>
                  <w:tcW w:w="354" w:type="pct"/>
                </w:tcPr>
                <w:p w14:paraId="330F96FC" w14:textId="77777777" w:rsidR="00DA3852" w:rsidRDefault="00DA3852" w:rsidP="00C03F9E">
                  <w:pPr>
                    <w:pStyle w:val="TableBodyText"/>
                  </w:pPr>
                  <w:r w:rsidRPr="001023DC">
                    <w:t>80</w:t>
                  </w:r>
                </w:p>
              </w:tc>
              <w:tc>
                <w:tcPr>
                  <w:tcW w:w="419" w:type="pct"/>
                </w:tcPr>
                <w:p w14:paraId="7820074D" w14:textId="77777777" w:rsidR="00DA3852" w:rsidRDefault="00DA3852" w:rsidP="00C03F9E">
                  <w:pPr>
                    <w:pStyle w:val="TableBodyText"/>
                  </w:pPr>
                  <w:r w:rsidRPr="0099544B">
                    <w:t>80</w:t>
                  </w:r>
                </w:p>
              </w:tc>
              <w:tc>
                <w:tcPr>
                  <w:tcW w:w="1" w:type="pct"/>
                </w:tcPr>
                <w:p w14:paraId="7FC5194B" w14:textId="4A8E65CA" w:rsidR="00DA3852" w:rsidRDefault="00DA3852" w:rsidP="00C03F9E">
                  <w:pPr>
                    <w:pStyle w:val="TableBodyText"/>
                    <w:ind w:left="113" w:right="28"/>
                    <w:jc w:val="left"/>
                    <w:rPr>
                      <w:i/>
                    </w:rPr>
                  </w:pPr>
                  <w:r w:rsidRPr="00B00A7D">
                    <w:rPr>
                      <w:rFonts w:cs="Arial"/>
                      <w:szCs w:val="24"/>
                    </w:rPr>
                    <w:t>Core Energy Group </w:t>
                  </w:r>
                  <w:r w:rsidR="00C03F9E">
                    <w:rPr>
                      <w:rFonts w:cs="Arial"/>
                      <w:szCs w:val="24"/>
                    </w:rPr>
                    <w:t>(</w:t>
                  </w:r>
                  <w:r w:rsidRPr="00B00A7D">
                    <w:rPr>
                      <w:rFonts w:cs="Arial"/>
                      <w:szCs w:val="24"/>
                    </w:rPr>
                    <w:t>2012b)</w:t>
                  </w:r>
                </w:p>
              </w:tc>
            </w:tr>
            <w:tr w:rsidR="00DA3852" w14:paraId="64E3FEB8" w14:textId="77777777" w:rsidTr="00C03F9E">
              <w:tc>
                <w:tcPr>
                  <w:tcW w:w="766" w:type="pct"/>
                </w:tcPr>
                <w:p w14:paraId="06E82645" w14:textId="603E5B2E" w:rsidR="00DA3852" w:rsidRDefault="00DA3852" w:rsidP="00C03F9E">
                  <w:pPr>
                    <w:pStyle w:val="TableBodyText"/>
                    <w:spacing w:before="60"/>
                    <w:jc w:val="left"/>
                    <w:rPr>
                      <w:i/>
                    </w:rPr>
                  </w:pPr>
                  <w:r>
                    <w:t>Surat–Bowen</w:t>
                  </w:r>
                </w:p>
              </w:tc>
              <w:tc>
                <w:tcPr>
                  <w:tcW w:w="696" w:type="pct"/>
                </w:tcPr>
                <w:p w14:paraId="1310E881" w14:textId="77777777" w:rsidR="00DA3852" w:rsidRDefault="00DA3852" w:rsidP="00C03F9E">
                  <w:pPr>
                    <w:pStyle w:val="TableBodyText"/>
                    <w:jc w:val="left"/>
                    <w:rPr>
                      <w:i/>
                    </w:rPr>
                  </w:pPr>
                  <w:r w:rsidRPr="007133E8">
                    <w:t>Cooper</w:t>
                  </w:r>
                  <w:r w:rsidRPr="00366B35">
                    <w:rPr>
                      <w:rStyle w:val="NoteLabel"/>
                    </w:rPr>
                    <w:t>a</w:t>
                  </w:r>
                </w:p>
              </w:tc>
              <w:tc>
                <w:tcPr>
                  <w:tcW w:w="697" w:type="pct"/>
                </w:tcPr>
                <w:p w14:paraId="0AB462A0" w14:textId="77777777" w:rsidR="00DA3852" w:rsidRDefault="00DA3852" w:rsidP="00C03F9E">
                  <w:pPr>
                    <w:pStyle w:val="TableBodyText"/>
                    <w:spacing w:before="60"/>
                    <w:jc w:val="left"/>
                    <w:rPr>
                      <w:i/>
                    </w:rPr>
                  </w:pPr>
                  <w:r>
                    <w:t>SWQP/QSN</w:t>
                  </w:r>
                </w:p>
              </w:tc>
              <w:tc>
                <w:tcPr>
                  <w:tcW w:w="484" w:type="pct"/>
                </w:tcPr>
                <w:p w14:paraId="45384BB9" w14:textId="77777777" w:rsidR="00DA3852" w:rsidRDefault="00DA3852" w:rsidP="00C03F9E">
                  <w:pPr>
                    <w:pStyle w:val="TableBodyText"/>
                    <w:spacing w:before="60"/>
                    <w:rPr>
                      <w:i/>
                    </w:rPr>
                  </w:pPr>
                  <w:r w:rsidRPr="002E395E">
                    <w:t>937</w:t>
                  </w:r>
                </w:p>
              </w:tc>
              <w:tc>
                <w:tcPr>
                  <w:tcW w:w="354" w:type="pct"/>
                </w:tcPr>
                <w:p w14:paraId="1BBDC982" w14:textId="77777777" w:rsidR="00DA3852" w:rsidRDefault="00DA3852" w:rsidP="00C03F9E">
                  <w:pPr>
                    <w:pStyle w:val="TableBodyText"/>
                    <w:spacing w:before="60"/>
                    <w:rPr>
                      <w:i/>
                    </w:rPr>
                  </w:pPr>
                  <w:r w:rsidRPr="001023DC">
                    <w:t>141</w:t>
                  </w:r>
                </w:p>
              </w:tc>
              <w:tc>
                <w:tcPr>
                  <w:tcW w:w="419" w:type="pct"/>
                </w:tcPr>
                <w:p w14:paraId="5AE836C6" w14:textId="77777777" w:rsidR="00DA3852" w:rsidRDefault="00DA3852" w:rsidP="00C03F9E">
                  <w:pPr>
                    <w:pStyle w:val="TableBodyText"/>
                    <w:spacing w:before="60"/>
                    <w:rPr>
                      <w:i/>
                    </w:rPr>
                  </w:pPr>
                  <w:r w:rsidRPr="0099544B">
                    <w:t>124</w:t>
                  </w:r>
                </w:p>
              </w:tc>
              <w:tc>
                <w:tcPr>
                  <w:tcW w:w="1" w:type="pct"/>
                </w:tcPr>
                <w:p w14:paraId="198A2CC3" w14:textId="28D2735D" w:rsidR="00DA3852" w:rsidRDefault="00DA3852" w:rsidP="00C03F9E">
                  <w:pPr>
                    <w:pStyle w:val="TableBodyText"/>
                    <w:spacing w:before="60"/>
                    <w:ind w:left="113" w:right="28"/>
                    <w:jc w:val="left"/>
                    <w:rPr>
                      <w:i/>
                    </w:rPr>
                  </w:pPr>
                  <w:r w:rsidRPr="00135B2C">
                    <w:rPr>
                      <w:rFonts w:cs="Arial"/>
                      <w:szCs w:val="24"/>
                    </w:rPr>
                    <w:t>APA Group </w:t>
                  </w:r>
                  <w:r w:rsidR="00C03F9E">
                    <w:rPr>
                      <w:rFonts w:cs="Arial"/>
                      <w:szCs w:val="24"/>
                    </w:rPr>
                    <w:t>(</w:t>
                  </w:r>
                  <w:r w:rsidRPr="00135B2C">
                    <w:rPr>
                      <w:rFonts w:cs="Arial"/>
                      <w:szCs w:val="24"/>
                    </w:rPr>
                    <w:t>2015)</w:t>
                  </w:r>
                </w:p>
              </w:tc>
            </w:tr>
            <w:tr w:rsidR="00DA3852" w14:paraId="350D9CEB" w14:textId="77777777" w:rsidTr="00C03F9E">
              <w:tc>
                <w:tcPr>
                  <w:tcW w:w="766" w:type="pct"/>
                </w:tcPr>
                <w:p w14:paraId="19AFB66F" w14:textId="4E990E48" w:rsidR="00DA3852" w:rsidRDefault="00DA3852" w:rsidP="00C03F9E">
                  <w:pPr>
                    <w:pStyle w:val="TableBodyText"/>
                    <w:spacing w:before="60"/>
                    <w:jc w:val="left"/>
                    <w:rPr>
                      <w:i/>
                    </w:rPr>
                  </w:pPr>
                  <w:r>
                    <w:t>Surat–Bowen</w:t>
                  </w:r>
                </w:p>
              </w:tc>
              <w:tc>
                <w:tcPr>
                  <w:tcW w:w="696" w:type="pct"/>
                </w:tcPr>
                <w:p w14:paraId="04F66EC9" w14:textId="77777777" w:rsidR="00DA3852" w:rsidRDefault="00DA3852" w:rsidP="00C03F9E">
                  <w:pPr>
                    <w:pStyle w:val="TableBodyText"/>
                    <w:spacing w:before="60"/>
                    <w:jc w:val="left"/>
                    <w:rPr>
                      <w:i/>
                    </w:rPr>
                  </w:pPr>
                  <w:r w:rsidRPr="007133E8">
                    <w:t>Gladstone</w:t>
                  </w:r>
                </w:p>
              </w:tc>
              <w:tc>
                <w:tcPr>
                  <w:tcW w:w="697" w:type="pct"/>
                </w:tcPr>
                <w:p w14:paraId="7D04B9CE" w14:textId="77777777" w:rsidR="00DA3852" w:rsidRDefault="00DA3852" w:rsidP="00C03F9E">
                  <w:pPr>
                    <w:pStyle w:val="TableBodyText"/>
                    <w:jc w:val="left"/>
                    <w:rPr>
                      <w:i/>
                    </w:rPr>
                  </w:pPr>
                  <w:r>
                    <w:t>QGP and</w:t>
                  </w:r>
                  <w:r>
                    <w:rPr>
                      <w:rStyle w:val="NoteLabel"/>
                    </w:rPr>
                    <w:t>c</w:t>
                  </w:r>
                  <w:r>
                    <w:t xml:space="preserve"> LNG pipelines</w:t>
                  </w:r>
                </w:p>
              </w:tc>
              <w:tc>
                <w:tcPr>
                  <w:tcW w:w="484" w:type="pct"/>
                </w:tcPr>
                <w:p w14:paraId="39591B28" w14:textId="77777777" w:rsidR="00DA3852" w:rsidRDefault="00DA3852" w:rsidP="00C03F9E">
                  <w:pPr>
                    <w:pStyle w:val="TableBodyText"/>
                    <w:spacing w:before="60"/>
                    <w:rPr>
                      <w:i/>
                    </w:rPr>
                  </w:pPr>
                  <w:r w:rsidRPr="002E395E">
                    <w:t>514</w:t>
                  </w:r>
                </w:p>
              </w:tc>
              <w:tc>
                <w:tcPr>
                  <w:tcW w:w="354" w:type="pct"/>
                </w:tcPr>
                <w:p w14:paraId="2A73A905" w14:textId="77777777" w:rsidR="00DA3852" w:rsidRDefault="00DA3852" w:rsidP="00C03F9E">
                  <w:pPr>
                    <w:pStyle w:val="TableBodyText"/>
                    <w:spacing w:before="60"/>
                    <w:rPr>
                      <w:i/>
                    </w:rPr>
                  </w:pPr>
                  <w:r w:rsidRPr="001023DC">
                    <w:t>1</w:t>
                  </w:r>
                  <w:r>
                    <w:t> </w:t>
                  </w:r>
                  <w:r w:rsidRPr="001023DC">
                    <w:t>654</w:t>
                  </w:r>
                </w:p>
              </w:tc>
              <w:tc>
                <w:tcPr>
                  <w:tcW w:w="419" w:type="pct"/>
                </w:tcPr>
                <w:p w14:paraId="3227F657" w14:textId="77777777" w:rsidR="00DA3852" w:rsidRDefault="00DA3852" w:rsidP="00C03F9E">
                  <w:pPr>
                    <w:pStyle w:val="TableBodyText"/>
                    <w:spacing w:before="60"/>
                    <w:rPr>
                      <w:i/>
                    </w:rPr>
                  </w:pPr>
                  <w:proofErr w:type="spellStart"/>
                  <w:r w:rsidRPr="00A54E32">
                    <w:rPr>
                      <w:b/>
                    </w:rPr>
                    <w:t>na</w:t>
                  </w:r>
                  <w:proofErr w:type="spellEnd"/>
                </w:p>
              </w:tc>
              <w:tc>
                <w:tcPr>
                  <w:tcW w:w="1" w:type="pct"/>
                </w:tcPr>
                <w:p w14:paraId="4222330F" w14:textId="15C3DEF2" w:rsidR="00DA3852" w:rsidRDefault="00DA3852" w:rsidP="00C03F9E">
                  <w:pPr>
                    <w:pStyle w:val="TableBodyText"/>
                    <w:spacing w:before="60"/>
                    <w:ind w:left="113" w:right="28"/>
                    <w:jc w:val="left"/>
                    <w:rPr>
                      <w:i/>
                    </w:rPr>
                  </w:pPr>
                  <w:r w:rsidRPr="00641E71">
                    <w:rPr>
                      <w:rFonts w:cs="Arial"/>
                      <w:szCs w:val="24"/>
                    </w:rPr>
                    <w:t>AEMO </w:t>
                  </w:r>
                  <w:r w:rsidR="00C03F9E">
                    <w:rPr>
                      <w:rFonts w:cs="Arial"/>
                      <w:szCs w:val="24"/>
                    </w:rPr>
                    <w:t>(</w:t>
                  </w:r>
                  <w:r w:rsidRPr="00641E71">
                    <w:rPr>
                      <w:rFonts w:cs="Arial"/>
                      <w:szCs w:val="24"/>
                    </w:rPr>
                    <w:t>2013a</w:t>
                  </w:r>
                  <w:r w:rsidR="00B91EBF">
                    <w:rPr>
                      <w:rFonts w:cs="Arial"/>
                      <w:szCs w:val="24"/>
                    </w:rPr>
                    <w:t>)</w:t>
                  </w:r>
                  <w:r w:rsidRPr="00641E71">
                    <w:rPr>
                      <w:rFonts w:cs="Arial"/>
                      <w:szCs w:val="24"/>
                    </w:rPr>
                    <w:t>; IES </w:t>
                  </w:r>
                  <w:r w:rsidR="00B91EBF">
                    <w:rPr>
                      <w:rFonts w:cs="Arial"/>
                      <w:szCs w:val="24"/>
                    </w:rPr>
                    <w:t>(</w:t>
                  </w:r>
                  <w:r w:rsidRPr="00641E71">
                    <w:rPr>
                      <w:rFonts w:cs="Arial"/>
                      <w:szCs w:val="24"/>
                    </w:rPr>
                    <w:t>2013)</w:t>
                  </w:r>
                </w:p>
              </w:tc>
            </w:tr>
            <w:tr w:rsidR="00DA3852" w14:paraId="32409E10" w14:textId="77777777" w:rsidTr="00C03F9E">
              <w:tc>
                <w:tcPr>
                  <w:tcW w:w="766" w:type="pct"/>
                </w:tcPr>
                <w:p w14:paraId="6649AE5F" w14:textId="77777777" w:rsidR="00DA3852" w:rsidRDefault="00DA3852" w:rsidP="00C03F9E">
                  <w:pPr>
                    <w:pStyle w:val="TableBodyText"/>
                    <w:spacing w:before="60"/>
                    <w:jc w:val="left"/>
                    <w:rPr>
                      <w:i/>
                    </w:rPr>
                  </w:pPr>
                  <w:r w:rsidRPr="007133E8">
                    <w:t>Young</w:t>
                  </w:r>
                </w:p>
              </w:tc>
              <w:tc>
                <w:tcPr>
                  <w:tcW w:w="696" w:type="pct"/>
                </w:tcPr>
                <w:p w14:paraId="33B36BE6" w14:textId="77777777" w:rsidR="00DA3852" w:rsidRDefault="00DA3852" w:rsidP="00C03F9E">
                  <w:pPr>
                    <w:pStyle w:val="TableBodyText"/>
                    <w:jc w:val="left"/>
                    <w:rPr>
                      <w:i/>
                    </w:rPr>
                  </w:pPr>
                  <w:r w:rsidRPr="007133E8">
                    <w:t>Gunnedah</w:t>
                  </w:r>
                  <w:r>
                    <w:rPr>
                      <w:rStyle w:val="NoteLabel"/>
                    </w:rPr>
                    <w:t>b</w:t>
                  </w:r>
                </w:p>
              </w:tc>
              <w:tc>
                <w:tcPr>
                  <w:tcW w:w="697" w:type="pct"/>
                </w:tcPr>
                <w:p w14:paraId="053F13ED" w14:textId="77777777" w:rsidR="00DA3852" w:rsidRDefault="00DA3852" w:rsidP="00C03F9E">
                  <w:pPr>
                    <w:pStyle w:val="TableBodyText"/>
                    <w:spacing w:before="60"/>
                    <w:jc w:val="left"/>
                    <w:rPr>
                      <w:i/>
                    </w:rPr>
                  </w:pPr>
                  <w:r>
                    <w:t>CWP and CRP</w:t>
                  </w:r>
                </w:p>
              </w:tc>
              <w:tc>
                <w:tcPr>
                  <w:tcW w:w="484" w:type="pct"/>
                </w:tcPr>
                <w:p w14:paraId="5FEC1581" w14:textId="77777777" w:rsidR="00DA3852" w:rsidRDefault="00DA3852" w:rsidP="00C03F9E">
                  <w:pPr>
                    <w:pStyle w:val="TableBodyText"/>
                    <w:spacing w:before="60"/>
                    <w:rPr>
                      <w:i/>
                    </w:rPr>
                  </w:pPr>
                  <w:r w:rsidRPr="002E395E">
                    <w:t>5</w:t>
                  </w:r>
                  <w:r>
                    <w:t>55</w:t>
                  </w:r>
                </w:p>
              </w:tc>
              <w:tc>
                <w:tcPr>
                  <w:tcW w:w="354" w:type="pct"/>
                </w:tcPr>
                <w:p w14:paraId="7F01EEB8" w14:textId="77777777" w:rsidR="00DA3852" w:rsidRDefault="00DA3852" w:rsidP="00C03F9E">
                  <w:pPr>
                    <w:pStyle w:val="TableBodyText"/>
                    <w:spacing w:before="60"/>
                    <w:rPr>
                      <w:i/>
                    </w:rPr>
                  </w:pPr>
                  <w:r w:rsidRPr="00AD521E">
                    <w:t>5</w:t>
                  </w:r>
                </w:p>
              </w:tc>
              <w:tc>
                <w:tcPr>
                  <w:tcW w:w="419" w:type="pct"/>
                </w:tcPr>
                <w:p w14:paraId="08300886" w14:textId="77777777" w:rsidR="00DA3852" w:rsidRDefault="00DA3852" w:rsidP="00C03F9E">
                  <w:pPr>
                    <w:pStyle w:val="TableBodyText"/>
                    <w:spacing w:before="60"/>
                    <w:rPr>
                      <w:i/>
                    </w:rPr>
                  </w:pPr>
                  <w:proofErr w:type="spellStart"/>
                  <w:r w:rsidRPr="00A54E32">
                    <w:rPr>
                      <w:b/>
                    </w:rPr>
                    <w:t>na</w:t>
                  </w:r>
                  <w:proofErr w:type="spellEnd"/>
                </w:p>
              </w:tc>
              <w:tc>
                <w:tcPr>
                  <w:tcW w:w="1" w:type="pct"/>
                </w:tcPr>
                <w:p w14:paraId="35C3C3F0" w14:textId="516684A5" w:rsidR="00DA3852" w:rsidRDefault="00DA3852" w:rsidP="00C03F9E">
                  <w:pPr>
                    <w:pStyle w:val="TableBodyText"/>
                    <w:spacing w:before="60"/>
                    <w:ind w:left="113" w:right="28"/>
                    <w:jc w:val="left"/>
                    <w:rPr>
                      <w:i/>
                    </w:rPr>
                  </w:pPr>
                  <w:r w:rsidRPr="00B00A7D">
                    <w:rPr>
                      <w:rFonts w:cs="Arial"/>
                      <w:szCs w:val="24"/>
                    </w:rPr>
                    <w:t>AER </w:t>
                  </w:r>
                  <w:r w:rsidR="00B91EBF">
                    <w:rPr>
                      <w:rFonts w:cs="Arial"/>
                      <w:szCs w:val="24"/>
                    </w:rPr>
                    <w:t>(</w:t>
                  </w:r>
                  <w:r w:rsidR="00621CCE">
                    <w:rPr>
                      <w:rFonts w:cs="Arial"/>
                      <w:szCs w:val="24"/>
                    </w:rPr>
                    <w:t>2013a</w:t>
                  </w:r>
                  <w:r w:rsidR="00B91EBF">
                    <w:rPr>
                      <w:rFonts w:cs="Arial"/>
                      <w:szCs w:val="24"/>
                    </w:rPr>
                    <w:t>)</w:t>
                  </w:r>
                  <w:r w:rsidRPr="00B00A7D">
                    <w:rPr>
                      <w:rFonts w:cs="Arial"/>
                      <w:szCs w:val="24"/>
                    </w:rPr>
                    <w:t xml:space="preserve">; APA Group </w:t>
                  </w:r>
                  <w:r w:rsidR="00B91EBF">
                    <w:rPr>
                      <w:rFonts w:cs="Arial"/>
                      <w:szCs w:val="24"/>
                    </w:rPr>
                    <w:t>(</w:t>
                  </w:r>
                  <w:r w:rsidRPr="00B00A7D">
                    <w:rPr>
                      <w:rFonts w:cs="Arial"/>
                      <w:szCs w:val="24"/>
                    </w:rPr>
                    <w:t>pers. comm. 17</w:t>
                  </w:r>
                  <w:r>
                    <w:rPr>
                      <w:rFonts w:cs="Arial"/>
                      <w:szCs w:val="24"/>
                    </w:rPr>
                    <w:t> </w:t>
                  </w:r>
                  <w:r w:rsidRPr="00B00A7D">
                    <w:rPr>
                      <w:rFonts w:cs="Arial"/>
                      <w:szCs w:val="24"/>
                    </w:rPr>
                    <w:t>February 2015)</w:t>
                  </w:r>
                </w:p>
              </w:tc>
            </w:tr>
            <w:tr w:rsidR="00DA3852" w14:paraId="31A5F5B7" w14:textId="77777777" w:rsidTr="00C03F9E">
              <w:tc>
                <w:tcPr>
                  <w:tcW w:w="766" w:type="pct"/>
                </w:tcPr>
                <w:p w14:paraId="73FC976A" w14:textId="77777777" w:rsidR="00DA3852" w:rsidRDefault="00DA3852" w:rsidP="00A26FB5">
                  <w:pPr>
                    <w:pStyle w:val="TableBodyText"/>
                    <w:spacing w:before="60"/>
                    <w:jc w:val="left"/>
                    <w:rPr>
                      <w:i/>
                    </w:rPr>
                  </w:pPr>
                  <w:r w:rsidRPr="007133E8">
                    <w:t xml:space="preserve">Young </w:t>
                  </w:r>
                </w:p>
              </w:tc>
              <w:tc>
                <w:tcPr>
                  <w:tcW w:w="696" w:type="pct"/>
                </w:tcPr>
                <w:p w14:paraId="3C49A1EA" w14:textId="77777777" w:rsidR="00DA3852" w:rsidRDefault="00DA3852" w:rsidP="00C03F9E">
                  <w:pPr>
                    <w:pStyle w:val="TableBodyText"/>
                    <w:jc w:val="left"/>
                    <w:rPr>
                      <w:i/>
                    </w:rPr>
                  </w:pPr>
                  <w:r w:rsidRPr="007133E8">
                    <w:t>Melbourne</w:t>
                  </w:r>
                  <w:r w:rsidRPr="00A26FB5">
                    <w:rPr>
                      <w:rStyle w:val="NoteLabel"/>
                    </w:rPr>
                    <w:t>c</w:t>
                  </w:r>
                </w:p>
              </w:tc>
              <w:tc>
                <w:tcPr>
                  <w:tcW w:w="697" w:type="pct"/>
                </w:tcPr>
                <w:p w14:paraId="6FD550C4" w14:textId="77777777" w:rsidR="00DA3852" w:rsidRDefault="00DA3852" w:rsidP="00A26FB5">
                  <w:pPr>
                    <w:pStyle w:val="TableBodyText"/>
                    <w:spacing w:before="60"/>
                    <w:jc w:val="left"/>
                    <w:rPr>
                      <w:i/>
                    </w:rPr>
                  </w:pPr>
                  <w:r>
                    <w:t>NVI</w:t>
                  </w:r>
                </w:p>
              </w:tc>
              <w:tc>
                <w:tcPr>
                  <w:tcW w:w="484" w:type="pct"/>
                </w:tcPr>
                <w:p w14:paraId="65886956" w14:textId="77777777" w:rsidR="00DA3852" w:rsidRDefault="00DA3852" w:rsidP="009A13BD">
                  <w:pPr>
                    <w:pStyle w:val="TableBodyText"/>
                    <w:spacing w:before="60"/>
                    <w:rPr>
                      <w:i/>
                    </w:rPr>
                  </w:pPr>
                  <w:r w:rsidRPr="002E395E">
                    <w:t>523</w:t>
                  </w:r>
                </w:p>
              </w:tc>
              <w:tc>
                <w:tcPr>
                  <w:tcW w:w="354" w:type="pct"/>
                </w:tcPr>
                <w:p w14:paraId="3D3DE4EE" w14:textId="77777777" w:rsidR="00DA3852" w:rsidRDefault="00DA3852" w:rsidP="009A13BD">
                  <w:pPr>
                    <w:pStyle w:val="TableBodyText"/>
                    <w:spacing w:before="60"/>
                    <w:rPr>
                      <w:i/>
                    </w:rPr>
                  </w:pPr>
                  <w:r w:rsidRPr="00AD521E">
                    <w:t>44</w:t>
                  </w:r>
                </w:p>
              </w:tc>
              <w:tc>
                <w:tcPr>
                  <w:tcW w:w="419" w:type="pct"/>
                </w:tcPr>
                <w:p w14:paraId="0A844C64" w14:textId="77777777" w:rsidR="00DA3852" w:rsidRDefault="00DA3852" w:rsidP="009A13BD">
                  <w:pPr>
                    <w:pStyle w:val="TableBodyText"/>
                    <w:spacing w:before="60"/>
                    <w:rPr>
                      <w:i/>
                    </w:rPr>
                  </w:pPr>
                  <w:r w:rsidRPr="0079683E">
                    <w:t>26</w:t>
                  </w:r>
                </w:p>
              </w:tc>
              <w:tc>
                <w:tcPr>
                  <w:tcW w:w="1" w:type="pct"/>
                </w:tcPr>
                <w:p w14:paraId="10734836" w14:textId="60D6FDD1" w:rsidR="00DA3852" w:rsidRDefault="00DA3852" w:rsidP="009A13BD">
                  <w:pPr>
                    <w:pStyle w:val="TableBodyText"/>
                    <w:spacing w:before="60"/>
                    <w:ind w:left="113" w:right="28"/>
                    <w:jc w:val="left"/>
                    <w:rPr>
                      <w:i/>
                    </w:rPr>
                  </w:pPr>
                  <w:r w:rsidRPr="00B00A7D">
                    <w:rPr>
                      <w:rFonts w:cs="Arial"/>
                      <w:szCs w:val="24"/>
                    </w:rPr>
                    <w:t>AEMO </w:t>
                  </w:r>
                  <w:r w:rsidR="00B91EBF">
                    <w:rPr>
                      <w:rFonts w:cs="Arial"/>
                      <w:szCs w:val="24"/>
                    </w:rPr>
                    <w:t>(</w:t>
                  </w:r>
                  <w:r w:rsidRPr="00B00A7D">
                    <w:rPr>
                      <w:rFonts w:cs="Arial"/>
                      <w:szCs w:val="24"/>
                    </w:rPr>
                    <w:t>2013</w:t>
                  </w:r>
                  <w:r w:rsidR="00621CCE">
                    <w:rPr>
                      <w:rFonts w:cs="Arial"/>
                      <w:szCs w:val="24"/>
                    </w:rPr>
                    <w:t>b</w:t>
                  </w:r>
                  <w:r w:rsidRPr="00B00A7D">
                    <w:rPr>
                      <w:rFonts w:cs="Arial"/>
                      <w:szCs w:val="24"/>
                    </w:rPr>
                    <w:t>, 2013e)</w:t>
                  </w:r>
                </w:p>
              </w:tc>
            </w:tr>
            <w:tr w:rsidR="00DA3852" w14:paraId="6C905171" w14:textId="77777777" w:rsidTr="00C03F9E">
              <w:tc>
                <w:tcPr>
                  <w:tcW w:w="766" w:type="pct"/>
                  <w:tcBorders>
                    <w:bottom w:val="single" w:sz="6" w:space="0" w:color="BFBFBF"/>
                  </w:tcBorders>
                  <w:shd w:val="clear" w:color="auto" w:fill="auto"/>
                </w:tcPr>
                <w:p w14:paraId="46D04CDD" w14:textId="77777777" w:rsidR="00DA3852" w:rsidRDefault="00DA3852" w:rsidP="00C03F9E">
                  <w:pPr>
                    <w:pStyle w:val="TableBodyText"/>
                    <w:spacing w:before="60"/>
                    <w:jc w:val="left"/>
                    <w:rPr>
                      <w:i/>
                    </w:rPr>
                  </w:pPr>
                  <w:r w:rsidRPr="007133E8">
                    <w:t>Young</w:t>
                  </w:r>
                </w:p>
              </w:tc>
              <w:tc>
                <w:tcPr>
                  <w:tcW w:w="696" w:type="pct"/>
                  <w:tcBorders>
                    <w:bottom w:val="single" w:sz="6" w:space="0" w:color="BFBFBF"/>
                  </w:tcBorders>
                </w:tcPr>
                <w:p w14:paraId="40219CE4" w14:textId="77777777" w:rsidR="00DA3852" w:rsidRDefault="00DA3852" w:rsidP="00C03F9E">
                  <w:pPr>
                    <w:pStyle w:val="TableBodyText"/>
                    <w:spacing w:before="60"/>
                    <w:jc w:val="left"/>
                    <w:rPr>
                      <w:i/>
                    </w:rPr>
                  </w:pPr>
                  <w:r w:rsidRPr="007133E8">
                    <w:t>Sydney</w:t>
                  </w:r>
                </w:p>
              </w:tc>
              <w:tc>
                <w:tcPr>
                  <w:tcW w:w="697" w:type="pct"/>
                  <w:tcBorders>
                    <w:bottom w:val="single" w:sz="6" w:space="0" w:color="BFBFBF"/>
                  </w:tcBorders>
                </w:tcPr>
                <w:p w14:paraId="648CB22A" w14:textId="77777777" w:rsidR="00DA3852" w:rsidRDefault="00DA3852" w:rsidP="00C03F9E">
                  <w:pPr>
                    <w:pStyle w:val="TableBodyText"/>
                    <w:spacing w:before="60"/>
                    <w:jc w:val="left"/>
                    <w:rPr>
                      <w:i/>
                    </w:rPr>
                  </w:pPr>
                  <w:r>
                    <w:t>MSP</w:t>
                  </w:r>
                </w:p>
              </w:tc>
              <w:tc>
                <w:tcPr>
                  <w:tcW w:w="484" w:type="pct"/>
                  <w:tcBorders>
                    <w:bottom w:val="single" w:sz="6" w:space="0" w:color="BFBFBF"/>
                  </w:tcBorders>
                </w:tcPr>
                <w:p w14:paraId="049BDF36" w14:textId="77777777" w:rsidR="00DA3852" w:rsidRDefault="00DA3852" w:rsidP="00C03F9E">
                  <w:pPr>
                    <w:pStyle w:val="TableBodyText"/>
                    <w:ind w:right="0"/>
                    <w:rPr>
                      <w:i/>
                    </w:rPr>
                  </w:pPr>
                  <w:r w:rsidRPr="002E395E">
                    <w:t>300</w:t>
                  </w:r>
                  <w:r>
                    <w:rPr>
                      <w:rStyle w:val="NoteLabel"/>
                    </w:rPr>
                    <w:t>d</w:t>
                  </w:r>
                </w:p>
              </w:tc>
              <w:tc>
                <w:tcPr>
                  <w:tcW w:w="354" w:type="pct"/>
                  <w:tcBorders>
                    <w:bottom w:val="single" w:sz="6" w:space="0" w:color="BFBFBF"/>
                  </w:tcBorders>
                </w:tcPr>
                <w:p w14:paraId="6ACEC7F2" w14:textId="77777777" w:rsidR="00DA3852" w:rsidRDefault="00DA3852" w:rsidP="00C03F9E">
                  <w:pPr>
                    <w:pStyle w:val="TableBodyText"/>
                    <w:spacing w:before="60"/>
                    <w:rPr>
                      <w:i/>
                    </w:rPr>
                  </w:pPr>
                  <w:r w:rsidRPr="00AD521E">
                    <w:t>160</w:t>
                  </w:r>
                </w:p>
              </w:tc>
              <w:tc>
                <w:tcPr>
                  <w:tcW w:w="419" w:type="pct"/>
                  <w:tcBorders>
                    <w:bottom w:val="single" w:sz="6" w:space="0" w:color="BFBFBF"/>
                  </w:tcBorders>
                </w:tcPr>
                <w:p w14:paraId="19D98AFF" w14:textId="77777777" w:rsidR="00DA3852" w:rsidRDefault="00DA3852" w:rsidP="00C03F9E">
                  <w:pPr>
                    <w:pStyle w:val="TableBodyText"/>
                    <w:spacing w:before="60"/>
                    <w:rPr>
                      <w:i/>
                    </w:rPr>
                  </w:pPr>
                  <w:r w:rsidRPr="0079683E">
                    <w:t>160</w:t>
                  </w:r>
                </w:p>
              </w:tc>
              <w:tc>
                <w:tcPr>
                  <w:tcW w:w="1" w:type="pct"/>
                  <w:tcBorders>
                    <w:bottom w:val="single" w:sz="6" w:space="0" w:color="BFBFBF"/>
                  </w:tcBorders>
                  <w:shd w:val="clear" w:color="auto" w:fill="auto"/>
                </w:tcPr>
                <w:p w14:paraId="49B62AAF" w14:textId="32D41C42" w:rsidR="00DA3852" w:rsidRDefault="00DA3852" w:rsidP="00621CCE">
                  <w:pPr>
                    <w:pStyle w:val="TableBodyText"/>
                    <w:spacing w:before="60"/>
                    <w:ind w:left="113" w:right="28"/>
                    <w:jc w:val="left"/>
                    <w:rPr>
                      <w:i/>
                    </w:rPr>
                  </w:pPr>
                  <w:r w:rsidRPr="00B00A7D">
                    <w:rPr>
                      <w:rFonts w:cs="Arial"/>
                      <w:szCs w:val="24"/>
                    </w:rPr>
                    <w:t>AEMO </w:t>
                  </w:r>
                  <w:r w:rsidR="00B91EBF">
                    <w:rPr>
                      <w:rFonts w:cs="Arial"/>
                      <w:szCs w:val="24"/>
                    </w:rPr>
                    <w:t>(</w:t>
                  </w:r>
                  <w:r w:rsidRPr="00B00A7D">
                    <w:rPr>
                      <w:rFonts w:cs="Arial"/>
                      <w:szCs w:val="24"/>
                    </w:rPr>
                    <w:t>2013</w:t>
                  </w:r>
                  <w:r w:rsidR="00621CCE">
                    <w:rPr>
                      <w:rFonts w:cs="Arial"/>
                      <w:szCs w:val="24"/>
                    </w:rPr>
                    <w:t>b</w:t>
                  </w:r>
                  <w:r w:rsidRPr="00B00A7D">
                    <w:rPr>
                      <w:rFonts w:cs="Arial"/>
                      <w:szCs w:val="24"/>
                    </w:rPr>
                    <w:t>)</w:t>
                  </w:r>
                </w:p>
              </w:tc>
            </w:tr>
          </w:tbl>
          <w:p w14:paraId="77913C08" w14:textId="77777777" w:rsidR="00DA3852" w:rsidRDefault="00DA3852" w:rsidP="00C03F9E">
            <w:pPr>
              <w:pStyle w:val="Box"/>
            </w:pPr>
          </w:p>
        </w:tc>
      </w:tr>
      <w:tr w:rsidR="00DA3852" w14:paraId="35C46371" w14:textId="77777777" w:rsidTr="00C03F9E">
        <w:trPr>
          <w:cantSplit/>
        </w:trPr>
        <w:tc>
          <w:tcPr>
            <w:tcW w:w="8767" w:type="dxa"/>
            <w:tcBorders>
              <w:top w:val="nil"/>
              <w:left w:val="nil"/>
              <w:bottom w:val="nil"/>
              <w:right w:val="nil"/>
            </w:tcBorders>
            <w:shd w:val="clear" w:color="auto" w:fill="auto"/>
          </w:tcPr>
          <w:p w14:paraId="674DFBDE" w14:textId="01575ED6" w:rsidR="00DA3852" w:rsidRDefault="00DA3852" w:rsidP="00C03F9E">
            <w:pPr>
              <w:pStyle w:val="Note"/>
              <w:rPr>
                <w:i/>
              </w:rPr>
            </w:pPr>
            <w:proofErr w:type="spellStart"/>
            <w:proofErr w:type="gramStart"/>
            <w:r>
              <w:rPr>
                <w:rStyle w:val="NoteLabel"/>
              </w:rPr>
              <w:t>a</w:t>
            </w:r>
            <w:proofErr w:type="spellEnd"/>
            <w:proofErr w:type="gramEnd"/>
            <w:r>
              <w:t xml:space="preserve"> The Carpentaria Gas Pipeline connects to the Cooper basin through the QSN Link but is modelled as connecting directly to the Cooper basin. To account for this, the sum of flows along the CGP and the SWQP/QSN are constrained in the model to equal the capacity of the SWQP/QSN. </w:t>
            </w:r>
            <w:proofErr w:type="gramStart"/>
            <w:r>
              <w:rPr>
                <w:rStyle w:val="NoteLabel"/>
              </w:rPr>
              <w:t>b</w:t>
            </w:r>
            <w:proofErr w:type="gramEnd"/>
            <w:r>
              <w:t xml:space="preserve"> The length of this route has been estimated based on the length of a number of pipelines. </w:t>
            </w:r>
            <w:proofErr w:type="gramStart"/>
            <w:r>
              <w:rPr>
                <w:rStyle w:val="NoteLabel"/>
              </w:rPr>
              <w:t>c</w:t>
            </w:r>
            <w:proofErr w:type="gramEnd"/>
            <w:r>
              <w:t xml:space="preserve"> On this route, length is based on the QGP and capacity is based on the sum of the capacities of the QGP and announced capacity for the APLNG, GLNG and QCLNG pipelines. </w:t>
            </w:r>
            <w:proofErr w:type="gramStart"/>
            <w:r>
              <w:rPr>
                <w:rStyle w:val="NoteLabel"/>
              </w:rPr>
              <w:t>d</w:t>
            </w:r>
            <w:proofErr w:type="gramEnd"/>
            <w:r w:rsidDel="007E6F18">
              <w:rPr>
                <w:rStyle w:val="NoteLabel"/>
              </w:rPr>
              <w:t xml:space="preserve"> </w:t>
            </w:r>
            <w:r>
              <w:t xml:space="preserve">Length estimates are for mainlines and exclude laterals. </w:t>
            </w:r>
            <w:proofErr w:type="gramStart"/>
            <w:r>
              <w:rPr>
                <w:rStyle w:val="NoteLabel"/>
              </w:rPr>
              <w:t>e</w:t>
            </w:r>
            <w:proofErr w:type="gramEnd"/>
            <w:r>
              <w:t xml:space="preserve"> The MSP is 1300 km. The length of the Cooper to Young route has been set to be 1000 km and the Young to Sydney route has been set to be 300 km. It has been estimated that it is 1000 km from Moomba to Young and 300 km from Young to Sydney. </w:t>
            </w:r>
            <w:proofErr w:type="gramStart"/>
            <w:r>
              <w:rPr>
                <w:rStyle w:val="NoteLabel"/>
              </w:rPr>
              <w:t>f</w:t>
            </w:r>
            <w:proofErr w:type="gramEnd"/>
            <w:r>
              <w:t xml:space="preserve"> Length along this route is the sum of the length of the SWP (150 km) and the Brooklyn to Lara Pipeline (58 km). The Victorian Gas Planning Report noted that by winter 2015 the capacity of the SWP will be increased to 157 PJ per year in the standard flow direction </w:t>
            </w:r>
            <w:r w:rsidRPr="00B00A7D">
              <w:rPr>
                <w:rFonts w:cs="Arial"/>
                <w:szCs w:val="24"/>
              </w:rPr>
              <w:t>(AEMO 2013e)</w:t>
            </w:r>
            <w:r>
              <w:t xml:space="preserve">. This increase is not incorporated into the model. </w:t>
            </w:r>
            <w:proofErr w:type="gramStart"/>
            <w:r>
              <w:rPr>
                <w:rStyle w:val="NoteLabel"/>
              </w:rPr>
              <w:t>g</w:t>
            </w:r>
            <w:proofErr w:type="gramEnd"/>
            <w:r>
              <w:t xml:space="preserve"> Both standard</w:t>
            </w:r>
            <w:r w:rsidR="00C03F9E">
              <w:t xml:space="preserve"> (</w:t>
            </w:r>
            <w:proofErr w:type="spellStart"/>
            <w:r w:rsidR="00C03F9E">
              <w:t>std</w:t>
            </w:r>
            <w:proofErr w:type="spellEnd"/>
            <w:r w:rsidR="00C03F9E">
              <w:t>)</w:t>
            </w:r>
            <w:r>
              <w:t xml:space="preserve"> and reverse</w:t>
            </w:r>
            <w:r w:rsidR="00C03F9E">
              <w:t xml:space="preserve"> (rev)</w:t>
            </w:r>
            <w:r>
              <w:t xml:space="preserve"> capacity are considered in modelling since some but not all pipelines are bidirectional. </w:t>
            </w:r>
            <w:proofErr w:type="gramStart"/>
            <w:r>
              <w:rPr>
                <w:rStyle w:val="NoteLabel"/>
              </w:rPr>
              <w:t>h</w:t>
            </w:r>
            <w:proofErr w:type="gramEnd"/>
            <w:r>
              <w:t xml:space="preserve"> Requires some brownfield expansion to achieve this capacity.</w:t>
            </w:r>
            <w:r w:rsidRPr="00A8139C">
              <w:rPr>
                <w:b/>
              </w:rPr>
              <w:t xml:space="preserve"> </w:t>
            </w:r>
            <w:proofErr w:type="spellStart"/>
            <w:proofErr w:type="gramStart"/>
            <w:r w:rsidRPr="00A8139C">
              <w:rPr>
                <w:b/>
              </w:rPr>
              <w:t>na</w:t>
            </w:r>
            <w:proofErr w:type="spellEnd"/>
            <w:proofErr w:type="gramEnd"/>
            <w:r>
              <w:t xml:space="preserve"> Not applicable.</w:t>
            </w:r>
          </w:p>
        </w:tc>
      </w:tr>
      <w:tr w:rsidR="00DA3852" w14:paraId="7204DEFB" w14:textId="77777777" w:rsidTr="00C03F9E">
        <w:trPr>
          <w:cantSplit/>
        </w:trPr>
        <w:tc>
          <w:tcPr>
            <w:tcW w:w="8767" w:type="dxa"/>
            <w:tcBorders>
              <w:top w:val="nil"/>
              <w:left w:val="nil"/>
              <w:bottom w:val="single" w:sz="6" w:space="0" w:color="78A22F"/>
              <w:right w:val="nil"/>
            </w:tcBorders>
            <w:shd w:val="clear" w:color="auto" w:fill="auto"/>
          </w:tcPr>
          <w:p w14:paraId="4A27C030" w14:textId="77777777" w:rsidR="00DA3852" w:rsidRDefault="00DA3852" w:rsidP="00C03F9E">
            <w:pPr>
              <w:pStyle w:val="Box"/>
              <w:spacing w:before="0" w:line="120" w:lineRule="exact"/>
            </w:pPr>
          </w:p>
        </w:tc>
      </w:tr>
      <w:tr w:rsidR="00DA3852" w:rsidRPr="000863A5" w14:paraId="3CFB5BF1" w14:textId="77777777" w:rsidTr="00C03F9E">
        <w:tc>
          <w:tcPr>
            <w:tcW w:w="8767" w:type="dxa"/>
            <w:tcBorders>
              <w:top w:val="single" w:sz="6" w:space="0" w:color="78A22F"/>
              <w:left w:val="nil"/>
              <w:bottom w:val="nil"/>
              <w:right w:val="nil"/>
            </w:tcBorders>
          </w:tcPr>
          <w:p w14:paraId="3FEB3274" w14:textId="77777777" w:rsidR="00DA3852" w:rsidRPr="00626D32" w:rsidRDefault="00DA3852" w:rsidP="00C03F9E">
            <w:pPr>
              <w:pStyle w:val="BoxSpaceBelow"/>
            </w:pPr>
          </w:p>
        </w:tc>
      </w:tr>
    </w:tbl>
    <w:p w14:paraId="625FE8CA" w14:textId="77777777" w:rsidR="00CC518F" w:rsidRDefault="00CC518F" w:rsidP="00DA3852">
      <w:pPr>
        <w:pStyle w:val="Heading4"/>
        <w:spacing w:before="240"/>
      </w:pPr>
    </w:p>
    <w:p w14:paraId="088C323B" w14:textId="77777777" w:rsidR="00CC518F" w:rsidRDefault="00CC518F" w:rsidP="00CC518F">
      <w:pPr>
        <w:pStyle w:val="BodyText"/>
        <w:rPr>
          <w:rFonts w:ascii="Arial" w:hAnsi="Arial"/>
        </w:rPr>
      </w:pPr>
      <w:r>
        <w:br w:type="page"/>
      </w:r>
    </w:p>
    <w:p w14:paraId="1202F130" w14:textId="14728605" w:rsidR="00DA3852" w:rsidRDefault="00DA3852" w:rsidP="00DA3852">
      <w:pPr>
        <w:pStyle w:val="Heading4"/>
        <w:spacing w:before="240"/>
      </w:pPr>
      <w:r>
        <w:lastRenderedPageBreak/>
        <w:t>Maximum average capacity utilisation</w:t>
      </w:r>
    </w:p>
    <w:p w14:paraId="15EB809A" w14:textId="77777777" w:rsidR="00DA3852" w:rsidRDefault="00DA3852" w:rsidP="00DA3852">
      <w:pPr>
        <w:pStyle w:val="BodyText"/>
      </w:pPr>
      <w:r>
        <w:t>Demand for gas fluctuates during each year. Some gas users, such as industrial users, have fairly steady demand over the year while demand by other users exhibits daily or seasonal fluctuations. In winter, demand for gas for heating is higher in cooler climates, particularly on very cold days. In summer, demand for gas is high on very hot days when gas powered generation is used to meet higher electricity demand due to greater use of air conditioning. Peak demand is taken into consideration when pipelines are built and compressions stations are added. Typically,</w:t>
      </w:r>
      <w:r w:rsidDel="00C504D2">
        <w:t xml:space="preserve"> they do </w:t>
      </w:r>
      <w:r>
        <w:t>not operate at their maximum or nameplate capacity every day.</w:t>
      </w:r>
    </w:p>
    <w:p w14:paraId="06B15656" w14:textId="47970B19" w:rsidR="00DA3852" w:rsidRDefault="00DA3852" w:rsidP="00DA3852">
      <w:pPr>
        <w:pStyle w:val="BodyText"/>
      </w:pPr>
      <w:r>
        <w:t xml:space="preserve">Flow data from the National </w:t>
      </w:r>
      <w:r w:rsidRPr="00B65B74">
        <w:t>Gas Bulletin Board</w:t>
      </w:r>
      <w:r>
        <w:t xml:space="preserve"> from September 2012 to August 2013</w:t>
      </w:r>
      <w:r w:rsidRPr="00D54D05">
        <w:rPr>
          <w:rStyle w:val="FootnoteReference"/>
        </w:rPr>
        <w:footnoteReference w:id="16"/>
      </w:r>
      <w:r>
        <w:t xml:space="preserve"> indicate that the QGP had the highest capacity utilisation of any transmission pipeline in the eastern Australian gas market. While capacity utilisation on the QGP reached 100 per cent at times, its average capacity utilisation was close to 90 per cent (figure </w:t>
      </w:r>
      <w:r w:rsidR="00084863">
        <w:t>B.</w:t>
      </w:r>
      <w:r>
        <w:t xml:space="preserve">5). It is unlikely that other less utilised pipelines would operate at greater than 90 per cent of their nameplate capacity on average if demand was higher. A common maximum average capacity utilisation of 90 per cent of nameplate capacity has been applied to all pipelines for both the summer and winter seasons in the model. </w:t>
      </w:r>
    </w:p>
    <w:p w14:paraId="5C49D22B" w14:textId="77777777" w:rsidR="00DA3852" w:rsidRDefault="00DA3852" w:rsidP="00DA3852">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DA3852" w14:paraId="55537C4D" w14:textId="77777777" w:rsidTr="00C03F9E">
        <w:tc>
          <w:tcPr>
            <w:tcW w:w="8771" w:type="dxa"/>
            <w:tcBorders>
              <w:top w:val="single" w:sz="6" w:space="0" w:color="78A22F"/>
              <w:left w:val="nil"/>
              <w:bottom w:val="nil"/>
              <w:right w:val="nil"/>
            </w:tcBorders>
            <w:shd w:val="clear" w:color="auto" w:fill="auto"/>
          </w:tcPr>
          <w:p w14:paraId="1710ACEA" w14:textId="306A2CB2" w:rsidR="00DA3852" w:rsidRDefault="00DA3852" w:rsidP="00C03F9E">
            <w:pPr>
              <w:pStyle w:val="FigureTitle"/>
            </w:pPr>
            <w:r w:rsidRPr="00784A05">
              <w:rPr>
                <w:b w:val="0"/>
              </w:rPr>
              <w:t xml:space="preserve">Figure </w:t>
            </w:r>
            <w:r>
              <w:rPr>
                <w:b w:val="0"/>
              </w:rPr>
              <w:t>B.5</w:t>
            </w:r>
            <w:r>
              <w:tab/>
              <w:t xml:space="preserve">Queensland Gas Pipeline </w:t>
            </w:r>
          </w:p>
          <w:p w14:paraId="75C6590F" w14:textId="77777777" w:rsidR="00DA3852" w:rsidRPr="00176D3F" w:rsidRDefault="00DA3852" w:rsidP="00C03F9E">
            <w:pPr>
              <w:pStyle w:val="Subtitle"/>
            </w:pPr>
            <w:r>
              <w:t>Daily flows and capacity</w:t>
            </w:r>
          </w:p>
        </w:tc>
      </w:tr>
      <w:tr w:rsidR="00DA3852" w14:paraId="108E711E" w14:textId="77777777" w:rsidTr="00C03F9E">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8504"/>
            </w:tblGrid>
            <w:tr w:rsidR="00DA3852" w14:paraId="35682088" w14:textId="77777777" w:rsidTr="00C03F9E">
              <w:trPr>
                <w:jc w:val="center"/>
              </w:trPr>
              <w:tc>
                <w:tcPr>
                  <w:tcW w:w="8504" w:type="dxa"/>
                  <w:tcBorders>
                    <w:top w:val="nil"/>
                    <w:bottom w:val="nil"/>
                  </w:tcBorders>
                </w:tcPr>
                <w:p w14:paraId="7ED4665E" w14:textId="17F82DC8" w:rsidR="00DA3852" w:rsidRDefault="008923A3" w:rsidP="00C03F9E">
                  <w:pPr>
                    <w:pStyle w:val="Figure"/>
                    <w:spacing w:before="60" w:after="60"/>
                  </w:pPr>
                  <w:r>
                    <w:rPr>
                      <w:noProof/>
                    </w:rPr>
                    <w:drawing>
                      <wp:inline distT="0" distB="0" distL="0" distR="0" wp14:anchorId="116B4431" wp14:editId="23977456">
                        <wp:extent cx="5401310" cy="2877820"/>
                        <wp:effectExtent l="0" t="0" r="8890" b="0"/>
                        <wp:docPr id="3" name="Picture 3" descr="The Queensland Gas Pipeline has a capacity of 39 petajoules per year. Flow data from the National Gas Bulletin Board from September 2012 to August 2013 show that capacity utilisation fluctuated around 90 per cent for most of this period. There were two short periods where capacity utilisation fell well below 90 per c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1310" cy="2877820"/>
                                </a:xfrm>
                                <a:prstGeom prst="rect">
                                  <a:avLst/>
                                </a:prstGeom>
                                <a:noFill/>
                              </pic:spPr>
                            </pic:pic>
                          </a:graphicData>
                        </a:graphic>
                      </wp:inline>
                    </w:drawing>
                  </w:r>
                </w:p>
              </w:tc>
            </w:tr>
          </w:tbl>
          <w:p w14:paraId="76B4C8F6" w14:textId="77777777" w:rsidR="00DA3852" w:rsidRDefault="00DA3852" w:rsidP="00C03F9E">
            <w:pPr>
              <w:pStyle w:val="Figure"/>
            </w:pPr>
          </w:p>
        </w:tc>
      </w:tr>
      <w:tr w:rsidR="00DA3852" w:rsidRPr="00176D3F" w14:paraId="772F4A5A" w14:textId="77777777" w:rsidTr="00C03F9E">
        <w:tc>
          <w:tcPr>
            <w:tcW w:w="8771" w:type="dxa"/>
            <w:tcBorders>
              <w:top w:val="nil"/>
              <w:left w:val="nil"/>
              <w:bottom w:val="nil"/>
              <w:right w:val="nil"/>
            </w:tcBorders>
            <w:shd w:val="clear" w:color="auto" w:fill="auto"/>
          </w:tcPr>
          <w:p w14:paraId="43964704" w14:textId="77777777" w:rsidR="00DA3852" w:rsidRPr="00176D3F" w:rsidRDefault="00DA3852" w:rsidP="00C03F9E">
            <w:pPr>
              <w:pStyle w:val="Source"/>
            </w:pPr>
            <w:r>
              <w:rPr>
                <w:i/>
              </w:rPr>
              <w:t>S</w:t>
            </w:r>
            <w:r w:rsidRPr="00784A05">
              <w:rPr>
                <w:i/>
              </w:rPr>
              <w:t>ource</w:t>
            </w:r>
            <w:r w:rsidRPr="00176D3F">
              <w:t xml:space="preserve">: </w:t>
            </w:r>
            <w:r>
              <w:t>National Gas Bulletin Board.</w:t>
            </w:r>
          </w:p>
        </w:tc>
      </w:tr>
      <w:tr w:rsidR="00DA3852" w14:paraId="16276D3C" w14:textId="77777777" w:rsidTr="00C03F9E">
        <w:tc>
          <w:tcPr>
            <w:tcW w:w="8771" w:type="dxa"/>
            <w:tcBorders>
              <w:top w:val="nil"/>
              <w:left w:val="nil"/>
              <w:bottom w:val="single" w:sz="6" w:space="0" w:color="78A22F"/>
              <w:right w:val="nil"/>
            </w:tcBorders>
            <w:shd w:val="clear" w:color="auto" w:fill="auto"/>
          </w:tcPr>
          <w:p w14:paraId="6C446018" w14:textId="77777777" w:rsidR="00DA3852" w:rsidRDefault="00DA3852" w:rsidP="00C03F9E">
            <w:pPr>
              <w:pStyle w:val="Figurespace"/>
            </w:pPr>
          </w:p>
        </w:tc>
      </w:tr>
      <w:tr w:rsidR="00DA3852" w:rsidRPr="000863A5" w14:paraId="0047131A" w14:textId="77777777" w:rsidTr="00C03F9E">
        <w:tc>
          <w:tcPr>
            <w:tcW w:w="8771" w:type="dxa"/>
            <w:tcBorders>
              <w:top w:val="single" w:sz="6" w:space="0" w:color="78A22F"/>
              <w:left w:val="nil"/>
              <w:bottom w:val="nil"/>
              <w:right w:val="nil"/>
            </w:tcBorders>
          </w:tcPr>
          <w:p w14:paraId="01965BA9" w14:textId="77777777" w:rsidR="00DA3852" w:rsidRPr="00626D32" w:rsidRDefault="00DA3852" w:rsidP="00C03F9E">
            <w:pPr>
              <w:pStyle w:val="BoxSpaceBelow"/>
            </w:pPr>
          </w:p>
        </w:tc>
      </w:tr>
    </w:tbl>
    <w:p w14:paraId="44FE1982" w14:textId="77777777" w:rsidR="00DA3852" w:rsidRDefault="00DA3852" w:rsidP="00DA3852">
      <w:pPr>
        <w:pStyle w:val="Heading3"/>
      </w:pPr>
      <w:r>
        <w:lastRenderedPageBreak/>
        <w:t>Storage</w:t>
      </w:r>
      <w:bookmarkEnd w:id="11"/>
    </w:p>
    <w:p w14:paraId="6325717B" w14:textId="77777777" w:rsidR="00DA3852" w:rsidRDefault="00DA3852" w:rsidP="00DA3852">
      <w:pPr>
        <w:pStyle w:val="BodyText"/>
      </w:pPr>
      <w:r>
        <w:t>Storage facilities are used by producers, pipeline companies and distribution networks to avoid imbalances between receipts and deliveries (and consequent rationing), to manage inventory and to manage inter</w:t>
      </w:r>
      <w:r>
        <w:noBreakHyphen/>
        <w:t>seasonal demand fluctuations. Where available, gas storage can offer a lower cost alternative to increasing production and processing capacity to meet peak demand. Storage will be economical for gas suppliers where the difference between peak and off</w:t>
      </w:r>
      <w:r>
        <w:noBreakHyphen/>
        <w:t xml:space="preserve">peak prices exceed the cost of storage. </w:t>
      </w:r>
    </w:p>
    <w:p w14:paraId="2E7F730C" w14:textId="585768AD" w:rsidR="00DA3852" w:rsidRDefault="00DA3852" w:rsidP="00DA3852">
      <w:pPr>
        <w:pStyle w:val="BodyText"/>
      </w:pPr>
      <w:r>
        <w:t>Data have been collected on the marginal cost (for both injecting and withdrawing gas), build time and lifetime of gas storage facilities. Estimates of the costs of expanding or building new storage facilities are also included in the model. Generic cost estimates are applied to all storage facilities due to limited data (table B.11). The lack of data has also meant that assumptions have been made for some parameters based on feedback from industry stakeholders. Large underground storage facilities are included</w:t>
      </w:r>
      <w:r w:rsidR="00416743">
        <w:t xml:space="preserve"> (table B.12)</w:t>
      </w:r>
      <w:r>
        <w:t xml:space="preserve"> but LNG storage facilities are excluded because they are usually much smaller and more expensive to build and operate (per unit of storage capacity)</w:t>
      </w:r>
      <w:r w:rsidRPr="00D54D05">
        <w:rPr>
          <w:rStyle w:val="FootnoteReference"/>
        </w:rPr>
        <w:footnoteReference w:id="17"/>
      </w:r>
      <w:r>
        <w:t xml:space="preserve"> so are not typically used for inter</w:t>
      </w:r>
      <w:r>
        <w:noBreakHyphen/>
        <w:t>seasonal storage and only used for short</w:t>
      </w:r>
      <w:r>
        <w:noBreakHyphen/>
        <w:t>term storage.</w:t>
      </w:r>
    </w:p>
    <w:p w14:paraId="6A6D5465" w14:textId="77777777" w:rsidR="00DA3852" w:rsidRDefault="00DA3852" w:rsidP="00DA3852">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DA3852" w14:paraId="08FD827C" w14:textId="77777777" w:rsidTr="00C03F9E">
        <w:tc>
          <w:tcPr>
            <w:tcW w:w="8771" w:type="dxa"/>
            <w:tcBorders>
              <w:top w:val="single" w:sz="6" w:space="0" w:color="78A22F"/>
              <w:left w:val="nil"/>
              <w:bottom w:val="nil"/>
              <w:right w:val="nil"/>
            </w:tcBorders>
            <w:shd w:val="clear" w:color="auto" w:fill="auto"/>
          </w:tcPr>
          <w:p w14:paraId="7F4B9A01" w14:textId="57FA6507" w:rsidR="00DA3852" w:rsidRDefault="00DA3852" w:rsidP="00C03F9E">
            <w:pPr>
              <w:pStyle w:val="TableTitle"/>
            </w:pPr>
            <w:r>
              <w:rPr>
                <w:b w:val="0"/>
              </w:rPr>
              <w:t>Table B.</w:t>
            </w:r>
            <w:r>
              <w:rPr>
                <w:b w:val="0"/>
                <w:noProof/>
              </w:rPr>
              <w:t>11</w:t>
            </w:r>
            <w:r>
              <w:tab/>
              <w:t>Storage inputs</w:t>
            </w:r>
          </w:p>
          <w:p w14:paraId="1260071C" w14:textId="77777777" w:rsidR="00DA3852" w:rsidRPr="00784A05" w:rsidRDefault="00DA3852" w:rsidP="00C03F9E">
            <w:pPr>
              <w:pStyle w:val="Subtitle"/>
            </w:pPr>
            <w:r>
              <w:t>Applied to all storage facilities</w:t>
            </w:r>
          </w:p>
        </w:tc>
      </w:tr>
      <w:tr w:rsidR="00DA3852" w14:paraId="3C4EA504" w14:textId="77777777" w:rsidTr="00C03F9E">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631"/>
              <w:gridCol w:w="1041"/>
              <w:gridCol w:w="1263"/>
              <w:gridCol w:w="4552"/>
            </w:tblGrid>
            <w:tr w:rsidR="00084863" w14:paraId="10D85582" w14:textId="77777777" w:rsidTr="00A806C7">
              <w:tc>
                <w:tcPr>
                  <w:tcW w:w="961" w:type="pct"/>
                  <w:tcBorders>
                    <w:top w:val="single" w:sz="6" w:space="0" w:color="BFBFBF"/>
                    <w:bottom w:val="single" w:sz="6" w:space="0" w:color="BFBFBF"/>
                  </w:tcBorders>
                  <w:shd w:val="clear" w:color="auto" w:fill="auto"/>
                  <w:tcMar>
                    <w:top w:w="28" w:type="dxa"/>
                  </w:tcMar>
                </w:tcPr>
                <w:p w14:paraId="3A6549E1" w14:textId="77777777" w:rsidR="00084863" w:rsidRDefault="00084863" w:rsidP="00C03F9E">
                  <w:pPr>
                    <w:pStyle w:val="TableColumnHeading"/>
                    <w:jc w:val="left"/>
                  </w:pPr>
                  <w:r>
                    <w:t>Input</w:t>
                  </w:r>
                </w:p>
              </w:tc>
              <w:tc>
                <w:tcPr>
                  <w:tcW w:w="613" w:type="pct"/>
                  <w:tcBorders>
                    <w:top w:val="single" w:sz="6" w:space="0" w:color="BFBFBF"/>
                    <w:bottom w:val="single" w:sz="6" w:space="0" w:color="BFBFBF"/>
                  </w:tcBorders>
                  <w:shd w:val="clear" w:color="auto" w:fill="auto"/>
                </w:tcPr>
                <w:p w14:paraId="00838333" w14:textId="1BAD499A" w:rsidR="00084863" w:rsidRDefault="00084863" w:rsidP="00C03F9E">
                  <w:pPr>
                    <w:pStyle w:val="TableColumnHeading"/>
                    <w:jc w:val="left"/>
                  </w:pPr>
                  <w:r>
                    <w:t>Units</w:t>
                  </w:r>
                </w:p>
              </w:tc>
              <w:tc>
                <w:tcPr>
                  <w:tcW w:w="744" w:type="pct"/>
                  <w:tcBorders>
                    <w:top w:val="single" w:sz="6" w:space="0" w:color="BFBFBF"/>
                    <w:bottom w:val="single" w:sz="6" w:space="0" w:color="BFBFBF"/>
                  </w:tcBorders>
                  <w:shd w:val="clear" w:color="auto" w:fill="auto"/>
                  <w:tcMar>
                    <w:top w:w="28" w:type="dxa"/>
                  </w:tcMar>
                </w:tcPr>
                <w:p w14:paraId="504CFF30" w14:textId="77777777" w:rsidR="00084863" w:rsidRDefault="00084863" w:rsidP="00C03F9E">
                  <w:pPr>
                    <w:pStyle w:val="TableColumnHeading"/>
                    <w:jc w:val="left"/>
                  </w:pPr>
                  <w:r>
                    <w:t>Estimate</w:t>
                  </w:r>
                </w:p>
              </w:tc>
              <w:tc>
                <w:tcPr>
                  <w:tcW w:w="2682" w:type="pct"/>
                  <w:tcBorders>
                    <w:top w:val="single" w:sz="6" w:space="0" w:color="BFBFBF"/>
                    <w:bottom w:val="single" w:sz="6" w:space="0" w:color="BFBFBF"/>
                  </w:tcBorders>
                  <w:shd w:val="clear" w:color="auto" w:fill="auto"/>
                  <w:tcMar>
                    <w:top w:w="28" w:type="dxa"/>
                  </w:tcMar>
                </w:tcPr>
                <w:p w14:paraId="34E6AF1A" w14:textId="77777777" w:rsidR="00084863" w:rsidRDefault="00084863" w:rsidP="00C03F9E">
                  <w:pPr>
                    <w:pStyle w:val="TableColumnHeading"/>
                    <w:ind w:right="28"/>
                    <w:jc w:val="left"/>
                  </w:pPr>
                  <w:r>
                    <w:t>Source</w:t>
                  </w:r>
                </w:p>
              </w:tc>
            </w:tr>
            <w:tr w:rsidR="00084863" w14:paraId="4CAF0829" w14:textId="77777777" w:rsidTr="000D5B63">
              <w:trPr>
                <w:trHeight w:val="491"/>
              </w:trPr>
              <w:tc>
                <w:tcPr>
                  <w:tcW w:w="961" w:type="pct"/>
                  <w:tcBorders>
                    <w:top w:val="single" w:sz="6" w:space="0" w:color="BFBFBF"/>
                  </w:tcBorders>
                </w:tcPr>
                <w:p w14:paraId="466E7280" w14:textId="77777777" w:rsidR="00084863" w:rsidRDefault="00084863" w:rsidP="00C03F9E">
                  <w:pPr>
                    <w:pStyle w:val="TableUnitsRow"/>
                    <w:jc w:val="left"/>
                  </w:pPr>
                  <w:r>
                    <w:t xml:space="preserve">Marginal cost of injection </w:t>
                  </w:r>
                </w:p>
              </w:tc>
              <w:tc>
                <w:tcPr>
                  <w:tcW w:w="613" w:type="pct"/>
                  <w:tcBorders>
                    <w:top w:val="single" w:sz="6" w:space="0" w:color="BFBFBF"/>
                  </w:tcBorders>
                </w:tcPr>
                <w:p w14:paraId="565526A1" w14:textId="6A003032" w:rsidR="00084863" w:rsidRDefault="00084863" w:rsidP="00C03F9E">
                  <w:pPr>
                    <w:pStyle w:val="TableUnitsRow"/>
                    <w:jc w:val="left"/>
                  </w:pPr>
                  <w:r w:rsidRPr="00084863">
                    <w:t>$/GJ</w:t>
                  </w:r>
                </w:p>
              </w:tc>
              <w:tc>
                <w:tcPr>
                  <w:tcW w:w="744" w:type="pct"/>
                  <w:tcBorders>
                    <w:top w:val="single" w:sz="6" w:space="0" w:color="BFBFBF"/>
                  </w:tcBorders>
                </w:tcPr>
                <w:p w14:paraId="1BB7D67E" w14:textId="2C938F7F" w:rsidR="00084863" w:rsidRDefault="00084863" w:rsidP="00C03F9E">
                  <w:pPr>
                    <w:pStyle w:val="TableUnitsRow"/>
                    <w:jc w:val="left"/>
                    <w:rPr>
                      <w:i/>
                    </w:rPr>
                  </w:pPr>
                  <w:r>
                    <w:t>0.125</w:t>
                  </w:r>
                </w:p>
              </w:tc>
              <w:tc>
                <w:tcPr>
                  <w:tcW w:w="2682" w:type="pct"/>
                  <w:vMerge w:val="restart"/>
                  <w:tcBorders>
                    <w:top w:val="single" w:sz="6" w:space="0" w:color="BFBFBF"/>
                  </w:tcBorders>
                </w:tcPr>
                <w:p w14:paraId="76AC57BE" w14:textId="33F4BBA7" w:rsidR="00084863" w:rsidRDefault="00084863" w:rsidP="00C03F9E">
                  <w:pPr>
                    <w:pStyle w:val="TableUnitsRow"/>
                    <w:ind w:right="28"/>
                    <w:jc w:val="left"/>
                    <w:rPr>
                      <w:i/>
                    </w:rPr>
                  </w:pPr>
                  <w:r>
                    <w:t>System use of gas accounts for the majority of the marginal cost of storage. The total marginal cost of injecting into and withdrawing from storage has been set at $0.25</w:t>
                  </w:r>
                  <w:r w:rsidR="008026B7">
                    <w:t xml:space="preserve"> per </w:t>
                  </w:r>
                  <w:r>
                    <w:t>GJ based on system use of gas of between 2 and 3 per cent. This cost has been split equally between injection and withdrawal</w:t>
                  </w:r>
                  <w:r w:rsidR="008026B7">
                    <w:t>.</w:t>
                  </w:r>
                </w:p>
              </w:tc>
            </w:tr>
            <w:tr w:rsidR="00084863" w14:paraId="157FB5A5" w14:textId="77777777" w:rsidTr="000D5B63">
              <w:tc>
                <w:tcPr>
                  <w:tcW w:w="961" w:type="pct"/>
                </w:tcPr>
                <w:p w14:paraId="6F1A478A" w14:textId="77777777" w:rsidR="00084863" w:rsidRPr="00B76F80" w:rsidRDefault="00084863" w:rsidP="00C03F9E">
                  <w:pPr>
                    <w:pStyle w:val="TableBodyText"/>
                    <w:jc w:val="left"/>
                    <w:rPr>
                      <w:b/>
                    </w:rPr>
                  </w:pPr>
                  <w:r>
                    <w:t xml:space="preserve">Marginal cost of withdrawal </w:t>
                  </w:r>
                </w:p>
              </w:tc>
              <w:tc>
                <w:tcPr>
                  <w:tcW w:w="613" w:type="pct"/>
                </w:tcPr>
                <w:p w14:paraId="71D8FB90" w14:textId="5B09BA4F" w:rsidR="00084863" w:rsidRPr="00A26FB5" w:rsidRDefault="00084863" w:rsidP="00C03F9E">
                  <w:pPr>
                    <w:pStyle w:val="TableBodyText"/>
                    <w:framePr w:w="2155" w:hSpace="227" w:vSpace="181" w:wrap="around" w:vAnchor="text" w:hAnchor="page" w:xAlign="outside" w:y="1"/>
                    <w:jc w:val="left"/>
                  </w:pPr>
                  <w:r w:rsidRPr="00084863">
                    <w:t>$/GJ</w:t>
                  </w:r>
                </w:p>
              </w:tc>
              <w:tc>
                <w:tcPr>
                  <w:tcW w:w="744" w:type="pct"/>
                </w:tcPr>
                <w:p w14:paraId="2C37A805" w14:textId="4ECFB834" w:rsidR="00084863" w:rsidRPr="000B38FC" w:rsidRDefault="00084863" w:rsidP="00C03F9E">
                  <w:pPr>
                    <w:pStyle w:val="TableBodyText"/>
                    <w:framePr w:w="2155" w:hSpace="227" w:vSpace="181" w:wrap="around" w:vAnchor="text" w:hAnchor="page" w:xAlign="outside" w:y="1"/>
                    <w:jc w:val="left"/>
                    <w:rPr>
                      <w:b/>
                    </w:rPr>
                  </w:pPr>
                  <w:r>
                    <w:t>0.125</w:t>
                  </w:r>
                </w:p>
              </w:tc>
              <w:tc>
                <w:tcPr>
                  <w:tcW w:w="2682" w:type="pct"/>
                  <w:vMerge/>
                </w:tcPr>
                <w:p w14:paraId="6E358016" w14:textId="77777777" w:rsidR="00084863" w:rsidRDefault="00084863" w:rsidP="00C03F9E">
                  <w:pPr>
                    <w:pStyle w:val="TableBodyText"/>
                    <w:ind w:right="28"/>
                    <w:jc w:val="left"/>
                  </w:pPr>
                </w:p>
              </w:tc>
            </w:tr>
            <w:tr w:rsidR="00084863" w14:paraId="1CF4E774" w14:textId="77777777" w:rsidTr="00A806C7">
              <w:tc>
                <w:tcPr>
                  <w:tcW w:w="961" w:type="pct"/>
                </w:tcPr>
                <w:p w14:paraId="6C9001C3" w14:textId="77777777" w:rsidR="00084863" w:rsidRPr="00507A3A" w:rsidRDefault="00084863" w:rsidP="00C03F9E">
                  <w:pPr>
                    <w:pStyle w:val="TableBodyText"/>
                    <w:spacing w:before="40"/>
                    <w:jc w:val="left"/>
                    <w:rPr>
                      <w:b/>
                    </w:rPr>
                  </w:pPr>
                  <w:r>
                    <w:t xml:space="preserve">Build time </w:t>
                  </w:r>
                </w:p>
              </w:tc>
              <w:tc>
                <w:tcPr>
                  <w:tcW w:w="613" w:type="pct"/>
                </w:tcPr>
                <w:p w14:paraId="5F6832C3" w14:textId="4E00F1D0" w:rsidR="00084863" w:rsidRPr="00A26FB5" w:rsidRDefault="00084863" w:rsidP="00C03F9E">
                  <w:pPr>
                    <w:pStyle w:val="TableBodyText"/>
                    <w:framePr w:w="2155" w:hSpace="227" w:vSpace="181" w:wrap="around" w:vAnchor="text" w:hAnchor="page" w:xAlign="outside" w:y="1"/>
                    <w:spacing w:before="40"/>
                    <w:jc w:val="left"/>
                  </w:pPr>
                  <w:r w:rsidRPr="00A26FB5">
                    <w:t>Years</w:t>
                  </w:r>
                </w:p>
              </w:tc>
              <w:tc>
                <w:tcPr>
                  <w:tcW w:w="744" w:type="pct"/>
                </w:tcPr>
                <w:p w14:paraId="3B70490B" w14:textId="11DA881F" w:rsidR="00084863" w:rsidRPr="00507A3A" w:rsidRDefault="00084863" w:rsidP="00C03F9E">
                  <w:pPr>
                    <w:pStyle w:val="TableBodyText"/>
                    <w:spacing w:before="40"/>
                    <w:jc w:val="left"/>
                    <w:rPr>
                      <w:b/>
                      <w:i/>
                    </w:rPr>
                  </w:pPr>
                  <w:r>
                    <w:t xml:space="preserve">2 </w:t>
                  </w:r>
                </w:p>
              </w:tc>
              <w:tc>
                <w:tcPr>
                  <w:tcW w:w="2682" w:type="pct"/>
                </w:tcPr>
                <w:p w14:paraId="5DAEFB8B" w14:textId="168D078F" w:rsidR="00084863" w:rsidRDefault="00084863" w:rsidP="00C03F9E">
                  <w:pPr>
                    <w:pStyle w:val="TableBodyText"/>
                    <w:spacing w:before="40"/>
                    <w:ind w:right="28"/>
                    <w:jc w:val="left"/>
                    <w:rPr>
                      <w:i/>
                    </w:rPr>
                  </w:pPr>
                  <w:r>
                    <w:t>Midpoint of build times for recent projects</w:t>
                  </w:r>
                  <w:r w:rsidR="008026B7">
                    <w:t>.</w:t>
                  </w:r>
                  <w:r>
                    <w:t xml:space="preserve"> </w:t>
                  </w:r>
                </w:p>
              </w:tc>
            </w:tr>
            <w:tr w:rsidR="00084863" w14:paraId="2DDC2EB9" w14:textId="77777777" w:rsidTr="00A806C7">
              <w:tc>
                <w:tcPr>
                  <w:tcW w:w="961" w:type="pct"/>
                </w:tcPr>
                <w:p w14:paraId="3E2820CA" w14:textId="77777777" w:rsidR="00084863" w:rsidRPr="00507A3A" w:rsidRDefault="00084863" w:rsidP="00C03F9E">
                  <w:pPr>
                    <w:pStyle w:val="TableBodyText"/>
                    <w:spacing w:before="40"/>
                    <w:jc w:val="left"/>
                    <w:rPr>
                      <w:b/>
                    </w:rPr>
                  </w:pPr>
                  <w:r>
                    <w:t>Lifetime</w:t>
                  </w:r>
                </w:p>
              </w:tc>
              <w:tc>
                <w:tcPr>
                  <w:tcW w:w="613" w:type="pct"/>
                </w:tcPr>
                <w:p w14:paraId="7A600C74" w14:textId="15499ED8" w:rsidR="00084863" w:rsidRPr="00A26FB5" w:rsidRDefault="00084863" w:rsidP="00C03F9E">
                  <w:pPr>
                    <w:pStyle w:val="TableBodyText"/>
                    <w:framePr w:w="2155" w:hSpace="227" w:vSpace="181" w:wrap="around" w:vAnchor="text" w:hAnchor="page" w:xAlign="outside" w:y="1"/>
                    <w:spacing w:before="40"/>
                    <w:jc w:val="left"/>
                  </w:pPr>
                  <w:r w:rsidRPr="00A26FB5">
                    <w:t>years</w:t>
                  </w:r>
                </w:p>
              </w:tc>
              <w:tc>
                <w:tcPr>
                  <w:tcW w:w="744" w:type="pct"/>
                </w:tcPr>
                <w:p w14:paraId="51CAAAA3" w14:textId="07A4CFF4" w:rsidR="00084863" w:rsidRPr="00507A3A" w:rsidRDefault="00084863" w:rsidP="00C03F9E">
                  <w:pPr>
                    <w:pStyle w:val="TableBodyText"/>
                    <w:spacing w:before="40"/>
                    <w:jc w:val="left"/>
                    <w:rPr>
                      <w:b/>
                      <w:i/>
                    </w:rPr>
                  </w:pPr>
                  <w:r>
                    <w:t xml:space="preserve">100 </w:t>
                  </w:r>
                </w:p>
              </w:tc>
              <w:tc>
                <w:tcPr>
                  <w:tcW w:w="2682" w:type="pct"/>
                </w:tcPr>
                <w:p w14:paraId="670109A7" w14:textId="529514D1" w:rsidR="00084863" w:rsidRDefault="00084863" w:rsidP="00C03F9E">
                  <w:pPr>
                    <w:pStyle w:val="TableBodyText"/>
                    <w:spacing w:before="40"/>
                    <w:ind w:right="28"/>
                    <w:jc w:val="left"/>
                    <w:rPr>
                      <w:i/>
                    </w:rPr>
                  </w:pPr>
                  <w:r>
                    <w:t>Underground storage facilities are likely to have long economic lifetimes</w:t>
                  </w:r>
                  <w:r w:rsidR="008026B7">
                    <w:t>.</w:t>
                  </w:r>
                  <w:r>
                    <w:t xml:space="preserve"> </w:t>
                  </w:r>
                </w:p>
              </w:tc>
            </w:tr>
            <w:tr w:rsidR="00084863" w14:paraId="74ADB637" w14:textId="77777777" w:rsidTr="00A806C7">
              <w:tc>
                <w:tcPr>
                  <w:tcW w:w="961" w:type="pct"/>
                  <w:tcBorders>
                    <w:bottom w:val="single" w:sz="6" w:space="0" w:color="BFBFBF"/>
                  </w:tcBorders>
                  <w:shd w:val="clear" w:color="auto" w:fill="auto"/>
                </w:tcPr>
                <w:p w14:paraId="12D5FA49" w14:textId="77777777" w:rsidR="00084863" w:rsidRDefault="00084863" w:rsidP="00C03F9E">
                  <w:pPr>
                    <w:pStyle w:val="TableBodyText"/>
                    <w:spacing w:before="40"/>
                    <w:jc w:val="left"/>
                  </w:pPr>
                  <w:r>
                    <w:t>Building/expansion costs</w:t>
                  </w:r>
                  <w:r w:rsidRPr="00B91AFB">
                    <w:rPr>
                      <w:rStyle w:val="NoteLabel"/>
                      <w:position w:val="4"/>
                    </w:rPr>
                    <w:t>a</w:t>
                  </w:r>
                </w:p>
              </w:tc>
              <w:tc>
                <w:tcPr>
                  <w:tcW w:w="613" w:type="pct"/>
                  <w:tcBorders>
                    <w:bottom w:val="single" w:sz="6" w:space="0" w:color="BFBFBF"/>
                  </w:tcBorders>
                  <w:shd w:val="clear" w:color="auto" w:fill="auto"/>
                </w:tcPr>
                <w:p w14:paraId="72F94DFD" w14:textId="445F759F" w:rsidR="00084863" w:rsidRDefault="00084863" w:rsidP="00C03F9E">
                  <w:pPr>
                    <w:pStyle w:val="TableBodyText"/>
                    <w:spacing w:before="40"/>
                    <w:jc w:val="left"/>
                  </w:pPr>
                  <w:r w:rsidRPr="00084863">
                    <w:t>$/GJ</w:t>
                  </w:r>
                </w:p>
              </w:tc>
              <w:tc>
                <w:tcPr>
                  <w:tcW w:w="744" w:type="pct"/>
                  <w:tcBorders>
                    <w:bottom w:val="single" w:sz="6" w:space="0" w:color="BFBFBF"/>
                  </w:tcBorders>
                  <w:shd w:val="clear" w:color="auto" w:fill="auto"/>
                </w:tcPr>
                <w:p w14:paraId="6131DA7E" w14:textId="68546212" w:rsidR="00084863" w:rsidRDefault="00084863" w:rsidP="00C03F9E">
                  <w:pPr>
                    <w:pStyle w:val="TableBodyText"/>
                    <w:spacing w:before="40"/>
                    <w:jc w:val="left"/>
                    <w:rPr>
                      <w:i/>
                      <w:szCs w:val="24"/>
                    </w:rPr>
                  </w:pPr>
                  <w:r>
                    <w:t>12.5</w:t>
                  </w:r>
                </w:p>
              </w:tc>
              <w:tc>
                <w:tcPr>
                  <w:tcW w:w="2682" w:type="pct"/>
                  <w:tcBorders>
                    <w:bottom w:val="single" w:sz="6" w:space="0" w:color="BFBFBF"/>
                  </w:tcBorders>
                  <w:shd w:val="clear" w:color="auto" w:fill="auto"/>
                </w:tcPr>
                <w:p w14:paraId="50981014" w14:textId="7858D53B" w:rsidR="00084863" w:rsidRDefault="00084863" w:rsidP="00621CCE">
                  <w:pPr>
                    <w:pStyle w:val="TableBodyText"/>
                    <w:spacing w:before="40"/>
                    <w:ind w:right="28"/>
                    <w:jc w:val="left"/>
                    <w:rPr>
                      <w:i/>
                      <w:szCs w:val="24"/>
                    </w:rPr>
                  </w:pPr>
                  <w:r>
                    <w:t xml:space="preserve">Based on expansion of the </w:t>
                  </w:r>
                  <w:proofErr w:type="spellStart"/>
                  <w:r>
                    <w:t>Mondarra</w:t>
                  </w:r>
                  <w:proofErr w:type="spellEnd"/>
                  <w:r>
                    <w:t xml:space="preserve"> Storage Facility costing $150 million to expand capacity by 12 000 000 GJ </w:t>
                  </w:r>
                  <w:r w:rsidRPr="004F1A86">
                    <w:rPr>
                      <w:rFonts w:cs="Arial"/>
                      <w:szCs w:val="24"/>
                    </w:rPr>
                    <w:t xml:space="preserve">(The Australian </w:t>
                  </w:r>
                  <w:proofErr w:type="spellStart"/>
                  <w:r w:rsidRPr="004F1A86">
                    <w:rPr>
                      <w:rFonts w:cs="Arial"/>
                      <w:szCs w:val="24"/>
                    </w:rPr>
                    <w:t>Pipeliner</w:t>
                  </w:r>
                  <w:proofErr w:type="spellEnd"/>
                  <w:r w:rsidRPr="004F1A86">
                    <w:rPr>
                      <w:rFonts w:cs="Arial"/>
                      <w:szCs w:val="24"/>
                    </w:rPr>
                    <w:t> 2011)</w:t>
                  </w:r>
                  <w:r w:rsidR="008026B7">
                    <w:rPr>
                      <w:rFonts w:cs="Arial"/>
                      <w:szCs w:val="24"/>
                    </w:rPr>
                    <w:t>.</w:t>
                  </w:r>
                </w:p>
              </w:tc>
            </w:tr>
          </w:tbl>
          <w:p w14:paraId="47344BD9" w14:textId="77777777" w:rsidR="00DA3852" w:rsidRDefault="00DA3852" w:rsidP="00C03F9E">
            <w:pPr>
              <w:pStyle w:val="Box"/>
            </w:pPr>
          </w:p>
        </w:tc>
      </w:tr>
      <w:tr w:rsidR="00DA3852" w14:paraId="703EDE34" w14:textId="77777777" w:rsidTr="00C03F9E">
        <w:trPr>
          <w:cantSplit/>
        </w:trPr>
        <w:tc>
          <w:tcPr>
            <w:tcW w:w="8771" w:type="dxa"/>
            <w:tcBorders>
              <w:top w:val="nil"/>
              <w:left w:val="nil"/>
              <w:bottom w:val="nil"/>
              <w:right w:val="nil"/>
            </w:tcBorders>
            <w:shd w:val="clear" w:color="auto" w:fill="auto"/>
          </w:tcPr>
          <w:p w14:paraId="301D547C" w14:textId="77777777" w:rsidR="00DA3852" w:rsidRDefault="00DA3852" w:rsidP="00C03F9E">
            <w:pPr>
              <w:pStyle w:val="Note"/>
              <w:rPr>
                <w:i/>
              </w:rPr>
            </w:pPr>
            <w:proofErr w:type="spellStart"/>
            <w:proofErr w:type="gramStart"/>
            <w:r w:rsidRPr="008E77FE">
              <w:rPr>
                <w:rStyle w:val="NoteLabel"/>
              </w:rPr>
              <w:t>a</w:t>
            </w:r>
            <w:proofErr w:type="spellEnd"/>
            <w:proofErr w:type="gramEnd"/>
            <w:r>
              <w:t xml:space="preserve"> Expansion of storage facilities is only allowed at nodes that already have underground storage facilities. </w:t>
            </w:r>
          </w:p>
        </w:tc>
      </w:tr>
      <w:tr w:rsidR="00DA3852" w14:paraId="3305AE48" w14:textId="77777777" w:rsidTr="00C03F9E">
        <w:trPr>
          <w:cantSplit/>
        </w:trPr>
        <w:tc>
          <w:tcPr>
            <w:tcW w:w="8771" w:type="dxa"/>
            <w:tcBorders>
              <w:top w:val="nil"/>
              <w:left w:val="nil"/>
              <w:bottom w:val="single" w:sz="6" w:space="0" w:color="78A22F"/>
              <w:right w:val="nil"/>
            </w:tcBorders>
            <w:shd w:val="clear" w:color="auto" w:fill="auto"/>
          </w:tcPr>
          <w:p w14:paraId="36DF63D5" w14:textId="77777777" w:rsidR="00DA3852" w:rsidRDefault="00DA3852" w:rsidP="00C03F9E">
            <w:pPr>
              <w:pStyle w:val="Box"/>
              <w:keepNext w:val="0"/>
              <w:spacing w:before="0" w:line="120" w:lineRule="exact"/>
            </w:pPr>
          </w:p>
        </w:tc>
      </w:tr>
    </w:tbl>
    <w:p w14:paraId="7BFBDA11" w14:textId="77777777" w:rsidR="00DA3852" w:rsidRDefault="00DA3852" w:rsidP="00DA3852">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DA3852" w14:paraId="2D0B630E" w14:textId="77777777" w:rsidTr="00C03F9E">
        <w:tc>
          <w:tcPr>
            <w:tcW w:w="8771" w:type="dxa"/>
            <w:tcBorders>
              <w:top w:val="single" w:sz="6" w:space="0" w:color="78A22F"/>
              <w:left w:val="nil"/>
              <w:bottom w:val="nil"/>
              <w:right w:val="nil"/>
            </w:tcBorders>
            <w:shd w:val="clear" w:color="auto" w:fill="auto"/>
          </w:tcPr>
          <w:p w14:paraId="07E9BD2F" w14:textId="5B9C3D4D" w:rsidR="00DA3852" w:rsidRPr="00784A05" w:rsidRDefault="00DA3852" w:rsidP="00C03F9E">
            <w:pPr>
              <w:pStyle w:val="TableTitle"/>
            </w:pPr>
            <w:r>
              <w:rPr>
                <w:b w:val="0"/>
              </w:rPr>
              <w:t>Table B.</w:t>
            </w:r>
            <w:r>
              <w:rPr>
                <w:b w:val="0"/>
                <w:noProof/>
              </w:rPr>
              <w:t>12</w:t>
            </w:r>
            <w:r>
              <w:tab/>
              <w:t xml:space="preserve">Storage facilities </w:t>
            </w:r>
          </w:p>
        </w:tc>
      </w:tr>
      <w:tr w:rsidR="00DA3852" w14:paraId="5CDC200B" w14:textId="77777777" w:rsidTr="00C03F9E">
        <w:trPr>
          <w:cantSplit/>
        </w:trPr>
        <w:tc>
          <w:tcPr>
            <w:tcW w:w="8771" w:type="dxa"/>
            <w:tcBorders>
              <w:top w:val="nil"/>
              <w:left w:val="nil"/>
              <w:bottom w:val="nil"/>
              <w:right w:val="nil"/>
            </w:tcBorders>
            <w:shd w:val="clear" w:color="auto" w:fill="auto"/>
          </w:tcPr>
          <w:tbl>
            <w:tblPr>
              <w:tblW w:w="4998" w:type="pct"/>
              <w:tblCellMar>
                <w:top w:w="28" w:type="dxa"/>
                <w:left w:w="0" w:type="dxa"/>
                <w:right w:w="0" w:type="dxa"/>
              </w:tblCellMar>
              <w:tblLook w:val="0000" w:firstRow="0" w:lastRow="0" w:firstColumn="0" w:lastColumn="0" w:noHBand="0" w:noVBand="0"/>
            </w:tblPr>
            <w:tblGrid>
              <w:gridCol w:w="1823"/>
              <w:gridCol w:w="2550"/>
              <w:gridCol w:w="1559"/>
              <w:gridCol w:w="2552"/>
            </w:tblGrid>
            <w:tr w:rsidR="00DA3852" w14:paraId="27D4B028" w14:textId="77777777" w:rsidTr="00C03F9E">
              <w:tc>
                <w:tcPr>
                  <w:tcW w:w="1074" w:type="pct"/>
                  <w:tcBorders>
                    <w:top w:val="single" w:sz="6" w:space="0" w:color="BFBFBF"/>
                    <w:bottom w:val="single" w:sz="6" w:space="0" w:color="BFBFBF"/>
                  </w:tcBorders>
                  <w:shd w:val="clear" w:color="auto" w:fill="auto"/>
                  <w:tcMar>
                    <w:top w:w="28" w:type="dxa"/>
                  </w:tcMar>
                </w:tcPr>
                <w:p w14:paraId="28E3E5A8" w14:textId="77777777" w:rsidR="00DA3852" w:rsidRDefault="00DA3852" w:rsidP="00C03F9E">
                  <w:pPr>
                    <w:pStyle w:val="TableColumnHeading"/>
                    <w:jc w:val="left"/>
                  </w:pPr>
                  <w:r>
                    <w:t>Model node</w:t>
                  </w:r>
                </w:p>
              </w:tc>
              <w:tc>
                <w:tcPr>
                  <w:tcW w:w="1503" w:type="pct"/>
                  <w:tcBorders>
                    <w:top w:val="single" w:sz="6" w:space="0" w:color="BFBFBF"/>
                    <w:bottom w:val="single" w:sz="6" w:space="0" w:color="BFBFBF"/>
                  </w:tcBorders>
                </w:tcPr>
                <w:p w14:paraId="49EE2224" w14:textId="77777777" w:rsidR="00DA3852" w:rsidRDefault="00DA3852" w:rsidP="00C03F9E">
                  <w:pPr>
                    <w:pStyle w:val="TableColumnHeading"/>
                    <w:jc w:val="left"/>
                  </w:pPr>
                  <w:r>
                    <w:t>Facility</w:t>
                  </w:r>
                </w:p>
              </w:tc>
              <w:tc>
                <w:tcPr>
                  <w:tcW w:w="919" w:type="pct"/>
                  <w:tcBorders>
                    <w:top w:val="single" w:sz="6" w:space="0" w:color="BFBFBF"/>
                    <w:bottom w:val="single" w:sz="6" w:space="0" w:color="BFBFBF"/>
                  </w:tcBorders>
                  <w:shd w:val="clear" w:color="auto" w:fill="auto"/>
                  <w:tcMar>
                    <w:top w:w="28" w:type="dxa"/>
                  </w:tcMar>
                </w:tcPr>
                <w:p w14:paraId="4FA09D30" w14:textId="77777777" w:rsidR="00DA3852" w:rsidRDefault="00DA3852" w:rsidP="00C03F9E">
                  <w:pPr>
                    <w:pStyle w:val="TableColumnHeading"/>
                  </w:pPr>
                  <w:r>
                    <w:t>Capacity (PJ)</w:t>
                  </w:r>
                </w:p>
              </w:tc>
              <w:tc>
                <w:tcPr>
                  <w:tcW w:w="1504" w:type="pct"/>
                  <w:tcBorders>
                    <w:top w:val="single" w:sz="6" w:space="0" w:color="BFBFBF"/>
                    <w:bottom w:val="single" w:sz="6" w:space="0" w:color="BFBFBF"/>
                  </w:tcBorders>
                  <w:shd w:val="clear" w:color="auto" w:fill="auto"/>
                  <w:tcMar>
                    <w:top w:w="28" w:type="dxa"/>
                  </w:tcMar>
                </w:tcPr>
                <w:p w14:paraId="5FBB19AB" w14:textId="77777777" w:rsidR="00DA3852" w:rsidRDefault="00DA3852" w:rsidP="00C03F9E">
                  <w:pPr>
                    <w:pStyle w:val="TableColumnHeading"/>
                    <w:ind w:left="567" w:right="340"/>
                    <w:jc w:val="both"/>
                  </w:pPr>
                  <w:r>
                    <w:t>Source</w:t>
                  </w:r>
                </w:p>
              </w:tc>
            </w:tr>
            <w:tr w:rsidR="00DA3852" w14:paraId="404ABE4D" w14:textId="77777777" w:rsidTr="00C03F9E">
              <w:tc>
                <w:tcPr>
                  <w:tcW w:w="1074" w:type="pct"/>
                  <w:tcBorders>
                    <w:top w:val="single" w:sz="6" w:space="0" w:color="BFBFBF"/>
                  </w:tcBorders>
                </w:tcPr>
                <w:p w14:paraId="2576ABC0" w14:textId="77777777" w:rsidR="00DA3852" w:rsidRDefault="00DA3852" w:rsidP="00C03F9E">
                  <w:pPr>
                    <w:pStyle w:val="TableUnitsRow"/>
                    <w:jc w:val="left"/>
                  </w:pPr>
                  <w:r>
                    <w:t>Brisbane</w:t>
                  </w:r>
                </w:p>
              </w:tc>
              <w:tc>
                <w:tcPr>
                  <w:tcW w:w="1503" w:type="pct"/>
                  <w:tcBorders>
                    <w:top w:val="single" w:sz="6" w:space="0" w:color="BFBFBF"/>
                  </w:tcBorders>
                </w:tcPr>
                <w:p w14:paraId="54A7A796" w14:textId="77777777" w:rsidR="00DA3852" w:rsidRDefault="00DA3852" w:rsidP="00C03F9E">
                  <w:pPr>
                    <w:pStyle w:val="TableUnitsRow"/>
                    <w:jc w:val="left"/>
                  </w:pPr>
                  <w:r>
                    <w:t>Newstead Underground</w:t>
                  </w:r>
                </w:p>
              </w:tc>
              <w:tc>
                <w:tcPr>
                  <w:tcW w:w="919" w:type="pct"/>
                  <w:tcBorders>
                    <w:top w:val="single" w:sz="6" w:space="0" w:color="BFBFBF"/>
                  </w:tcBorders>
                </w:tcPr>
                <w:p w14:paraId="3ED5003B" w14:textId="77777777" w:rsidR="00DA3852" w:rsidRDefault="00DA3852" w:rsidP="00C03F9E">
                  <w:pPr>
                    <w:pStyle w:val="TableUnitsRow"/>
                    <w:rPr>
                      <w:i/>
                    </w:rPr>
                  </w:pPr>
                  <w:r>
                    <w:t>2</w:t>
                  </w:r>
                </w:p>
              </w:tc>
              <w:tc>
                <w:tcPr>
                  <w:tcW w:w="1504" w:type="pct"/>
                  <w:tcBorders>
                    <w:top w:val="single" w:sz="6" w:space="0" w:color="BFBFBF"/>
                  </w:tcBorders>
                </w:tcPr>
                <w:p w14:paraId="0C76B001" w14:textId="7C4A34F1" w:rsidR="00DA3852" w:rsidRDefault="00DA3852" w:rsidP="00C03F9E">
                  <w:pPr>
                    <w:pStyle w:val="TableUnitsRow"/>
                    <w:ind w:left="567" w:right="340"/>
                    <w:jc w:val="left"/>
                    <w:rPr>
                      <w:i/>
                    </w:rPr>
                  </w:pPr>
                  <w:r>
                    <w:t xml:space="preserve">AEMO </w:t>
                  </w:r>
                  <w:r w:rsidR="00281A90">
                    <w:rPr>
                      <w:rFonts w:cs="Arial"/>
                    </w:rPr>
                    <w:t>(2013b</w:t>
                  </w:r>
                  <w:r w:rsidRPr="00CC65B1">
                    <w:rPr>
                      <w:rFonts w:cs="Arial"/>
                    </w:rPr>
                    <w:t>)</w:t>
                  </w:r>
                </w:p>
              </w:tc>
            </w:tr>
            <w:tr w:rsidR="00DA3852" w14:paraId="08707589" w14:textId="77777777" w:rsidTr="00C03F9E">
              <w:tc>
                <w:tcPr>
                  <w:tcW w:w="1074" w:type="pct"/>
                </w:tcPr>
                <w:p w14:paraId="0E7362B2" w14:textId="77777777" w:rsidR="00DA3852" w:rsidRDefault="00DA3852" w:rsidP="00C03F9E">
                  <w:pPr>
                    <w:pStyle w:val="TableBodyText"/>
                    <w:jc w:val="left"/>
                  </w:pPr>
                  <w:r>
                    <w:t>Cooper</w:t>
                  </w:r>
                </w:p>
              </w:tc>
              <w:tc>
                <w:tcPr>
                  <w:tcW w:w="1503" w:type="pct"/>
                </w:tcPr>
                <w:p w14:paraId="7B9E0E84" w14:textId="77777777" w:rsidR="00DA3852" w:rsidRDefault="00DA3852" w:rsidP="00C03F9E">
                  <w:pPr>
                    <w:pStyle w:val="TableBodyText"/>
                    <w:jc w:val="left"/>
                  </w:pPr>
                  <w:proofErr w:type="spellStart"/>
                  <w:r>
                    <w:t>Ballera</w:t>
                  </w:r>
                  <w:proofErr w:type="spellEnd"/>
                  <w:r>
                    <w:t xml:space="preserve"> Underground</w:t>
                  </w:r>
                </w:p>
              </w:tc>
              <w:tc>
                <w:tcPr>
                  <w:tcW w:w="919" w:type="pct"/>
                </w:tcPr>
                <w:p w14:paraId="799FE592" w14:textId="77777777" w:rsidR="00DA3852" w:rsidRDefault="00DA3852" w:rsidP="00C03F9E">
                  <w:pPr>
                    <w:pStyle w:val="TableBodyText"/>
                    <w:rPr>
                      <w:i/>
                    </w:rPr>
                  </w:pPr>
                  <w:r>
                    <w:t>13.7</w:t>
                  </w:r>
                </w:p>
              </w:tc>
              <w:tc>
                <w:tcPr>
                  <w:tcW w:w="1504" w:type="pct"/>
                </w:tcPr>
                <w:p w14:paraId="06370967" w14:textId="4062722D" w:rsidR="00DA3852" w:rsidRDefault="00DA3852" w:rsidP="00C03F9E">
                  <w:pPr>
                    <w:pStyle w:val="TableBodyText"/>
                    <w:ind w:left="567" w:right="340"/>
                    <w:jc w:val="left"/>
                    <w:rPr>
                      <w:i/>
                    </w:rPr>
                  </w:pPr>
                  <w:r>
                    <w:t xml:space="preserve">AEMO </w:t>
                  </w:r>
                  <w:r w:rsidR="00281A90">
                    <w:rPr>
                      <w:rFonts w:cs="Arial"/>
                    </w:rPr>
                    <w:t>(2013b</w:t>
                  </w:r>
                  <w:r w:rsidRPr="00A95038">
                    <w:rPr>
                      <w:rFonts w:cs="Arial"/>
                    </w:rPr>
                    <w:t>)</w:t>
                  </w:r>
                </w:p>
              </w:tc>
            </w:tr>
            <w:tr w:rsidR="00DA3852" w14:paraId="7511E0FA" w14:textId="77777777" w:rsidTr="00C03F9E">
              <w:tc>
                <w:tcPr>
                  <w:tcW w:w="1074" w:type="pct"/>
                </w:tcPr>
                <w:p w14:paraId="5D59B653" w14:textId="77777777" w:rsidR="00DA3852" w:rsidRDefault="00DA3852" w:rsidP="00C03F9E">
                  <w:pPr>
                    <w:pStyle w:val="TableBodyText"/>
                    <w:jc w:val="left"/>
                  </w:pPr>
                  <w:r>
                    <w:t>Cooper</w:t>
                  </w:r>
                </w:p>
              </w:tc>
              <w:tc>
                <w:tcPr>
                  <w:tcW w:w="1503" w:type="pct"/>
                </w:tcPr>
                <w:p w14:paraId="55B478C6" w14:textId="77777777" w:rsidR="00DA3852" w:rsidRDefault="00DA3852" w:rsidP="00C03F9E">
                  <w:pPr>
                    <w:pStyle w:val="TableBodyText"/>
                    <w:jc w:val="left"/>
                  </w:pPr>
                  <w:r>
                    <w:t>Moomba Underground</w:t>
                  </w:r>
                </w:p>
              </w:tc>
              <w:tc>
                <w:tcPr>
                  <w:tcW w:w="919" w:type="pct"/>
                </w:tcPr>
                <w:p w14:paraId="078A2FFB" w14:textId="77777777" w:rsidR="00DA3852" w:rsidRDefault="00DA3852" w:rsidP="00C03F9E">
                  <w:pPr>
                    <w:pStyle w:val="TableBodyText"/>
                    <w:rPr>
                      <w:i/>
                    </w:rPr>
                  </w:pPr>
                  <w:r>
                    <w:t>85</w:t>
                  </w:r>
                </w:p>
              </w:tc>
              <w:tc>
                <w:tcPr>
                  <w:tcW w:w="1504" w:type="pct"/>
                </w:tcPr>
                <w:p w14:paraId="5B5F60D0" w14:textId="54FA3DFC" w:rsidR="00DA3852" w:rsidRDefault="00DA3852" w:rsidP="00C03F9E">
                  <w:pPr>
                    <w:pStyle w:val="TableBodyText"/>
                    <w:ind w:left="567" w:right="340"/>
                    <w:jc w:val="left"/>
                    <w:rPr>
                      <w:i/>
                    </w:rPr>
                  </w:pPr>
                  <w:r>
                    <w:t xml:space="preserve">AEMO </w:t>
                  </w:r>
                  <w:r w:rsidRPr="00A7583A">
                    <w:rPr>
                      <w:rFonts w:cs="Arial"/>
                    </w:rPr>
                    <w:t>(2013</w:t>
                  </w:r>
                  <w:r w:rsidR="00281A90">
                    <w:rPr>
                      <w:rFonts w:cs="Arial"/>
                    </w:rPr>
                    <w:t>b</w:t>
                  </w:r>
                  <w:r w:rsidRPr="00A7583A">
                    <w:rPr>
                      <w:rFonts w:cs="Arial"/>
                    </w:rPr>
                    <w:t>)</w:t>
                  </w:r>
                </w:p>
              </w:tc>
            </w:tr>
            <w:tr w:rsidR="00DA3852" w14:paraId="4A21DE15" w14:textId="77777777" w:rsidTr="00C03F9E">
              <w:tc>
                <w:tcPr>
                  <w:tcW w:w="1074" w:type="pct"/>
                </w:tcPr>
                <w:p w14:paraId="49F0D9B8" w14:textId="77777777" w:rsidR="00DA3852" w:rsidRDefault="00DA3852" w:rsidP="00C03F9E">
                  <w:pPr>
                    <w:pStyle w:val="TableBodyText"/>
                    <w:jc w:val="left"/>
                  </w:pPr>
                  <w:r>
                    <w:t>Otway</w:t>
                  </w:r>
                </w:p>
              </w:tc>
              <w:tc>
                <w:tcPr>
                  <w:tcW w:w="1503" w:type="pct"/>
                </w:tcPr>
                <w:p w14:paraId="37DD4E46" w14:textId="77777777" w:rsidR="00DA3852" w:rsidRDefault="00DA3852" w:rsidP="00C03F9E">
                  <w:pPr>
                    <w:pStyle w:val="TableBodyText"/>
                    <w:jc w:val="left"/>
                  </w:pPr>
                  <w:r>
                    <w:t>Iona Underground</w:t>
                  </w:r>
                </w:p>
              </w:tc>
              <w:tc>
                <w:tcPr>
                  <w:tcW w:w="919" w:type="pct"/>
                </w:tcPr>
                <w:p w14:paraId="40109285" w14:textId="77777777" w:rsidR="00DA3852" w:rsidRDefault="00DA3852" w:rsidP="00C03F9E">
                  <w:pPr>
                    <w:pStyle w:val="TableBodyText"/>
                    <w:rPr>
                      <w:i/>
                    </w:rPr>
                  </w:pPr>
                  <w:r>
                    <w:t>22</w:t>
                  </w:r>
                </w:p>
              </w:tc>
              <w:tc>
                <w:tcPr>
                  <w:tcW w:w="1504" w:type="pct"/>
                </w:tcPr>
                <w:p w14:paraId="56D1CFE8" w14:textId="3178959C" w:rsidR="00DA3852" w:rsidRDefault="00DA3852" w:rsidP="00C03F9E">
                  <w:pPr>
                    <w:pStyle w:val="TableBodyText"/>
                    <w:ind w:left="567" w:right="340"/>
                    <w:jc w:val="left"/>
                    <w:rPr>
                      <w:i/>
                    </w:rPr>
                  </w:pPr>
                  <w:r>
                    <w:t xml:space="preserve">AEMO </w:t>
                  </w:r>
                  <w:r w:rsidR="00281A90">
                    <w:rPr>
                      <w:rFonts w:cs="Arial"/>
                    </w:rPr>
                    <w:t>(2013b</w:t>
                  </w:r>
                  <w:r w:rsidRPr="00CC65B1">
                    <w:rPr>
                      <w:rFonts w:cs="Arial"/>
                    </w:rPr>
                    <w:t>)</w:t>
                  </w:r>
                </w:p>
              </w:tc>
            </w:tr>
            <w:tr w:rsidR="00DA3852" w14:paraId="436A8985" w14:textId="77777777" w:rsidTr="00C03F9E">
              <w:tc>
                <w:tcPr>
                  <w:tcW w:w="1074" w:type="pct"/>
                </w:tcPr>
                <w:p w14:paraId="1051AD90" w14:textId="1F28CA0F" w:rsidR="00DA3852" w:rsidRDefault="00DA3852" w:rsidP="00C03F9E">
                  <w:pPr>
                    <w:pStyle w:val="TableBodyText"/>
                    <w:jc w:val="left"/>
                  </w:pPr>
                  <w:r>
                    <w:t>Surat–Bowen</w:t>
                  </w:r>
                </w:p>
              </w:tc>
              <w:tc>
                <w:tcPr>
                  <w:tcW w:w="1503" w:type="pct"/>
                </w:tcPr>
                <w:p w14:paraId="287C304D" w14:textId="77777777" w:rsidR="00DA3852" w:rsidRDefault="00DA3852" w:rsidP="00C03F9E">
                  <w:pPr>
                    <w:pStyle w:val="TableBodyText"/>
                    <w:jc w:val="left"/>
                  </w:pPr>
                  <w:r>
                    <w:t>Roma Underground</w:t>
                  </w:r>
                </w:p>
              </w:tc>
              <w:tc>
                <w:tcPr>
                  <w:tcW w:w="919" w:type="pct"/>
                </w:tcPr>
                <w:p w14:paraId="3F55BC49" w14:textId="77777777" w:rsidR="00DA3852" w:rsidRDefault="00DA3852" w:rsidP="00C03F9E">
                  <w:pPr>
                    <w:pStyle w:val="TableBodyText"/>
                    <w:rPr>
                      <w:i/>
                    </w:rPr>
                  </w:pPr>
                  <w:r>
                    <w:t>50</w:t>
                  </w:r>
                </w:p>
              </w:tc>
              <w:tc>
                <w:tcPr>
                  <w:tcW w:w="1504" w:type="pct"/>
                </w:tcPr>
                <w:p w14:paraId="57250CD7" w14:textId="07476CA0" w:rsidR="00DA3852" w:rsidRDefault="00DA3852" w:rsidP="00C03F9E">
                  <w:pPr>
                    <w:pStyle w:val="TableBodyText"/>
                    <w:ind w:left="567" w:right="340"/>
                    <w:jc w:val="left"/>
                    <w:rPr>
                      <w:i/>
                    </w:rPr>
                  </w:pPr>
                  <w:r>
                    <w:t xml:space="preserve">Santos </w:t>
                  </w:r>
                  <w:r w:rsidR="00281A90">
                    <w:rPr>
                      <w:rFonts w:cs="Arial"/>
                    </w:rPr>
                    <w:t>(2014b</w:t>
                  </w:r>
                  <w:r w:rsidRPr="008D45FF">
                    <w:rPr>
                      <w:rFonts w:cs="Arial"/>
                    </w:rPr>
                    <w:t>)</w:t>
                  </w:r>
                </w:p>
              </w:tc>
            </w:tr>
            <w:tr w:rsidR="00DA3852" w14:paraId="2F1DA39E" w14:textId="77777777" w:rsidTr="00C03F9E">
              <w:tc>
                <w:tcPr>
                  <w:tcW w:w="1074" w:type="pct"/>
                </w:tcPr>
                <w:p w14:paraId="692A7EFE" w14:textId="162ACD79" w:rsidR="00DA3852" w:rsidRDefault="00DA3852" w:rsidP="00C03F9E">
                  <w:pPr>
                    <w:pStyle w:val="TableBodyText"/>
                    <w:jc w:val="left"/>
                  </w:pPr>
                  <w:r>
                    <w:t>Surat–Bowen</w:t>
                  </w:r>
                </w:p>
              </w:tc>
              <w:tc>
                <w:tcPr>
                  <w:tcW w:w="1503" w:type="pct"/>
                </w:tcPr>
                <w:p w14:paraId="1E56C1A6" w14:textId="77777777" w:rsidR="00DA3852" w:rsidRDefault="00DA3852" w:rsidP="00C03F9E">
                  <w:pPr>
                    <w:pStyle w:val="TableBodyText"/>
                    <w:jc w:val="left"/>
                  </w:pPr>
                  <w:r>
                    <w:t>Silver Springs</w:t>
                  </w:r>
                </w:p>
              </w:tc>
              <w:tc>
                <w:tcPr>
                  <w:tcW w:w="919" w:type="pct"/>
                </w:tcPr>
                <w:p w14:paraId="014FBBF3" w14:textId="77777777" w:rsidR="00DA3852" w:rsidRDefault="00DA3852" w:rsidP="00C03F9E">
                  <w:pPr>
                    <w:pStyle w:val="TableBodyText"/>
                    <w:rPr>
                      <w:i/>
                    </w:rPr>
                  </w:pPr>
                  <w:r>
                    <w:t>30</w:t>
                  </w:r>
                </w:p>
              </w:tc>
              <w:tc>
                <w:tcPr>
                  <w:tcW w:w="1504" w:type="pct"/>
                </w:tcPr>
                <w:p w14:paraId="6AEA070E" w14:textId="5A3C5DA6" w:rsidR="00DA3852" w:rsidRDefault="00DA3852" w:rsidP="00C03F9E">
                  <w:pPr>
                    <w:pStyle w:val="TableBodyText"/>
                    <w:ind w:left="567" w:right="340"/>
                    <w:jc w:val="left"/>
                    <w:rPr>
                      <w:i/>
                    </w:rPr>
                  </w:pPr>
                  <w:r>
                    <w:t xml:space="preserve">Fraser </w:t>
                  </w:r>
                  <w:r w:rsidRPr="00917372">
                    <w:rPr>
                      <w:rFonts w:cs="Arial"/>
                    </w:rPr>
                    <w:t>(2013)</w:t>
                  </w:r>
                </w:p>
              </w:tc>
            </w:tr>
          </w:tbl>
          <w:p w14:paraId="1F1AA943" w14:textId="77777777" w:rsidR="00DA3852" w:rsidRDefault="00DA3852" w:rsidP="00C03F9E">
            <w:pPr>
              <w:pStyle w:val="Box"/>
            </w:pPr>
          </w:p>
        </w:tc>
      </w:tr>
      <w:tr w:rsidR="00DA3852" w14:paraId="6321E204" w14:textId="77777777" w:rsidTr="00C03F9E">
        <w:trPr>
          <w:cantSplit/>
        </w:trPr>
        <w:tc>
          <w:tcPr>
            <w:tcW w:w="8771" w:type="dxa"/>
            <w:tcBorders>
              <w:top w:val="nil"/>
              <w:left w:val="nil"/>
              <w:bottom w:val="single" w:sz="6" w:space="0" w:color="78A22F"/>
              <w:right w:val="nil"/>
            </w:tcBorders>
            <w:shd w:val="clear" w:color="auto" w:fill="auto"/>
          </w:tcPr>
          <w:p w14:paraId="03C62263" w14:textId="77777777" w:rsidR="00DA3852" w:rsidRDefault="00DA3852" w:rsidP="00C03F9E">
            <w:pPr>
              <w:pStyle w:val="Box"/>
              <w:spacing w:before="0" w:line="120" w:lineRule="exact"/>
            </w:pPr>
          </w:p>
        </w:tc>
      </w:tr>
      <w:tr w:rsidR="00DA3852" w:rsidRPr="000863A5" w14:paraId="676FB1AC" w14:textId="77777777" w:rsidTr="00C03F9E">
        <w:tc>
          <w:tcPr>
            <w:tcW w:w="8771" w:type="dxa"/>
            <w:tcBorders>
              <w:top w:val="single" w:sz="6" w:space="0" w:color="78A22F"/>
              <w:left w:val="nil"/>
              <w:bottom w:val="nil"/>
              <w:right w:val="nil"/>
            </w:tcBorders>
          </w:tcPr>
          <w:p w14:paraId="25E89A2F" w14:textId="77777777" w:rsidR="00DA3852" w:rsidRPr="00626D32" w:rsidRDefault="00DA3852" w:rsidP="00C03F9E">
            <w:pPr>
              <w:pStyle w:val="BoxSpaceBelow"/>
            </w:pPr>
          </w:p>
        </w:tc>
      </w:tr>
    </w:tbl>
    <w:p w14:paraId="430000F4" w14:textId="77777777" w:rsidR="00DA3852" w:rsidRDefault="00DA3852" w:rsidP="00DA3852">
      <w:pPr>
        <w:pStyle w:val="Heading3"/>
      </w:pPr>
      <w:bookmarkStart w:id="12" w:name="_Toc410222286"/>
      <w:r>
        <w:t>LNG conversion and export demand</w:t>
      </w:r>
      <w:bookmarkEnd w:id="12"/>
    </w:p>
    <w:p w14:paraId="723178F0" w14:textId="77777777" w:rsidR="00DA3852" w:rsidRDefault="00DA3852" w:rsidP="00DA3852">
      <w:pPr>
        <w:pStyle w:val="BodyText"/>
      </w:pPr>
      <w:r>
        <w:t>Demand for gas to supply LNG exports is modelled in two parts: existing LNG contracts (and associated liquefaction plant capacity) and the potential for further increases in LNG exports.</w:t>
      </w:r>
    </w:p>
    <w:p w14:paraId="6EF98965" w14:textId="77777777" w:rsidR="00DA3852" w:rsidRDefault="00DA3852" w:rsidP="00DA3852">
      <w:pPr>
        <w:pStyle w:val="Heading4"/>
      </w:pPr>
      <w:r>
        <w:t>Existing LNG contracts</w:t>
      </w:r>
    </w:p>
    <w:p w14:paraId="7618CB6B" w14:textId="46A8BE0A" w:rsidR="00DA3852" w:rsidRDefault="00DA3852" w:rsidP="00DA3852">
      <w:pPr>
        <w:pStyle w:val="BodyText"/>
      </w:pPr>
      <w:r>
        <w:t>Almost all of the LNG capacity currently under construction in Gladstone is contracted for 20 years or more (table B.13).</w:t>
      </w:r>
      <w:r w:rsidRPr="00D54D05">
        <w:rPr>
          <w:rStyle w:val="FootnoteReference"/>
        </w:rPr>
        <w:footnoteReference w:id="18"/>
      </w:r>
      <w:r>
        <w:t xml:space="preserve"> The assumption used for modelling is that LNG producers must deliver this ‘already</w:t>
      </w:r>
      <w:r>
        <w:noBreakHyphen/>
        <w:t xml:space="preserve">contracted’ quantity, independent of conditions in the </w:t>
      </w:r>
      <w:r w:rsidR="008026B7">
        <w:br/>
      </w:r>
      <w:r>
        <w:t>Asia–Pacific LNG market (figure </w:t>
      </w:r>
      <w:r w:rsidR="008026B7">
        <w:t>B.</w:t>
      </w:r>
      <w:r>
        <w:t xml:space="preserve">6). </w:t>
      </w:r>
    </w:p>
    <w:p w14:paraId="592B9E9E" w14:textId="51A0B5AB" w:rsidR="00CC518F" w:rsidRDefault="00CC518F" w:rsidP="00CC518F">
      <w:pPr>
        <w:pStyle w:val="BodyText"/>
      </w:pPr>
      <w:r>
        <w:t>This assumes that contracts are binding and cannot be terminated, and that contract volumes are not renegotiated, regardless of the price of LNG in the Asia–Pacific market. Existing LNG contracts for export of gas are explicitly represented in this way because contracts are likely to have penalty clauses associated with any failure to export gas from Australia.</w:t>
      </w:r>
    </w:p>
    <w:p w14:paraId="0BA5CCCE" w14:textId="40F1FFFE" w:rsidR="00CC518F" w:rsidRDefault="00CC518F" w:rsidP="00CC518F">
      <w:pPr>
        <w:pStyle w:val="BodyText"/>
      </w:pPr>
      <w:r>
        <w:t xml:space="preserve">This approach does not take into account any ‘downward quantity tolerance’ clauses in LNG contracts. A downward </w:t>
      </w:r>
      <w:r w:rsidR="000D5B63">
        <w:t>quantity</w:t>
      </w:r>
      <w:r>
        <w:t xml:space="preserve"> tolerance clause allows a buyer to purchase less than the fully contracted amount in a given year without incurring sanctions </w:t>
      </w:r>
      <w:r w:rsidRPr="00C55AE8">
        <w:rPr>
          <w:szCs w:val="24"/>
        </w:rPr>
        <w:t>(Gas Strategies 2015)</w:t>
      </w:r>
      <w:r>
        <w:t>. If this were to occur, LNG plants could reduce production. However, as LNG plant costs have already been sunk, the decision of whether to continue to sell excess LNG on spot markets would be based on the short</w:t>
      </w:r>
      <w:r>
        <w:noBreakHyphen/>
        <w:t>run marginal cost of supply export markets, so it is possible that the quantity of gas produced from LNG plants could remain unchanged.</w:t>
      </w:r>
    </w:p>
    <w:p w14:paraId="3040BF15" w14:textId="77777777" w:rsidR="00DA3852" w:rsidRDefault="00DA3852" w:rsidP="00DA3852">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DA3852" w14:paraId="0095E7C9" w14:textId="77777777" w:rsidTr="00C03F9E">
        <w:tc>
          <w:tcPr>
            <w:tcW w:w="8771" w:type="dxa"/>
            <w:tcBorders>
              <w:top w:val="single" w:sz="6" w:space="0" w:color="78A22F"/>
              <w:left w:val="nil"/>
              <w:bottom w:val="nil"/>
              <w:right w:val="nil"/>
            </w:tcBorders>
            <w:shd w:val="clear" w:color="auto" w:fill="auto"/>
          </w:tcPr>
          <w:p w14:paraId="3EEF622B" w14:textId="4EC17232" w:rsidR="00DA3852" w:rsidRPr="00784A05" w:rsidRDefault="00DA3852" w:rsidP="00C03F9E">
            <w:pPr>
              <w:pStyle w:val="TableTitle"/>
            </w:pPr>
            <w:r>
              <w:rPr>
                <w:b w:val="0"/>
              </w:rPr>
              <w:t>Table B.</w:t>
            </w:r>
            <w:r>
              <w:rPr>
                <w:b w:val="0"/>
                <w:noProof/>
              </w:rPr>
              <w:t>13</w:t>
            </w:r>
            <w:r>
              <w:tab/>
              <w:t>LNG contracts</w:t>
            </w:r>
          </w:p>
        </w:tc>
      </w:tr>
      <w:tr w:rsidR="00DA3852" w14:paraId="76622BC5" w14:textId="77777777" w:rsidTr="00C03F9E">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364"/>
              <w:gridCol w:w="1506"/>
              <w:gridCol w:w="1779"/>
              <w:gridCol w:w="1860"/>
              <w:gridCol w:w="978"/>
            </w:tblGrid>
            <w:tr w:rsidR="00DA3852" w14:paraId="1C1CF8A2" w14:textId="77777777" w:rsidTr="00C03F9E">
              <w:tc>
                <w:tcPr>
                  <w:tcW w:w="1393" w:type="pct"/>
                  <w:tcBorders>
                    <w:top w:val="single" w:sz="6" w:space="0" w:color="BFBFBF"/>
                    <w:bottom w:val="single" w:sz="6" w:space="0" w:color="BFBFBF"/>
                  </w:tcBorders>
                  <w:shd w:val="clear" w:color="auto" w:fill="auto"/>
                  <w:tcMar>
                    <w:top w:w="28" w:type="dxa"/>
                  </w:tcMar>
                </w:tcPr>
                <w:p w14:paraId="11E9CD88" w14:textId="77777777" w:rsidR="00DA3852" w:rsidRDefault="00DA3852" w:rsidP="00C03F9E">
                  <w:pPr>
                    <w:pStyle w:val="TableColumnHeading"/>
                    <w:jc w:val="left"/>
                  </w:pPr>
                  <w:r>
                    <w:t>Seller</w:t>
                  </w:r>
                </w:p>
              </w:tc>
              <w:tc>
                <w:tcPr>
                  <w:tcW w:w="887" w:type="pct"/>
                  <w:tcBorders>
                    <w:top w:val="single" w:sz="6" w:space="0" w:color="BFBFBF"/>
                    <w:bottom w:val="single" w:sz="6" w:space="0" w:color="BFBFBF"/>
                  </w:tcBorders>
                  <w:shd w:val="clear" w:color="auto" w:fill="auto"/>
                  <w:tcMar>
                    <w:top w:w="28" w:type="dxa"/>
                  </w:tcMar>
                </w:tcPr>
                <w:p w14:paraId="517EA722" w14:textId="77777777" w:rsidR="00DA3852" w:rsidRDefault="00DA3852" w:rsidP="00C03F9E">
                  <w:pPr>
                    <w:pStyle w:val="TableColumnHeading"/>
                    <w:jc w:val="left"/>
                  </w:pPr>
                  <w:r>
                    <w:t>Buyer</w:t>
                  </w:r>
                </w:p>
              </w:tc>
              <w:tc>
                <w:tcPr>
                  <w:tcW w:w="1048" w:type="pct"/>
                  <w:tcBorders>
                    <w:top w:val="single" w:sz="6" w:space="0" w:color="BFBFBF"/>
                    <w:bottom w:val="single" w:sz="6" w:space="0" w:color="BFBFBF"/>
                  </w:tcBorders>
                  <w:shd w:val="clear" w:color="auto" w:fill="auto"/>
                  <w:tcMar>
                    <w:top w:w="28" w:type="dxa"/>
                  </w:tcMar>
                </w:tcPr>
                <w:p w14:paraId="02DEA8B2" w14:textId="6BAEBA97" w:rsidR="00DA3852" w:rsidRDefault="00DA3852" w:rsidP="00C03F9E">
                  <w:pPr>
                    <w:pStyle w:val="TableBodyText"/>
                    <w:spacing w:before="80" w:after="80"/>
                  </w:pPr>
                  <w:r>
                    <w:t>Volume</w:t>
                  </w:r>
                  <w:r>
                    <w:br/>
                    <w:t>(m</w:t>
                  </w:r>
                  <w:r w:rsidR="008026B7">
                    <w:t xml:space="preserve">illion </w:t>
                  </w:r>
                  <w:r>
                    <w:t>t</w:t>
                  </w:r>
                  <w:r w:rsidR="008026B7">
                    <w:t xml:space="preserve">onnes </w:t>
                  </w:r>
                  <w:r>
                    <w:t>p</w:t>
                  </w:r>
                  <w:r w:rsidR="008026B7">
                    <w:t xml:space="preserve">er </w:t>
                  </w:r>
                  <w:r>
                    <w:t>a</w:t>
                  </w:r>
                  <w:r w:rsidR="008026B7">
                    <w:t>nnum</w:t>
                  </w:r>
                  <w:r>
                    <w:t>)</w:t>
                  </w:r>
                </w:p>
              </w:tc>
              <w:tc>
                <w:tcPr>
                  <w:tcW w:w="1096" w:type="pct"/>
                  <w:tcBorders>
                    <w:top w:val="single" w:sz="6" w:space="0" w:color="BFBFBF"/>
                    <w:bottom w:val="single" w:sz="6" w:space="0" w:color="BFBFBF"/>
                  </w:tcBorders>
                </w:tcPr>
                <w:p w14:paraId="32FA6EA9" w14:textId="59B971D5" w:rsidR="00DA3852" w:rsidRDefault="00DA3852" w:rsidP="00C03F9E">
                  <w:pPr>
                    <w:pStyle w:val="TableBodyText"/>
                    <w:spacing w:before="80" w:after="80"/>
                  </w:pPr>
                  <w:r>
                    <w:t>Volume (PJ</w:t>
                  </w:r>
                  <w:r w:rsidR="008026B7">
                    <w:t>/</w:t>
                  </w:r>
                  <w:proofErr w:type="spellStart"/>
                  <w:r w:rsidR="008026B7">
                    <w:t>yr</w:t>
                  </w:r>
                  <w:proofErr w:type="spellEnd"/>
                  <w:r>
                    <w:t>)</w:t>
                  </w:r>
                  <w:r>
                    <w:rPr>
                      <w:rStyle w:val="NoteLabel"/>
                    </w:rPr>
                    <w:t>a</w:t>
                  </w:r>
                </w:p>
              </w:tc>
              <w:tc>
                <w:tcPr>
                  <w:tcW w:w="576" w:type="pct"/>
                  <w:tcBorders>
                    <w:top w:val="single" w:sz="6" w:space="0" w:color="BFBFBF"/>
                    <w:bottom w:val="single" w:sz="6" w:space="0" w:color="BFBFBF"/>
                  </w:tcBorders>
                </w:tcPr>
                <w:p w14:paraId="4C741380" w14:textId="77777777" w:rsidR="00DA3852" w:rsidRDefault="00DA3852" w:rsidP="00C03F9E">
                  <w:pPr>
                    <w:pStyle w:val="TableBodyText"/>
                    <w:spacing w:before="80" w:after="80"/>
                  </w:pPr>
                  <w:r>
                    <w:t xml:space="preserve">Time period </w:t>
                  </w:r>
                  <w:r>
                    <w:br/>
                    <w:t xml:space="preserve"> (years)</w:t>
                  </w:r>
                </w:p>
              </w:tc>
            </w:tr>
            <w:tr w:rsidR="00DA3852" w14:paraId="37600AC4" w14:textId="77777777" w:rsidTr="00C03F9E">
              <w:tc>
                <w:tcPr>
                  <w:tcW w:w="1393" w:type="pct"/>
                </w:tcPr>
                <w:p w14:paraId="1E7B1E3E" w14:textId="77777777" w:rsidR="00DA3852" w:rsidRDefault="00DA3852" w:rsidP="00C03F9E">
                  <w:pPr>
                    <w:pStyle w:val="TableBodyText"/>
                    <w:spacing w:before="40"/>
                    <w:jc w:val="left"/>
                  </w:pPr>
                  <w:r>
                    <w:t xml:space="preserve">Australia Pacific LNG </w:t>
                  </w:r>
                </w:p>
              </w:tc>
              <w:tc>
                <w:tcPr>
                  <w:tcW w:w="887" w:type="pct"/>
                </w:tcPr>
                <w:p w14:paraId="7443FD9F" w14:textId="77777777" w:rsidR="00DA3852" w:rsidRDefault="00DA3852" w:rsidP="00C03F9E">
                  <w:pPr>
                    <w:pStyle w:val="TableBodyText"/>
                    <w:spacing w:before="40"/>
                    <w:jc w:val="left"/>
                    <w:rPr>
                      <w:i/>
                    </w:rPr>
                  </w:pPr>
                  <w:r>
                    <w:t>Kansai Electric</w:t>
                  </w:r>
                </w:p>
              </w:tc>
              <w:tc>
                <w:tcPr>
                  <w:tcW w:w="1048" w:type="pct"/>
                </w:tcPr>
                <w:p w14:paraId="6F65B971" w14:textId="77777777" w:rsidR="00DA3852" w:rsidRDefault="00DA3852" w:rsidP="00C03F9E">
                  <w:pPr>
                    <w:pStyle w:val="TableBodyText"/>
                    <w:spacing w:before="40"/>
                  </w:pPr>
                  <w:r>
                    <w:t>1.0</w:t>
                  </w:r>
                </w:p>
              </w:tc>
              <w:tc>
                <w:tcPr>
                  <w:tcW w:w="1096" w:type="pct"/>
                </w:tcPr>
                <w:p w14:paraId="2C88077B" w14:textId="77777777" w:rsidR="00DA3852" w:rsidRDefault="00DA3852" w:rsidP="00C03F9E">
                  <w:pPr>
                    <w:pStyle w:val="TableBodyText"/>
                    <w:spacing w:before="40"/>
                  </w:pPr>
                  <w:r w:rsidRPr="009C2F54">
                    <w:t>54.4</w:t>
                  </w:r>
                </w:p>
              </w:tc>
              <w:tc>
                <w:tcPr>
                  <w:tcW w:w="576" w:type="pct"/>
                </w:tcPr>
                <w:p w14:paraId="7993D505" w14:textId="77777777" w:rsidR="00DA3852" w:rsidRDefault="00DA3852" w:rsidP="00C03F9E">
                  <w:pPr>
                    <w:pStyle w:val="TableBodyText"/>
                    <w:spacing w:before="40"/>
                  </w:pPr>
                  <w:r>
                    <w:t>20</w:t>
                  </w:r>
                </w:p>
              </w:tc>
            </w:tr>
            <w:tr w:rsidR="00DA3852" w14:paraId="079063F0" w14:textId="77777777" w:rsidTr="00C03F9E">
              <w:tc>
                <w:tcPr>
                  <w:tcW w:w="1393" w:type="pct"/>
                  <w:shd w:val="clear" w:color="auto" w:fill="auto"/>
                </w:tcPr>
                <w:p w14:paraId="7A89D4E5" w14:textId="77777777" w:rsidR="00DA3852" w:rsidRDefault="00DA3852" w:rsidP="00C03F9E">
                  <w:pPr>
                    <w:pStyle w:val="TableBodyText"/>
                    <w:jc w:val="left"/>
                  </w:pPr>
                  <w:r>
                    <w:t xml:space="preserve">Australia Pacific LNG </w:t>
                  </w:r>
                </w:p>
              </w:tc>
              <w:tc>
                <w:tcPr>
                  <w:tcW w:w="887" w:type="pct"/>
                  <w:shd w:val="clear" w:color="auto" w:fill="auto"/>
                </w:tcPr>
                <w:p w14:paraId="14B95147" w14:textId="77777777" w:rsidR="00DA3852" w:rsidRDefault="00DA3852" w:rsidP="00C03F9E">
                  <w:pPr>
                    <w:pStyle w:val="TableBodyText"/>
                    <w:jc w:val="left"/>
                    <w:rPr>
                      <w:i/>
                    </w:rPr>
                  </w:pPr>
                  <w:r>
                    <w:t>Sinopec</w:t>
                  </w:r>
                </w:p>
              </w:tc>
              <w:tc>
                <w:tcPr>
                  <w:tcW w:w="1048" w:type="pct"/>
                  <w:shd w:val="clear" w:color="auto" w:fill="auto"/>
                </w:tcPr>
                <w:p w14:paraId="246FBC7A" w14:textId="77777777" w:rsidR="00DA3852" w:rsidRDefault="00DA3852" w:rsidP="00C03F9E">
                  <w:pPr>
                    <w:pStyle w:val="TableBodyText"/>
                  </w:pPr>
                  <w:r>
                    <w:t>7.6</w:t>
                  </w:r>
                </w:p>
              </w:tc>
              <w:tc>
                <w:tcPr>
                  <w:tcW w:w="1096" w:type="pct"/>
                </w:tcPr>
                <w:p w14:paraId="6D9E6A30" w14:textId="77777777" w:rsidR="00DA3852" w:rsidRDefault="00DA3852" w:rsidP="00C03F9E">
                  <w:pPr>
                    <w:pStyle w:val="TableBodyText"/>
                  </w:pPr>
                  <w:r w:rsidRPr="009C2F54">
                    <w:t>413.4</w:t>
                  </w:r>
                </w:p>
              </w:tc>
              <w:tc>
                <w:tcPr>
                  <w:tcW w:w="576" w:type="pct"/>
                </w:tcPr>
                <w:p w14:paraId="715C936B" w14:textId="77777777" w:rsidR="00DA3852" w:rsidRDefault="00DA3852" w:rsidP="00C03F9E">
                  <w:pPr>
                    <w:pStyle w:val="TableBodyText"/>
                  </w:pPr>
                  <w:r>
                    <w:t>20</w:t>
                  </w:r>
                </w:p>
              </w:tc>
            </w:tr>
            <w:tr w:rsidR="00DA3852" w14:paraId="072113FD" w14:textId="77777777" w:rsidTr="00C03F9E">
              <w:tc>
                <w:tcPr>
                  <w:tcW w:w="1393" w:type="pct"/>
                </w:tcPr>
                <w:p w14:paraId="4956AF9A" w14:textId="77777777" w:rsidR="00DA3852" w:rsidRDefault="00DA3852" w:rsidP="00C03F9E">
                  <w:pPr>
                    <w:pStyle w:val="TableBodyText"/>
                    <w:spacing w:before="60"/>
                    <w:jc w:val="left"/>
                    <w:rPr>
                      <w:i/>
                    </w:rPr>
                  </w:pPr>
                  <w:r>
                    <w:t xml:space="preserve">Gladstone LNG </w:t>
                  </w:r>
                </w:p>
              </w:tc>
              <w:tc>
                <w:tcPr>
                  <w:tcW w:w="887" w:type="pct"/>
                </w:tcPr>
                <w:p w14:paraId="1D9B7061" w14:textId="77777777" w:rsidR="00DA3852" w:rsidRDefault="00DA3852" w:rsidP="00C03F9E">
                  <w:pPr>
                    <w:pStyle w:val="TableBodyText"/>
                    <w:spacing w:before="60"/>
                    <w:jc w:val="left"/>
                    <w:rPr>
                      <w:i/>
                    </w:rPr>
                  </w:pPr>
                  <w:r>
                    <w:t>KOGAS</w:t>
                  </w:r>
                </w:p>
              </w:tc>
              <w:tc>
                <w:tcPr>
                  <w:tcW w:w="1048" w:type="pct"/>
                </w:tcPr>
                <w:p w14:paraId="6F32ED03" w14:textId="77777777" w:rsidR="00DA3852" w:rsidRPr="00B0307F" w:rsidRDefault="00DA3852" w:rsidP="00C03F9E">
                  <w:pPr>
                    <w:pStyle w:val="TableBodyText"/>
                    <w:spacing w:before="60"/>
                  </w:pPr>
                  <w:r>
                    <w:t>3.5</w:t>
                  </w:r>
                </w:p>
              </w:tc>
              <w:tc>
                <w:tcPr>
                  <w:tcW w:w="1096" w:type="pct"/>
                </w:tcPr>
                <w:p w14:paraId="0FBB79A3" w14:textId="77777777" w:rsidR="00DA3852" w:rsidRDefault="00DA3852" w:rsidP="00A26FB5">
                  <w:pPr>
                    <w:pStyle w:val="TableUnitsRow"/>
                    <w:spacing w:before="0"/>
                    <w:rPr>
                      <w:i/>
                    </w:rPr>
                  </w:pPr>
                  <w:r w:rsidRPr="009C2F54">
                    <w:t>195.8</w:t>
                  </w:r>
                </w:p>
              </w:tc>
              <w:tc>
                <w:tcPr>
                  <w:tcW w:w="576" w:type="pct"/>
                </w:tcPr>
                <w:p w14:paraId="26362B1F" w14:textId="77777777" w:rsidR="00DA3852" w:rsidRDefault="00DA3852" w:rsidP="00C03F9E">
                  <w:pPr>
                    <w:pStyle w:val="TableBodyText"/>
                    <w:ind w:right="28"/>
                  </w:pPr>
                  <w:r>
                    <w:t>15+5</w:t>
                  </w:r>
                  <w:r>
                    <w:rPr>
                      <w:rStyle w:val="NoteLabel"/>
                      <w:position w:val="4"/>
                    </w:rPr>
                    <w:t>b</w:t>
                  </w:r>
                </w:p>
              </w:tc>
            </w:tr>
            <w:tr w:rsidR="00DA3852" w14:paraId="3A14C3EF" w14:textId="77777777" w:rsidTr="00C03F9E">
              <w:tc>
                <w:tcPr>
                  <w:tcW w:w="1393" w:type="pct"/>
                </w:tcPr>
                <w:p w14:paraId="1B088E94" w14:textId="77777777" w:rsidR="00DA3852" w:rsidRDefault="00DA3852" w:rsidP="00C03F9E">
                  <w:pPr>
                    <w:pStyle w:val="TableUnitsRow"/>
                    <w:spacing w:before="0"/>
                    <w:jc w:val="left"/>
                  </w:pPr>
                  <w:r>
                    <w:t xml:space="preserve">Gladstone LNG </w:t>
                  </w:r>
                </w:p>
              </w:tc>
              <w:tc>
                <w:tcPr>
                  <w:tcW w:w="887" w:type="pct"/>
                </w:tcPr>
                <w:p w14:paraId="32528A0D" w14:textId="77777777" w:rsidR="00DA3852" w:rsidRDefault="00DA3852" w:rsidP="00C03F9E">
                  <w:pPr>
                    <w:pStyle w:val="TableUnitsRow"/>
                    <w:spacing w:before="0"/>
                    <w:jc w:val="left"/>
                    <w:rPr>
                      <w:i/>
                    </w:rPr>
                  </w:pPr>
                  <w:r>
                    <w:t>PETRONAS</w:t>
                  </w:r>
                </w:p>
              </w:tc>
              <w:tc>
                <w:tcPr>
                  <w:tcW w:w="1048" w:type="pct"/>
                </w:tcPr>
                <w:p w14:paraId="2386D6BD" w14:textId="77777777" w:rsidR="00DA3852" w:rsidRDefault="00DA3852" w:rsidP="00C03F9E">
                  <w:pPr>
                    <w:pStyle w:val="TableBodyText"/>
                  </w:pPr>
                  <w:r>
                    <w:t>3.7</w:t>
                  </w:r>
                </w:p>
              </w:tc>
              <w:tc>
                <w:tcPr>
                  <w:tcW w:w="1096" w:type="pct"/>
                </w:tcPr>
                <w:p w14:paraId="06E8C51D" w14:textId="77777777" w:rsidR="00DA3852" w:rsidRDefault="00DA3852" w:rsidP="00C03F9E">
                  <w:pPr>
                    <w:pStyle w:val="TableUnitsRow"/>
                    <w:spacing w:before="0"/>
                  </w:pPr>
                  <w:r w:rsidRPr="009C2F54">
                    <w:t>195.8</w:t>
                  </w:r>
                </w:p>
              </w:tc>
              <w:tc>
                <w:tcPr>
                  <w:tcW w:w="576" w:type="pct"/>
                </w:tcPr>
                <w:p w14:paraId="2ADEA2B5" w14:textId="77777777" w:rsidR="00DA3852" w:rsidRDefault="00DA3852" w:rsidP="00C03F9E">
                  <w:pPr>
                    <w:pStyle w:val="TableUnitsRow"/>
                    <w:spacing w:before="0"/>
                  </w:pPr>
                  <w:r>
                    <w:t>20</w:t>
                  </w:r>
                </w:p>
              </w:tc>
            </w:tr>
            <w:tr w:rsidR="00DA3852" w14:paraId="55CE51CF" w14:textId="77777777" w:rsidTr="00C03F9E">
              <w:tc>
                <w:tcPr>
                  <w:tcW w:w="1393" w:type="pct"/>
                </w:tcPr>
                <w:p w14:paraId="49AD7AEB" w14:textId="77777777" w:rsidR="00DA3852" w:rsidRDefault="00DA3852" w:rsidP="00C03F9E">
                  <w:pPr>
                    <w:pStyle w:val="TableBodyText"/>
                    <w:jc w:val="left"/>
                  </w:pPr>
                  <w:r>
                    <w:t xml:space="preserve">Queensland Curtis LNG </w:t>
                  </w:r>
                </w:p>
              </w:tc>
              <w:tc>
                <w:tcPr>
                  <w:tcW w:w="887" w:type="pct"/>
                </w:tcPr>
                <w:p w14:paraId="1F517412" w14:textId="77777777" w:rsidR="00DA3852" w:rsidRDefault="00DA3852" w:rsidP="00C03F9E">
                  <w:pPr>
                    <w:pStyle w:val="TableBodyText"/>
                    <w:jc w:val="left"/>
                    <w:rPr>
                      <w:i/>
                    </w:rPr>
                  </w:pPr>
                  <w:r>
                    <w:t>Chubu Electric</w:t>
                  </w:r>
                </w:p>
              </w:tc>
              <w:tc>
                <w:tcPr>
                  <w:tcW w:w="1048" w:type="pct"/>
                </w:tcPr>
                <w:p w14:paraId="12DEA332" w14:textId="77777777" w:rsidR="00DA3852" w:rsidRDefault="00DA3852" w:rsidP="00C03F9E">
                  <w:pPr>
                    <w:pStyle w:val="TableBodyText"/>
                    <w:ind w:right="28"/>
                  </w:pPr>
                  <w:r>
                    <w:t>0.4</w:t>
                  </w:r>
                  <w:r>
                    <w:rPr>
                      <w:rStyle w:val="NoteLabel"/>
                      <w:position w:val="4"/>
                    </w:rPr>
                    <w:t>c</w:t>
                  </w:r>
                </w:p>
              </w:tc>
              <w:tc>
                <w:tcPr>
                  <w:tcW w:w="1096" w:type="pct"/>
                </w:tcPr>
                <w:p w14:paraId="022761AD" w14:textId="77777777" w:rsidR="00DA3852" w:rsidRDefault="00DA3852" w:rsidP="00C03F9E">
                  <w:pPr>
                    <w:pStyle w:val="TableBodyText"/>
                  </w:pPr>
                  <w:r w:rsidRPr="009C2F54">
                    <w:t>21.</w:t>
                  </w:r>
                  <w:r>
                    <w:t>8</w:t>
                  </w:r>
                </w:p>
              </w:tc>
              <w:tc>
                <w:tcPr>
                  <w:tcW w:w="576" w:type="pct"/>
                </w:tcPr>
                <w:p w14:paraId="3BDAD947" w14:textId="77777777" w:rsidR="00DA3852" w:rsidRDefault="00DA3852" w:rsidP="00C03F9E">
                  <w:pPr>
                    <w:pStyle w:val="TableBodyText"/>
                  </w:pPr>
                  <w:r>
                    <w:t>21</w:t>
                  </w:r>
                </w:p>
              </w:tc>
            </w:tr>
            <w:tr w:rsidR="00DA3852" w14:paraId="3F04C025" w14:textId="77777777" w:rsidTr="00C03F9E">
              <w:tc>
                <w:tcPr>
                  <w:tcW w:w="1393" w:type="pct"/>
                </w:tcPr>
                <w:p w14:paraId="67255AF2" w14:textId="77777777" w:rsidR="00DA3852" w:rsidRDefault="00DA3852" w:rsidP="00C03F9E">
                  <w:pPr>
                    <w:pStyle w:val="TableBodyText"/>
                    <w:jc w:val="left"/>
                  </w:pPr>
                  <w:r>
                    <w:t xml:space="preserve">Queensland Curtis LNG </w:t>
                  </w:r>
                </w:p>
              </w:tc>
              <w:tc>
                <w:tcPr>
                  <w:tcW w:w="887" w:type="pct"/>
                </w:tcPr>
                <w:p w14:paraId="1F1EF392" w14:textId="77777777" w:rsidR="00DA3852" w:rsidRDefault="00DA3852" w:rsidP="00C03F9E">
                  <w:pPr>
                    <w:pStyle w:val="TableBodyText"/>
                    <w:jc w:val="left"/>
                    <w:rPr>
                      <w:i/>
                    </w:rPr>
                  </w:pPr>
                  <w:r>
                    <w:t>CNOOC</w:t>
                  </w:r>
                </w:p>
              </w:tc>
              <w:tc>
                <w:tcPr>
                  <w:tcW w:w="1048" w:type="pct"/>
                </w:tcPr>
                <w:p w14:paraId="0172F2F9" w14:textId="77777777" w:rsidR="00DA3852" w:rsidRDefault="00DA3852" w:rsidP="00C03F9E">
                  <w:pPr>
                    <w:pStyle w:val="TableBodyText"/>
                  </w:pPr>
                  <w:r>
                    <w:t>3.6</w:t>
                  </w:r>
                </w:p>
              </w:tc>
              <w:tc>
                <w:tcPr>
                  <w:tcW w:w="1096" w:type="pct"/>
                </w:tcPr>
                <w:p w14:paraId="31DFE026" w14:textId="77777777" w:rsidR="00DA3852" w:rsidRDefault="00DA3852" w:rsidP="00C03F9E">
                  <w:pPr>
                    <w:pStyle w:val="TableBodyText"/>
                  </w:pPr>
                  <w:r w:rsidRPr="009C2F54">
                    <w:t>195.8</w:t>
                  </w:r>
                </w:p>
              </w:tc>
              <w:tc>
                <w:tcPr>
                  <w:tcW w:w="576" w:type="pct"/>
                </w:tcPr>
                <w:p w14:paraId="74A6D34A" w14:textId="77777777" w:rsidR="00DA3852" w:rsidRDefault="00DA3852" w:rsidP="00C03F9E">
                  <w:pPr>
                    <w:pStyle w:val="TableBodyText"/>
                  </w:pPr>
                  <w:r>
                    <w:t>20</w:t>
                  </w:r>
                </w:p>
              </w:tc>
            </w:tr>
            <w:tr w:rsidR="00DA3852" w14:paraId="0BB0FB31" w14:textId="77777777" w:rsidTr="00C03F9E">
              <w:tc>
                <w:tcPr>
                  <w:tcW w:w="1393" w:type="pct"/>
                </w:tcPr>
                <w:p w14:paraId="344C3012" w14:textId="4197132B" w:rsidR="00DA3852" w:rsidRDefault="00DA3852" w:rsidP="00C03F9E">
                  <w:pPr>
                    <w:pStyle w:val="TableBodyText"/>
                    <w:jc w:val="left"/>
                  </w:pPr>
                  <w:r>
                    <w:t>Queensland Curtis LNG</w:t>
                  </w:r>
                  <w:r w:rsidR="008026B7">
                    <w:rPr>
                      <w:rStyle w:val="NoteLabel"/>
                      <w:position w:val="4"/>
                    </w:rPr>
                    <w:t>d</w:t>
                  </w:r>
                </w:p>
              </w:tc>
              <w:tc>
                <w:tcPr>
                  <w:tcW w:w="887" w:type="pct"/>
                </w:tcPr>
                <w:p w14:paraId="69DCFA34" w14:textId="77777777" w:rsidR="00DA3852" w:rsidRDefault="00DA3852" w:rsidP="00C03F9E">
                  <w:pPr>
                    <w:pStyle w:val="TableBodyText"/>
                    <w:jc w:val="left"/>
                    <w:rPr>
                      <w:i/>
                    </w:rPr>
                  </w:pPr>
                  <w:r>
                    <w:t>CNOOC</w:t>
                  </w:r>
                </w:p>
              </w:tc>
              <w:tc>
                <w:tcPr>
                  <w:tcW w:w="1048" w:type="pct"/>
                </w:tcPr>
                <w:p w14:paraId="5D778AA9" w14:textId="77777777" w:rsidR="00DA3852" w:rsidRDefault="00DA3852" w:rsidP="00C03F9E">
                  <w:pPr>
                    <w:pStyle w:val="TableBodyText"/>
                  </w:pPr>
                  <w:r>
                    <w:t>5.0</w:t>
                  </w:r>
                </w:p>
              </w:tc>
              <w:tc>
                <w:tcPr>
                  <w:tcW w:w="1096" w:type="pct"/>
                </w:tcPr>
                <w:p w14:paraId="4E0F5334" w14:textId="164F8409" w:rsidR="00DA3852" w:rsidRDefault="00DA3852" w:rsidP="00C03F9E">
                  <w:pPr>
                    <w:pStyle w:val="TableBodyText"/>
                  </w:pPr>
                  <w:r w:rsidRPr="009C2F54">
                    <w:t>272</w:t>
                  </w:r>
                  <w:r w:rsidR="008026B7">
                    <w:t>.0</w:t>
                  </w:r>
                </w:p>
              </w:tc>
              <w:tc>
                <w:tcPr>
                  <w:tcW w:w="576" w:type="pct"/>
                </w:tcPr>
                <w:p w14:paraId="3CF7DB9D" w14:textId="77777777" w:rsidR="00DA3852" w:rsidRDefault="00DA3852" w:rsidP="00C03F9E">
                  <w:pPr>
                    <w:pStyle w:val="TableBodyText"/>
                  </w:pPr>
                  <w:r>
                    <w:t>20</w:t>
                  </w:r>
                </w:p>
              </w:tc>
            </w:tr>
            <w:tr w:rsidR="00DA3852" w14:paraId="4B9DCC71" w14:textId="77777777" w:rsidTr="00A806C7">
              <w:tc>
                <w:tcPr>
                  <w:tcW w:w="1393" w:type="pct"/>
                  <w:tcBorders>
                    <w:bottom w:val="single" w:sz="6" w:space="0" w:color="BFBFBF" w:themeColor="background2"/>
                  </w:tcBorders>
                </w:tcPr>
                <w:p w14:paraId="1FA14285" w14:textId="77777777" w:rsidR="00DA3852" w:rsidRDefault="00DA3852" w:rsidP="00C03F9E">
                  <w:pPr>
                    <w:pStyle w:val="TableBodyText"/>
                    <w:jc w:val="left"/>
                  </w:pPr>
                  <w:r>
                    <w:t xml:space="preserve">Queensland Curtis LNG </w:t>
                  </w:r>
                </w:p>
              </w:tc>
              <w:tc>
                <w:tcPr>
                  <w:tcW w:w="887" w:type="pct"/>
                  <w:tcBorders>
                    <w:bottom w:val="single" w:sz="6" w:space="0" w:color="BFBFBF" w:themeColor="background2"/>
                  </w:tcBorders>
                </w:tcPr>
                <w:p w14:paraId="0881B93E" w14:textId="77777777" w:rsidR="00DA3852" w:rsidRDefault="00DA3852" w:rsidP="00C03F9E">
                  <w:pPr>
                    <w:pStyle w:val="TableBodyText"/>
                    <w:jc w:val="left"/>
                    <w:rPr>
                      <w:i/>
                    </w:rPr>
                  </w:pPr>
                  <w:r>
                    <w:t>Tokyo Gas</w:t>
                  </w:r>
                </w:p>
              </w:tc>
              <w:tc>
                <w:tcPr>
                  <w:tcW w:w="1048" w:type="pct"/>
                  <w:tcBorders>
                    <w:bottom w:val="single" w:sz="6" w:space="0" w:color="BFBFBF" w:themeColor="background2"/>
                  </w:tcBorders>
                </w:tcPr>
                <w:p w14:paraId="73AC3997" w14:textId="77777777" w:rsidR="00DA3852" w:rsidRDefault="00DA3852" w:rsidP="00C03F9E">
                  <w:pPr>
                    <w:pStyle w:val="TableBodyText"/>
                  </w:pPr>
                  <w:r>
                    <w:t>1.2</w:t>
                  </w:r>
                </w:p>
              </w:tc>
              <w:tc>
                <w:tcPr>
                  <w:tcW w:w="1096" w:type="pct"/>
                  <w:tcBorders>
                    <w:bottom w:val="single" w:sz="6" w:space="0" w:color="BFBFBF" w:themeColor="background2"/>
                  </w:tcBorders>
                </w:tcPr>
                <w:p w14:paraId="312A4D4B" w14:textId="77777777" w:rsidR="00DA3852" w:rsidRDefault="00DA3852" w:rsidP="00C03F9E">
                  <w:pPr>
                    <w:pStyle w:val="TableBodyText"/>
                  </w:pPr>
                  <w:r w:rsidRPr="009C2F54">
                    <w:t>65.</w:t>
                  </w:r>
                  <w:r>
                    <w:t>3</w:t>
                  </w:r>
                </w:p>
              </w:tc>
              <w:tc>
                <w:tcPr>
                  <w:tcW w:w="576" w:type="pct"/>
                  <w:tcBorders>
                    <w:bottom w:val="single" w:sz="6" w:space="0" w:color="BFBFBF" w:themeColor="background2"/>
                  </w:tcBorders>
                </w:tcPr>
                <w:p w14:paraId="3EE3FE41" w14:textId="77777777" w:rsidR="00DA3852" w:rsidRDefault="00DA3852" w:rsidP="00C03F9E">
                  <w:pPr>
                    <w:pStyle w:val="TableBodyText"/>
                  </w:pPr>
                  <w:r>
                    <w:t>20</w:t>
                  </w:r>
                </w:p>
              </w:tc>
            </w:tr>
          </w:tbl>
          <w:p w14:paraId="7FB8FA2A" w14:textId="77777777" w:rsidR="00DA3852" w:rsidRDefault="00DA3852" w:rsidP="00C03F9E">
            <w:pPr>
              <w:pStyle w:val="Box"/>
            </w:pPr>
          </w:p>
        </w:tc>
      </w:tr>
      <w:tr w:rsidR="00DA3852" w14:paraId="4830CDB7" w14:textId="77777777" w:rsidTr="00C03F9E">
        <w:trPr>
          <w:cantSplit/>
        </w:trPr>
        <w:tc>
          <w:tcPr>
            <w:tcW w:w="8771" w:type="dxa"/>
            <w:tcBorders>
              <w:top w:val="nil"/>
              <w:left w:val="nil"/>
              <w:bottom w:val="nil"/>
              <w:right w:val="nil"/>
            </w:tcBorders>
            <w:shd w:val="clear" w:color="auto" w:fill="auto"/>
          </w:tcPr>
          <w:p w14:paraId="2F3610D7" w14:textId="5AC1B704" w:rsidR="00DA3852" w:rsidRDefault="00DA3852" w:rsidP="00C03F9E">
            <w:pPr>
              <w:pStyle w:val="Note"/>
              <w:rPr>
                <w:i/>
              </w:rPr>
            </w:pPr>
            <w:proofErr w:type="gramStart"/>
            <w:r>
              <w:rPr>
                <w:rStyle w:val="NoteLabel"/>
              </w:rPr>
              <w:t>a</w:t>
            </w:r>
            <w:proofErr w:type="gramEnd"/>
            <w:r>
              <w:t xml:space="preserve"> Based on a conversion rate of 1 million tonnes = 54.4 PJ </w:t>
            </w:r>
            <w:r w:rsidRPr="004F1A86">
              <w:rPr>
                <w:rFonts w:cs="Arial"/>
                <w:szCs w:val="24"/>
              </w:rPr>
              <w:t>(BREE 2014c)</w:t>
            </w:r>
            <w:r>
              <w:t xml:space="preserve">. </w:t>
            </w:r>
            <w:proofErr w:type="gramStart"/>
            <w:r>
              <w:rPr>
                <w:rStyle w:val="NoteLabel"/>
              </w:rPr>
              <w:t>b</w:t>
            </w:r>
            <w:proofErr w:type="gramEnd"/>
            <w:r>
              <w:t xml:space="preserve"> Agreement is binding for 15 years with Gladstone LNG having the option to extend the agreement for a further 5 year period. </w:t>
            </w:r>
            <w:proofErr w:type="gramStart"/>
            <w:r>
              <w:rPr>
                <w:rStyle w:val="NoteLabel"/>
              </w:rPr>
              <w:t>c</w:t>
            </w:r>
            <w:proofErr w:type="gramEnd"/>
            <w:r>
              <w:rPr>
                <w:rStyle w:val="NoteLabel"/>
              </w:rPr>
              <w:t> </w:t>
            </w:r>
            <w:r>
              <w:t xml:space="preserve">Agreement is for up to 122 cargoes over 21 years which is equivalent to 0.4 </w:t>
            </w:r>
            <w:proofErr w:type="spellStart"/>
            <w:r>
              <w:t>mtpa</w:t>
            </w:r>
            <w:proofErr w:type="spellEnd"/>
            <w:r>
              <w:t xml:space="preserve"> if a 70 000 ton capacity vessel is used. </w:t>
            </w:r>
            <w:proofErr w:type="gramStart"/>
            <w:r w:rsidR="008026B7">
              <w:rPr>
                <w:rStyle w:val="NoteLabel"/>
              </w:rPr>
              <w:t>d</w:t>
            </w:r>
            <w:proofErr w:type="gramEnd"/>
            <w:r>
              <w:t> To be sourced from BG Group’s global portfolio of LNG plants, not exclusively from Queensland Curtis LNG.</w:t>
            </w:r>
          </w:p>
        </w:tc>
      </w:tr>
      <w:tr w:rsidR="00DA3852" w14:paraId="1A4FEF68" w14:textId="77777777" w:rsidTr="00C03F9E">
        <w:trPr>
          <w:cantSplit/>
        </w:trPr>
        <w:tc>
          <w:tcPr>
            <w:tcW w:w="8771" w:type="dxa"/>
            <w:tcBorders>
              <w:top w:val="nil"/>
              <w:left w:val="nil"/>
              <w:bottom w:val="nil"/>
              <w:right w:val="nil"/>
            </w:tcBorders>
            <w:shd w:val="clear" w:color="auto" w:fill="auto"/>
          </w:tcPr>
          <w:p w14:paraId="1350B582" w14:textId="15D89376" w:rsidR="00DA3852" w:rsidRDefault="00DA3852" w:rsidP="00C03F9E">
            <w:pPr>
              <w:pStyle w:val="Source"/>
            </w:pPr>
            <w:r>
              <w:rPr>
                <w:i/>
              </w:rPr>
              <w:t>Sources</w:t>
            </w:r>
            <w:r w:rsidRPr="00167F06">
              <w:t xml:space="preserve">: </w:t>
            </w:r>
            <w:r>
              <w:t xml:space="preserve">APLNG </w:t>
            </w:r>
            <w:r w:rsidRPr="00232E0E">
              <w:rPr>
                <w:rFonts w:cs="Arial"/>
              </w:rPr>
              <w:t>(2012a)</w:t>
            </w:r>
            <w:r>
              <w:t xml:space="preserve">; BG Group </w:t>
            </w:r>
            <w:r w:rsidRPr="00A46B0B">
              <w:rPr>
                <w:rFonts w:cs="Arial"/>
              </w:rPr>
              <w:t>(2010, 2011a, 2011b, 2013)</w:t>
            </w:r>
            <w:r>
              <w:t xml:space="preserve">; GIIGNL </w:t>
            </w:r>
            <w:r w:rsidRPr="00A46B0B">
              <w:rPr>
                <w:rFonts w:cs="Arial"/>
              </w:rPr>
              <w:t>(2012)</w:t>
            </w:r>
            <w:r w:rsidR="00621CCE">
              <w:t>;</w:t>
            </w:r>
            <w:r>
              <w:t xml:space="preserve"> Santos </w:t>
            </w:r>
            <w:r w:rsidR="00621CCE">
              <w:rPr>
                <w:rFonts w:cs="Arial"/>
              </w:rPr>
              <w:t>(2010, 2013b</w:t>
            </w:r>
            <w:r w:rsidRPr="004F1A86">
              <w:rPr>
                <w:rFonts w:cs="Arial"/>
              </w:rPr>
              <w:t>)</w:t>
            </w:r>
            <w:r>
              <w:t>.</w:t>
            </w:r>
          </w:p>
        </w:tc>
      </w:tr>
      <w:tr w:rsidR="00DA3852" w14:paraId="24C1FDA4" w14:textId="77777777" w:rsidTr="00C03F9E">
        <w:trPr>
          <w:cantSplit/>
        </w:trPr>
        <w:tc>
          <w:tcPr>
            <w:tcW w:w="8771" w:type="dxa"/>
            <w:tcBorders>
              <w:top w:val="nil"/>
              <w:left w:val="nil"/>
              <w:bottom w:val="single" w:sz="6" w:space="0" w:color="78A22F"/>
              <w:right w:val="nil"/>
            </w:tcBorders>
            <w:shd w:val="clear" w:color="auto" w:fill="auto"/>
          </w:tcPr>
          <w:p w14:paraId="07A01E95" w14:textId="77777777" w:rsidR="00DA3852" w:rsidRDefault="00DA3852" w:rsidP="00C03F9E">
            <w:pPr>
              <w:pStyle w:val="Box"/>
              <w:spacing w:before="0" w:line="120" w:lineRule="exact"/>
            </w:pPr>
          </w:p>
        </w:tc>
      </w:tr>
      <w:tr w:rsidR="00DA3852" w:rsidRPr="000863A5" w14:paraId="5B050F2C" w14:textId="77777777" w:rsidTr="00C03F9E">
        <w:tc>
          <w:tcPr>
            <w:tcW w:w="8771" w:type="dxa"/>
            <w:tcBorders>
              <w:top w:val="single" w:sz="6" w:space="0" w:color="78A22F"/>
              <w:left w:val="nil"/>
              <w:bottom w:val="nil"/>
              <w:right w:val="nil"/>
            </w:tcBorders>
          </w:tcPr>
          <w:p w14:paraId="412C494E" w14:textId="77777777" w:rsidR="00DA3852" w:rsidRPr="00626D32" w:rsidRDefault="00DA3852" w:rsidP="00C03F9E">
            <w:pPr>
              <w:pStyle w:val="BoxSpaceBelow"/>
            </w:pPr>
          </w:p>
        </w:tc>
      </w:tr>
    </w:tbl>
    <w:p w14:paraId="3C94B035" w14:textId="77777777" w:rsidR="00DA3852" w:rsidRDefault="00DA3852" w:rsidP="00DA3852">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DA3852" w14:paraId="040C778F" w14:textId="77777777" w:rsidTr="00C03F9E">
        <w:tc>
          <w:tcPr>
            <w:tcW w:w="8771" w:type="dxa"/>
            <w:tcBorders>
              <w:top w:val="single" w:sz="6" w:space="0" w:color="78A22F"/>
              <w:left w:val="nil"/>
              <w:bottom w:val="nil"/>
              <w:right w:val="nil"/>
            </w:tcBorders>
            <w:shd w:val="clear" w:color="auto" w:fill="auto"/>
          </w:tcPr>
          <w:p w14:paraId="2F38AF8E" w14:textId="77777777" w:rsidR="00DA3852" w:rsidRDefault="00DA3852" w:rsidP="00C03F9E">
            <w:pPr>
              <w:pStyle w:val="FigureTitle"/>
            </w:pPr>
            <w:r w:rsidRPr="00784A05">
              <w:rPr>
                <w:b w:val="0"/>
              </w:rPr>
              <w:t xml:space="preserve">Figure </w:t>
            </w:r>
            <w:r>
              <w:rPr>
                <w:b w:val="0"/>
              </w:rPr>
              <w:t>B.6</w:t>
            </w:r>
            <w:r>
              <w:tab/>
              <w:t>Gas demand for already-contracted LNG</w:t>
            </w:r>
            <w:r w:rsidRPr="008E77FE">
              <w:rPr>
                <w:rStyle w:val="NoteLabel"/>
              </w:rPr>
              <w:t>a</w:t>
            </w:r>
          </w:p>
          <w:p w14:paraId="2CB3AD4F" w14:textId="77777777" w:rsidR="00DA3852" w:rsidRPr="00176D3F" w:rsidRDefault="00DA3852" w:rsidP="00C03F9E">
            <w:pPr>
              <w:pStyle w:val="Subtitle"/>
            </w:pPr>
            <w:proofErr w:type="spellStart"/>
            <w:r>
              <w:t>Petajoules</w:t>
            </w:r>
            <w:proofErr w:type="spellEnd"/>
          </w:p>
        </w:tc>
      </w:tr>
      <w:tr w:rsidR="00DA3852" w14:paraId="296015AD" w14:textId="77777777" w:rsidTr="00C03F9E">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DA3852" w14:paraId="332A2678" w14:textId="77777777" w:rsidTr="00C03F9E">
              <w:trPr>
                <w:jc w:val="center"/>
              </w:trPr>
              <w:tc>
                <w:tcPr>
                  <w:tcW w:w="5000" w:type="pct"/>
                  <w:tcBorders>
                    <w:top w:val="nil"/>
                    <w:bottom w:val="nil"/>
                  </w:tcBorders>
                </w:tcPr>
                <w:p w14:paraId="6D5363D7" w14:textId="77777777" w:rsidR="00DA3852" w:rsidRDefault="00DA3852" w:rsidP="00C03F9E">
                  <w:pPr>
                    <w:pStyle w:val="Figure"/>
                    <w:spacing w:before="60" w:after="60"/>
                  </w:pPr>
                  <w:r>
                    <w:rPr>
                      <w:noProof/>
                    </w:rPr>
                    <w:drawing>
                      <wp:inline distT="0" distB="0" distL="0" distR="0" wp14:anchorId="39917822" wp14:editId="12312962">
                        <wp:extent cx="5380355" cy="2877820"/>
                        <wp:effectExtent l="0" t="0" r="0" b="0"/>
                        <wp:docPr id="230" name="Picture 230" descr="The Commission has estimated that gas demand for already contracted LNG will increase dramatically from zero in 2013 to almost 1400 petajoules per year in 2018 and stay at this level until 203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80355" cy="2877820"/>
                                </a:xfrm>
                                <a:prstGeom prst="rect">
                                  <a:avLst/>
                                </a:prstGeom>
                                <a:noFill/>
                                <a:ln>
                                  <a:noFill/>
                                </a:ln>
                              </pic:spPr>
                            </pic:pic>
                          </a:graphicData>
                        </a:graphic>
                      </wp:inline>
                    </w:drawing>
                  </w:r>
                </w:p>
              </w:tc>
            </w:tr>
          </w:tbl>
          <w:p w14:paraId="73128AB4" w14:textId="77777777" w:rsidR="00DA3852" w:rsidRDefault="00DA3852" w:rsidP="00C03F9E">
            <w:pPr>
              <w:pStyle w:val="Figure"/>
            </w:pPr>
          </w:p>
        </w:tc>
      </w:tr>
      <w:tr w:rsidR="00DA3852" w:rsidRPr="00176D3F" w14:paraId="4D56C1DB" w14:textId="77777777" w:rsidTr="00C03F9E">
        <w:tc>
          <w:tcPr>
            <w:tcW w:w="8771" w:type="dxa"/>
            <w:tcBorders>
              <w:top w:val="nil"/>
              <w:left w:val="nil"/>
              <w:bottom w:val="nil"/>
              <w:right w:val="nil"/>
            </w:tcBorders>
            <w:shd w:val="clear" w:color="auto" w:fill="auto"/>
          </w:tcPr>
          <w:p w14:paraId="662C521B" w14:textId="77777777" w:rsidR="00DA3852" w:rsidRPr="00784A05" w:rsidRDefault="00DA3852" w:rsidP="00C03F9E">
            <w:pPr>
              <w:pStyle w:val="Source"/>
              <w:rPr>
                <w:i/>
              </w:rPr>
            </w:pPr>
            <w:proofErr w:type="spellStart"/>
            <w:proofErr w:type="gramStart"/>
            <w:r w:rsidRPr="008E77FE">
              <w:rPr>
                <w:rStyle w:val="NoteLabel"/>
              </w:rPr>
              <w:t>a</w:t>
            </w:r>
            <w:proofErr w:type="spellEnd"/>
            <w:proofErr w:type="gramEnd"/>
            <w:r>
              <w:t xml:space="preserve"> Includes gas used during the liquefaction process but does not include gas use and losses related to transmission, production and processing. These losses are accounted for separately.</w:t>
            </w:r>
          </w:p>
        </w:tc>
      </w:tr>
      <w:tr w:rsidR="00DA3852" w:rsidRPr="00176D3F" w14:paraId="064287A5" w14:textId="77777777" w:rsidTr="00C03F9E">
        <w:tc>
          <w:tcPr>
            <w:tcW w:w="8771" w:type="dxa"/>
            <w:tcBorders>
              <w:top w:val="nil"/>
              <w:left w:val="nil"/>
              <w:bottom w:val="nil"/>
              <w:right w:val="nil"/>
            </w:tcBorders>
            <w:shd w:val="clear" w:color="auto" w:fill="auto"/>
          </w:tcPr>
          <w:p w14:paraId="1457C58E" w14:textId="3A50E939" w:rsidR="00DA3852" w:rsidRPr="00176D3F" w:rsidRDefault="00DA3852" w:rsidP="00C03F9E">
            <w:pPr>
              <w:pStyle w:val="Source"/>
            </w:pPr>
            <w:r>
              <w:rPr>
                <w:i/>
              </w:rPr>
              <w:t>S</w:t>
            </w:r>
            <w:r w:rsidRPr="00784A05">
              <w:rPr>
                <w:i/>
              </w:rPr>
              <w:t>ource</w:t>
            </w:r>
            <w:r w:rsidRPr="00176D3F">
              <w:t xml:space="preserve">: </w:t>
            </w:r>
            <w:r>
              <w:t xml:space="preserve">Commission estimates based on Jacobs SKM </w:t>
            </w:r>
            <w:r w:rsidRPr="004F1A86">
              <w:rPr>
                <w:rFonts w:cs="Arial"/>
              </w:rPr>
              <w:t>(2014b)</w:t>
            </w:r>
            <w:r w:rsidR="008026B7">
              <w:rPr>
                <w:rFonts w:cs="Arial"/>
              </w:rPr>
              <w:t>.</w:t>
            </w:r>
          </w:p>
        </w:tc>
      </w:tr>
      <w:tr w:rsidR="00DA3852" w14:paraId="4731EDE3" w14:textId="77777777" w:rsidTr="00C03F9E">
        <w:tc>
          <w:tcPr>
            <w:tcW w:w="8771" w:type="dxa"/>
            <w:tcBorders>
              <w:top w:val="nil"/>
              <w:left w:val="nil"/>
              <w:bottom w:val="single" w:sz="6" w:space="0" w:color="78A22F"/>
              <w:right w:val="nil"/>
            </w:tcBorders>
            <w:shd w:val="clear" w:color="auto" w:fill="auto"/>
          </w:tcPr>
          <w:p w14:paraId="415A7B1D" w14:textId="77777777" w:rsidR="00DA3852" w:rsidRDefault="00DA3852" w:rsidP="00C03F9E">
            <w:pPr>
              <w:pStyle w:val="Figurespace"/>
            </w:pPr>
          </w:p>
        </w:tc>
      </w:tr>
      <w:tr w:rsidR="00DA3852" w:rsidRPr="000863A5" w14:paraId="05F174FE" w14:textId="77777777" w:rsidTr="00C03F9E">
        <w:tc>
          <w:tcPr>
            <w:tcW w:w="8771" w:type="dxa"/>
            <w:tcBorders>
              <w:top w:val="single" w:sz="6" w:space="0" w:color="78A22F"/>
              <w:left w:val="nil"/>
              <w:bottom w:val="nil"/>
              <w:right w:val="nil"/>
            </w:tcBorders>
          </w:tcPr>
          <w:p w14:paraId="617FFBF3" w14:textId="77777777" w:rsidR="00DA3852" w:rsidRPr="00626D32" w:rsidRDefault="00DA3852" w:rsidP="00C03F9E">
            <w:pPr>
              <w:pStyle w:val="BoxSpaceBelow"/>
            </w:pPr>
          </w:p>
        </w:tc>
      </w:tr>
    </w:tbl>
    <w:p w14:paraId="00A76CB3" w14:textId="77777777" w:rsidR="00DA3852" w:rsidRDefault="00DA3852" w:rsidP="00DA3852">
      <w:pPr>
        <w:pStyle w:val="Heading4"/>
      </w:pPr>
      <w:r>
        <w:lastRenderedPageBreak/>
        <w:t>Further increases in LNG exports</w:t>
      </w:r>
    </w:p>
    <w:p w14:paraId="3201C042" w14:textId="4261E8FB" w:rsidR="00DA3852" w:rsidRDefault="00DA3852" w:rsidP="00DA3852">
      <w:pPr>
        <w:pStyle w:val="BodyText"/>
      </w:pPr>
      <w:r>
        <w:t>Further increases in LNG exports require either building additional trains at existing liquefaction plants (brownfield investment) or building whole new plants (</w:t>
      </w:r>
      <w:proofErr w:type="gramStart"/>
      <w:r>
        <w:t>greenfield</w:t>
      </w:r>
      <w:proofErr w:type="gramEnd"/>
      <w:r>
        <w:t xml:space="preserve"> investment).</w:t>
      </w:r>
      <w:r w:rsidRPr="00D54D05">
        <w:rPr>
          <w:rStyle w:val="FootnoteReference"/>
        </w:rPr>
        <w:footnoteReference w:id="19"/>
      </w:r>
      <w:r>
        <w:t xml:space="preserve"> Recent reports suggest additional greenfield investments are unlikely — particularly given Shell’s decision to cancel the Arrow </w:t>
      </w:r>
      <w:r w:rsidR="008026B7">
        <w:t xml:space="preserve">Energy </w:t>
      </w:r>
      <w:r>
        <w:t xml:space="preserve">LNG project — but investment prospects could change over the next 20 years </w:t>
      </w:r>
      <w:r w:rsidRPr="00981D1C">
        <w:rPr>
          <w:szCs w:val="24"/>
        </w:rPr>
        <w:t>(Ledesma, Henderson and Palmer 2014; Macdonald-Smith 2015)</w:t>
      </w:r>
      <w:r>
        <w:t xml:space="preserve">. The possibility of both further brownfield investment and further </w:t>
      </w:r>
      <w:proofErr w:type="gramStart"/>
      <w:r>
        <w:t>greenfield</w:t>
      </w:r>
      <w:proofErr w:type="gramEnd"/>
      <w:r>
        <w:t xml:space="preserve"> investment is allowed for the in the model.</w:t>
      </w:r>
    </w:p>
    <w:p w14:paraId="0839646B" w14:textId="77777777" w:rsidR="00DA3852" w:rsidRDefault="00DA3852" w:rsidP="00DA3852">
      <w:pPr>
        <w:pStyle w:val="BodyText"/>
      </w:pPr>
      <w:r>
        <w:t xml:space="preserve">Constraints are placed on the maximum cumulative investment (across all years modelled) in brownfield LNG plant investment, but no constraints are placed on </w:t>
      </w:r>
      <w:proofErr w:type="gramStart"/>
      <w:r>
        <w:t>greenfield</w:t>
      </w:r>
      <w:proofErr w:type="gramEnd"/>
      <w:r>
        <w:t xml:space="preserve"> LNG investment (table B.14). </w:t>
      </w:r>
    </w:p>
    <w:p w14:paraId="1CCE23F1" w14:textId="77777777" w:rsidR="00DA3852" w:rsidRDefault="00DA3852" w:rsidP="00DA3852">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96"/>
      </w:tblGrid>
      <w:tr w:rsidR="00DA3852" w14:paraId="2A05422A" w14:textId="77777777" w:rsidTr="00C03F9E">
        <w:tc>
          <w:tcPr>
            <w:tcW w:w="8512" w:type="dxa"/>
            <w:tcBorders>
              <w:top w:val="single" w:sz="6" w:space="0" w:color="78A22F"/>
              <w:left w:val="nil"/>
              <w:bottom w:val="nil"/>
              <w:right w:val="nil"/>
            </w:tcBorders>
            <w:shd w:val="clear" w:color="auto" w:fill="auto"/>
          </w:tcPr>
          <w:p w14:paraId="2B45A630" w14:textId="6732C4F1" w:rsidR="00DA3852" w:rsidRPr="00784A05" w:rsidRDefault="00DA3852" w:rsidP="00C03F9E">
            <w:pPr>
              <w:pStyle w:val="TableTitle"/>
            </w:pPr>
            <w:r>
              <w:rPr>
                <w:b w:val="0"/>
              </w:rPr>
              <w:t>Table B.</w:t>
            </w:r>
            <w:r>
              <w:rPr>
                <w:b w:val="0"/>
                <w:noProof/>
              </w:rPr>
              <w:t>14</w:t>
            </w:r>
            <w:r>
              <w:tab/>
              <w:t>LNG investment limits</w:t>
            </w:r>
          </w:p>
        </w:tc>
      </w:tr>
      <w:tr w:rsidR="00DA3852" w14:paraId="2C5C4744" w14:textId="77777777" w:rsidTr="00C03F9E">
        <w:trPr>
          <w:cantSplit/>
        </w:trPr>
        <w:tc>
          <w:tcPr>
            <w:tcW w:w="8512" w:type="dxa"/>
            <w:tcBorders>
              <w:top w:val="nil"/>
              <w:left w:val="nil"/>
              <w:bottom w:val="nil"/>
              <w:right w:val="nil"/>
            </w:tcBorders>
            <w:shd w:val="clear" w:color="auto" w:fill="auto"/>
          </w:tcPr>
          <w:tbl>
            <w:tblPr>
              <w:tblW w:w="8512" w:type="dxa"/>
              <w:tblCellMar>
                <w:top w:w="28" w:type="dxa"/>
                <w:left w:w="0" w:type="dxa"/>
                <w:right w:w="0" w:type="dxa"/>
              </w:tblCellMar>
              <w:tblLook w:val="0000" w:firstRow="0" w:lastRow="0" w:firstColumn="0" w:lastColumn="0" w:noHBand="0" w:noVBand="0"/>
            </w:tblPr>
            <w:tblGrid>
              <w:gridCol w:w="2830"/>
              <w:gridCol w:w="2819"/>
              <w:gridCol w:w="2863"/>
            </w:tblGrid>
            <w:tr w:rsidR="00DA3852" w14:paraId="0615CB70" w14:textId="77777777" w:rsidTr="00C03F9E">
              <w:tc>
                <w:tcPr>
                  <w:tcW w:w="1662" w:type="pct"/>
                  <w:tcBorders>
                    <w:top w:val="single" w:sz="6" w:space="0" w:color="BFBFBF"/>
                  </w:tcBorders>
                  <w:shd w:val="clear" w:color="auto" w:fill="auto"/>
                  <w:tcMar>
                    <w:top w:w="28" w:type="dxa"/>
                  </w:tcMar>
                </w:tcPr>
                <w:p w14:paraId="26C8025D" w14:textId="77777777" w:rsidR="00DA3852" w:rsidRDefault="00DA3852" w:rsidP="00C03F9E">
                  <w:pPr>
                    <w:pStyle w:val="TableColumnHeading"/>
                    <w:jc w:val="left"/>
                  </w:pPr>
                </w:p>
              </w:tc>
              <w:tc>
                <w:tcPr>
                  <w:tcW w:w="3338" w:type="pct"/>
                  <w:gridSpan w:val="2"/>
                  <w:tcBorders>
                    <w:top w:val="single" w:sz="6" w:space="0" w:color="BFBFBF"/>
                    <w:bottom w:val="single" w:sz="6" w:space="0" w:color="BFBFBF"/>
                  </w:tcBorders>
                  <w:shd w:val="clear" w:color="auto" w:fill="auto"/>
                  <w:tcMar>
                    <w:top w:w="28" w:type="dxa"/>
                  </w:tcMar>
                </w:tcPr>
                <w:p w14:paraId="620F7559" w14:textId="77777777" w:rsidR="00DA3852" w:rsidRDefault="00DA3852" w:rsidP="00C03F9E">
                  <w:pPr>
                    <w:pStyle w:val="TableColumnHeading"/>
                    <w:ind w:right="28"/>
                    <w:jc w:val="center"/>
                  </w:pPr>
                  <w:r>
                    <w:t>Maximum cumulative investment</w:t>
                  </w:r>
                  <w:r>
                    <w:br/>
                    <w:t xml:space="preserve">        (PJ per year of capacity)</w:t>
                  </w:r>
                </w:p>
              </w:tc>
            </w:tr>
            <w:tr w:rsidR="00DA3852" w14:paraId="02AFAE8F" w14:textId="77777777" w:rsidTr="00C03F9E">
              <w:tc>
                <w:tcPr>
                  <w:tcW w:w="1662" w:type="pct"/>
                  <w:tcBorders>
                    <w:bottom w:val="single" w:sz="6" w:space="0" w:color="BFBFBF"/>
                  </w:tcBorders>
                </w:tcPr>
                <w:p w14:paraId="0D2A395E" w14:textId="77777777" w:rsidR="00DA3852" w:rsidRDefault="00DA3852" w:rsidP="00C03F9E">
                  <w:pPr>
                    <w:pStyle w:val="TableUnitsRow"/>
                    <w:jc w:val="left"/>
                  </w:pPr>
                </w:p>
              </w:tc>
              <w:tc>
                <w:tcPr>
                  <w:tcW w:w="1656" w:type="pct"/>
                  <w:tcBorders>
                    <w:top w:val="single" w:sz="6" w:space="0" w:color="BFBFBF"/>
                    <w:bottom w:val="single" w:sz="6" w:space="0" w:color="BFBFBF"/>
                  </w:tcBorders>
                </w:tcPr>
                <w:p w14:paraId="27E78F09" w14:textId="77777777" w:rsidR="00DA3852" w:rsidRDefault="00DA3852" w:rsidP="00C03F9E">
                  <w:pPr>
                    <w:pStyle w:val="TableColumnHeading"/>
                  </w:pPr>
                  <w:r>
                    <w:t>Nameplate capacity (</w:t>
                  </w:r>
                  <w:proofErr w:type="spellStart"/>
                  <w:r>
                    <w:t>mtpa</w:t>
                  </w:r>
                  <w:proofErr w:type="spellEnd"/>
                  <w:r>
                    <w:t>)</w:t>
                  </w:r>
                </w:p>
              </w:tc>
              <w:tc>
                <w:tcPr>
                  <w:tcW w:w="1682" w:type="pct"/>
                  <w:tcBorders>
                    <w:top w:val="single" w:sz="6" w:space="0" w:color="BFBFBF"/>
                    <w:bottom w:val="single" w:sz="6" w:space="0" w:color="BFBFBF"/>
                  </w:tcBorders>
                </w:tcPr>
                <w:p w14:paraId="79671579" w14:textId="77777777" w:rsidR="00DA3852" w:rsidRDefault="00DA3852" w:rsidP="00C03F9E">
                  <w:pPr>
                    <w:pStyle w:val="TableColumnHeading"/>
                  </w:pPr>
                  <w:r>
                    <w:t>Implied gas demand (PJ)</w:t>
                  </w:r>
                </w:p>
              </w:tc>
            </w:tr>
            <w:tr w:rsidR="00DA3852" w14:paraId="3FA33FFE" w14:textId="77777777" w:rsidTr="00C03F9E">
              <w:tc>
                <w:tcPr>
                  <w:tcW w:w="1662" w:type="pct"/>
                  <w:tcBorders>
                    <w:top w:val="single" w:sz="6" w:space="0" w:color="BFBFBF"/>
                  </w:tcBorders>
                </w:tcPr>
                <w:p w14:paraId="28C85122" w14:textId="77777777" w:rsidR="00DA3852" w:rsidRDefault="00DA3852" w:rsidP="00C03F9E">
                  <w:pPr>
                    <w:pStyle w:val="TableBodyText"/>
                    <w:jc w:val="left"/>
                  </w:pPr>
                  <w:r>
                    <w:t>Brownfield</w:t>
                  </w:r>
                </w:p>
              </w:tc>
              <w:tc>
                <w:tcPr>
                  <w:tcW w:w="1656" w:type="pct"/>
                  <w:tcBorders>
                    <w:top w:val="single" w:sz="6" w:space="0" w:color="BFBFBF"/>
                  </w:tcBorders>
                </w:tcPr>
                <w:p w14:paraId="27DD4D23" w14:textId="77777777" w:rsidR="00DA3852" w:rsidRPr="00871193" w:rsidRDefault="00DA3852" w:rsidP="00C03F9E">
                  <w:pPr>
                    <w:pStyle w:val="TableBodyText"/>
                  </w:pPr>
                  <w:r w:rsidRPr="00871193">
                    <w:t>14.7</w:t>
                  </w:r>
                  <w:r>
                    <w:rPr>
                      <w:rStyle w:val="NoteLabel"/>
                    </w:rPr>
                    <w:t>a</w:t>
                  </w:r>
                </w:p>
              </w:tc>
              <w:tc>
                <w:tcPr>
                  <w:tcW w:w="1682" w:type="pct"/>
                  <w:tcBorders>
                    <w:top w:val="single" w:sz="6" w:space="0" w:color="BFBFBF"/>
                  </w:tcBorders>
                </w:tcPr>
                <w:p w14:paraId="6FE502A4" w14:textId="77777777" w:rsidR="00DA3852" w:rsidRDefault="00DA3852" w:rsidP="00C03F9E">
                  <w:pPr>
                    <w:pStyle w:val="TableUnitsRow"/>
                    <w:ind w:right="0"/>
                  </w:pPr>
                  <w:r>
                    <w:t>810</w:t>
                  </w:r>
                  <w:r>
                    <w:rPr>
                      <w:rStyle w:val="NoteLabel"/>
                    </w:rPr>
                    <w:t>b</w:t>
                  </w:r>
                </w:p>
              </w:tc>
            </w:tr>
            <w:tr w:rsidR="00DA3852" w14:paraId="65A3CB49" w14:textId="77777777" w:rsidTr="00C03F9E">
              <w:tc>
                <w:tcPr>
                  <w:tcW w:w="1662" w:type="pct"/>
                  <w:tcBorders>
                    <w:bottom w:val="single" w:sz="6" w:space="0" w:color="BFBFBF"/>
                  </w:tcBorders>
                  <w:shd w:val="clear" w:color="auto" w:fill="auto"/>
                </w:tcPr>
                <w:p w14:paraId="74DADB32" w14:textId="77777777" w:rsidR="00DA3852" w:rsidRDefault="00DA3852" w:rsidP="00C03F9E">
                  <w:pPr>
                    <w:pStyle w:val="TableBodyText"/>
                    <w:jc w:val="left"/>
                  </w:pPr>
                  <w:r>
                    <w:t>Greenfield</w:t>
                  </w:r>
                </w:p>
              </w:tc>
              <w:tc>
                <w:tcPr>
                  <w:tcW w:w="1656" w:type="pct"/>
                  <w:tcBorders>
                    <w:bottom w:val="single" w:sz="6" w:space="0" w:color="BFBFBF"/>
                  </w:tcBorders>
                </w:tcPr>
                <w:p w14:paraId="0B180AE6" w14:textId="77777777" w:rsidR="00DA3852" w:rsidRDefault="00DA3852" w:rsidP="00C03F9E">
                  <w:pPr>
                    <w:pStyle w:val="TableBodyText"/>
                  </w:pPr>
                  <w:r>
                    <w:t>No limit</w:t>
                  </w:r>
                </w:p>
              </w:tc>
              <w:tc>
                <w:tcPr>
                  <w:tcW w:w="1682" w:type="pct"/>
                  <w:tcBorders>
                    <w:bottom w:val="single" w:sz="6" w:space="0" w:color="BFBFBF"/>
                  </w:tcBorders>
                </w:tcPr>
                <w:p w14:paraId="3466C517" w14:textId="77777777" w:rsidR="00DA3852" w:rsidRDefault="00DA3852" w:rsidP="00C03F9E">
                  <w:pPr>
                    <w:pStyle w:val="TableBodyText"/>
                  </w:pPr>
                  <w:r>
                    <w:t>No limit</w:t>
                  </w:r>
                </w:p>
              </w:tc>
            </w:tr>
          </w:tbl>
          <w:p w14:paraId="57BA97BE" w14:textId="77777777" w:rsidR="00DA3852" w:rsidRDefault="00DA3852" w:rsidP="00C03F9E">
            <w:pPr>
              <w:pStyle w:val="Box"/>
            </w:pPr>
          </w:p>
        </w:tc>
      </w:tr>
      <w:tr w:rsidR="00DA3852" w14:paraId="4831F154" w14:textId="77777777" w:rsidTr="00C03F9E">
        <w:trPr>
          <w:cantSplit/>
        </w:trPr>
        <w:tc>
          <w:tcPr>
            <w:tcW w:w="8512" w:type="dxa"/>
            <w:tcBorders>
              <w:top w:val="nil"/>
              <w:left w:val="nil"/>
              <w:bottom w:val="nil"/>
              <w:right w:val="nil"/>
            </w:tcBorders>
            <w:shd w:val="clear" w:color="auto" w:fill="auto"/>
          </w:tcPr>
          <w:p w14:paraId="6B26BD1D" w14:textId="35C5D7E6" w:rsidR="00DA3852" w:rsidRDefault="00DA3852" w:rsidP="00621CCE">
            <w:pPr>
              <w:pStyle w:val="Note"/>
              <w:rPr>
                <w:i/>
              </w:rPr>
            </w:pPr>
            <w:proofErr w:type="gramStart"/>
            <w:r>
              <w:rPr>
                <w:rStyle w:val="NoteLabel"/>
              </w:rPr>
              <w:t>a</w:t>
            </w:r>
            <w:proofErr w:type="gramEnd"/>
            <w:r>
              <w:t xml:space="preserve"> Based on the total capacity of additional trains proposed (but not committed) by the Australia Pacific LNG, Gladstone LNG and Queensland Curtis LNG plants </w:t>
            </w:r>
            <w:r w:rsidRPr="00473168">
              <w:rPr>
                <w:szCs w:val="24"/>
              </w:rPr>
              <w:t>(AER</w:t>
            </w:r>
            <w:r w:rsidRPr="000D4738">
              <w:rPr>
                <w:szCs w:val="24"/>
              </w:rPr>
              <w:t> </w:t>
            </w:r>
            <w:r w:rsidRPr="00A26D3E">
              <w:rPr>
                <w:szCs w:val="24"/>
              </w:rPr>
              <w:t>2013</w:t>
            </w:r>
            <w:r w:rsidR="00621CCE">
              <w:rPr>
                <w:szCs w:val="24"/>
              </w:rPr>
              <w:t>a</w:t>
            </w:r>
            <w:r w:rsidRPr="00A26D3E">
              <w:rPr>
                <w:szCs w:val="24"/>
              </w:rPr>
              <w:t>; IEA 2014)</w:t>
            </w:r>
            <w:r>
              <w:t xml:space="preserve">. </w:t>
            </w:r>
            <w:proofErr w:type="gramStart"/>
            <w:r>
              <w:rPr>
                <w:rStyle w:val="NoteLabel"/>
              </w:rPr>
              <w:t>b</w:t>
            </w:r>
            <w:proofErr w:type="gramEnd"/>
            <w:r>
              <w:t xml:space="preserve"> Based on a conversion rate of 1 million tonnes = 54.4 PJ </w:t>
            </w:r>
            <w:r w:rsidRPr="004F1A86">
              <w:rPr>
                <w:rFonts w:cs="Arial"/>
                <w:szCs w:val="24"/>
              </w:rPr>
              <w:t>(BREE 2014c)</w:t>
            </w:r>
            <w:r>
              <w:t xml:space="preserve"> and after accounting for gas used as fuel during the liquefaction process.</w:t>
            </w:r>
          </w:p>
        </w:tc>
      </w:tr>
      <w:tr w:rsidR="00DA3852" w14:paraId="1726DD37" w14:textId="77777777" w:rsidTr="00C03F9E">
        <w:trPr>
          <w:cantSplit/>
        </w:trPr>
        <w:tc>
          <w:tcPr>
            <w:tcW w:w="8512" w:type="dxa"/>
            <w:tcBorders>
              <w:top w:val="nil"/>
              <w:left w:val="nil"/>
              <w:bottom w:val="nil"/>
              <w:right w:val="nil"/>
            </w:tcBorders>
            <w:shd w:val="clear" w:color="auto" w:fill="auto"/>
          </w:tcPr>
          <w:p w14:paraId="3F03FDA8" w14:textId="5E60F7F5" w:rsidR="00DA3852" w:rsidRDefault="00DA3852" w:rsidP="00621CCE">
            <w:pPr>
              <w:pStyle w:val="Source"/>
            </w:pPr>
            <w:r>
              <w:rPr>
                <w:i/>
              </w:rPr>
              <w:t>Sources</w:t>
            </w:r>
            <w:r w:rsidRPr="00167F06">
              <w:t xml:space="preserve">: </w:t>
            </w:r>
            <w:r>
              <w:t xml:space="preserve">AER </w:t>
            </w:r>
            <w:r w:rsidRPr="00E55EB8">
              <w:rPr>
                <w:rFonts w:cs="Arial"/>
              </w:rPr>
              <w:t>(2013</w:t>
            </w:r>
            <w:r w:rsidR="00621CCE">
              <w:rPr>
                <w:rFonts w:cs="Arial"/>
              </w:rPr>
              <w:t>a</w:t>
            </w:r>
            <w:r w:rsidRPr="00E55EB8">
              <w:rPr>
                <w:rFonts w:cs="Arial"/>
              </w:rPr>
              <w:t>)</w:t>
            </w:r>
            <w:r>
              <w:t xml:space="preserve">; </w:t>
            </w:r>
            <w:r w:rsidRPr="004F1A86">
              <w:rPr>
                <w:rFonts w:cs="Arial"/>
                <w:szCs w:val="24"/>
              </w:rPr>
              <w:t>BREE </w:t>
            </w:r>
            <w:r w:rsidR="008026B7">
              <w:rPr>
                <w:rFonts w:cs="Arial"/>
                <w:szCs w:val="24"/>
              </w:rPr>
              <w:t>(</w:t>
            </w:r>
            <w:r w:rsidRPr="004F1A86">
              <w:rPr>
                <w:rFonts w:cs="Arial"/>
                <w:szCs w:val="24"/>
              </w:rPr>
              <w:t>2014c)</w:t>
            </w:r>
            <w:r>
              <w:t xml:space="preserve">; IEA </w:t>
            </w:r>
            <w:r w:rsidRPr="007A23FC">
              <w:rPr>
                <w:rFonts w:cs="Arial"/>
              </w:rPr>
              <w:t>(2014)</w:t>
            </w:r>
            <w:r>
              <w:t>.</w:t>
            </w:r>
          </w:p>
        </w:tc>
      </w:tr>
      <w:tr w:rsidR="00DA3852" w14:paraId="52628730" w14:textId="77777777" w:rsidTr="00C03F9E">
        <w:trPr>
          <w:cantSplit/>
        </w:trPr>
        <w:tc>
          <w:tcPr>
            <w:tcW w:w="8512" w:type="dxa"/>
            <w:tcBorders>
              <w:top w:val="nil"/>
              <w:left w:val="nil"/>
              <w:bottom w:val="single" w:sz="6" w:space="0" w:color="78A22F"/>
              <w:right w:val="nil"/>
            </w:tcBorders>
            <w:shd w:val="clear" w:color="auto" w:fill="auto"/>
          </w:tcPr>
          <w:p w14:paraId="49014FE3" w14:textId="77777777" w:rsidR="00DA3852" w:rsidRDefault="00DA3852" w:rsidP="00C03F9E">
            <w:pPr>
              <w:pStyle w:val="Box"/>
              <w:spacing w:before="0" w:line="120" w:lineRule="exact"/>
            </w:pPr>
          </w:p>
        </w:tc>
      </w:tr>
      <w:tr w:rsidR="00DA3852" w:rsidRPr="000863A5" w14:paraId="128F61E1" w14:textId="77777777" w:rsidTr="00C03F9E">
        <w:tc>
          <w:tcPr>
            <w:tcW w:w="8512" w:type="dxa"/>
            <w:tcBorders>
              <w:top w:val="single" w:sz="6" w:space="0" w:color="78A22F"/>
              <w:left w:val="nil"/>
              <w:bottom w:val="nil"/>
              <w:right w:val="nil"/>
            </w:tcBorders>
          </w:tcPr>
          <w:p w14:paraId="28E92078" w14:textId="77777777" w:rsidR="00DA3852" w:rsidRPr="00626D32" w:rsidRDefault="00DA3852" w:rsidP="00C03F9E">
            <w:pPr>
              <w:pStyle w:val="BoxSpaceBelow"/>
            </w:pPr>
          </w:p>
        </w:tc>
      </w:tr>
    </w:tbl>
    <w:p w14:paraId="21AAB6C1" w14:textId="32706D56" w:rsidR="00DA3852" w:rsidRDefault="00DA3852" w:rsidP="00DA3852">
      <w:pPr>
        <w:pStyle w:val="BodyText"/>
      </w:pPr>
      <w:r>
        <w:t xml:space="preserve">Investment in further LNG capacity will depend on liquefaction plant costs and LNG export demand in the Asia–Pacific </w:t>
      </w:r>
      <w:r w:rsidR="008026B7">
        <w:t>market</w:t>
      </w:r>
      <w:r>
        <w:t>.</w:t>
      </w:r>
    </w:p>
    <w:p w14:paraId="2D31BE91" w14:textId="77777777" w:rsidR="00DA3852" w:rsidRDefault="00DA3852" w:rsidP="00DA3852">
      <w:pPr>
        <w:pStyle w:val="Heading5"/>
      </w:pPr>
      <w:r>
        <w:t>Liquefaction plant costs</w:t>
      </w:r>
    </w:p>
    <w:p w14:paraId="686879D8" w14:textId="77777777" w:rsidR="00DA3852" w:rsidRDefault="00DA3852" w:rsidP="00DA3852">
      <w:pPr>
        <w:pStyle w:val="BodyText"/>
      </w:pPr>
      <w:r>
        <w:t xml:space="preserve">The capital cost of </w:t>
      </w:r>
      <w:proofErr w:type="gramStart"/>
      <w:r>
        <w:t>greenfield</w:t>
      </w:r>
      <w:proofErr w:type="gramEnd"/>
      <w:r>
        <w:t xml:space="preserve"> plant capacity in the model is based on recent estimates for the Australia Pacific LNG plant, the Gladstone LNG plant and the Queensland Curtis LNG plant. Estimates for each plant were obtained from BREE </w:t>
      </w:r>
      <w:r w:rsidRPr="004F1A86">
        <w:t>(2014d)</w:t>
      </w:r>
      <w:r>
        <w:t xml:space="preserve"> and the Oxford Institute of Energy Studies </w:t>
      </w:r>
      <w:r w:rsidRPr="00F7045E">
        <w:t>(2014)</w:t>
      </w:r>
      <w:r>
        <w:t xml:space="preserve">. The average of these six estimates is used in the model </w:t>
      </w:r>
      <w:r>
        <w:lastRenderedPageBreak/>
        <w:t>(table B.15). These estimates are then adjusted for higher required rates of return than the discount rate in the model, as discussed in box B.2.</w:t>
      </w:r>
    </w:p>
    <w:p w14:paraId="0B174404" w14:textId="77777777" w:rsidR="00DA3852" w:rsidRDefault="00DA3852" w:rsidP="00DA3852">
      <w:pPr>
        <w:pStyle w:val="BodyText"/>
      </w:pPr>
      <w:r>
        <w:t xml:space="preserve">The capital cost of brownfield plant capacity is estimated to be two thirds of the cost of </w:t>
      </w:r>
      <w:proofErr w:type="gramStart"/>
      <w:r>
        <w:t>greenfield</w:t>
      </w:r>
      <w:proofErr w:type="gramEnd"/>
      <w:r>
        <w:t xml:space="preserve"> plant capacity, in line with analysis by the Oxford Institute of Energy Studies </w:t>
      </w:r>
      <w:r w:rsidRPr="00FD2B15">
        <w:t>(2014)</w:t>
      </w:r>
      <w:r>
        <w:t>.</w:t>
      </w:r>
    </w:p>
    <w:p w14:paraId="1698FA30" w14:textId="77777777" w:rsidR="00DA3852" w:rsidRDefault="00DA3852" w:rsidP="00DA3852">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DA3852" w14:paraId="1339FE01" w14:textId="77777777" w:rsidTr="00C03F9E">
        <w:tc>
          <w:tcPr>
            <w:tcW w:w="8771" w:type="dxa"/>
            <w:tcBorders>
              <w:top w:val="single" w:sz="6" w:space="0" w:color="78A22F"/>
              <w:left w:val="nil"/>
              <w:bottom w:val="nil"/>
              <w:right w:val="nil"/>
            </w:tcBorders>
            <w:shd w:val="clear" w:color="auto" w:fill="auto"/>
          </w:tcPr>
          <w:p w14:paraId="05C2C7C7" w14:textId="562FEAE9" w:rsidR="00DA3852" w:rsidRDefault="00DA3852" w:rsidP="00C03F9E">
            <w:pPr>
              <w:pStyle w:val="TableTitle"/>
            </w:pPr>
            <w:r>
              <w:rPr>
                <w:b w:val="0"/>
              </w:rPr>
              <w:t>Table B.</w:t>
            </w:r>
            <w:r>
              <w:rPr>
                <w:b w:val="0"/>
                <w:noProof/>
              </w:rPr>
              <w:t>15</w:t>
            </w:r>
            <w:r>
              <w:tab/>
              <w:t>Liquefaction plant capital costs</w:t>
            </w:r>
          </w:p>
          <w:p w14:paraId="1C76C395" w14:textId="77777777" w:rsidR="00DA3852" w:rsidRPr="00784A05" w:rsidRDefault="00DA3852" w:rsidP="00C03F9E">
            <w:pPr>
              <w:pStyle w:val="Subtitle"/>
            </w:pPr>
            <w:r>
              <w:t xml:space="preserve">$ </w:t>
            </w:r>
            <w:proofErr w:type="gramStart"/>
            <w:r>
              <w:t>per</w:t>
            </w:r>
            <w:proofErr w:type="gramEnd"/>
            <w:r>
              <w:t xml:space="preserve"> GJ of annual capacity</w:t>
            </w:r>
          </w:p>
        </w:tc>
      </w:tr>
      <w:tr w:rsidR="00DA3852" w14:paraId="2C49A53C" w14:textId="77777777" w:rsidTr="00C03F9E">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829"/>
              <w:gridCol w:w="2830"/>
              <w:gridCol w:w="2828"/>
            </w:tblGrid>
            <w:tr w:rsidR="00DA3852" w14:paraId="1D43E7DA" w14:textId="77777777" w:rsidTr="00C03F9E">
              <w:tc>
                <w:tcPr>
                  <w:tcW w:w="1667" w:type="pct"/>
                  <w:tcBorders>
                    <w:top w:val="single" w:sz="6" w:space="0" w:color="BFBFBF"/>
                    <w:bottom w:val="single" w:sz="6" w:space="0" w:color="BFBFBF"/>
                  </w:tcBorders>
                  <w:shd w:val="clear" w:color="auto" w:fill="auto"/>
                  <w:tcMar>
                    <w:top w:w="28" w:type="dxa"/>
                  </w:tcMar>
                </w:tcPr>
                <w:p w14:paraId="32D21BCB" w14:textId="77777777" w:rsidR="00DA3852" w:rsidRDefault="00DA3852" w:rsidP="00C03F9E">
                  <w:pPr>
                    <w:pStyle w:val="TableColumnHeading"/>
                    <w:jc w:val="left"/>
                  </w:pPr>
                </w:p>
              </w:tc>
              <w:tc>
                <w:tcPr>
                  <w:tcW w:w="1667" w:type="pct"/>
                  <w:tcBorders>
                    <w:top w:val="single" w:sz="6" w:space="0" w:color="BFBFBF"/>
                    <w:bottom w:val="single" w:sz="6" w:space="0" w:color="BFBFBF"/>
                  </w:tcBorders>
                  <w:shd w:val="clear" w:color="auto" w:fill="auto"/>
                  <w:tcMar>
                    <w:top w:w="28" w:type="dxa"/>
                  </w:tcMar>
                  <w:vAlign w:val="center"/>
                </w:tcPr>
                <w:p w14:paraId="418113C3" w14:textId="77777777" w:rsidR="00DA3852" w:rsidRDefault="00DA3852" w:rsidP="00C03F9E">
                  <w:pPr>
                    <w:pStyle w:val="TableColumnHeading"/>
                    <w:ind w:right="28"/>
                  </w:pPr>
                  <w:r>
                    <w:t>Unadjusted</w:t>
                  </w:r>
                  <w:r>
                    <w:br/>
                    <w:t>capital cost</w:t>
                  </w:r>
                </w:p>
              </w:tc>
              <w:tc>
                <w:tcPr>
                  <w:tcW w:w="1667" w:type="pct"/>
                  <w:tcBorders>
                    <w:top w:val="single" w:sz="6" w:space="0" w:color="BFBFBF"/>
                    <w:bottom w:val="single" w:sz="6" w:space="0" w:color="BFBFBF"/>
                  </w:tcBorders>
                  <w:vAlign w:val="center"/>
                </w:tcPr>
                <w:p w14:paraId="0FDFF197" w14:textId="77777777" w:rsidR="00DA3852" w:rsidRDefault="00DA3852" w:rsidP="00C03F9E">
                  <w:pPr>
                    <w:pStyle w:val="TableColumnHeading"/>
                    <w:ind w:right="28"/>
                  </w:pPr>
                  <w:r>
                    <w:t>Certainty</w:t>
                  </w:r>
                  <w:r>
                    <w:noBreakHyphen/>
                    <w:t>equivalent</w:t>
                  </w:r>
                  <w:r>
                    <w:br/>
                    <w:t>capital cost</w:t>
                  </w:r>
                </w:p>
              </w:tc>
            </w:tr>
            <w:tr w:rsidR="00DA3852" w14:paraId="6231A931" w14:textId="77777777" w:rsidTr="00C03F9E">
              <w:trPr>
                <w:trHeight w:val="170"/>
              </w:trPr>
              <w:tc>
                <w:tcPr>
                  <w:tcW w:w="1667" w:type="pct"/>
                  <w:tcBorders>
                    <w:top w:val="single" w:sz="6" w:space="0" w:color="BFBFBF"/>
                  </w:tcBorders>
                </w:tcPr>
                <w:p w14:paraId="5122604C" w14:textId="77777777" w:rsidR="00DA3852" w:rsidRDefault="00DA3852" w:rsidP="00C03F9E">
                  <w:pPr>
                    <w:pStyle w:val="TableUnitsRow"/>
                    <w:jc w:val="left"/>
                  </w:pPr>
                  <w:r>
                    <w:t>Greenfield</w:t>
                  </w:r>
                </w:p>
              </w:tc>
              <w:tc>
                <w:tcPr>
                  <w:tcW w:w="1667" w:type="pct"/>
                  <w:tcBorders>
                    <w:top w:val="single" w:sz="6" w:space="0" w:color="BFBFBF"/>
                  </w:tcBorders>
                </w:tcPr>
                <w:p w14:paraId="2ED5361A" w14:textId="77777777" w:rsidR="00DA3852" w:rsidRDefault="00DA3852" w:rsidP="00C03F9E">
                  <w:pPr>
                    <w:pStyle w:val="TableUnitsRow"/>
                    <w:ind w:right="28"/>
                  </w:pPr>
                  <w:r>
                    <w:t>23</w:t>
                  </w:r>
                </w:p>
              </w:tc>
              <w:tc>
                <w:tcPr>
                  <w:tcW w:w="1667" w:type="pct"/>
                  <w:tcBorders>
                    <w:top w:val="single" w:sz="6" w:space="0" w:color="BFBFBF"/>
                  </w:tcBorders>
                </w:tcPr>
                <w:p w14:paraId="44894BE7" w14:textId="77777777" w:rsidR="00DA3852" w:rsidRDefault="00DA3852" w:rsidP="00C03F9E">
                  <w:pPr>
                    <w:pStyle w:val="TableUnitsRow"/>
                    <w:ind w:right="28"/>
                  </w:pPr>
                  <w:r>
                    <w:t>51</w:t>
                  </w:r>
                </w:p>
              </w:tc>
            </w:tr>
            <w:tr w:rsidR="00DA3852" w14:paraId="04FA4B4C" w14:textId="77777777" w:rsidTr="00C03F9E">
              <w:trPr>
                <w:trHeight w:val="170"/>
              </w:trPr>
              <w:tc>
                <w:tcPr>
                  <w:tcW w:w="1667" w:type="pct"/>
                  <w:tcBorders>
                    <w:bottom w:val="single" w:sz="6" w:space="0" w:color="BFBFBF"/>
                  </w:tcBorders>
                  <w:shd w:val="clear" w:color="auto" w:fill="auto"/>
                </w:tcPr>
                <w:p w14:paraId="2634B98F" w14:textId="77777777" w:rsidR="00DA3852" w:rsidRDefault="00DA3852" w:rsidP="00C03F9E">
                  <w:pPr>
                    <w:pStyle w:val="TableBodyText"/>
                    <w:jc w:val="left"/>
                  </w:pPr>
                  <w:r>
                    <w:t>Brownfield</w:t>
                  </w:r>
                </w:p>
              </w:tc>
              <w:tc>
                <w:tcPr>
                  <w:tcW w:w="1667" w:type="pct"/>
                  <w:tcBorders>
                    <w:bottom w:val="single" w:sz="6" w:space="0" w:color="BFBFBF"/>
                  </w:tcBorders>
                  <w:shd w:val="clear" w:color="auto" w:fill="auto"/>
                </w:tcPr>
                <w:p w14:paraId="4FBF66FC" w14:textId="77777777" w:rsidR="00DA3852" w:rsidRDefault="00DA3852" w:rsidP="00C03F9E">
                  <w:pPr>
                    <w:pStyle w:val="TableBodyText"/>
                    <w:ind w:right="28"/>
                  </w:pPr>
                  <w:r>
                    <w:t>15</w:t>
                  </w:r>
                </w:p>
              </w:tc>
              <w:tc>
                <w:tcPr>
                  <w:tcW w:w="1667" w:type="pct"/>
                  <w:tcBorders>
                    <w:bottom w:val="single" w:sz="6" w:space="0" w:color="BFBFBF"/>
                  </w:tcBorders>
                </w:tcPr>
                <w:p w14:paraId="7CDEA8AF" w14:textId="77777777" w:rsidR="00DA3852" w:rsidRDefault="00DA3852" w:rsidP="00C03F9E">
                  <w:pPr>
                    <w:pStyle w:val="TableBodyText"/>
                    <w:ind w:right="28"/>
                  </w:pPr>
                  <w:r>
                    <w:t>32</w:t>
                  </w:r>
                </w:p>
              </w:tc>
            </w:tr>
          </w:tbl>
          <w:p w14:paraId="1127508B" w14:textId="77777777" w:rsidR="00DA3852" w:rsidRDefault="00DA3852" w:rsidP="00C03F9E">
            <w:pPr>
              <w:pStyle w:val="Box"/>
            </w:pPr>
          </w:p>
        </w:tc>
      </w:tr>
      <w:tr w:rsidR="00DA3852" w14:paraId="6F45EB06" w14:textId="77777777" w:rsidTr="00C03F9E">
        <w:trPr>
          <w:cantSplit/>
        </w:trPr>
        <w:tc>
          <w:tcPr>
            <w:tcW w:w="8771" w:type="dxa"/>
            <w:tcBorders>
              <w:top w:val="nil"/>
              <w:left w:val="nil"/>
              <w:bottom w:val="nil"/>
              <w:right w:val="nil"/>
            </w:tcBorders>
            <w:shd w:val="clear" w:color="auto" w:fill="auto"/>
          </w:tcPr>
          <w:p w14:paraId="2054C63E" w14:textId="77777777" w:rsidR="00DA3852" w:rsidRDefault="00DA3852" w:rsidP="00C03F9E">
            <w:pPr>
              <w:pStyle w:val="Source"/>
            </w:pPr>
            <w:r>
              <w:rPr>
                <w:i/>
              </w:rPr>
              <w:t>Source</w:t>
            </w:r>
            <w:r w:rsidRPr="00167F06">
              <w:t xml:space="preserve">: </w:t>
            </w:r>
            <w:r>
              <w:t>Commission estimates.</w:t>
            </w:r>
          </w:p>
        </w:tc>
      </w:tr>
      <w:tr w:rsidR="00DA3852" w14:paraId="4D63785F" w14:textId="77777777" w:rsidTr="00C03F9E">
        <w:trPr>
          <w:cantSplit/>
        </w:trPr>
        <w:tc>
          <w:tcPr>
            <w:tcW w:w="8771" w:type="dxa"/>
            <w:tcBorders>
              <w:top w:val="nil"/>
              <w:left w:val="nil"/>
              <w:bottom w:val="single" w:sz="6" w:space="0" w:color="78A22F"/>
              <w:right w:val="nil"/>
            </w:tcBorders>
            <w:shd w:val="clear" w:color="auto" w:fill="auto"/>
          </w:tcPr>
          <w:p w14:paraId="68562F5A" w14:textId="77777777" w:rsidR="00DA3852" w:rsidRDefault="00DA3852" w:rsidP="00C03F9E">
            <w:pPr>
              <w:pStyle w:val="Box"/>
              <w:spacing w:before="0" w:line="120" w:lineRule="exact"/>
            </w:pPr>
          </w:p>
        </w:tc>
      </w:tr>
      <w:tr w:rsidR="00DA3852" w:rsidRPr="000863A5" w14:paraId="327974CB" w14:textId="77777777" w:rsidTr="00C03F9E">
        <w:tc>
          <w:tcPr>
            <w:tcW w:w="8771" w:type="dxa"/>
            <w:tcBorders>
              <w:top w:val="single" w:sz="6" w:space="0" w:color="78A22F"/>
              <w:left w:val="nil"/>
              <w:bottom w:val="nil"/>
              <w:right w:val="nil"/>
            </w:tcBorders>
          </w:tcPr>
          <w:p w14:paraId="7C0DA4D5" w14:textId="77777777" w:rsidR="00DA3852" w:rsidRPr="00626D32" w:rsidRDefault="00DA3852" w:rsidP="00C03F9E">
            <w:pPr>
              <w:pStyle w:val="BoxSpaceBelow"/>
            </w:pPr>
          </w:p>
        </w:tc>
      </w:tr>
    </w:tbl>
    <w:p w14:paraId="78825B7F" w14:textId="77777777" w:rsidR="00DA3852" w:rsidRDefault="00DA3852" w:rsidP="00DA3852">
      <w:pPr>
        <w:pStyle w:val="BodyText"/>
      </w:pPr>
      <w:r>
        <w:t>Operating costs are split into two components: own</w:t>
      </w:r>
      <w:r>
        <w:noBreakHyphen/>
        <w:t>use of gas and general operating and maintenance expenditure. Both vary according to liquefaction plant output.</w:t>
      </w:r>
    </w:p>
    <w:p w14:paraId="3BFD097A" w14:textId="77777777" w:rsidR="00DA3852" w:rsidRDefault="00DA3852" w:rsidP="00DA3852">
      <w:pPr>
        <w:pStyle w:val="ListBullet"/>
      </w:pPr>
      <w:r>
        <w:t xml:space="preserve">Nine per cent of input gas is used as fuel during the liquefaction process based on estimates from Core Energy Group (but excluding transmission losses and gas use in production and processing) </w:t>
      </w:r>
      <w:r w:rsidRPr="00261373">
        <w:t>(2013b)</w:t>
      </w:r>
      <w:r>
        <w:t>.</w:t>
      </w:r>
    </w:p>
    <w:p w14:paraId="75616E33" w14:textId="77777777" w:rsidR="00DA3852" w:rsidRPr="00860D71" w:rsidRDefault="00DA3852" w:rsidP="00DA3852">
      <w:pPr>
        <w:pStyle w:val="ListBullet"/>
      </w:pPr>
      <w:r>
        <w:t xml:space="preserve">General operating and maintenance expenditure is estimated to be $0.70 per GJ of input gas (3 per cent of capital expenditure, based on White and Morgan </w:t>
      </w:r>
      <w:r w:rsidRPr="00861FF1">
        <w:t>(2012)</w:t>
      </w:r>
      <w:r>
        <w:t>).</w:t>
      </w:r>
    </w:p>
    <w:p w14:paraId="2AE9B2CA" w14:textId="390882C5" w:rsidR="00DA3852" w:rsidRDefault="00DA3852" w:rsidP="00DA3852">
      <w:pPr>
        <w:pStyle w:val="BodyText"/>
      </w:pPr>
      <w:r>
        <w:t xml:space="preserve">From the time an investment decision is made to </w:t>
      </w:r>
      <w:r w:rsidR="008026B7">
        <w:t xml:space="preserve">the commencement of </w:t>
      </w:r>
      <w:r>
        <w:t>LNG production, it takes four years to build a new liquefaction plant and three years to expand an existing liquefaction plant in the model. These estimates are based on the experience of recent plant constructions in Australia</w:t>
      </w:r>
      <w:r w:rsidR="008026B7">
        <w:t xml:space="preserve"> (</w:t>
      </w:r>
      <w:r>
        <w:t>APLNG 2014; BG Group 2014a; Santos 2011</w:t>
      </w:r>
      <w:r w:rsidR="00621CCE">
        <w:t>a</w:t>
      </w:r>
      <w:r>
        <w:t xml:space="preserve">; Woodside 2013). The economic lifetime of a liquefaction plant in the model is 40 years </w:t>
      </w:r>
      <w:r w:rsidRPr="007E718F">
        <w:rPr>
          <w:szCs w:val="24"/>
        </w:rPr>
        <w:t>(BG Group 2014b)</w:t>
      </w:r>
      <w:r>
        <w:t>. The earliest model period when a decision to invest in new liquefaction plant capacity can be made is 2015</w:t>
      </w:r>
      <w:r>
        <w:noBreakHyphen/>
        <w:t>16.</w:t>
      </w:r>
    </w:p>
    <w:p w14:paraId="627CBA76" w14:textId="77777777" w:rsidR="00DA3852" w:rsidRDefault="00DA3852" w:rsidP="00DA3852">
      <w:pPr>
        <w:pStyle w:val="Heading5"/>
      </w:pPr>
      <w:r>
        <w:t>LNG export demand</w:t>
      </w:r>
    </w:p>
    <w:p w14:paraId="660A1ADB" w14:textId="7D6546CB" w:rsidR="00DA3852" w:rsidRDefault="00DA3852" w:rsidP="00DA3852">
      <w:pPr>
        <w:pStyle w:val="BodyText"/>
      </w:pPr>
      <w:r>
        <w:t xml:space="preserve">LNG export demand is an important factor in future market outcomes in the eastern Australian gas market. While demand for gas from existing LNG facilities is treated as fixed, future LNG export demand will influence whether existing facilities are expanded or new facilities built. In turn, expansions in exports would </w:t>
      </w:r>
      <w:r w:rsidR="008026B7">
        <w:t>affect</w:t>
      </w:r>
      <w:r>
        <w:t xml:space="preserve"> prices for natural gas in the </w:t>
      </w:r>
      <w:r w:rsidR="008026B7">
        <w:t xml:space="preserve">eastern Australian gas </w:t>
      </w:r>
      <w:r>
        <w:t>market.</w:t>
      </w:r>
    </w:p>
    <w:p w14:paraId="2CB5232B" w14:textId="3159DEBF" w:rsidR="00DA3852" w:rsidRDefault="00DA3852" w:rsidP="00DA3852">
      <w:pPr>
        <w:pStyle w:val="BodyText"/>
      </w:pPr>
      <w:r>
        <w:t xml:space="preserve">Demand for LNG exports from the eastern Australian gas market is assumed to be perfectly elastic. This </w:t>
      </w:r>
      <w:r w:rsidRPr="00E80333">
        <w:t xml:space="preserve">implies that additional exports from the eastern Australian gas market </w:t>
      </w:r>
      <w:r>
        <w:t xml:space="preserve">would </w:t>
      </w:r>
      <w:r w:rsidRPr="00E80333">
        <w:t>have no effect on LNG prices in the Asia</w:t>
      </w:r>
      <w:r>
        <w:t>–</w:t>
      </w:r>
      <w:r w:rsidRPr="00E80333">
        <w:t xml:space="preserve">Pacific </w:t>
      </w:r>
      <w:r w:rsidR="008026B7">
        <w:t>market</w:t>
      </w:r>
      <w:r>
        <w:t xml:space="preserve">. LNG export </w:t>
      </w:r>
      <w:r>
        <w:lastRenderedPageBreak/>
        <w:t>demand can therefore be represented by a fixed price series for future Asia–Pacific LNG prices.</w:t>
      </w:r>
    </w:p>
    <w:p w14:paraId="3C12F9C5" w14:textId="47D7CC37" w:rsidR="00DA3852" w:rsidRDefault="00DA3852" w:rsidP="00DA3852">
      <w:pPr>
        <w:pStyle w:val="BodyText"/>
      </w:pPr>
      <w:r>
        <w:t xml:space="preserve">The outlook for LNG export prices is uncertain. Future prices in the Asia–Pacific </w:t>
      </w:r>
      <w:r w:rsidR="008026B7">
        <w:t xml:space="preserve">market </w:t>
      </w:r>
      <w:r>
        <w:t xml:space="preserve">will depend on factors such as the price and availability of substitute fuels, the rate of growth in demand from China, and the timing and scale of new supply from Russia and the United States </w:t>
      </w:r>
      <w:r w:rsidRPr="004F1A86">
        <w:rPr>
          <w:szCs w:val="24"/>
        </w:rPr>
        <w:t>(Bradshaw et al. 2013; BREE 2014d)</w:t>
      </w:r>
      <w:r>
        <w:t>. Reflecting this uncertainty, three scenarios have been developed for LNG export prices: high, central and low.</w:t>
      </w:r>
    </w:p>
    <w:p w14:paraId="3F04C98B" w14:textId="77777777" w:rsidR="00DA3852" w:rsidRDefault="00DA3852" w:rsidP="00DA3852">
      <w:pPr>
        <w:pStyle w:val="BodyText"/>
      </w:pPr>
      <w:r>
        <w:t xml:space="preserve">The central scenario uses a price series derived from the latest forecast of Japanese LNG import prices produced by the World Bank </w:t>
      </w:r>
      <w:r w:rsidRPr="004F1A86">
        <w:t>(2015b)</w:t>
      </w:r>
      <w:r>
        <w:t xml:space="preserve">. A freight cost of US$0.81 per GJ is subtracted from the forecast to estimate a ‘free on board’ export price </w:t>
      </w:r>
      <w:r w:rsidRPr="006C66F5">
        <w:rPr>
          <w:szCs w:val="24"/>
        </w:rPr>
        <w:t>(</w:t>
      </w:r>
      <w:proofErr w:type="spellStart"/>
      <w:r w:rsidRPr="006C66F5">
        <w:rPr>
          <w:szCs w:val="24"/>
        </w:rPr>
        <w:t>Platts</w:t>
      </w:r>
      <w:proofErr w:type="spellEnd"/>
      <w:r w:rsidRPr="006C66F5">
        <w:rPr>
          <w:szCs w:val="24"/>
        </w:rPr>
        <w:t> 2015)</w:t>
      </w:r>
      <w:r>
        <w:t>. Prices are converted to Australian dollars using historical exchange rates for past years and a rate of A$1.00 = US$0.80 for future years. The high and low scenarios diverge from the World Bank forecast linearly so that, by 2032, the high scenario price is one third higher, and the low scenario price is one third lower than the central scenario price (figure B.7).</w:t>
      </w:r>
    </w:p>
    <w:p w14:paraId="35B49E35" w14:textId="77777777" w:rsidR="00DA3852" w:rsidRDefault="00DA3852" w:rsidP="00DA3852">
      <w:pPr>
        <w:pStyle w:val="BoxSpaceAbove"/>
        <w:spacing w:before="240"/>
      </w:pPr>
    </w:p>
    <w:tbl>
      <w:tblPr>
        <w:tblW w:w="0" w:type="auto"/>
        <w:tblInd w:w="164" w:type="dxa"/>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804"/>
      </w:tblGrid>
      <w:tr w:rsidR="00DA3852" w14:paraId="6AB5343A" w14:textId="77777777" w:rsidTr="00C03F9E">
        <w:tc>
          <w:tcPr>
            <w:tcW w:w="8771" w:type="dxa"/>
            <w:tcBorders>
              <w:top w:val="single" w:sz="6" w:space="0" w:color="78A22F"/>
              <w:left w:val="nil"/>
              <w:bottom w:val="nil"/>
              <w:right w:val="nil"/>
            </w:tcBorders>
            <w:shd w:val="clear" w:color="auto" w:fill="auto"/>
          </w:tcPr>
          <w:p w14:paraId="6D262062" w14:textId="77777777" w:rsidR="00DA3852" w:rsidRPr="00176D3F" w:rsidRDefault="00DA3852" w:rsidP="00C03F9E">
            <w:pPr>
              <w:pStyle w:val="FigureTitle"/>
            </w:pPr>
            <w:r w:rsidRPr="00784A05">
              <w:rPr>
                <w:b w:val="0"/>
              </w:rPr>
              <w:t xml:space="preserve">Figure </w:t>
            </w:r>
            <w:r>
              <w:rPr>
                <w:b w:val="0"/>
              </w:rPr>
              <w:t>B.7</w:t>
            </w:r>
            <w:r>
              <w:tab/>
              <w:t>LNG export price series</w:t>
            </w:r>
            <w:r>
              <w:rPr>
                <w:rStyle w:val="NoteLabel"/>
              </w:rPr>
              <w:t>a</w:t>
            </w:r>
          </w:p>
        </w:tc>
      </w:tr>
      <w:tr w:rsidR="00DA3852" w14:paraId="5E4D104A" w14:textId="77777777" w:rsidTr="00C03F9E">
        <w:tc>
          <w:tcPr>
            <w:tcW w:w="8771" w:type="dxa"/>
            <w:tcBorders>
              <w:top w:val="nil"/>
              <w:left w:val="nil"/>
              <w:bottom w:val="nil"/>
              <w:right w:val="nil"/>
            </w:tcBorders>
            <w:shd w:val="clear" w:color="auto" w:fill="auto"/>
            <w:tcMar>
              <w:top w:w="28" w:type="dxa"/>
              <w:bottom w:w="28" w:type="dxa"/>
            </w:tcMar>
          </w:tcPr>
          <w:tbl>
            <w:tblPr>
              <w:tblW w:w="0" w:type="auto"/>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Pr>
            <w:tblGrid>
              <w:gridCol w:w="8520"/>
            </w:tblGrid>
            <w:tr w:rsidR="00DA3852" w14:paraId="0597F3BA" w14:textId="77777777" w:rsidTr="00C03F9E">
              <w:trPr>
                <w:jc w:val="center"/>
              </w:trPr>
              <w:tc>
                <w:tcPr>
                  <w:tcW w:w="0" w:type="auto"/>
                  <w:tcBorders>
                    <w:top w:val="nil"/>
                    <w:bottom w:val="nil"/>
                  </w:tcBorders>
                </w:tcPr>
                <w:p w14:paraId="44A1932D" w14:textId="77777777" w:rsidR="00DA3852" w:rsidRDefault="00DA3852" w:rsidP="00C03F9E">
                  <w:pPr>
                    <w:pStyle w:val="Figure"/>
                    <w:spacing w:before="60" w:after="60"/>
                  </w:pPr>
                  <w:r>
                    <w:rPr>
                      <w:noProof/>
                    </w:rPr>
                    <w:drawing>
                      <wp:inline distT="0" distB="0" distL="0" distR="0" wp14:anchorId="3797168A" wp14:editId="3342E7D6">
                        <wp:extent cx="5400675" cy="2876550"/>
                        <wp:effectExtent l="0" t="0" r="9525" b="0"/>
                        <wp:docPr id="19" name="Picture 19" descr="The Commission has derived a central LNG price series based on the latest forecast of Japanese LNG import prices produced by the World Bank (2015). This central LNG price series increases linearly from $12.92 in 2015 to $21.54 in 2032 (in $2014-15). The high LNG price series is one-third higher than the central scenario and the low LNG price series is one-third lower than the central scenario.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00675" cy="2876550"/>
                                </a:xfrm>
                                <a:prstGeom prst="rect">
                                  <a:avLst/>
                                </a:prstGeom>
                                <a:noFill/>
                                <a:ln>
                                  <a:noFill/>
                                </a:ln>
                              </pic:spPr>
                            </pic:pic>
                          </a:graphicData>
                        </a:graphic>
                      </wp:inline>
                    </w:drawing>
                  </w:r>
                </w:p>
              </w:tc>
            </w:tr>
          </w:tbl>
          <w:p w14:paraId="316DD9E6" w14:textId="77777777" w:rsidR="00DA3852" w:rsidRDefault="00DA3852" w:rsidP="00C03F9E">
            <w:pPr>
              <w:pStyle w:val="Figure"/>
            </w:pPr>
          </w:p>
        </w:tc>
      </w:tr>
      <w:tr w:rsidR="00DA3852" w:rsidRPr="00176D3F" w14:paraId="60F73D6D" w14:textId="77777777" w:rsidTr="00C03F9E">
        <w:tc>
          <w:tcPr>
            <w:tcW w:w="8771" w:type="dxa"/>
            <w:tcBorders>
              <w:top w:val="nil"/>
              <w:left w:val="nil"/>
              <w:bottom w:val="nil"/>
              <w:right w:val="nil"/>
            </w:tcBorders>
            <w:shd w:val="clear" w:color="auto" w:fill="auto"/>
          </w:tcPr>
          <w:p w14:paraId="4D76C884" w14:textId="5C35FE4E" w:rsidR="00DA3852" w:rsidRPr="00176D3F" w:rsidRDefault="00DA3852" w:rsidP="00C03F9E">
            <w:pPr>
              <w:pStyle w:val="Note"/>
            </w:pPr>
            <w:proofErr w:type="gramStart"/>
            <w:r>
              <w:rPr>
                <w:rStyle w:val="NoteLabel"/>
              </w:rPr>
              <w:t>a</w:t>
            </w:r>
            <w:proofErr w:type="gramEnd"/>
            <w:r>
              <w:t xml:space="preserve"> Free on board prices</w:t>
            </w:r>
            <w:r w:rsidR="00A546E5">
              <w:t>.</w:t>
            </w:r>
          </w:p>
        </w:tc>
      </w:tr>
      <w:tr w:rsidR="00DA3852" w:rsidRPr="00176D3F" w14:paraId="7B8B1C4C" w14:textId="77777777" w:rsidTr="00C03F9E">
        <w:tc>
          <w:tcPr>
            <w:tcW w:w="8771" w:type="dxa"/>
            <w:tcBorders>
              <w:top w:val="nil"/>
              <w:left w:val="nil"/>
              <w:bottom w:val="nil"/>
              <w:right w:val="nil"/>
            </w:tcBorders>
            <w:shd w:val="clear" w:color="auto" w:fill="auto"/>
          </w:tcPr>
          <w:p w14:paraId="07FC77C3" w14:textId="77777777" w:rsidR="00DA3852" w:rsidRPr="00176D3F" w:rsidRDefault="00DA3852" w:rsidP="00C03F9E">
            <w:pPr>
              <w:pStyle w:val="Source"/>
            </w:pPr>
            <w:r>
              <w:rPr>
                <w:i/>
              </w:rPr>
              <w:t>S</w:t>
            </w:r>
            <w:r w:rsidRPr="00784A05">
              <w:rPr>
                <w:i/>
              </w:rPr>
              <w:t>ource</w:t>
            </w:r>
            <w:r w:rsidRPr="00176D3F">
              <w:t xml:space="preserve">: </w:t>
            </w:r>
            <w:r>
              <w:t xml:space="preserve">Commission estimates based on World Bank </w:t>
            </w:r>
            <w:r w:rsidRPr="004F1A86">
              <w:rPr>
                <w:rFonts w:cs="Arial"/>
              </w:rPr>
              <w:t>(2015b)</w:t>
            </w:r>
            <w:r>
              <w:t>.</w:t>
            </w:r>
          </w:p>
        </w:tc>
      </w:tr>
      <w:tr w:rsidR="00DA3852" w14:paraId="2A1D6A9F" w14:textId="77777777" w:rsidTr="00C03F9E">
        <w:tc>
          <w:tcPr>
            <w:tcW w:w="8771" w:type="dxa"/>
            <w:tcBorders>
              <w:top w:val="nil"/>
              <w:left w:val="nil"/>
              <w:bottom w:val="single" w:sz="6" w:space="0" w:color="78A22F"/>
              <w:right w:val="nil"/>
            </w:tcBorders>
            <w:shd w:val="clear" w:color="auto" w:fill="auto"/>
          </w:tcPr>
          <w:p w14:paraId="22C9931C" w14:textId="77777777" w:rsidR="00DA3852" w:rsidRDefault="00DA3852" w:rsidP="00C03F9E">
            <w:pPr>
              <w:pStyle w:val="Figurespace"/>
            </w:pPr>
          </w:p>
        </w:tc>
      </w:tr>
      <w:tr w:rsidR="00DA3852" w:rsidRPr="000863A5" w14:paraId="444BBD7A" w14:textId="77777777" w:rsidTr="00C03F9E">
        <w:tc>
          <w:tcPr>
            <w:tcW w:w="8771" w:type="dxa"/>
            <w:tcBorders>
              <w:top w:val="single" w:sz="6" w:space="0" w:color="78A22F"/>
              <w:left w:val="nil"/>
              <w:bottom w:val="nil"/>
              <w:right w:val="nil"/>
            </w:tcBorders>
          </w:tcPr>
          <w:p w14:paraId="45901A3F" w14:textId="77777777" w:rsidR="00DA3852" w:rsidRPr="00626D32" w:rsidRDefault="00DA3852" w:rsidP="00C03F9E">
            <w:pPr>
              <w:pStyle w:val="BoxSpaceBelow"/>
            </w:pPr>
          </w:p>
        </w:tc>
      </w:tr>
    </w:tbl>
    <w:p w14:paraId="048147F5" w14:textId="77777777" w:rsidR="00CC518F" w:rsidRDefault="00CC518F" w:rsidP="00CC518F">
      <w:pPr>
        <w:pStyle w:val="BodyText"/>
        <w:rPr>
          <w:rFonts w:ascii="Arial" w:hAnsi="Arial"/>
          <w:sz w:val="26"/>
        </w:rPr>
      </w:pPr>
      <w:bookmarkStart w:id="13" w:name="_Toc410222287"/>
      <w:r>
        <w:br w:type="page"/>
      </w:r>
    </w:p>
    <w:p w14:paraId="28B0BBF3" w14:textId="1122F0EC" w:rsidR="00DA3852" w:rsidRDefault="00DA3852" w:rsidP="00DA3852">
      <w:pPr>
        <w:pStyle w:val="Heading3"/>
      </w:pPr>
      <w:r>
        <w:lastRenderedPageBreak/>
        <w:t>Domestic demand for gas</w:t>
      </w:r>
      <w:bookmarkEnd w:id="13"/>
    </w:p>
    <w:p w14:paraId="1F272FD2" w14:textId="77777777" w:rsidR="00DA3852" w:rsidRDefault="00DA3852" w:rsidP="00DA3852">
      <w:pPr>
        <w:pStyle w:val="BodyText"/>
      </w:pPr>
      <w:r>
        <w:t>The domestic demand function for each season and year at each demand node in the eastern Australian gas market depends on the following parameters:</w:t>
      </w:r>
    </w:p>
    <w:p w14:paraId="3D625D43" w14:textId="77777777" w:rsidR="00DA3852" w:rsidRDefault="00DA3852" w:rsidP="00DA3852">
      <w:pPr>
        <w:pStyle w:val="ListBullet"/>
      </w:pPr>
      <w:r>
        <w:t>wholesale prices in the initial model year</w:t>
      </w:r>
    </w:p>
    <w:p w14:paraId="01A0A23E" w14:textId="77777777" w:rsidR="00DA3852" w:rsidRDefault="00DA3852" w:rsidP="00DA3852">
      <w:pPr>
        <w:pStyle w:val="ListBullet"/>
      </w:pPr>
      <w:r>
        <w:t>wholesale quantity demanded in the initial model year</w:t>
      </w:r>
    </w:p>
    <w:p w14:paraId="0A7CE245" w14:textId="77777777" w:rsidR="00DA3852" w:rsidRDefault="00DA3852" w:rsidP="00DA3852">
      <w:pPr>
        <w:pStyle w:val="ListBullet"/>
      </w:pPr>
      <w:r>
        <w:t>the price elasticity of demand and functional form for demand</w:t>
      </w:r>
    </w:p>
    <w:p w14:paraId="740117F4" w14:textId="77777777" w:rsidR="00DA3852" w:rsidRDefault="00DA3852" w:rsidP="00DA3852">
      <w:pPr>
        <w:pStyle w:val="ListBullet"/>
      </w:pPr>
      <w:proofErr w:type="gramStart"/>
      <w:r>
        <w:t>rates</w:t>
      </w:r>
      <w:proofErr w:type="gramEnd"/>
      <w:r>
        <w:t xml:space="preserve"> of growth in domestic demand over time.</w:t>
      </w:r>
    </w:p>
    <w:p w14:paraId="6900DB65" w14:textId="77777777" w:rsidR="00DA3852" w:rsidRDefault="00DA3852" w:rsidP="00DA3852">
      <w:pPr>
        <w:pStyle w:val="Heading4"/>
      </w:pPr>
      <w:r>
        <w:t>Wholesale gas prices</w:t>
      </w:r>
    </w:p>
    <w:p w14:paraId="60ED9B90" w14:textId="77777777" w:rsidR="00DA3852" w:rsidRDefault="00DA3852" w:rsidP="00DA3852">
      <w:pPr>
        <w:pStyle w:val="BodyText"/>
      </w:pPr>
      <w:r>
        <w:t xml:space="preserve">Wholesale gas prices for each season in the initial model year were used to calibrate domestic demand functions (table B.16). At the four demand nodes with active wholesale trading markets (Adelaide, Brisbane, Sydney and Melbourne) an average of daily prices for each season from AEMO </w:t>
      </w:r>
      <w:r w:rsidRPr="004F1A86">
        <w:t>(2014e, 2014f)</w:t>
      </w:r>
      <w:r>
        <w:t xml:space="preserve"> was used. Because wholesale prices on the Victorian Declared Wholesale Gas Market (DWGM) do not include transmission costs, an average DWGM tariff obtained from AEMO (pers. comm., 30 October 2014) was added to the Melbourne wholesale gas price.</w:t>
      </w:r>
    </w:p>
    <w:p w14:paraId="1675D668" w14:textId="1E69EC6D" w:rsidR="00DA3852" w:rsidRDefault="00DA3852" w:rsidP="00DA3852">
      <w:pPr>
        <w:pStyle w:val="BodyText"/>
      </w:pPr>
      <w:r>
        <w:t xml:space="preserve">At nodes without </w:t>
      </w:r>
      <w:r w:rsidRPr="00A10B02">
        <w:t>wholesale</w:t>
      </w:r>
      <w:r>
        <w:t xml:space="preserve"> trading markets, gas prices are estimated by taking trading market prices and adding or subtracting transmission tariffs according to the direction of gas flows. For example, the price at the Surat–Bowen node was estimated by subtracting the Roma</w:t>
      </w:r>
      <w:r>
        <w:noBreakHyphen/>
        <w:t xml:space="preserve">Brisbane Pipeline tariff from the Brisbane price. Transmission tariffs were obtained from AEMO </w:t>
      </w:r>
      <w:r w:rsidRPr="00D74D52">
        <w:t>(2013</w:t>
      </w:r>
      <w:r w:rsidR="00281A90">
        <w:t>b</w:t>
      </w:r>
      <w:r w:rsidRPr="00D74D52">
        <w:t>)</w:t>
      </w:r>
      <w:r>
        <w:t xml:space="preserve">, AER </w:t>
      </w:r>
      <w:r w:rsidRPr="00E55EB8">
        <w:t>(2012</w:t>
      </w:r>
      <w:r w:rsidR="00281A90">
        <w:t>c</w:t>
      </w:r>
      <w:r w:rsidRPr="00E55EB8">
        <w:t>)</w:t>
      </w:r>
      <w:r>
        <w:t xml:space="preserve"> and Core Energy Group </w:t>
      </w:r>
      <w:r w:rsidRPr="005647E8">
        <w:t>(2012b)</w:t>
      </w:r>
      <w:r>
        <w:t>.</w:t>
      </w:r>
    </w:p>
    <w:p w14:paraId="41AF0742" w14:textId="77777777" w:rsidR="00DA3852" w:rsidRDefault="00DA3852" w:rsidP="00DA3852">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DA3852" w14:paraId="6FA9EFF6" w14:textId="77777777" w:rsidTr="00C03F9E">
        <w:tc>
          <w:tcPr>
            <w:tcW w:w="8771" w:type="dxa"/>
            <w:tcBorders>
              <w:top w:val="single" w:sz="6" w:space="0" w:color="78A22F"/>
              <w:left w:val="nil"/>
              <w:bottom w:val="nil"/>
              <w:right w:val="nil"/>
            </w:tcBorders>
            <w:shd w:val="clear" w:color="auto" w:fill="auto"/>
          </w:tcPr>
          <w:p w14:paraId="72B640A5" w14:textId="650BF826" w:rsidR="00DA3852" w:rsidRDefault="00DA3852" w:rsidP="00C03F9E">
            <w:pPr>
              <w:pStyle w:val="TableTitle"/>
            </w:pPr>
            <w:r>
              <w:rPr>
                <w:b w:val="0"/>
              </w:rPr>
              <w:t>Table B.</w:t>
            </w:r>
            <w:r>
              <w:rPr>
                <w:b w:val="0"/>
                <w:noProof/>
              </w:rPr>
              <w:t>16</w:t>
            </w:r>
            <w:r>
              <w:tab/>
              <w:t>Domestic wholesale gas prices</w:t>
            </w:r>
          </w:p>
          <w:p w14:paraId="54DAF9B1" w14:textId="77777777" w:rsidR="00DA3852" w:rsidRPr="00784A05" w:rsidRDefault="00DA3852" w:rsidP="00C03F9E">
            <w:pPr>
              <w:pStyle w:val="Subtitle"/>
            </w:pPr>
            <w:r>
              <w:t xml:space="preserve">$ </w:t>
            </w:r>
            <w:proofErr w:type="gramStart"/>
            <w:r>
              <w:t>per</w:t>
            </w:r>
            <w:proofErr w:type="gramEnd"/>
            <w:r>
              <w:t xml:space="preserve"> GJ</w:t>
            </w:r>
          </w:p>
        </w:tc>
      </w:tr>
      <w:tr w:rsidR="00DA3852" w14:paraId="601D9752" w14:textId="77777777" w:rsidTr="00C03F9E">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829"/>
              <w:gridCol w:w="2830"/>
              <w:gridCol w:w="2828"/>
            </w:tblGrid>
            <w:tr w:rsidR="00DA3852" w14:paraId="7A29FB30" w14:textId="77777777" w:rsidTr="00C03F9E">
              <w:tc>
                <w:tcPr>
                  <w:tcW w:w="1667" w:type="pct"/>
                  <w:tcBorders>
                    <w:top w:val="single" w:sz="6" w:space="0" w:color="BFBFBF"/>
                    <w:bottom w:val="single" w:sz="6" w:space="0" w:color="BFBFBF"/>
                  </w:tcBorders>
                  <w:shd w:val="clear" w:color="auto" w:fill="auto"/>
                  <w:tcMar>
                    <w:top w:w="28" w:type="dxa"/>
                  </w:tcMar>
                </w:tcPr>
                <w:p w14:paraId="6567A973" w14:textId="77777777" w:rsidR="00DA3852" w:rsidRDefault="00DA3852" w:rsidP="00C03F9E">
                  <w:pPr>
                    <w:pStyle w:val="TableColumnHeading"/>
                    <w:jc w:val="left"/>
                  </w:pPr>
                  <w:r>
                    <w:t>Model node</w:t>
                  </w:r>
                </w:p>
              </w:tc>
              <w:tc>
                <w:tcPr>
                  <w:tcW w:w="1667" w:type="pct"/>
                  <w:tcBorders>
                    <w:top w:val="single" w:sz="6" w:space="0" w:color="BFBFBF"/>
                    <w:bottom w:val="single" w:sz="6" w:space="0" w:color="BFBFBF"/>
                  </w:tcBorders>
                  <w:shd w:val="clear" w:color="auto" w:fill="auto"/>
                  <w:tcMar>
                    <w:top w:w="28" w:type="dxa"/>
                  </w:tcMar>
                </w:tcPr>
                <w:p w14:paraId="54DC8EFF" w14:textId="77777777" w:rsidR="00DA3852" w:rsidRDefault="00DA3852" w:rsidP="00C03F9E">
                  <w:pPr>
                    <w:pStyle w:val="TableColumnHeading"/>
                  </w:pPr>
                  <w:r>
                    <w:t>Winter</w:t>
                  </w:r>
                </w:p>
              </w:tc>
              <w:tc>
                <w:tcPr>
                  <w:tcW w:w="1666" w:type="pct"/>
                  <w:tcBorders>
                    <w:top w:val="single" w:sz="6" w:space="0" w:color="BFBFBF"/>
                    <w:bottom w:val="single" w:sz="6" w:space="0" w:color="BFBFBF"/>
                  </w:tcBorders>
                  <w:shd w:val="clear" w:color="auto" w:fill="auto"/>
                  <w:tcMar>
                    <w:top w:w="28" w:type="dxa"/>
                  </w:tcMar>
                </w:tcPr>
                <w:p w14:paraId="2C66ADE5" w14:textId="77777777" w:rsidR="00DA3852" w:rsidRDefault="00DA3852" w:rsidP="00C03F9E">
                  <w:pPr>
                    <w:pStyle w:val="TableColumnHeading"/>
                    <w:ind w:right="28"/>
                  </w:pPr>
                  <w:r>
                    <w:t>Summer</w:t>
                  </w:r>
                </w:p>
              </w:tc>
            </w:tr>
            <w:tr w:rsidR="00DA3852" w14:paraId="7B1D8BAF" w14:textId="77777777" w:rsidTr="00C03F9E">
              <w:tc>
                <w:tcPr>
                  <w:tcW w:w="1667" w:type="pct"/>
                  <w:tcBorders>
                    <w:top w:val="single" w:sz="6" w:space="0" w:color="BFBFBF"/>
                  </w:tcBorders>
                </w:tcPr>
                <w:p w14:paraId="379647D7" w14:textId="77777777" w:rsidR="00DA3852" w:rsidRDefault="00DA3852" w:rsidP="00C03F9E">
                  <w:pPr>
                    <w:pStyle w:val="TableUnitsRow"/>
                    <w:jc w:val="left"/>
                  </w:pPr>
                  <w:r w:rsidRPr="003877E5">
                    <w:t>Adelaide</w:t>
                  </w:r>
                </w:p>
              </w:tc>
              <w:tc>
                <w:tcPr>
                  <w:tcW w:w="1667" w:type="pct"/>
                  <w:tcBorders>
                    <w:top w:val="single" w:sz="6" w:space="0" w:color="BFBFBF"/>
                  </w:tcBorders>
                </w:tcPr>
                <w:p w14:paraId="1B4ED00F" w14:textId="77777777" w:rsidR="00DA3852" w:rsidRDefault="00DA3852" w:rsidP="00C03F9E">
                  <w:pPr>
                    <w:pStyle w:val="TableUnitsRow"/>
                  </w:pPr>
                  <w:r>
                    <w:t>5.38</w:t>
                  </w:r>
                </w:p>
              </w:tc>
              <w:tc>
                <w:tcPr>
                  <w:tcW w:w="1666" w:type="pct"/>
                  <w:tcBorders>
                    <w:top w:val="single" w:sz="6" w:space="0" w:color="BFBFBF"/>
                  </w:tcBorders>
                </w:tcPr>
                <w:p w14:paraId="399097D5" w14:textId="77777777" w:rsidR="00DA3852" w:rsidRDefault="00DA3852" w:rsidP="00C03F9E">
                  <w:pPr>
                    <w:pStyle w:val="TableUnitsRow"/>
                    <w:ind w:right="28"/>
                  </w:pPr>
                  <w:r w:rsidRPr="0059630A">
                    <w:t>4.</w:t>
                  </w:r>
                  <w:r>
                    <w:t>82</w:t>
                  </w:r>
                </w:p>
              </w:tc>
            </w:tr>
            <w:tr w:rsidR="00DA3852" w14:paraId="59D4214F" w14:textId="77777777" w:rsidTr="00C03F9E">
              <w:tc>
                <w:tcPr>
                  <w:tcW w:w="1667" w:type="pct"/>
                </w:tcPr>
                <w:p w14:paraId="3784B974" w14:textId="77777777" w:rsidR="00DA3852" w:rsidRDefault="00DA3852" w:rsidP="00C03F9E">
                  <w:pPr>
                    <w:pStyle w:val="TableBodyText"/>
                    <w:jc w:val="left"/>
                  </w:pPr>
                  <w:r w:rsidRPr="003877E5">
                    <w:t>Brisbane</w:t>
                  </w:r>
                </w:p>
              </w:tc>
              <w:tc>
                <w:tcPr>
                  <w:tcW w:w="1667" w:type="pct"/>
                </w:tcPr>
                <w:p w14:paraId="79CB5ACC" w14:textId="77777777" w:rsidR="00DA3852" w:rsidRDefault="00DA3852" w:rsidP="00C03F9E">
                  <w:pPr>
                    <w:pStyle w:val="TableBodyText"/>
                  </w:pPr>
                  <w:r>
                    <w:t>5.</w:t>
                  </w:r>
                  <w:r w:rsidRPr="0059630A">
                    <w:t>8</w:t>
                  </w:r>
                  <w:r>
                    <w:t>5</w:t>
                  </w:r>
                </w:p>
              </w:tc>
              <w:tc>
                <w:tcPr>
                  <w:tcW w:w="1666" w:type="pct"/>
                </w:tcPr>
                <w:p w14:paraId="09674524" w14:textId="77777777" w:rsidR="00DA3852" w:rsidRDefault="00DA3852" w:rsidP="00C03F9E">
                  <w:pPr>
                    <w:pStyle w:val="TableBodyText"/>
                    <w:ind w:right="28"/>
                  </w:pPr>
                  <w:r w:rsidRPr="0059630A">
                    <w:t>5.9</w:t>
                  </w:r>
                  <w:r>
                    <w:t>8</w:t>
                  </w:r>
                </w:p>
              </w:tc>
            </w:tr>
            <w:tr w:rsidR="00DA3852" w14:paraId="42E5D30A" w14:textId="77777777" w:rsidTr="00C03F9E">
              <w:tc>
                <w:tcPr>
                  <w:tcW w:w="1667" w:type="pct"/>
                </w:tcPr>
                <w:p w14:paraId="3A0ECC7C" w14:textId="77777777" w:rsidR="00DA3852" w:rsidRDefault="00DA3852" w:rsidP="00C03F9E">
                  <w:pPr>
                    <w:pStyle w:val="TableBodyText"/>
                    <w:jc w:val="left"/>
                  </w:pPr>
                  <w:r w:rsidRPr="003877E5">
                    <w:t>Gladstone</w:t>
                  </w:r>
                </w:p>
              </w:tc>
              <w:tc>
                <w:tcPr>
                  <w:tcW w:w="1667" w:type="pct"/>
                </w:tcPr>
                <w:p w14:paraId="64C78364" w14:textId="77777777" w:rsidR="00DA3852" w:rsidRDefault="00DA3852" w:rsidP="00C03F9E">
                  <w:pPr>
                    <w:pStyle w:val="TableBodyText"/>
                  </w:pPr>
                  <w:r>
                    <w:t>6.24</w:t>
                  </w:r>
                </w:p>
              </w:tc>
              <w:tc>
                <w:tcPr>
                  <w:tcW w:w="1666" w:type="pct"/>
                </w:tcPr>
                <w:p w14:paraId="55088511" w14:textId="77777777" w:rsidR="00DA3852" w:rsidRDefault="00DA3852" w:rsidP="00C03F9E">
                  <w:pPr>
                    <w:pStyle w:val="TableBodyText"/>
                    <w:ind w:right="28"/>
                  </w:pPr>
                  <w:r w:rsidRPr="0059630A">
                    <w:t>6.3</w:t>
                  </w:r>
                  <w:r>
                    <w:t>8</w:t>
                  </w:r>
                </w:p>
              </w:tc>
            </w:tr>
            <w:tr w:rsidR="00DA3852" w14:paraId="1BFBF8F8" w14:textId="77777777" w:rsidTr="00C03F9E">
              <w:tc>
                <w:tcPr>
                  <w:tcW w:w="1667" w:type="pct"/>
                </w:tcPr>
                <w:p w14:paraId="05DDF5C3" w14:textId="77777777" w:rsidR="00DA3852" w:rsidRDefault="00DA3852" w:rsidP="00C03F9E">
                  <w:pPr>
                    <w:pStyle w:val="TableBodyText"/>
                    <w:jc w:val="left"/>
                  </w:pPr>
                  <w:r w:rsidRPr="003877E5">
                    <w:t>Melbourne</w:t>
                  </w:r>
                </w:p>
              </w:tc>
              <w:tc>
                <w:tcPr>
                  <w:tcW w:w="1667" w:type="pct"/>
                </w:tcPr>
                <w:p w14:paraId="2F29E620" w14:textId="77777777" w:rsidR="00DA3852" w:rsidRDefault="00DA3852" w:rsidP="00C03F9E">
                  <w:pPr>
                    <w:pStyle w:val="TableBodyText"/>
                  </w:pPr>
                  <w:r w:rsidRPr="0059630A">
                    <w:t>5.0</w:t>
                  </w:r>
                  <w:r>
                    <w:t>8</w:t>
                  </w:r>
                </w:p>
              </w:tc>
              <w:tc>
                <w:tcPr>
                  <w:tcW w:w="1666" w:type="pct"/>
                </w:tcPr>
                <w:p w14:paraId="756E1A83" w14:textId="77777777" w:rsidR="00DA3852" w:rsidRDefault="00DA3852" w:rsidP="00C03F9E">
                  <w:pPr>
                    <w:pStyle w:val="TableBodyText"/>
                    <w:ind w:right="28"/>
                  </w:pPr>
                  <w:r>
                    <w:t>5</w:t>
                  </w:r>
                  <w:r w:rsidRPr="0059630A">
                    <w:t>.</w:t>
                  </w:r>
                  <w:r>
                    <w:t>00</w:t>
                  </w:r>
                </w:p>
              </w:tc>
            </w:tr>
            <w:tr w:rsidR="00DA3852" w14:paraId="0A56469C" w14:textId="77777777" w:rsidTr="00C03F9E">
              <w:tc>
                <w:tcPr>
                  <w:tcW w:w="1667" w:type="pct"/>
                </w:tcPr>
                <w:p w14:paraId="2C8B12CB" w14:textId="77777777" w:rsidR="00DA3852" w:rsidRDefault="00DA3852" w:rsidP="00C03F9E">
                  <w:pPr>
                    <w:pStyle w:val="TableBodyText"/>
                    <w:jc w:val="left"/>
                  </w:pPr>
                  <w:r w:rsidRPr="003877E5">
                    <w:t>Mt Isa</w:t>
                  </w:r>
                </w:p>
              </w:tc>
              <w:tc>
                <w:tcPr>
                  <w:tcW w:w="1667" w:type="pct"/>
                </w:tcPr>
                <w:p w14:paraId="6E5CC145" w14:textId="77777777" w:rsidR="00DA3852" w:rsidRDefault="00DA3852" w:rsidP="00C03F9E">
                  <w:pPr>
                    <w:pStyle w:val="TableBodyText"/>
                  </w:pPr>
                  <w:r>
                    <w:t>5.82</w:t>
                  </w:r>
                </w:p>
              </w:tc>
              <w:tc>
                <w:tcPr>
                  <w:tcW w:w="1666" w:type="pct"/>
                </w:tcPr>
                <w:p w14:paraId="776F77DD" w14:textId="77777777" w:rsidR="00DA3852" w:rsidRDefault="00DA3852" w:rsidP="00C03F9E">
                  <w:pPr>
                    <w:pStyle w:val="TableBodyText"/>
                    <w:ind w:right="28"/>
                  </w:pPr>
                  <w:r w:rsidRPr="0059630A">
                    <w:t>5.</w:t>
                  </w:r>
                  <w:r>
                    <w:t>95</w:t>
                  </w:r>
                </w:p>
              </w:tc>
            </w:tr>
            <w:tr w:rsidR="00DA3852" w14:paraId="71ECF7F6" w14:textId="77777777" w:rsidTr="00C03F9E">
              <w:tc>
                <w:tcPr>
                  <w:tcW w:w="1667" w:type="pct"/>
                </w:tcPr>
                <w:p w14:paraId="2ADF82C0" w14:textId="77777777" w:rsidR="00DA3852" w:rsidRDefault="00DA3852" w:rsidP="00C03F9E">
                  <w:pPr>
                    <w:pStyle w:val="TableBodyText"/>
                    <w:jc w:val="left"/>
                  </w:pPr>
                  <w:r w:rsidRPr="003877E5">
                    <w:t>Otway</w:t>
                  </w:r>
                </w:p>
              </w:tc>
              <w:tc>
                <w:tcPr>
                  <w:tcW w:w="1667" w:type="pct"/>
                </w:tcPr>
                <w:p w14:paraId="5BA7BC71" w14:textId="77777777" w:rsidR="00DA3852" w:rsidRDefault="00DA3852" w:rsidP="00C03F9E">
                  <w:pPr>
                    <w:pStyle w:val="TableBodyText"/>
                  </w:pPr>
                  <w:r>
                    <w:t>4.64</w:t>
                  </w:r>
                </w:p>
              </w:tc>
              <w:tc>
                <w:tcPr>
                  <w:tcW w:w="1666" w:type="pct"/>
                </w:tcPr>
                <w:p w14:paraId="4CF519D6" w14:textId="77777777" w:rsidR="00DA3852" w:rsidRDefault="00DA3852" w:rsidP="00C03F9E">
                  <w:pPr>
                    <w:pStyle w:val="TableBodyText"/>
                    <w:ind w:right="28"/>
                  </w:pPr>
                  <w:r w:rsidRPr="0059630A">
                    <w:t>4.0</w:t>
                  </w:r>
                  <w:r>
                    <w:t>8</w:t>
                  </w:r>
                </w:p>
              </w:tc>
            </w:tr>
            <w:tr w:rsidR="00DA3852" w14:paraId="473365CC" w14:textId="77777777" w:rsidTr="00C03F9E">
              <w:tc>
                <w:tcPr>
                  <w:tcW w:w="1667" w:type="pct"/>
                </w:tcPr>
                <w:p w14:paraId="2AF194AD" w14:textId="255A90ED" w:rsidR="00DA3852" w:rsidRDefault="00DA3852" w:rsidP="00C03F9E">
                  <w:pPr>
                    <w:pStyle w:val="TableBodyText"/>
                    <w:jc w:val="left"/>
                  </w:pPr>
                  <w:r>
                    <w:t>Surat–Bowen</w:t>
                  </w:r>
                </w:p>
              </w:tc>
              <w:tc>
                <w:tcPr>
                  <w:tcW w:w="1667" w:type="pct"/>
                </w:tcPr>
                <w:p w14:paraId="10E17184" w14:textId="77777777" w:rsidR="00DA3852" w:rsidRDefault="00DA3852" w:rsidP="00C03F9E">
                  <w:pPr>
                    <w:pStyle w:val="TableBodyText"/>
                  </w:pPr>
                  <w:r>
                    <w:t>5.33</w:t>
                  </w:r>
                </w:p>
              </w:tc>
              <w:tc>
                <w:tcPr>
                  <w:tcW w:w="1666" w:type="pct"/>
                </w:tcPr>
                <w:p w14:paraId="33CC7F10" w14:textId="77777777" w:rsidR="00DA3852" w:rsidRDefault="00DA3852" w:rsidP="00C03F9E">
                  <w:pPr>
                    <w:pStyle w:val="TableBodyText"/>
                    <w:ind w:right="28"/>
                  </w:pPr>
                  <w:r w:rsidRPr="0059630A">
                    <w:t>5.4</w:t>
                  </w:r>
                  <w:r>
                    <w:t>7</w:t>
                  </w:r>
                </w:p>
              </w:tc>
            </w:tr>
            <w:tr w:rsidR="00DA3852" w14:paraId="54BC5F89" w14:textId="77777777" w:rsidTr="00C03F9E">
              <w:tc>
                <w:tcPr>
                  <w:tcW w:w="1667" w:type="pct"/>
                </w:tcPr>
                <w:p w14:paraId="19D52CE9" w14:textId="77777777" w:rsidR="00DA3852" w:rsidRDefault="00DA3852" w:rsidP="00C03F9E">
                  <w:pPr>
                    <w:pStyle w:val="TableBodyText"/>
                    <w:jc w:val="left"/>
                  </w:pPr>
                  <w:r w:rsidRPr="003877E5">
                    <w:t>Sydney</w:t>
                  </w:r>
                </w:p>
              </w:tc>
              <w:tc>
                <w:tcPr>
                  <w:tcW w:w="1667" w:type="pct"/>
                </w:tcPr>
                <w:p w14:paraId="2228AC68" w14:textId="77777777" w:rsidR="00DA3852" w:rsidRDefault="00DA3852" w:rsidP="00C03F9E">
                  <w:pPr>
                    <w:pStyle w:val="TableBodyText"/>
                  </w:pPr>
                  <w:r>
                    <w:t>5.23</w:t>
                  </w:r>
                </w:p>
              </w:tc>
              <w:tc>
                <w:tcPr>
                  <w:tcW w:w="1666" w:type="pct"/>
                </w:tcPr>
                <w:p w14:paraId="0D6AC962" w14:textId="77777777" w:rsidR="00DA3852" w:rsidRDefault="00DA3852" w:rsidP="00C03F9E">
                  <w:pPr>
                    <w:pStyle w:val="TableBodyText"/>
                    <w:ind w:right="28"/>
                  </w:pPr>
                  <w:r w:rsidRPr="0059630A">
                    <w:t>4.</w:t>
                  </w:r>
                  <w:r>
                    <w:t>83</w:t>
                  </w:r>
                </w:p>
              </w:tc>
            </w:tr>
            <w:tr w:rsidR="00DA3852" w14:paraId="14E56AF7" w14:textId="77777777" w:rsidTr="00C03F9E">
              <w:tc>
                <w:tcPr>
                  <w:tcW w:w="1667" w:type="pct"/>
                </w:tcPr>
                <w:p w14:paraId="59A9E7AE" w14:textId="77777777" w:rsidR="00DA3852" w:rsidRDefault="00DA3852" w:rsidP="00C03F9E">
                  <w:pPr>
                    <w:pStyle w:val="TableBodyText"/>
                    <w:jc w:val="left"/>
                  </w:pPr>
                  <w:r w:rsidRPr="003877E5">
                    <w:t>Tasmania</w:t>
                  </w:r>
                </w:p>
              </w:tc>
              <w:tc>
                <w:tcPr>
                  <w:tcW w:w="1667" w:type="pct"/>
                </w:tcPr>
                <w:p w14:paraId="6629E10A" w14:textId="77777777" w:rsidR="00DA3852" w:rsidRDefault="00DA3852" w:rsidP="00C03F9E">
                  <w:pPr>
                    <w:pStyle w:val="TableBodyText"/>
                  </w:pPr>
                  <w:r>
                    <w:t>5.82</w:t>
                  </w:r>
                </w:p>
              </w:tc>
              <w:tc>
                <w:tcPr>
                  <w:tcW w:w="1666" w:type="pct"/>
                </w:tcPr>
                <w:p w14:paraId="6FAB2CDF" w14:textId="77777777" w:rsidR="00DA3852" w:rsidRDefault="00DA3852" w:rsidP="00C03F9E">
                  <w:pPr>
                    <w:pStyle w:val="TableBodyText"/>
                    <w:ind w:right="28"/>
                  </w:pPr>
                  <w:r>
                    <w:t>5.</w:t>
                  </w:r>
                  <w:r w:rsidRPr="0059630A">
                    <w:t>7</w:t>
                  </w:r>
                  <w:r>
                    <w:t>4</w:t>
                  </w:r>
                </w:p>
              </w:tc>
            </w:tr>
            <w:tr w:rsidR="00DA3852" w14:paraId="753B1440" w14:textId="77777777" w:rsidTr="00C03F9E">
              <w:tc>
                <w:tcPr>
                  <w:tcW w:w="1667" w:type="pct"/>
                  <w:tcBorders>
                    <w:bottom w:val="single" w:sz="6" w:space="0" w:color="BFBFBF"/>
                  </w:tcBorders>
                  <w:shd w:val="clear" w:color="auto" w:fill="auto"/>
                </w:tcPr>
                <w:p w14:paraId="40453443" w14:textId="77777777" w:rsidR="00DA3852" w:rsidRDefault="00DA3852" w:rsidP="00C03F9E">
                  <w:pPr>
                    <w:pStyle w:val="TableBodyText"/>
                    <w:jc w:val="left"/>
                  </w:pPr>
                  <w:r>
                    <w:t>Young</w:t>
                  </w:r>
                </w:p>
              </w:tc>
              <w:tc>
                <w:tcPr>
                  <w:tcW w:w="1667" w:type="pct"/>
                  <w:tcBorders>
                    <w:bottom w:val="single" w:sz="6" w:space="0" w:color="BFBFBF"/>
                  </w:tcBorders>
                  <w:shd w:val="clear" w:color="auto" w:fill="auto"/>
                </w:tcPr>
                <w:p w14:paraId="39F2C076" w14:textId="77777777" w:rsidR="00DA3852" w:rsidRDefault="00DA3852" w:rsidP="00C03F9E">
                  <w:pPr>
                    <w:pStyle w:val="TableBodyText"/>
                  </w:pPr>
                  <w:r>
                    <w:t>5.86</w:t>
                  </w:r>
                </w:p>
              </w:tc>
              <w:tc>
                <w:tcPr>
                  <w:tcW w:w="1666" w:type="pct"/>
                  <w:tcBorders>
                    <w:bottom w:val="single" w:sz="6" w:space="0" w:color="BFBFBF"/>
                  </w:tcBorders>
                  <w:shd w:val="clear" w:color="auto" w:fill="auto"/>
                </w:tcPr>
                <w:p w14:paraId="30CE4BB4" w14:textId="77777777" w:rsidR="00DA3852" w:rsidRDefault="00DA3852" w:rsidP="00C03F9E">
                  <w:pPr>
                    <w:pStyle w:val="TableBodyText"/>
                    <w:ind w:right="28"/>
                  </w:pPr>
                  <w:r>
                    <w:t>5.79</w:t>
                  </w:r>
                </w:p>
              </w:tc>
            </w:tr>
          </w:tbl>
          <w:p w14:paraId="7684CF9C" w14:textId="77777777" w:rsidR="00DA3852" w:rsidRDefault="00DA3852" w:rsidP="00C03F9E">
            <w:pPr>
              <w:pStyle w:val="Box"/>
            </w:pPr>
          </w:p>
        </w:tc>
      </w:tr>
      <w:tr w:rsidR="00DA3852" w14:paraId="2803EE97" w14:textId="77777777" w:rsidTr="00C03F9E">
        <w:trPr>
          <w:cantSplit/>
        </w:trPr>
        <w:tc>
          <w:tcPr>
            <w:tcW w:w="8771" w:type="dxa"/>
            <w:tcBorders>
              <w:top w:val="nil"/>
              <w:left w:val="nil"/>
              <w:bottom w:val="nil"/>
              <w:right w:val="nil"/>
            </w:tcBorders>
            <w:shd w:val="clear" w:color="auto" w:fill="auto"/>
          </w:tcPr>
          <w:p w14:paraId="6A43042C" w14:textId="77777777" w:rsidR="00DA3852" w:rsidRDefault="00DA3852" w:rsidP="00C03F9E">
            <w:pPr>
              <w:pStyle w:val="Source"/>
            </w:pPr>
            <w:r>
              <w:rPr>
                <w:i/>
              </w:rPr>
              <w:t>Sources</w:t>
            </w:r>
            <w:r w:rsidRPr="00167F06">
              <w:t xml:space="preserve">: </w:t>
            </w:r>
            <w:r>
              <w:t xml:space="preserve">Commission estimates based on </w:t>
            </w:r>
            <w:r w:rsidRPr="009F413A">
              <w:t xml:space="preserve">AEMO </w:t>
            </w:r>
            <w:r w:rsidRPr="004F1A86">
              <w:rPr>
                <w:rFonts w:cs="Arial"/>
              </w:rPr>
              <w:t>(2013a, 2014e, 2014f)</w:t>
            </w:r>
            <w:r>
              <w:t>;</w:t>
            </w:r>
            <w:r w:rsidRPr="009F413A">
              <w:t xml:space="preserve"> AER </w:t>
            </w:r>
            <w:r w:rsidRPr="00D95BCD">
              <w:rPr>
                <w:rFonts w:cs="Arial"/>
              </w:rPr>
              <w:t>(2012b)</w:t>
            </w:r>
            <w:r>
              <w:t xml:space="preserve"> and Core Energy Group </w:t>
            </w:r>
            <w:r w:rsidRPr="005647E8">
              <w:t>(2012b)</w:t>
            </w:r>
            <w:r>
              <w:t>.</w:t>
            </w:r>
          </w:p>
        </w:tc>
      </w:tr>
      <w:tr w:rsidR="00DA3852" w14:paraId="1F2C2BC0" w14:textId="77777777" w:rsidTr="00C03F9E">
        <w:trPr>
          <w:cantSplit/>
        </w:trPr>
        <w:tc>
          <w:tcPr>
            <w:tcW w:w="8771" w:type="dxa"/>
            <w:tcBorders>
              <w:top w:val="nil"/>
              <w:left w:val="nil"/>
              <w:bottom w:val="single" w:sz="6" w:space="0" w:color="78A22F"/>
              <w:right w:val="nil"/>
            </w:tcBorders>
            <w:shd w:val="clear" w:color="auto" w:fill="auto"/>
          </w:tcPr>
          <w:p w14:paraId="39E4F232" w14:textId="77777777" w:rsidR="00DA3852" w:rsidRDefault="00DA3852" w:rsidP="00C03F9E">
            <w:pPr>
              <w:pStyle w:val="Box"/>
              <w:spacing w:before="0" w:line="120" w:lineRule="exact"/>
            </w:pPr>
          </w:p>
        </w:tc>
      </w:tr>
      <w:tr w:rsidR="00DA3852" w:rsidRPr="000863A5" w14:paraId="505D4322" w14:textId="77777777" w:rsidTr="00C03F9E">
        <w:tc>
          <w:tcPr>
            <w:tcW w:w="8771" w:type="dxa"/>
            <w:tcBorders>
              <w:top w:val="single" w:sz="6" w:space="0" w:color="78A22F"/>
              <w:left w:val="nil"/>
              <w:bottom w:val="nil"/>
              <w:right w:val="nil"/>
            </w:tcBorders>
          </w:tcPr>
          <w:p w14:paraId="7C973871" w14:textId="77777777" w:rsidR="00DA3852" w:rsidRPr="00626D32" w:rsidRDefault="00DA3852" w:rsidP="00C03F9E">
            <w:pPr>
              <w:pStyle w:val="BoxSpaceBelow"/>
            </w:pPr>
          </w:p>
        </w:tc>
      </w:tr>
    </w:tbl>
    <w:p w14:paraId="24E54166" w14:textId="77777777" w:rsidR="00DA3852" w:rsidRDefault="00DA3852" w:rsidP="00DA3852">
      <w:pPr>
        <w:pStyle w:val="BodyText"/>
      </w:pPr>
      <w:r>
        <w:lastRenderedPageBreak/>
        <w:t xml:space="preserve">At a given demand node in a given season, it is assumed that all users pay the same price for gas. This is because there is no explicit representation of contracts or price discrimination. There are two reasons why contracts are not represented. First, prices reflect the demand for gas </w:t>
      </w:r>
      <w:r w:rsidRPr="000F2AEE">
        <w:rPr>
          <w:i/>
        </w:rPr>
        <w:t>at the margin</w:t>
      </w:r>
      <w:r>
        <w:t>. Short term trading markets provide the best indicator of marginal prices.</w:t>
      </w:r>
    </w:p>
    <w:p w14:paraId="0A0ABBED" w14:textId="77777777" w:rsidR="00DA3852" w:rsidRDefault="00DA3852" w:rsidP="00DA3852">
      <w:pPr>
        <w:pStyle w:val="BodyText"/>
      </w:pPr>
      <w:r>
        <w:t>Second, contracts do not necessarily determine where gas will ultimately be used. Contracted gas can potentially be on</w:t>
      </w:r>
      <w:r>
        <w:noBreakHyphen/>
        <w:t>sold to other users through secondary markets so that gas still flows to the highest value use (subject to infrastructure and contracting constraints). For example, under higher gas prices an industrial firm with a contract for gas supply might choose to reduce gas consumption (for example, by switching to alternative fuel sources) and on</w:t>
      </w:r>
      <w:r>
        <w:noBreakHyphen/>
        <w:t>sell their contracted gas to the highest bidder. Short term price changes for users seeking gas could be greater if contract conditions preclude gas from being on</w:t>
      </w:r>
      <w:r>
        <w:noBreakHyphen/>
        <w:t>sold, which would need to be accounted for to forecast short</w:t>
      </w:r>
      <w:r>
        <w:noBreakHyphen/>
        <w:t>term price changes.</w:t>
      </w:r>
    </w:p>
    <w:p w14:paraId="58D82CB7" w14:textId="77777777" w:rsidR="00DA3852" w:rsidRDefault="00DA3852" w:rsidP="00DA3852">
      <w:pPr>
        <w:pStyle w:val="Heading4"/>
      </w:pPr>
      <w:r>
        <w:t>Wholesale gas demand</w:t>
      </w:r>
    </w:p>
    <w:p w14:paraId="78385C77" w14:textId="77777777" w:rsidR="00DA3852" w:rsidRDefault="00DA3852" w:rsidP="00DA3852">
      <w:pPr>
        <w:pStyle w:val="BodyText"/>
      </w:pPr>
      <w:r>
        <w:t>Quantities of wholesale gas demanded in the initial model year are also required to calibrate demand functions. There is demand at each node for three groups: gas</w:t>
      </w:r>
      <w:r>
        <w:noBreakHyphen/>
        <w:t xml:space="preserve">powered electricity generators, industrial users, and mass market (residential and commercial) users. Demand from each group (table B.17) was estimated based on historical daily electricity generation data and gas demand trace data provided by AEMO </w:t>
      </w:r>
      <w:r w:rsidRPr="00A95038">
        <w:t>(2013d; unpublished data, 2014)</w:t>
      </w:r>
      <w:r>
        <w:t>.</w:t>
      </w:r>
    </w:p>
    <w:p w14:paraId="25404854" w14:textId="77777777" w:rsidR="00DA3852" w:rsidRDefault="00DA3852" w:rsidP="00DA3852">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DA3852" w14:paraId="03BD7751" w14:textId="77777777" w:rsidTr="00C03F9E">
        <w:tc>
          <w:tcPr>
            <w:tcW w:w="8771" w:type="dxa"/>
            <w:tcBorders>
              <w:top w:val="single" w:sz="6" w:space="0" w:color="78A22F"/>
              <w:left w:val="nil"/>
              <w:bottom w:val="nil"/>
              <w:right w:val="nil"/>
            </w:tcBorders>
            <w:shd w:val="clear" w:color="auto" w:fill="auto"/>
          </w:tcPr>
          <w:p w14:paraId="2E23852D" w14:textId="43AFAFAE" w:rsidR="00DA3852" w:rsidRDefault="00DA3852" w:rsidP="00C03F9E">
            <w:pPr>
              <w:pStyle w:val="TableTitle"/>
            </w:pPr>
            <w:r>
              <w:rPr>
                <w:b w:val="0"/>
              </w:rPr>
              <w:t>Table B.</w:t>
            </w:r>
            <w:r>
              <w:rPr>
                <w:b w:val="0"/>
                <w:noProof/>
              </w:rPr>
              <w:t>17</w:t>
            </w:r>
            <w:r>
              <w:tab/>
              <w:t>Domestic wholesale gas demand</w:t>
            </w:r>
          </w:p>
          <w:p w14:paraId="23B8CDD7" w14:textId="77777777" w:rsidR="00DA3852" w:rsidRPr="00784A05" w:rsidRDefault="00DA3852" w:rsidP="00C03F9E">
            <w:pPr>
              <w:pStyle w:val="Subtitle"/>
            </w:pPr>
            <w:r>
              <w:t>Total quantity demanded (PJ)</w:t>
            </w:r>
          </w:p>
        </w:tc>
      </w:tr>
      <w:tr w:rsidR="00DA3852" w14:paraId="0DF6D37B" w14:textId="77777777" w:rsidTr="00C03F9E">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213"/>
              <w:gridCol w:w="1214"/>
              <w:gridCol w:w="1212"/>
              <w:gridCol w:w="1212"/>
              <w:gridCol w:w="1212"/>
              <w:gridCol w:w="1212"/>
              <w:gridCol w:w="1212"/>
            </w:tblGrid>
            <w:tr w:rsidR="00DA3852" w14:paraId="4FB2D5A1" w14:textId="77777777" w:rsidTr="00C03F9E">
              <w:tc>
                <w:tcPr>
                  <w:tcW w:w="715" w:type="pct"/>
                  <w:tcBorders>
                    <w:top w:val="single" w:sz="6" w:space="0" w:color="BFBFBF"/>
                    <w:bottom w:val="single" w:sz="6" w:space="0" w:color="BFBFBF"/>
                  </w:tcBorders>
                  <w:shd w:val="clear" w:color="auto" w:fill="auto"/>
                  <w:tcMar>
                    <w:top w:w="28" w:type="dxa"/>
                  </w:tcMar>
                </w:tcPr>
                <w:p w14:paraId="16971979" w14:textId="77777777" w:rsidR="00DA3852" w:rsidRDefault="00DA3852" w:rsidP="00C03F9E">
                  <w:pPr>
                    <w:pStyle w:val="TableColumnHeading"/>
                    <w:jc w:val="left"/>
                  </w:pPr>
                </w:p>
              </w:tc>
              <w:tc>
                <w:tcPr>
                  <w:tcW w:w="1429" w:type="pct"/>
                  <w:gridSpan w:val="2"/>
                  <w:tcBorders>
                    <w:top w:val="single" w:sz="6" w:space="0" w:color="BFBFBF"/>
                    <w:bottom w:val="single" w:sz="6" w:space="0" w:color="BFBFBF"/>
                  </w:tcBorders>
                  <w:shd w:val="clear" w:color="auto" w:fill="auto"/>
                  <w:tcMar>
                    <w:top w:w="28" w:type="dxa"/>
                  </w:tcMar>
                </w:tcPr>
                <w:p w14:paraId="3DB8EF87" w14:textId="77777777" w:rsidR="00DA3852" w:rsidRDefault="00DA3852" w:rsidP="00C03F9E">
                  <w:pPr>
                    <w:pStyle w:val="TableColumnHeading"/>
                    <w:ind w:right="28"/>
                    <w:jc w:val="center"/>
                  </w:pPr>
                  <w:r>
                    <w:t xml:space="preserve">            Electricity generation</w:t>
                  </w:r>
                </w:p>
              </w:tc>
              <w:tc>
                <w:tcPr>
                  <w:tcW w:w="1428" w:type="pct"/>
                  <w:gridSpan w:val="2"/>
                  <w:tcBorders>
                    <w:top w:val="single" w:sz="6" w:space="0" w:color="BFBFBF"/>
                    <w:bottom w:val="single" w:sz="6" w:space="0" w:color="BFBFBF"/>
                  </w:tcBorders>
                </w:tcPr>
                <w:p w14:paraId="7AC9ED33" w14:textId="77777777" w:rsidR="00DA3852" w:rsidRDefault="00DA3852" w:rsidP="00C03F9E">
                  <w:pPr>
                    <w:pStyle w:val="TableColumnHeading"/>
                    <w:ind w:right="28"/>
                    <w:jc w:val="center"/>
                  </w:pPr>
                  <w:r>
                    <w:t xml:space="preserve">       Industrial</w:t>
                  </w:r>
                </w:p>
              </w:tc>
              <w:tc>
                <w:tcPr>
                  <w:tcW w:w="1428" w:type="pct"/>
                  <w:gridSpan w:val="2"/>
                  <w:tcBorders>
                    <w:top w:val="single" w:sz="6" w:space="0" w:color="BFBFBF"/>
                    <w:bottom w:val="single" w:sz="6" w:space="0" w:color="BFBFBF"/>
                  </w:tcBorders>
                </w:tcPr>
                <w:p w14:paraId="2F9DB198" w14:textId="77777777" w:rsidR="00DA3852" w:rsidRDefault="00DA3852" w:rsidP="00C03F9E">
                  <w:pPr>
                    <w:pStyle w:val="TableColumnHeading"/>
                    <w:ind w:right="28"/>
                    <w:jc w:val="center"/>
                  </w:pPr>
                  <w:r>
                    <w:t xml:space="preserve">         Mass market</w:t>
                  </w:r>
                </w:p>
              </w:tc>
            </w:tr>
            <w:tr w:rsidR="00DA3852" w14:paraId="145C61A4" w14:textId="77777777" w:rsidTr="00C03F9E">
              <w:tc>
                <w:tcPr>
                  <w:tcW w:w="715" w:type="pct"/>
                  <w:tcBorders>
                    <w:top w:val="single" w:sz="6" w:space="0" w:color="BFBFBF"/>
                    <w:bottom w:val="single" w:sz="6" w:space="0" w:color="BFBFBF"/>
                  </w:tcBorders>
                  <w:shd w:val="clear" w:color="auto" w:fill="auto"/>
                  <w:tcMar>
                    <w:top w:w="28" w:type="dxa"/>
                  </w:tcMar>
                </w:tcPr>
                <w:p w14:paraId="1ABA7149" w14:textId="77777777" w:rsidR="00DA3852" w:rsidRDefault="00DA3852" w:rsidP="00C03F9E">
                  <w:pPr>
                    <w:pStyle w:val="TableColumnHeading"/>
                    <w:jc w:val="left"/>
                  </w:pPr>
                  <w:r>
                    <w:t>Model node</w:t>
                  </w:r>
                </w:p>
              </w:tc>
              <w:tc>
                <w:tcPr>
                  <w:tcW w:w="715" w:type="pct"/>
                  <w:tcBorders>
                    <w:top w:val="single" w:sz="6" w:space="0" w:color="BFBFBF"/>
                    <w:bottom w:val="single" w:sz="6" w:space="0" w:color="BFBFBF"/>
                  </w:tcBorders>
                  <w:shd w:val="clear" w:color="auto" w:fill="auto"/>
                  <w:tcMar>
                    <w:top w:w="28" w:type="dxa"/>
                  </w:tcMar>
                </w:tcPr>
                <w:p w14:paraId="7D98B14B" w14:textId="77777777" w:rsidR="00DA3852" w:rsidRDefault="00DA3852" w:rsidP="00C03F9E">
                  <w:pPr>
                    <w:pStyle w:val="TableColumnHeading"/>
                  </w:pPr>
                  <w:r>
                    <w:t>Winter</w:t>
                  </w:r>
                </w:p>
              </w:tc>
              <w:tc>
                <w:tcPr>
                  <w:tcW w:w="714" w:type="pct"/>
                  <w:tcBorders>
                    <w:top w:val="single" w:sz="6" w:space="0" w:color="BFBFBF"/>
                    <w:bottom w:val="single" w:sz="6" w:space="0" w:color="BFBFBF"/>
                  </w:tcBorders>
                  <w:shd w:val="clear" w:color="auto" w:fill="auto"/>
                  <w:tcMar>
                    <w:top w:w="28" w:type="dxa"/>
                  </w:tcMar>
                </w:tcPr>
                <w:p w14:paraId="65D677CA" w14:textId="77777777" w:rsidR="00DA3852" w:rsidRDefault="00DA3852" w:rsidP="00C03F9E">
                  <w:pPr>
                    <w:pStyle w:val="TableColumnHeading"/>
                    <w:ind w:right="28"/>
                  </w:pPr>
                  <w:r>
                    <w:t>Summer</w:t>
                  </w:r>
                </w:p>
              </w:tc>
              <w:tc>
                <w:tcPr>
                  <w:tcW w:w="714" w:type="pct"/>
                  <w:tcBorders>
                    <w:top w:val="single" w:sz="6" w:space="0" w:color="BFBFBF"/>
                    <w:bottom w:val="single" w:sz="6" w:space="0" w:color="BFBFBF"/>
                  </w:tcBorders>
                </w:tcPr>
                <w:p w14:paraId="6FBE6FA6" w14:textId="77777777" w:rsidR="00DA3852" w:rsidRDefault="00DA3852" w:rsidP="00C03F9E">
                  <w:pPr>
                    <w:pStyle w:val="TableColumnHeading"/>
                    <w:ind w:right="28"/>
                  </w:pPr>
                  <w:r>
                    <w:t>Winter</w:t>
                  </w:r>
                </w:p>
              </w:tc>
              <w:tc>
                <w:tcPr>
                  <w:tcW w:w="714" w:type="pct"/>
                  <w:tcBorders>
                    <w:top w:val="single" w:sz="6" w:space="0" w:color="BFBFBF"/>
                    <w:bottom w:val="single" w:sz="6" w:space="0" w:color="BFBFBF"/>
                  </w:tcBorders>
                </w:tcPr>
                <w:p w14:paraId="77CE2963" w14:textId="77777777" w:rsidR="00DA3852" w:rsidRDefault="00DA3852" w:rsidP="00C03F9E">
                  <w:pPr>
                    <w:pStyle w:val="TableColumnHeading"/>
                    <w:ind w:right="28"/>
                  </w:pPr>
                  <w:r>
                    <w:t>Summer</w:t>
                  </w:r>
                </w:p>
              </w:tc>
              <w:tc>
                <w:tcPr>
                  <w:tcW w:w="714" w:type="pct"/>
                  <w:tcBorders>
                    <w:top w:val="single" w:sz="6" w:space="0" w:color="BFBFBF"/>
                    <w:bottom w:val="single" w:sz="6" w:space="0" w:color="BFBFBF"/>
                  </w:tcBorders>
                </w:tcPr>
                <w:p w14:paraId="3B16C55C" w14:textId="77777777" w:rsidR="00DA3852" w:rsidRDefault="00DA3852" w:rsidP="00C03F9E">
                  <w:pPr>
                    <w:pStyle w:val="TableColumnHeading"/>
                    <w:ind w:right="28"/>
                  </w:pPr>
                  <w:r>
                    <w:t>Winter</w:t>
                  </w:r>
                </w:p>
              </w:tc>
              <w:tc>
                <w:tcPr>
                  <w:tcW w:w="714" w:type="pct"/>
                  <w:tcBorders>
                    <w:top w:val="single" w:sz="6" w:space="0" w:color="BFBFBF"/>
                    <w:bottom w:val="single" w:sz="6" w:space="0" w:color="BFBFBF"/>
                  </w:tcBorders>
                </w:tcPr>
                <w:p w14:paraId="739E20C7" w14:textId="77777777" w:rsidR="00DA3852" w:rsidRDefault="00DA3852" w:rsidP="00C03F9E">
                  <w:pPr>
                    <w:pStyle w:val="TableColumnHeading"/>
                    <w:ind w:right="28"/>
                  </w:pPr>
                  <w:r>
                    <w:t>Summer</w:t>
                  </w:r>
                </w:p>
              </w:tc>
            </w:tr>
            <w:tr w:rsidR="00DA3852" w14:paraId="024AF5CA" w14:textId="77777777" w:rsidTr="00C03F9E">
              <w:tc>
                <w:tcPr>
                  <w:tcW w:w="715" w:type="pct"/>
                  <w:tcBorders>
                    <w:top w:val="single" w:sz="6" w:space="0" w:color="BFBFBF"/>
                  </w:tcBorders>
                </w:tcPr>
                <w:p w14:paraId="371A80E8" w14:textId="77777777" w:rsidR="00DA3852" w:rsidRDefault="00DA3852" w:rsidP="00C03F9E">
                  <w:pPr>
                    <w:pStyle w:val="TableUnitsRow"/>
                    <w:jc w:val="left"/>
                  </w:pPr>
                  <w:r w:rsidRPr="00D8226E">
                    <w:t>Adelaide</w:t>
                  </w:r>
                </w:p>
              </w:tc>
              <w:tc>
                <w:tcPr>
                  <w:tcW w:w="715" w:type="pct"/>
                  <w:tcBorders>
                    <w:top w:val="single" w:sz="6" w:space="0" w:color="BFBFBF"/>
                  </w:tcBorders>
                  <w:vAlign w:val="bottom"/>
                </w:tcPr>
                <w:p w14:paraId="0ED02431" w14:textId="77777777" w:rsidR="00DA3852" w:rsidRDefault="00DA3852" w:rsidP="00C03F9E">
                  <w:pPr>
                    <w:pStyle w:val="TableBodyText"/>
                  </w:pPr>
                  <w:r w:rsidRPr="007A7850">
                    <w:t>16</w:t>
                  </w:r>
                </w:p>
              </w:tc>
              <w:tc>
                <w:tcPr>
                  <w:tcW w:w="714" w:type="pct"/>
                  <w:tcBorders>
                    <w:top w:val="single" w:sz="6" w:space="0" w:color="BFBFBF"/>
                  </w:tcBorders>
                  <w:vAlign w:val="bottom"/>
                </w:tcPr>
                <w:p w14:paraId="62093275" w14:textId="77777777" w:rsidR="00DA3852" w:rsidRDefault="00DA3852" w:rsidP="00C03F9E">
                  <w:pPr>
                    <w:pStyle w:val="TableBodyText"/>
                  </w:pPr>
                  <w:r w:rsidRPr="007A7850">
                    <w:t>4</w:t>
                  </w:r>
                  <w:r>
                    <w:t>3</w:t>
                  </w:r>
                </w:p>
              </w:tc>
              <w:tc>
                <w:tcPr>
                  <w:tcW w:w="714" w:type="pct"/>
                  <w:tcBorders>
                    <w:top w:val="single" w:sz="6" w:space="0" w:color="BFBFBF"/>
                  </w:tcBorders>
                  <w:vAlign w:val="bottom"/>
                </w:tcPr>
                <w:p w14:paraId="15E1975C" w14:textId="77777777" w:rsidR="00DA3852" w:rsidRDefault="00DA3852" w:rsidP="00C03F9E">
                  <w:pPr>
                    <w:pStyle w:val="TableBodyText"/>
                  </w:pPr>
                  <w:r w:rsidRPr="007A7850">
                    <w:t>7</w:t>
                  </w:r>
                </w:p>
              </w:tc>
              <w:tc>
                <w:tcPr>
                  <w:tcW w:w="714" w:type="pct"/>
                  <w:tcBorders>
                    <w:top w:val="single" w:sz="6" w:space="0" w:color="BFBFBF"/>
                  </w:tcBorders>
                  <w:vAlign w:val="bottom"/>
                </w:tcPr>
                <w:p w14:paraId="0A786AA2" w14:textId="77777777" w:rsidR="00DA3852" w:rsidRDefault="00DA3852" w:rsidP="00C03F9E">
                  <w:pPr>
                    <w:pStyle w:val="TableBodyText"/>
                  </w:pPr>
                  <w:r w:rsidRPr="007A7850">
                    <w:t>19</w:t>
                  </w:r>
                </w:p>
              </w:tc>
              <w:tc>
                <w:tcPr>
                  <w:tcW w:w="714" w:type="pct"/>
                  <w:tcBorders>
                    <w:top w:val="single" w:sz="6" w:space="0" w:color="BFBFBF"/>
                  </w:tcBorders>
                  <w:vAlign w:val="bottom"/>
                </w:tcPr>
                <w:p w14:paraId="489F83E5" w14:textId="77777777" w:rsidR="00DA3852" w:rsidRDefault="00DA3852" w:rsidP="00C03F9E">
                  <w:pPr>
                    <w:pStyle w:val="TableBodyText"/>
                  </w:pPr>
                  <w:r w:rsidRPr="007A7850">
                    <w:t>3</w:t>
                  </w:r>
                </w:p>
              </w:tc>
              <w:tc>
                <w:tcPr>
                  <w:tcW w:w="714" w:type="pct"/>
                  <w:tcBorders>
                    <w:top w:val="single" w:sz="6" w:space="0" w:color="BFBFBF"/>
                  </w:tcBorders>
                  <w:vAlign w:val="bottom"/>
                </w:tcPr>
                <w:p w14:paraId="2A93C721" w14:textId="77777777" w:rsidR="00DA3852" w:rsidRDefault="00DA3852" w:rsidP="00C03F9E">
                  <w:pPr>
                    <w:pStyle w:val="TableBodyText"/>
                  </w:pPr>
                  <w:r w:rsidRPr="007A7850">
                    <w:t>8</w:t>
                  </w:r>
                </w:p>
              </w:tc>
            </w:tr>
            <w:tr w:rsidR="00DA3852" w14:paraId="30D56D03" w14:textId="77777777" w:rsidTr="00C03F9E">
              <w:tc>
                <w:tcPr>
                  <w:tcW w:w="715" w:type="pct"/>
                </w:tcPr>
                <w:p w14:paraId="10C3EDB9" w14:textId="77777777" w:rsidR="00DA3852" w:rsidRDefault="00DA3852" w:rsidP="00C03F9E">
                  <w:pPr>
                    <w:pStyle w:val="TableBodyText"/>
                    <w:jc w:val="left"/>
                  </w:pPr>
                  <w:r w:rsidRPr="00D8226E">
                    <w:t>Brisbane</w:t>
                  </w:r>
                </w:p>
              </w:tc>
              <w:tc>
                <w:tcPr>
                  <w:tcW w:w="715" w:type="pct"/>
                  <w:vAlign w:val="bottom"/>
                </w:tcPr>
                <w:p w14:paraId="4783938C" w14:textId="77777777" w:rsidR="00DA3852" w:rsidRDefault="00DA3852" w:rsidP="00C03F9E">
                  <w:pPr>
                    <w:pStyle w:val="TableBodyText"/>
                  </w:pPr>
                  <w:r w:rsidRPr="007A7850">
                    <w:t>3</w:t>
                  </w:r>
                </w:p>
              </w:tc>
              <w:tc>
                <w:tcPr>
                  <w:tcW w:w="714" w:type="pct"/>
                  <w:vAlign w:val="bottom"/>
                </w:tcPr>
                <w:p w14:paraId="1DC03B53" w14:textId="77777777" w:rsidR="00DA3852" w:rsidRDefault="00DA3852" w:rsidP="00C03F9E">
                  <w:pPr>
                    <w:pStyle w:val="TableBodyText"/>
                  </w:pPr>
                  <w:r w:rsidRPr="007A7850">
                    <w:t>8</w:t>
                  </w:r>
                </w:p>
              </w:tc>
              <w:tc>
                <w:tcPr>
                  <w:tcW w:w="714" w:type="pct"/>
                  <w:vAlign w:val="bottom"/>
                </w:tcPr>
                <w:p w14:paraId="72B0B458" w14:textId="77777777" w:rsidR="00DA3852" w:rsidRDefault="00DA3852" w:rsidP="00C03F9E">
                  <w:pPr>
                    <w:pStyle w:val="TableBodyText"/>
                  </w:pPr>
                  <w:r w:rsidRPr="007A7850">
                    <w:t>1</w:t>
                  </w:r>
                  <w:r>
                    <w:t>1</w:t>
                  </w:r>
                </w:p>
              </w:tc>
              <w:tc>
                <w:tcPr>
                  <w:tcW w:w="714" w:type="pct"/>
                  <w:vAlign w:val="bottom"/>
                </w:tcPr>
                <w:p w14:paraId="000381F8" w14:textId="77777777" w:rsidR="00DA3852" w:rsidRDefault="00DA3852" w:rsidP="00C03F9E">
                  <w:pPr>
                    <w:pStyle w:val="TableBodyText"/>
                  </w:pPr>
                  <w:r w:rsidRPr="007A7850">
                    <w:t>31</w:t>
                  </w:r>
                </w:p>
              </w:tc>
              <w:tc>
                <w:tcPr>
                  <w:tcW w:w="714" w:type="pct"/>
                  <w:vAlign w:val="bottom"/>
                </w:tcPr>
                <w:p w14:paraId="219DAD16" w14:textId="77777777" w:rsidR="00DA3852" w:rsidRDefault="00DA3852" w:rsidP="00C03F9E">
                  <w:pPr>
                    <w:pStyle w:val="TableBodyText"/>
                  </w:pPr>
                  <w:r w:rsidRPr="007A7850">
                    <w:t>0</w:t>
                  </w:r>
                </w:p>
              </w:tc>
              <w:tc>
                <w:tcPr>
                  <w:tcW w:w="714" w:type="pct"/>
                  <w:vAlign w:val="bottom"/>
                </w:tcPr>
                <w:p w14:paraId="3905DBFE" w14:textId="77777777" w:rsidR="00DA3852" w:rsidRDefault="00DA3852" w:rsidP="00C03F9E">
                  <w:pPr>
                    <w:pStyle w:val="TableBodyText"/>
                  </w:pPr>
                  <w:r w:rsidRPr="007A7850">
                    <w:t>1</w:t>
                  </w:r>
                </w:p>
              </w:tc>
            </w:tr>
            <w:tr w:rsidR="00DA3852" w14:paraId="677E45C6" w14:textId="77777777" w:rsidTr="00C03F9E">
              <w:tc>
                <w:tcPr>
                  <w:tcW w:w="715" w:type="pct"/>
                </w:tcPr>
                <w:p w14:paraId="06C3E422" w14:textId="77777777" w:rsidR="00DA3852" w:rsidRDefault="00DA3852" w:rsidP="00C03F9E">
                  <w:pPr>
                    <w:pStyle w:val="TableBodyText"/>
                    <w:jc w:val="left"/>
                  </w:pPr>
                  <w:r w:rsidRPr="00D8226E">
                    <w:t>Gladstone</w:t>
                  </w:r>
                </w:p>
              </w:tc>
              <w:tc>
                <w:tcPr>
                  <w:tcW w:w="715" w:type="pct"/>
                  <w:vAlign w:val="bottom"/>
                </w:tcPr>
                <w:p w14:paraId="2413B03D" w14:textId="77777777" w:rsidR="00DA3852" w:rsidRDefault="00DA3852" w:rsidP="00C03F9E">
                  <w:pPr>
                    <w:pStyle w:val="TableBodyText"/>
                  </w:pPr>
                  <w:r w:rsidRPr="007A7850">
                    <w:t>3</w:t>
                  </w:r>
                </w:p>
              </w:tc>
              <w:tc>
                <w:tcPr>
                  <w:tcW w:w="714" w:type="pct"/>
                  <w:vAlign w:val="bottom"/>
                </w:tcPr>
                <w:p w14:paraId="225CDD5E" w14:textId="77777777" w:rsidR="00DA3852" w:rsidRDefault="00DA3852" w:rsidP="00C03F9E">
                  <w:pPr>
                    <w:pStyle w:val="TableBodyText"/>
                  </w:pPr>
                  <w:r w:rsidRPr="007A7850">
                    <w:t>10</w:t>
                  </w:r>
                </w:p>
              </w:tc>
              <w:tc>
                <w:tcPr>
                  <w:tcW w:w="714" w:type="pct"/>
                  <w:vAlign w:val="bottom"/>
                </w:tcPr>
                <w:p w14:paraId="5FA52461" w14:textId="77777777" w:rsidR="00DA3852" w:rsidRDefault="00DA3852" w:rsidP="00C03F9E">
                  <w:pPr>
                    <w:pStyle w:val="TableBodyText"/>
                  </w:pPr>
                  <w:r w:rsidRPr="007A7850">
                    <w:t>12</w:t>
                  </w:r>
                </w:p>
              </w:tc>
              <w:tc>
                <w:tcPr>
                  <w:tcW w:w="714" w:type="pct"/>
                  <w:vAlign w:val="bottom"/>
                </w:tcPr>
                <w:p w14:paraId="5D719725" w14:textId="77777777" w:rsidR="00DA3852" w:rsidRDefault="00DA3852" w:rsidP="00C03F9E">
                  <w:pPr>
                    <w:pStyle w:val="TableBodyText"/>
                  </w:pPr>
                  <w:r w:rsidRPr="007A7850">
                    <w:t>35</w:t>
                  </w:r>
                </w:p>
              </w:tc>
              <w:tc>
                <w:tcPr>
                  <w:tcW w:w="714" w:type="pct"/>
                  <w:vAlign w:val="bottom"/>
                </w:tcPr>
                <w:p w14:paraId="69C05495" w14:textId="77777777" w:rsidR="00DA3852" w:rsidRDefault="00DA3852" w:rsidP="00C03F9E">
                  <w:pPr>
                    <w:pStyle w:val="TableBodyText"/>
                  </w:pPr>
                  <w:r w:rsidRPr="007A7850">
                    <w:t>1</w:t>
                  </w:r>
                </w:p>
              </w:tc>
              <w:tc>
                <w:tcPr>
                  <w:tcW w:w="714" w:type="pct"/>
                  <w:vAlign w:val="bottom"/>
                </w:tcPr>
                <w:p w14:paraId="1279D8C9" w14:textId="77777777" w:rsidR="00DA3852" w:rsidRDefault="00DA3852" w:rsidP="00C03F9E">
                  <w:pPr>
                    <w:pStyle w:val="TableBodyText"/>
                  </w:pPr>
                  <w:r w:rsidRPr="007A7850">
                    <w:t>1</w:t>
                  </w:r>
                </w:p>
              </w:tc>
            </w:tr>
            <w:tr w:rsidR="00DA3852" w14:paraId="5B9D3908" w14:textId="77777777" w:rsidTr="00C03F9E">
              <w:tc>
                <w:tcPr>
                  <w:tcW w:w="715" w:type="pct"/>
                </w:tcPr>
                <w:p w14:paraId="7247A3F4" w14:textId="77777777" w:rsidR="00DA3852" w:rsidRDefault="00DA3852" w:rsidP="00C03F9E">
                  <w:pPr>
                    <w:pStyle w:val="TableBodyText"/>
                    <w:jc w:val="left"/>
                  </w:pPr>
                  <w:r w:rsidRPr="003877E5">
                    <w:t>Melbourne</w:t>
                  </w:r>
                </w:p>
              </w:tc>
              <w:tc>
                <w:tcPr>
                  <w:tcW w:w="715" w:type="pct"/>
                  <w:vAlign w:val="bottom"/>
                </w:tcPr>
                <w:p w14:paraId="4169BE7A" w14:textId="77777777" w:rsidR="00DA3852" w:rsidRDefault="00DA3852" w:rsidP="00C03F9E">
                  <w:pPr>
                    <w:pStyle w:val="TableBodyText"/>
                  </w:pPr>
                  <w:r w:rsidRPr="007A7850">
                    <w:t>1</w:t>
                  </w:r>
                </w:p>
              </w:tc>
              <w:tc>
                <w:tcPr>
                  <w:tcW w:w="714" w:type="pct"/>
                  <w:vAlign w:val="bottom"/>
                </w:tcPr>
                <w:p w14:paraId="10BD2B4F" w14:textId="77777777" w:rsidR="00DA3852" w:rsidRDefault="00DA3852" w:rsidP="00C03F9E">
                  <w:pPr>
                    <w:pStyle w:val="TableBodyText"/>
                  </w:pPr>
                  <w:r w:rsidRPr="007A7850">
                    <w:t>2</w:t>
                  </w:r>
                </w:p>
              </w:tc>
              <w:tc>
                <w:tcPr>
                  <w:tcW w:w="714" w:type="pct"/>
                  <w:vAlign w:val="bottom"/>
                </w:tcPr>
                <w:p w14:paraId="44333922" w14:textId="77777777" w:rsidR="00DA3852" w:rsidRDefault="00DA3852" w:rsidP="00C03F9E">
                  <w:pPr>
                    <w:pStyle w:val="TableBodyText"/>
                  </w:pPr>
                  <w:r w:rsidRPr="007A7850">
                    <w:t>28</w:t>
                  </w:r>
                </w:p>
              </w:tc>
              <w:tc>
                <w:tcPr>
                  <w:tcW w:w="714" w:type="pct"/>
                  <w:vAlign w:val="bottom"/>
                </w:tcPr>
                <w:p w14:paraId="7C23B978" w14:textId="77777777" w:rsidR="00DA3852" w:rsidRDefault="00DA3852" w:rsidP="00C03F9E">
                  <w:pPr>
                    <w:pStyle w:val="TableBodyText"/>
                  </w:pPr>
                  <w:r w:rsidRPr="007A7850">
                    <w:t>46</w:t>
                  </w:r>
                </w:p>
              </w:tc>
              <w:tc>
                <w:tcPr>
                  <w:tcW w:w="714" w:type="pct"/>
                  <w:vAlign w:val="bottom"/>
                </w:tcPr>
                <w:p w14:paraId="018F34EC" w14:textId="77777777" w:rsidR="00DA3852" w:rsidRDefault="00DA3852" w:rsidP="00C03F9E">
                  <w:pPr>
                    <w:pStyle w:val="TableBodyText"/>
                  </w:pPr>
                  <w:r w:rsidRPr="007A7850">
                    <w:t>42</w:t>
                  </w:r>
                </w:p>
              </w:tc>
              <w:tc>
                <w:tcPr>
                  <w:tcW w:w="714" w:type="pct"/>
                  <w:vAlign w:val="bottom"/>
                </w:tcPr>
                <w:p w14:paraId="6DEDECAA" w14:textId="77777777" w:rsidR="00DA3852" w:rsidRDefault="00DA3852" w:rsidP="00C03F9E">
                  <w:pPr>
                    <w:pStyle w:val="TableBodyText"/>
                  </w:pPr>
                  <w:r w:rsidRPr="007A7850">
                    <w:t>69</w:t>
                  </w:r>
                </w:p>
              </w:tc>
            </w:tr>
            <w:tr w:rsidR="00DA3852" w14:paraId="4FB8904D" w14:textId="77777777" w:rsidTr="00C03F9E">
              <w:tc>
                <w:tcPr>
                  <w:tcW w:w="715" w:type="pct"/>
                </w:tcPr>
                <w:p w14:paraId="39A1D647" w14:textId="77777777" w:rsidR="00DA3852" w:rsidRDefault="00DA3852" w:rsidP="00C03F9E">
                  <w:pPr>
                    <w:pStyle w:val="TableBodyText"/>
                    <w:jc w:val="left"/>
                  </w:pPr>
                  <w:r w:rsidRPr="003877E5">
                    <w:t>Mt Isa</w:t>
                  </w:r>
                </w:p>
              </w:tc>
              <w:tc>
                <w:tcPr>
                  <w:tcW w:w="715" w:type="pct"/>
                  <w:vAlign w:val="bottom"/>
                </w:tcPr>
                <w:p w14:paraId="10A62AA0" w14:textId="77777777" w:rsidR="00DA3852" w:rsidRDefault="00DA3852" w:rsidP="00C03F9E">
                  <w:pPr>
                    <w:pStyle w:val="TableBodyText"/>
                  </w:pPr>
                  <w:r w:rsidRPr="007A7850">
                    <w:t>0</w:t>
                  </w:r>
                </w:p>
              </w:tc>
              <w:tc>
                <w:tcPr>
                  <w:tcW w:w="714" w:type="pct"/>
                  <w:vAlign w:val="bottom"/>
                </w:tcPr>
                <w:p w14:paraId="51BE04E1" w14:textId="77777777" w:rsidR="00DA3852" w:rsidRDefault="00DA3852" w:rsidP="00C03F9E">
                  <w:pPr>
                    <w:pStyle w:val="TableBodyText"/>
                  </w:pPr>
                  <w:r w:rsidRPr="007A7850">
                    <w:t>0</w:t>
                  </w:r>
                </w:p>
              </w:tc>
              <w:tc>
                <w:tcPr>
                  <w:tcW w:w="714" w:type="pct"/>
                  <w:vAlign w:val="bottom"/>
                </w:tcPr>
                <w:p w14:paraId="01CE13E5" w14:textId="77777777" w:rsidR="00DA3852" w:rsidRDefault="00DA3852" w:rsidP="00C03F9E">
                  <w:pPr>
                    <w:pStyle w:val="TableBodyText"/>
                  </w:pPr>
                  <w:r w:rsidRPr="007A7850">
                    <w:t>9</w:t>
                  </w:r>
                </w:p>
              </w:tc>
              <w:tc>
                <w:tcPr>
                  <w:tcW w:w="714" w:type="pct"/>
                  <w:vAlign w:val="bottom"/>
                </w:tcPr>
                <w:p w14:paraId="59DDD7BC" w14:textId="77777777" w:rsidR="00DA3852" w:rsidRDefault="00DA3852" w:rsidP="00C03F9E">
                  <w:pPr>
                    <w:pStyle w:val="TableBodyText"/>
                  </w:pPr>
                  <w:r w:rsidRPr="007A7850">
                    <w:t>26</w:t>
                  </w:r>
                </w:p>
              </w:tc>
              <w:tc>
                <w:tcPr>
                  <w:tcW w:w="714" w:type="pct"/>
                  <w:vAlign w:val="bottom"/>
                </w:tcPr>
                <w:p w14:paraId="2EAA3333" w14:textId="77777777" w:rsidR="00DA3852" w:rsidRDefault="00DA3852" w:rsidP="00C03F9E">
                  <w:pPr>
                    <w:pStyle w:val="TableBodyText"/>
                  </w:pPr>
                  <w:r w:rsidRPr="007A7850">
                    <w:t>0</w:t>
                  </w:r>
                </w:p>
              </w:tc>
              <w:tc>
                <w:tcPr>
                  <w:tcW w:w="714" w:type="pct"/>
                  <w:vAlign w:val="bottom"/>
                </w:tcPr>
                <w:p w14:paraId="527AE539" w14:textId="77777777" w:rsidR="00DA3852" w:rsidRDefault="00DA3852" w:rsidP="00C03F9E">
                  <w:pPr>
                    <w:pStyle w:val="TableBodyText"/>
                  </w:pPr>
                  <w:r w:rsidRPr="007A7850">
                    <w:t>1</w:t>
                  </w:r>
                </w:p>
              </w:tc>
            </w:tr>
            <w:tr w:rsidR="00DA3852" w14:paraId="5FFA5E87" w14:textId="77777777" w:rsidTr="00C03F9E">
              <w:tc>
                <w:tcPr>
                  <w:tcW w:w="715" w:type="pct"/>
                </w:tcPr>
                <w:p w14:paraId="7684B695" w14:textId="77777777" w:rsidR="00DA3852" w:rsidRDefault="00DA3852" w:rsidP="00C03F9E">
                  <w:pPr>
                    <w:pStyle w:val="TableBodyText"/>
                    <w:jc w:val="left"/>
                  </w:pPr>
                  <w:r w:rsidRPr="003877E5">
                    <w:t>Otway</w:t>
                  </w:r>
                </w:p>
              </w:tc>
              <w:tc>
                <w:tcPr>
                  <w:tcW w:w="715" w:type="pct"/>
                  <w:vAlign w:val="bottom"/>
                </w:tcPr>
                <w:p w14:paraId="5C5D5F73" w14:textId="77777777" w:rsidR="00DA3852" w:rsidRDefault="00DA3852" w:rsidP="00C03F9E">
                  <w:pPr>
                    <w:pStyle w:val="TableBodyText"/>
                  </w:pPr>
                  <w:r w:rsidRPr="007A7850">
                    <w:t>3</w:t>
                  </w:r>
                </w:p>
              </w:tc>
              <w:tc>
                <w:tcPr>
                  <w:tcW w:w="714" w:type="pct"/>
                  <w:vAlign w:val="bottom"/>
                </w:tcPr>
                <w:p w14:paraId="05239938" w14:textId="77777777" w:rsidR="00DA3852" w:rsidRDefault="00DA3852" w:rsidP="00C03F9E">
                  <w:pPr>
                    <w:pStyle w:val="TableBodyText"/>
                  </w:pPr>
                  <w:r w:rsidRPr="007A7850">
                    <w:t>12</w:t>
                  </w:r>
                </w:p>
              </w:tc>
              <w:tc>
                <w:tcPr>
                  <w:tcW w:w="714" w:type="pct"/>
                  <w:vAlign w:val="bottom"/>
                </w:tcPr>
                <w:p w14:paraId="41B9B609" w14:textId="77777777" w:rsidR="00DA3852" w:rsidRDefault="00DA3852" w:rsidP="00C03F9E">
                  <w:pPr>
                    <w:pStyle w:val="TableBodyText"/>
                  </w:pPr>
                  <w:r w:rsidRPr="007A7850">
                    <w:t>1</w:t>
                  </w:r>
                </w:p>
              </w:tc>
              <w:tc>
                <w:tcPr>
                  <w:tcW w:w="714" w:type="pct"/>
                  <w:vAlign w:val="bottom"/>
                </w:tcPr>
                <w:p w14:paraId="0C89560F" w14:textId="77777777" w:rsidR="00DA3852" w:rsidRDefault="00DA3852" w:rsidP="00C03F9E">
                  <w:pPr>
                    <w:pStyle w:val="TableBodyText"/>
                  </w:pPr>
                  <w:r w:rsidRPr="007A7850">
                    <w:t>1</w:t>
                  </w:r>
                </w:p>
              </w:tc>
              <w:tc>
                <w:tcPr>
                  <w:tcW w:w="714" w:type="pct"/>
                  <w:vAlign w:val="bottom"/>
                </w:tcPr>
                <w:p w14:paraId="0BB72850" w14:textId="77777777" w:rsidR="00DA3852" w:rsidRDefault="00DA3852" w:rsidP="00C03F9E">
                  <w:pPr>
                    <w:pStyle w:val="TableBodyText"/>
                  </w:pPr>
                  <w:r w:rsidRPr="007A7850">
                    <w:t>1</w:t>
                  </w:r>
                </w:p>
              </w:tc>
              <w:tc>
                <w:tcPr>
                  <w:tcW w:w="714" w:type="pct"/>
                  <w:vAlign w:val="bottom"/>
                </w:tcPr>
                <w:p w14:paraId="0C9234A5" w14:textId="77777777" w:rsidR="00DA3852" w:rsidRDefault="00DA3852" w:rsidP="00C03F9E">
                  <w:pPr>
                    <w:pStyle w:val="TableBodyText"/>
                  </w:pPr>
                  <w:r w:rsidRPr="007A7850">
                    <w:t>2</w:t>
                  </w:r>
                </w:p>
              </w:tc>
            </w:tr>
            <w:tr w:rsidR="00DA3852" w14:paraId="69DE5756" w14:textId="77777777" w:rsidTr="00C03F9E">
              <w:tc>
                <w:tcPr>
                  <w:tcW w:w="715" w:type="pct"/>
                </w:tcPr>
                <w:p w14:paraId="230950EA" w14:textId="508350C3" w:rsidR="00DA3852" w:rsidRDefault="00DA3852" w:rsidP="00C03F9E">
                  <w:pPr>
                    <w:pStyle w:val="TableBodyText"/>
                    <w:jc w:val="left"/>
                  </w:pPr>
                  <w:r>
                    <w:t>Surat–Bowen</w:t>
                  </w:r>
                </w:p>
              </w:tc>
              <w:tc>
                <w:tcPr>
                  <w:tcW w:w="715" w:type="pct"/>
                  <w:vAlign w:val="bottom"/>
                </w:tcPr>
                <w:p w14:paraId="3771DBC1" w14:textId="77777777" w:rsidR="00DA3852" w:rsidRDefault="00DA3852" w:rsidP="00C03F9E">
                  <w:pPr>
                    <w:pStyle w:val="TableBodyText"/>
                  </w:pPr>
                  <w:r w:rsidRPr="007A7850">
                    <w:t>12</w:t>
                  </w:r>
                </w:p>
              </w:tc>
              <w:tc>
                <w:tcPr>
                  <w:tcW w:w="714" w:type="pct"/>
                  <w:vAlign w:val="bottom"/>
                </w:tcPr>
                <w:p w14:paraId="26083E2D" w14:textId="77777777" w:rsidR="00DA3852" w:rsidRDefault="00DA3852" w:rsidP="00C03F9E">
                  <w:pPr>
                    <w:pStyle w:val="TableBodyText"/>
                  </w:pPr>
                  <w:r w:rsidRPr="007A7850">
                    <w:t>39</w:t>
                  </w:r>
                </w:p>
              </w:tc>
              <w:tc>
                <w:tcPr>
                  <w:tcW w:w="714" w:type="pct"/>
                  <w:vAlign w:val="bottom"/>
                </w:tcPr>
                <w:p w14:paraId="25460DA1" w14:textId="77777777" w:rsidR="00DA3852" w:rsidRDefault="00DA3852" w:rsidP="00C03F9E">
                  <w:pPr>
                    <w:pStyle w:val="TableBodyText"/>
                  </w:pPr>
                  <w:r w:rsidRPr="007A7850">
                    <w:t>2</w:t>
                  </w:r>
                </w:p>
              </w:tc>
              <w:tc>
                <w:tcPr>
                  <w:tcW w:w="714" w:type="pct"/>
                  <w:vAlign w:val="bottom"/>
                </w:tcPr>
                <w:p w14:paraId="0B85A5B2" w14:textId="77777777" w:rsidR="00DA3852" w:rsidRDefault="00DA3852" w:rsidP="00C03F9E">
                  <w:pPr>
                    <w:pStyle w:val="TableBodyText"/>
                  </w:pPr>
                  <w:r w:rsidRPr="007A7850">
                    <w:t>7</w:t>
                  </w:r>
                </w:p>
              </w:tc>
              <w:tc>
                <w:tcPr>
                  <w:tcW w:w="714" w:type="pct"/>
                  <w:vAlign w:val="bottom"/>
                </w:tcPr>
                <w:p w14:paraId="213246BA" w14:textId="77777777" w:rsidR="00DA3852" w:rsidRDefault="00DA3852" w:rsidP="00C03F9E">
                  <w:pPr>
                    <w:pStyle w:val="TableBodyText"/>
                  </w:pPr>
                  <w:r w:rsidRPr="007A7850">
                    <w:t>0</w:t>
                  </w:r>
                </w:p>
              </w:tc>
              <w:tc>
                <w:tcPr>
                  <w:tcW w:w="714" w:type="pct"/>
                  <w:vAlign w:val="bottom"/>
                </w:tcPr>
                <w:p w14:paraId="20D015BA" w14:textId="77777777" w:rsidR="00DA3852" w:rsidRDefault="00DA3852" w:rsidP="00C03F9E">
                  <w:pPr>
                    <w:pStyle w:val="TableBodyText"/>
                  </w:pPr>
                  <w:r w:rsidRPr="007A7850">
                    <w:t>0</w:t>
                  </w:r>
                </w:p>
              </w:tc>
            </w:tr>
            <w:tr w:rsidR="00DA3852" w14:paraId="646B421E" w14:textId="77777777" w:rsidTr="00C03F9E">
              <w:tc>
                <w:tcPr>
                  <w:tcW w:w="715" w:type="pct"/>
                </w:tcPr>
                <w:p w14:paraId="11C9651F" w14:textId="77777777" w:rsidR="00DA3852" w:rsidRDefault="00DA3852" w:rsidP="00C03F9E">
                  <w:pPr>
                    <w:pStyle w:val="TableBodyText"/>
                    <w:jc w:val="left"/>
                  </w:pPr>
                  <w:r w:rsidRPr="003877E5">
                    <w:t>Sydney</w:t>
                  </w:r>
                </w:p>
              </w:tc>
              <w:tc>
                <w:tcPr>
                  <w:tcW w:w="715" w:type="pct"/>
                  <w:vAlign w:val="bottom"/>
                </w:tcPr>
                <w:p w14:paraId="763918CC" w14:textId="77777777" w:rsidR="00DA3852" w:rsidRDefault="00DA3852" w:rsidP="00C03F9E">
                  <w:pPr>
                    <w:pStyle w:val="TableBodyText"/>
                  </w:pPr>
                  <w:r w:rsidRPr="007A7850">
                    <w:t>8</w:t>
                  </w:r>
                </w:p>
              </w:tc>
              <w:tc>
                <w:tcPr>
                  <w:tcW w:w="714" w:type="pct"/>
                  <w:vAlign w:val="bottom"/>
                </w:tcPr>
                <w:p w14:paraId="07792F57" w14:textId="77777777" w:rsidR="00DA3852" w:rsidRDefault="00DA3852" w:rsidP="00C03F9E">
                  <w:pPr>
                    <w:pStyle w:val="TableBodyText"/>
                  </w:pPr>
                  <w:r w:rsidRPr="007A7850">
                    <w:t>24</w:t>
                  </w:r>
                </w:p>
              </w:tc>
              <w:tc>
                <w:tcPr>
                  <w:tcW w:w="714" w:type="pct"/>
                  <w:vAlign w:val="bottom"/>
                </w:tcPr>
                <w:p w14:paraId="4F19DF5E" w14:textId="77777777" w:rsidR="00DA3852" w:rsidRDefault="00DA3852" w:rsidP="00C03F9E">
                  <w:pPr>
                    <w:pStyle w:val="TableBodyText"/>
                  </w:pPr>
                  <w:r w:rsidRPr="007A7850">
                    <w:t>1</w:t>
                  </w:r>
                  <w:r>
                    <w:t>6</w:t>
                  </w:r>
                </w:p>
              </w:tc>
              <w:tc>
                <w:tcPr>
                  <w:tcW w:w="714" w:type="pct"/>
                  <w:vAlign w:val="bottom"/>
                </w:tcPr>
                <w:p w14:paraId="2E9AECEB" w14:textId="77777777" w:rsidR="00DA3852" w:rsidRDefault="00DA3852" w:rsidP="00C03F9E">
                  <w:pPr>
                    <w:pStyle w:val="TableBodyText"/>
                  </w:pPr>
                  <w:r w:rsidRPr="007A7850">
                    <w:t>34</w:t>
                  </w:r>
                </w:p>
              </w:tc>
              <w:tc>
                <w:tcPr>
                  <w:tcW w:w="714" w:type="pct"/>
                  <w:vAlign w:val="bottom"/>
                </w:tcPr>
                <w:p w14:paraId="087FD010" w14:textId="77777777" w:rsidR="00DA3852" w:rsidRDefault="00DA3852" w:rsidP="00C03F9E">
                  <w:pPr>
                    <w:pStyle w:val="TableBodyText"/>
                  </w:pPr>
                  <w:r w:rsidRPr="007A7850">
                    <w:t>11</w:t>
                  </w:r>
                </w:p>
              </w:tc>
              <w:tc>
                <w:tcPr>
                  <w:tcW w:w="714" w:type="pct"/>
                  <w:vAlign w:val="bottom"/>
                </w:tcPr>
                <w:p w14:paraId="2A5D9D60" w14:textId="77777777" w:rsidR="00DA3852" w:rsidRDefault="00DA3852" w:rsidP="00C03F9E">
                  <w:pPr>
                    <w:pStyle w:val="TableBodyText"/>
                  </w:pPr>
                  <w:r w:rsidRPr="007A7850">
                    <w:t>23</w:t>
                  </w:r>
                </w:p>
              </w:tc>
            </w:tr>
            <w:tr w:rsidR="00DA3852" w14:paraId="5F6A3480" w14:textId="77777777" w:rsidTr="00C03F9E">
              <w:tc>
                <w:tcPr>
                  <w:tcW w:w="715" w:type="pct"/>
                </w:tcPr>
                <w:p w14:paraId="01D4555D" w14:textId="77777777" w:rsidR="00DA3852" w:rsidRDefault="00DA3852" w:rsidP="00C03F9E">
                  <w:pPr>
                    <w:pStyle w:val="TableBodyText"/>
                    <w:jc w:val="left"/>
                  </w:pPr>
                  <w:r w:rsidRPr="003877E5">
                    <w:t>Tasmania</w:t>
                  </w:r>
                </w:p>
              </w:tc>
              <w:tc>
                <w:tcPr>
                  <w:tcW w:w="715" w:type="pct"/>
                  <w:vAlign w:val="bottom"/>
                </w:tcPr>
                <w:p w14:paraId="49DB89CE" w14:textId="77777777" w:rsidR="00DA3852" w:rsidRDefault="00DA3852" w:rsidP="00C03F9E">
                  <w:pPr>
                    <w:pStyle w:val="TableBodyText"/>
                  </w:pPr>
                  <w:r w:rsidRPr="007A7850">
                    <w:t>1</w:t>
                  </w:r>
                </w:p>
              </w:tc>
              <w:tc>
                <w:tcPr>
                  <w:tcW w:w="714" w:type="pct"/>
                  <w:vAlign w:val="bottom"/>
                </w:tcPr>
                <w:p w14:paraId="06428673" w14:textId="77777777" w:rsidR="00DA3852" w:rsidRDefault="00DA3852" w:rsidP="00C03F9E">
                  <w:pPr>
                    <w:pStyle w:val="TableBodyText"/>
                  </w:pPr>
                  <w:r w:rsidRPr="007A7850">
                    <w:t>7</w:t>
                  </w:r>
                </w:p>
              </w:tc>
              <w:tc>
                <w:tcPr>
                  <w:tcW w:w="714" w:type="pct"/>
                  <w:vAlign w:val="bottom"/>
                </w:tcPr>
                <w:p w14:paraId="412C8F64" w14:textId="77777777" w:rsidR="00DA3852" w:rsidRDefault="00DA3852" w:rsidP="00C03F9E">
                  <w:pPr>
                    <w:pStyle w:val="TableBodyText"/>
                  </w:pPr>
                  <w:r w:rsidRPr="007A7850">
                    <w:t>1</w:t>
                  </w:r>
                </w:p>
              </w:tc>
              <w:tc>
                <w:tcPr>
                  <w:tcW w:w="714" w:type="pct"/>
                  <w:vAlign w:val="bottom"/>
                </w:tcPr>
                <w:p w14:paraId="6585D035" w14:textId="77777777" w:rsidR="00DA3852" w:rsidRDefault="00DA3852" w:rsidP="00C03F9E">
                  <w:pPr>
                    <w:pStyle w:val="TableBodyText"/>
                  </w:pPr>
                  <w:r w:rsidRPr="007A7850">
                    <w:t>4</w:t>
                  </w:r>
                </w:p>
              </w:tc>
              <w:tc>
                <w:tcPr>
                  <w:tcW w:w="714" w:type="pct"/>
                  <w:vAlign w:val="bottom"/>
                </w:tcPr>
                <w:p w14:paraId="59917C23" w14:textId="77777777" w:rsidR="00DA3852" w:rsidRDefault="00DA3852" w:rsidP="00C03F9E">
                  <w:pPr>
                    <w:pStyle w:val="TableBodyText"/>
                  </w:pPr>
                  <w:r w:rsidRPr="007A7850">
                    <w:t>0</w:t>
                  </w:r>
                </w:p>
              </w:tc>
              <w:tc>
                <w:tcPr>
                  <w:tcW w:w="714" w:type="pct"/>
                  <w:vAlign w:val="bottom"/>
                </w:tcPr>
                <w:p w14:paraId="3D54205C" w14:textId="77777777" w:rsidR="00DA3852" w:rsidRDefault="00DA3852" w:rsidP="00C03F9E">
                  <w:pPr>
                    <w:pStyle w:val="TableBodyText"/>
                  </w:pPr>
                  <w:r>
                    <w:t>1</w:t>
                  </w:r>
                </w:p>
              </w:tc>
            </w:tr>
            <w:tr w:rsidR="00DA3852" w14:paraId="46B42D48" w14:textId="77777777" w:rsidTr="00C03F9E">
              <w:tc>
                <w:tcPr>
                  <w:tcW w:w="715" w:type="pct"/>
                  <w:tcBorders>
                    <w:bottom w:val="single" w:sz="6" w:space="0" w:color="BFBFBF"/>
                  </w:tcBorders>
                  <w:shd w:val="clear" w:color="auto" w:fill="auto"/>
                </w:tcPr>
                <w:p w14:paraId="086CEC7E" w14:textId="77777777" w:rsidR="00DA3852" w:rsidRDefault="00DA3852" w:rsidP="00C03F9E">
                  <w:pPr>
                    <w:pStyle w:val="TableBodyText"/>
                    <w:jc w:val="left"/>
                  </w:pPr>
                  <w:r>
                    <w:t>Young</w:t>
                  </w:r>
                </w:p>
              </w:tc>
              <w:tc>
                <w:tcPr>
                  <w:tcW w:w="715" w:type="pct"/>
                  <w:tcBorders>
                    <w:bottom w:val="single" w:sz="6" w:space="0" w:color="BFBFBF"/>
                  </w:tcBorders>
                  <w:shd w:val="clear" w:color="auto" w:fill="auto"/>
                  <w:vAlign w:val="bottom"/>
                </w:tcPr>
                <w:p w14:paraId="55B95705" w14:textId="77777777" w:rsidR="00DA3852" w:rsidRDefault="00DA3852" w:rsidP="00C03F9E">
                  <w:pPr>
                    <w:pStyle w:val="TableBodyText"/>
                  </w:pPr>
                  <w:r w:rsidRPr="007A7850">
                    <w:t>1</w:t>
                  </w:r>
                </w:p>
              </w:tc>
              <w:tc>
                <w:tcPr>
                  <w:tcW w:w="714" w:type="pct"/>
                  <w:tcBorders>
                    <w:bottom w:val="single" w:sz="6" w:space="0" w:color="BFBFBF"/>
                  </w:tcBorders>
                  <w:shd w:val="clear" w:color="auto" w:fill="auto"/>
                  <w:vAlign w:val="bottom"/>
                </w:tcPr>
                <w:p w14:paraId="424C2BF7" w14:textId="77777777" w:rsidR="00DA3852" w:rsidRDefault="00DA3852" w:rsidP="00C03F9E">
                  <w:pPr>
                    <w:pStyle w:val="TableBodyText"/>
                  </w:pPr>
                  <w:r w:rsidRPr="007A7850">
                    <w:t>3</w:t>
                  </w:r>
                </w:p>
              </w:tc>
              <w:tc>
                <w:tcPr>
                  <w:tcW w:w="714" w:type="pct"/>
                  <w:tcBorders>
                    <w:bottom w:val="single" w:sz="6" w:space="0" w:color="BFBFBF"/>
                  </w:tcBorders>
                  <w:vAlign w:val="bottom"/>
                </w:tcPr>
                <w:p w14:paraId="7F3F71B4" w14:textId="77777777" w:rsidR="00DA3852" w:rsidRDefault="00DA3852" w:rsidP="00C03F9E">
                  <w:pPr>
                    <w:pStyle w:val="TableBodyText"/>
                  </w:pPr>
                  <w:r w:rsidRPr="007A7850">
                    <w:t>4</w:t>
                  </w:r>
                </w:p>
              </w:tc>
              <w:tc>
                <w:tcPr>
                  <w:tcW w:w="714" w:type="pct"/>
                  <w:tcBorders>
                    <w:bottom w:val="single" w:sz="6" w:space="0" w:color="BFBFBF"/>
                  </w:tcBorders>
                  <w:vAlign w:val="bottom"/>
                </w:tcPr>
                <w:p w14:paraId="3FF9F177" w14:textId="77777777" w:rsidR="00DA3852" w:rsidRDefault="00DA3852" w:rsidP="00C03F9E">
                  <w:pPr>
                    <w:pStyle w:val="TableBodyText"/>
                  </w:pPr>
                  <w:r w:rsidRPr="007A7850">
                    <w:t>9</w:t>
                  </w:r>
                </w:p>
              </w:tc>
              <w:tc>
                <w:tcPr>
                  <w:tcW w:w="714" w:type="pct"/>
                  <w:tcBorders>
                    <w:bottom w:val="single" w:sz="6" w:space="0" w:color="BFBFBF"/>
                  </w:tcBorders>
                  <w:vAlign w:val="bottom"/>
                </w:tcPr>
                <w:p w14:paraId="72B12B6F" w14:textId="77777777" w:rsidR="00DA3852" w:rsidRDefault="00DA3852" w:rsidP="00C03F9E">
                  <w:pPr>
                    <w:pStyle w:val="TableBodyText"/>
                  </w:pPr>
                  <w:r w:rsidRPr="007A7850">
                    <w:t>3</w:t>
                  </w:r>
                </w:p>
              </w:tc>
              <w:tc>
                <w:tcPr>
                  <w:tcW w:w="714" w:type="pct"/>
                  <w:tcBorders>
                    <w:bottom w:val="single" w:sz="6" w:space="0" w:color="BFBFBF"/>
                  </w:tcBorders>
                  <w:vAlign w:val="bottom"/>
                </w:tcPr>
                <w:p w14:paraId="11DC2CED" w14:textId="77777777" w:rsidR="00DA3852" w:rsidRDefault="00DA3852" w:rsidP="00C03F9E">
                  <w:pPr>
                    <w:pStyle w:val="TableBodyText"/>
                  </w:pPr>
                  <w:r w:rsidRPr="007A7850">
                    <w:t>6</w:t>
                  </w:r>
                </w:p>
              </w:tc>
            </w:tr>
          </w:tbl>
          <w:p w14:paraId="0939EAF1" w14:textId="77777777" w:rsidR="00DA3852" w:rsidRDefault="00DA3852" w:rsidP="00C03F9E">
            <w:pPr>
              <w:pStyle w:val="Box"/>
            </w:pPr>
          </w:p>
        </w:tc>
      </w:tr>
      <w:tr w:rsidR="00DA3852" w14:paraId="314BE3B7" w14:textId="77777777" w:rsidTr="00C03F9E">
        <w:trPr>
          <w:cantSplit/>
        </w:trPr>
        <w:tc>
          <w:tcPr>
            <w:tcW w:w="8771" w:type="dxa"/>
            <w:tcBorders>
              <w:top w:val="nil"/>
              <w:left w:val="nil"/>
              <w:bottom w:val="nil"/>
              <w:right w:val="nil"/>
            </w:tcBorders>
            <w:shd w:val="clear" w:color="auto" w:fill="auto"/>
          </w:tcPr>
          <w:p w14:paraId="511BC470" w14:textId="77777777" w:rsidR="00DA3852" w:rsidRDefault="00DA3852" w:rsidP="00C03F9E">
            <w:pPr>
              <w:pStyle w:val="Source"/>
            </w:pPr>
            <w:r>
              <w:rPr>
                <w:i/>
              </w:rPr>
              <w:t>Source</w:t>
            </w:r>
            <w:r w:rsidRPr="00167F06">
              <w:t xml:space="preserve">: </w:t>
            </w:r>
            <w:r>
              <w:t>Commission estimates.</w:t>
            </w:r>
          </w:p>
        </w:tc>
      </w:tr>
      <w:tr w:rsidR="00DA3852" w14:paraId="09E374A1" w14:textId="77777777" w:rsidTr="00C03F9E">
        <w:trPr>
          <w:cantSplit/>
        </w:trPr>
        <w:tc>
          <w:tcPr>
            <w:tcW w:w="8771" w:type="dxa"/>
            <w:tcBorders>
              <w:top w:val="nil"/>
              <w:left w:val="nil"/>
              <w:bottom w:val="single" w:sz="6" w:space="0" w:color="78A22F"/>
              <w:right w:val="nil"/>
            </w:tcBorders>
            <w:shd w:val="clear" w:color="auto" w:fill="auto"/>
          </w:tcPr>
          <w:p w14:paraId="476BB3F4" w14:textId="77777777" w:rsidR="00DA3852" w:rsidRDefault="00DA3852" w:rsidP="00C03F9E">
            <w:pPr>
              <w:pStyle w:val="Box"/>
              <w:spacing w:before="0" w:line="120" w:lineRule="exact"/>
            </w:pPr>
          </w:p>
        </w:tc>
      </w:tr>
      <w:tr w:rsidR="00DA3852" w:rsidRPr="000863A5" w14:paraId="2D82D4DB" w14:textId="77777777" w:rsidTr="00C03F9E">
        <w:tc>
          <w:tcPr>
            <w:tcW w:w="8771" w:type="dxa"/>
            <w:tcBorders>
              <w:top w:val="single" w:sz="6" w:space="0" w:color="78A22F"/>
              <w:left w:val="nil"/>
              <w:bottom w:val="nil"/>
              <w:right w:val="nil"/>
            </w:tcBorders>
          </w:tcPr>
          <w:p w14:paraId="75FE07EC" w14:textId="77777777" w:rsidR="00DA3852" w:rsidRPr="00626D32" w:rsidRDefault="00DA3852" w:rsidP="00C03F9E">
            <w:pPr>
              <w:pStyle w:val="BoxSpaceBelow"/>
            </w:pPr>
          </w:p>
        </w:tc>
      </w:tr>
    </w:tbl>
    <w:p w14:paraId="0F2CB399" w14:textId="77777777" w:rsidR="00DA3852" w:rsidRDefault="00DA3852" w:rsidP="00DA3852">
      <w:pPr>
        <w:pStyle w:val="Heading4"/>
      </w:pPr>
      <w:r>
        <w:lastRenderedPageBreak/>
        <w:t>Price elasticity of demand</w:t>
      </w:r>
    </w:p>
    <w:p w14:paraId="40F2A67C" w14:textId="77777777" w:rsidR="00DA3852" w:rsidRDefault="00DA3852" w:rsidP="00DA3852">
      <w:pPr>
        <w:pStyle w:val="BodyText"/>
      </w:pPr>
      <w:r>
        <w:t>For mass market demand and industrial demand, separate estimates of the price elasticity of demand have been sourced for each state from AEMO’s National Gas Forecasting Report (table B.18). For electricity generation demand, a single elasticity estimate of -0.7 was used (Wagner 2014). For industrial use and electricity generation in particular, demand responses to price increases are likely to be more discrete (or ‘lumpy’) than suggested by a smooth demand function, as particular large users might cease using gas altogether above a certain price. Using a single elasticity estimate is a simplification that reflects a lack of data about the price points that will cause particular users to cease using gas, and is consistent with averaging discrete demand changes across multiple users.</w:t>
      </w:r>
      <w:r w:rsidRPr="00D54D05">
        <w:rPr>
          <w:rStyle w:val="FootnoteReference"/>
        </w:rPr>
        <w:footnoteReference w:id="20"/>
      </w:r>
      <w:r>
        <w:t xml:space="preserve">  </w:t>
      </w:r>
    </w:p>
    <w:p w14:paraId="37E9BBD6" w14:textId="77777777" w:rsidR="00DA3852" w:rsidRDefault="00DA3852" w:rsidP="00DA3852">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DA3852" w14:paraId="2E3BE132" w14:textId="77777777" w:rsidTr="00C03F9E">
        <w:tc>
          <w:tcPr>
            <w:tcW w:w="8771" w:type="dxa"/>
            <w:tcBorders>
              <w:top w:val="single" w:sz="6" w:space="0" w:color="78A22F"/>
              <w:left w:val="nil"/>
              <w:bottom w:val="nil"/>
              <w:right w:val="nil"/>
            </w:tcBorders>
            <w:shd w:val="clear" w:color="auto" w:fill="auto"/>
          </w:tcPr>
          <w:p w14:paraId="2150A7A3" w14:textId="6FAC65D4" w:rsidR="00DA3852" w:rsidRPr="00784A05" w:rsidRDefault="00DA3852" w:rsidP="00A546E5">
            <w:pPr>
              <w:pStyle w:val="TableTitle"/>
            </w:pPr>
            <w:r>
              <w:rPr>
                <w:b w:val="0"/>
              </w:rPr>
              <w:t>Table B.</w:t>
            </w:r>
            <w:r>
              <w:rPr>
                <w:b w:val="0"/>
                <w:noProof/>
              </w:rPr>
              <w:t>18</w:t>
            </w:r>
            <w:r>
              <w:tab/>
              <w:t xml:space="preserve">Price elasticity of </w:t>
            </w:r>
            <w:r w:rsidR="00A546E5">
              <w:t xml:space="preserve">industrial and mass market </w:t>
            </w:r>
            <w:r>
              <w:t xml:space="preserve">demand </w:t>
            </w:r>
          </w:p>
        </w:tc>
      </w:tr>
      <w:tr w:rsidR="00DA3852" w14:paraId="5AB7A9AE" w14:textId="77777777" w:rsidTr="00C03F9E">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122"/>
              <w:gridCol w:w="2123"/>
              <w:gridCol w:w="2122"/>
              <w:gridCol w:w="2120"/>
            </w:tblGrid>
            <w:tr w:rsidR="00DA3852" w14:paraId="430B441B" w14:textId="77777777" w:rsidTr="00C03F9E">
              <w:tc>
                <w:tcPr>
                  <w:tcW w:w="1250" w:type="pct"/>
                  <w:tcBorders>
                    <w:top w:val="single" w:sz="6" w:space="0" w:color="BFBFBF"/>
                    <w:bottom w:val="single" w:sz="6" w:space="0" w:color="BFBFBF"/>
                  </w:tcBorders>
                  <w:shd w:val="clear" w:color="auto" w:fill="auto"/>
                  <w:tcMar>
                    <w:top w:w="28" w:type="dxa"/>
                  </w:tcMar>
                </w:tcPr>
                <w:p w14:paraId="4A3B11DB" w14:textId="77777777" w:rsidR="00DA3852" w:rsidRDefault="00DA3852" w:rsidP="00C03F9E">
                  <w:pPr>
                    <w:pStyle w:val="TableColumnHeading"/>
                    <w:jc w:val="left"/>
                  </w:pPr>
                  <w:r>
                    <w:t>Model node</w:t>
                  </w:r>
                </w:p>
              </w:tc>
              <w:tc>
                <w:tcPr>
                  <w:tcW w:w="1251" w:type="pct"/>
                  <w:tcBorders>
                    <w:top w:val="single" w:sz="6" w:space="0" w:color="BFBFBF"/>
                    <w:bottom w:val="single" w:sz="6" w:space="0" w:color="BFBFBF"/>
                  </w:tcBorders>
                  <w:shd w:val="clear" w:color="auto" w:fill="auto"/>
                  <w:tcMar>
                    <w:top w:w="28" w:type="dxa"/>
                  </w:tcMar>
                </w:tcPr>
                <w:p w14:paraId="5728DE77" w14:textId="77777777" w:rsidR="00DA3852" w:rsidRDefault="00DA3852" w:rsidP="00C03F9E">
                  <w:pPr>
                    <w:pStyle w:val="TableColumnHeading"/>
                    <w:jc w:val="left"/>
                  </w:pPr>
                  <w:r>
                    <w:t>State</w:t>
                  </w:r>
                </w:p>
              </w:tc>
              <w:tc>
                <w:tcPr>
                  <w:tcW w:w="2499" w:type="pct"/>
                  <w:gridSpan w:val="2"/>
                  <w:tcBorders>
                    <w:top w:val="single" w:sz="6" w:space="0" w:color="BFBFBF"/>
                    <w:bottom w:val="single" w:sz="6" w:space="0" w:color="BFBFBF"/>
                  </w:tcBorders>
                  <w:shd w:val="clear" w:color="auto" w:fill="auto"/>
                  <w:tcMar>
                    <w:top w:w="28" w:type="dxa"/>
                  </w:tcMar>
                </w:tcPr>
                <w:p w14:paraId="55EB6840" w14:textId="77777777" w:rsidR="00DA3852" w:rsidRDefault="00DA3852" w:rsidP="00C03F9E">
                  <w:pPr>
                    <w:pStyle w:val="TableColumnHeading"/>
                    <w:ind w:right="28"/>
                    <w:jc w:val="center"/>
                  </w:pPr>
                  <w:r>
                    <w:t xml:space="preserve">             Elasticity</w:t>
                  </w:r>
                </w:p>
              </w:tc>
            </w:tr>
            <w:tr w:rsidR="00DA3852" w14:paraId="64071E8B" w14:textId="77777777" w:rsidTr="00C03F9E">
              <w:tc>
                <w:tcPr>
                  <w:tcW w:w="1250" w:type="pct"/>
                  <w:tcBorders>
                    <w:top w:val="single" w:sz="6" w:space="0" w:color="BFBFBF"/>
                  </w:tcBorders>
                </w:tcPr>
                <w:p w14:paraId="22408605" w14:textId="77777777" w:rsidR="00DA3852" w:rsidRPr="00D8226E" w:rsidRDefault="00DA3852" w:rsidP="00C03F9E">
                  <w:pPr>
                    <w:pStyle w:val="TableUnitsRow"/>
                    <w:jc w:val="left"/>
                  </w:pPr>
                </w:p>
              </w:tc>
              <w:tc>
                <w:tcPr>
                  <w:tcW w:w="1251" w:type="pct"/>
                  <w:tcBorders>
                    <w:top w:val="single" w:sz="6" w:space="0" w:color="BFBFBF"/>
                  </w:tcBorders>
                </w:tcPr>
                <w:p w14:paraId="206228DD" w14:textId="77777777" w:rsidR="00DA3852" w:rsidRDefault="00DA3852" w:rsidP="00C03F9E">
                  <w:pPr>
                    <w:pStyle w:val="TableUnitsRow"/>
                    <w:jc w:val="left"/>
                  </w:pPr>
                </w:p>
              </w:tc>
              <w:tc>
                <w:tcPr>
                  <w:tcW w:w="1250" w:type="pct"/>
                  <w:tcBorders>
                    <w:top w:val="single" w:sz="6" w:space="0" w:color="BFBFBF"/>
                  </w:tcBorders>
                </w:tcPr>
                <w:p w14:paraId="70C65EDA" w14:textId="77777777" w:rsidR="00DA3852" w:rsidRPr="00D75718" w:rsidRDefault="00DA3852" w:rsidP="00C03F9E">
                  <w:pPr>
                    <w:pStyle w:val="TableUnitsRow"/>
                    <w:ind w:right="28"/>
                    <w:rPr>
                      <w:i/>
                    </w:rPr>
                  </w:pPr>
                  <w:r w:rsidRPr="00D75718">
                    <w:rPr>
                      <w:i/>
                    </w:rPr>
                    <w:t>Mass market</w:t>
                  </w:r>
                </w:p>
              </w:tc>
              <w:tc>
                <w:tcPr>
                  <w:tcW w:w="1249" w:type="pct"/>
                  <w:tcBorders>
                    <w:top w:val="single" w:sz="6" w:space="0" w:color="BFBFBF"/>
                  </w:tcBorders>
                </w:tcPr>
                <w:p w14:paraId="0531D6B9" w14:textId="77777777" w:rsidR="00DA3852" w:rsidRPr="00D75718" w:rsidRDefault="00DA3852" w:rsidP="00C03F9E">
                  <w:pPr>
                    <w:pStyle w:val="TableUnitsRow"/>
                    <w:spacing w:before="0"/>
                    <w:ind w:left="57"/>
                    <w:rPr>
                      <w:i/>
                    </w:rPr>
                  </w:pPr>
                  <w:r w:rsidRPr="00D75718">
                    <w:rPr>
                      <w:i/>
                    </w:rPr>
                    <w:t>Industrial</w:t>
                  </w:r>
                </w:p>
              </w:tc>
            </w:tr>
            <w:tr w:rsidR="00DA3852" w14:paraId="5EBA8D57" w14:textId="77777777" w:rsidTr="008F234C">
              <w:tc>
                <w:tcPr>
                  <w:tcW w:w="1250" w:type="pct"/>
                  <w:tcBorders>
                    <w:top w:val="single" w:sz="6" w:space="0" w:color="BFBFBF"/>
                  </w:tcBorders>
                  <w:vAlign w:val="bottom"/>
                </w:tcPr>
                <w:p w14:paraId="002BA233" w14:textId="77777777" w:rsidR="00DA3852" w:rsidRPr="00D8226E" w:rsidRDefault="00DA3852" w:rsidP="008F234C">
                  <w:pPr>
                    <w:pStyle w:val="TableBodyText"/>
                    <w:jc w:val="left"/>
                  </w:pPr>
                  <w:r w:rsidRPr="00D8226E">
                    <w:t>Adelaide</w:t>
                  </w:r>
                </w:p>
              </w:tc>
              <w:tc>
                <w:tcPr>
                  <w:tcW w:w="1251" w:type="pct"/>
                  <w:tcBorders>
                    <w:top w:val="single" w:sz="6" w:space="0" w:color="BFBFBF"/>
                  </w:tcBorders>
                  <w:vAlign w:val="bottom"/>
                </w:tcPr>
                <w:p w14:paraId="24FA40FE" w14:textId="77777777" w:rsidR="00DA3852" w:rsidRPr="008F234C" w:rsidRDefault="00DA3852" w:rsidP="008F234C">
                  <w:pPr>
                    <w:pStyle w:val="TableBodyText"/>
                    <w:jc w:val="left"/>
                  </w:pPr>
                  <w:r>
                    <w:t>South Australia</w:t>
                  </w:r>
                </w:p>
              </w:tc>
              <w:tc>
                <w:tcPr>
                  <w:tcW w:w="1250" w:type="pct"/>
                  <w:tcBorders>
                    <w:top w:val="single" w:sz="6" w:space="0" w:color="BFBFBF"/>
                  </w:tcBorders>
                  <w:vAlign w:val="bottom"/>
                </w:tcPr>
                <w:p w14:paraId="2F9C082C" w14:textId="77777777" w:rsidR="00DA3852" w:rsidRDefault="00DA3852" w:rsidP="009A13BD">
                  <w:pPr>
                    <w:pStyle w:val="TableBodyText"/>
                    <w:ind w:right="28"/>
                  </w:pPr>
                  <w:r>
                    <w:t>-0.61</w:t>
                  </w:r>
                </w:p>
              </w:tc>
              <w:tc>
                <w:tcPr>
                  <w:tcW w:w="1249" w:type="pct"/>
                  <w:tcBorders>
                    <w:top w:val="single" w:sz="6" w:space="0" w:color="BFBFBF"/>
                  </w:tcBorders>
                  <w:vAlign w:val="center"/>
                </w:tcPr>
                <w:p w14:paraId="0FF2552E" w14:textId="77777777" w:rsidR="00DA3852" w:rsidRPr="008F234C" w:rsidRDefault="00DA3852" w:rsidP="008F234C">
                  <w:pPr>
                    <w:pStyle w:val="TableBodyText"/>
                    <w:ind w:right="0"/>
                  </w:pPr>
                  <w:r>
                    <w:t>-0.50</w:t>
                  </w:r>
                  <w:r w:rsidR="008F234C" w:rsidRPr="008E77FE">
                    <w:rPr>
                      <w:rStyle w:val="NoteLabel"/>
                    </w:rPr>
                    <w:t>a</w:t>
                  </w:r>
                </w:p>
              </w:tc>
            </w:tr>
            <w:tr w:rsidR="00DA3852" w14:paraId="2311B447" w14:textId="77777777" w:rsidTr="00C03F9E">
              <w:tc>
                <w:tcPr>
                  <w:tcW w:w="1250" w:type="pct"/>
                </w:tcPr>
                <w:p w14:paraId="35CD3552" w14:textId="77777777" w:rsidR="00DA3852" w:rsidRDefault="00DA3852" w:rsidP="00C03F9E">
                  <w:pPr>
                    <w:pStyle w:val="TableBodyText"/>
                    <w:jc w:val="left"/>
                  </w:pPr>
                  <w:r w:rsidRPr="00D8226E">
                    <w:t>Brisbane</w:t>
                  </w:r>
                </w:p>
              </w:tc>
              <w:tc>
                <w:tcPr>
                  <w:tcW w:w="1251" w:type="pct"/>
                </w:tcPr>
                <w:p w14:paraId="1C836827" w14:textId="77777777" w:rsidR="00DA3852" w:rsidRDefault="00DA3852" w:rsidP="00C03F9E">
                  <w:pPr>
                    <w:pStyle w:val="TableBodyText"/>
                    <w:jc w:val="left"/>
                    <w:rPr>
                      <w:i/>
                    </w:rPr>
                  </w:pPr>
                  <w:r>
                    <w:t>Queensland</w:t>
                  </w:r>
                </w:p>
              </w:tc>
              <w:tc>
                <w:tcPr>
                  <w:tcW w:w="1250" w:type="pct"/>
                  <w:vAlign w:val="center"/>
                </w:tcPr>
                <w:p w14:paraId="783F6014" w14:textId="77777777" w:rsidR="00DA3852" w:rsidRDefault="00DA3852" w:rsidP="00C03F9E">
                  <w:pPr>
                    <w:pStyle w:val="TableBodyText"/>
                    <w:ind w:right="28"/>
                  </w:pPr>
                  <w:r>
                    <w:t>-0.40</w:t>
                  </w:r>
                </w:p>
              </w:tc>
              <w:tc>
                <w:tcPr>
                  <w:tcW w:w="1249" w:type="pct"/>
                  <w:vAlign w:val="center"/>
                </w:tcPr>
                <w:p w14:paraId="3255DD25" w14:textId="77777777" w:rsidR="00DA3852" w:rsidRDefault="00DA3852" w:rsidP="00C03F9E">
                  <w:pPr>
                    <w:pStyle w:val="TableBodyText"/>
                    <w:ind w:left="57"/>
                    <w:rPr>
                      <w:i/>
                    </w:rPr>
                  </w:pPr>
                  <w:r>
                    <w:t>-0.65</w:t>
                  </w:r>
                </w:p>
              </w:tc>
            </w:tr>
            <w:tr w:rsidR="00DA3852" w14:paraId="1BE28012" w14:textId="77777777" w:rsidTr="00C03F9E">
              <w:tc>
                <w:tcPr>
                  <w:tcW w:w="1250" w:type="pct"/>
                </w:tcPr>
                <w:p w14:paraId="793DC77B" w14:textId="77777777" w:rsidR="00DA3852" w:rsidRDefault="00DA3852" w:rsidP="00C03F9E">
                  <w:pPr>
                    <w:pStyle w:val="TableBodyText"/>
                    <w:jc w:val="left"/>
                  </w:pPr>
                  <w:r w:rsidRPr="00D8226E">
                    <w:t>Gladstone</w:t>
                  </w:r>
                </w:p>
              </w:tc>
              <w:tc>
                <w:tcPr>
                  <w:tcW w:w="1251" w:type="pct"/>
                </w:tcPr>
                <w:p w14:paraId="521AA2A8" w14:textId="77777777" w:rsidR="00DA3852" w:rsidRDefault="00DA3852" w:rsidP="00C03F9E">
                  <w:pPr>
                    <w:pStyle w:val="TableBodyText"/>
                    <w:jc w:val="left"/>
                    <w:rPr>
                      <w:i/>
                    </w:rPr>
                  </w:pPr>
                  <w:r>
                    <w:t>Queensland</w:t>
                  </w:r>
                </w:p>
              </w:tc>
              <w:tc>
                <w:tcPr>
                  <w:tcW w:w="1250" w:type="pct"/>
                  <w:vAlign w:val="center"/>
                </w:tcPr>
                <w:p w14:paraId="62DEF34D" w14:textId="77777777" w:rsidR="00DA3852" w:rsidRDefault="00DA3852" w:rsidP="00C03F9E">
                  <w:pPr>
                    <w:pStyle w:val="TableBodyText"/>
                    <w:ind w:right="28"/>
                  </w:pPr>
                  <w:r>
                    <w:t>-0.40</w:t>
                  </w:r>
                </w:p>
              </w:tc>
              <w:tc>
                <w:tcPr>
                  <w:tcW w:w="1249" w:type="pct"/>
                  <w:vAlign w:val="center"/>
                </w:tcPr>
                <w:p w14:paraId="1E28BCDF" w14:textId="77777777" w:rsidR="00DA3852" w:rsidRDefault="00DA3852" w:rsidP="00C03F9E">
                  <w:pPr>
                    <w:pStyle w:val="TableBodyText"/>
                    <w:ind w:left="57"/>
                    <w:rPr>
                      <w:i/>
                    </w:rPr>
                  </w:pPr>
                  <w:r>
                    <w:t>-0.65</w:t>
                  </w:r>
                </w:p>
              </w:tc>
            </w:tr>
            <w:tr w:rsidR="00DA3852" w14:paraId="052D9BC9" w14:textId="77777777" w:rsidTr="00C03F9E">
              <w:tc>
                <w:tcPr>
                  <w:tcW w:w="1250" w:type="pct"/>
                </w:tcPr>
                <w:p w14:paraId="5B57E9D6" w14:textId="77777777" w:rsidR="00DA3852" w:rsidRDefault="00DA3852" w:rsidP="00C03F9E">
                  <w:pPr>
                    <w:pStyle w:val="TableBodyText"/>
                    <w:jc w:val="left"/>
                  </w:pPr>
                  <w:r w:rsidRPr="003877E5">
                    <w:t>Melbourne</w:t>
                  </w:r>
                </w:p>
              </w:tc>
              <w:tc>
                <w:tcPr>
                  <w:tcW w:w="1251" w:type="pct"/>
                </w:tcPr>
                <w:p w14:paraId="56B29287" w14:textId="77777777" w:rsidR="00DA3852" w:rsidRDefault="00DA3852" w:rsidP="00C03F9E">
                  <w:pPr>
                    <w:pStyle w:val="TableBodyText"/>
                    <w:jc w:val="left"/>
                    <w:rPr>
                      <w:i/>
                    </w:rPr>
                  </w:pPr>
                  <w:r>
                    <w:t>Victoria</w:t>
                  </w:r>
                </w:p>
              </w:tc>
              <w:tc>
                <w:tcPr>
                  <w:tcW w:w="1250" w:type="pct"/>
                  <w:vAlign w:val="center"/>
                </w:tcPr>
                <w:p w14:paraId="1BAC3271" w14:textId="77777777" w:rsidR="00DA3852" w:rsidRDefault="00DA3852" w:rsidP="00C03F9E">
                  <w:pPr>
                    <w:pStyle w:val="TableBodyText"/>
                    <w:ind w:right="28"/>
                  </w:pPr>
                  <w:r>
                    <w:t>-0.18</w:t>
                  </w:r>
                </w:p>
              </w:tc>
              <w:tc>
                <w:tcPr>
                  <w:tcW w:w="1249" w:type="pct"/>
                  <w:vAlign w:val="center"/>
                </w:tcPr>
                <w:p w14:paraId="3817D405" w14:textId="77777777" w:rsidR="00DA3852" w:rsidRDefault="00DA3852" w:rsidP="00C03F9E">
                  <w:pPr>
                    <w:pStyle w:val="TableBodyText"/>
                    <w:ind w:left="57"/>
                    <w:rPr>
                      <w:i/>
                    </w:rPr>
                  </w:pPr>
                  <w:r>
                    <w:t>-0.41</w:t>
                  </w:r>
                </w:p>
              </w:tc>
            </w:tr>
            <w:tr w:rsidR="00DA3852" w14:paraId="6691C0DF" w14:textId="77777777" w:rsidTr="00C03F9E">
              <w:tc>
                <w:tcPr>
                  <w:tcW w:w="1250" w:type="pct"/>
                </w:tcPr>
                <w:p w14:paraId="41BE2AF0" w14:textId="77777777" w:rsidR="00DA3852" w:rsidRDefault="00DA3852" w:rsidP="00C03F9E">
                  <w:pPr>
                    <w:pStyle w:val="TableBodyText"/>
                    <w:jc w:val="left"/>
                  </w:pPr>
                  <w:r w:rsidRPr="003877E5">
                    <w:t>Mt Isa</w:t>
                  </w:r>
                </w:p>
              </w:tc>
              <w:tc>
                <w:tcPr>
                  <w:tcW w:w="1251" w:type="pct"/>
                </w:tcPr>
                <w:p w14:paraId="37820684" w14:textId="77777777" w:rsidR="00DA3852" w:rsidRDefault="00DA3852" w:rsidP="00C03F9E">
                  <w:pPr>
                    <w:pStyle w:val="TableBodyText"/>
                    <w:jc w:val="left"/>
                    <w:rPr>
                      <w:i/>
                    </w:rPr>
                  </w:pPr>
                  <w:r>
                    <w:t>Queensland</w:t>
                  </w:r>
                </w:p>
              </w:tc>
              <w:tc>
                <w:tcPr>
                  <w:tcW w:w="1250" w:type="pct"/>
                  <w:vAlign w:val="center"/>
                </w:tcPr>
                <w:p w14:paraId="1240BAD1" w14:textId="77777777" w:rsidR="00DA3852" w:rsidRDefault="00DA3852" w:rsidP="00C03F9E">
                  <w:pPr>
                    <w:pStyle w:val="TableBodyText"/>
                    <w:ind w:right="28"/>
                  </w:pPr>
                  <w:r>
                    <w:t>-0.40</w:t>
                  </w:r>
                </w:p>
              </w:tc>
              <w:tc>
                <w:tcPr>
                  <w:tcW w:w="1249" w:type="pct"/>
                  <w:vAlign w:val="center"/>
                </w:tcPr>
                <w:p w14:paraId="584B94A1" w14:textId="77777777" w:rsidR="00DA3852" w:rsidRDefault="00DA3852" w:rsidP="00C03F9E">
                  <w:pPr>
                    <w:pStyle w:val="TableBodyText"/>
                    <w:ind w:left="57"/>
                    <w:rPr>
                      <w:i/>
                    </w:rPr>
                  </w:pPr>
                  <w:r>
                    <w:t>-0.65</w:t>
                  </w:r>
                </w:p>
              </w:tc>
            </w:tr>
            <w:tr w:rsidR="00DA3852" w14:paraId="2A7387CE" w14:textId="77777777" w:rsidTr="00C03F9E">
              <w:tc>
                <w:tcPr>
                  <w:tcW w:w="1250" w:type="pct"/>
                </w:tcPr>
                <w:p w14:paraId="00A129CB" w14:textId="77777777" w:rsidR="00DA3852" w:rsidRDefault="00DA3852" w:rsidP="00C03F9E">
                  <w:pPr>
                    <w:pStyle w:val="TableBodyText"/>
                    <w:jc w:val="left"/>
                  </w:pPr>
                  <w:r w:rsidRPr="003877E5">
                    <w:t>Otway</w:t>
                  </w:r>
                </w:p>
              </w:tc>
              <w:tc>
                <w:tcPr>
                  <w:tcW w:w="1251" w:type="pct"/>
                </w:tcPr>
                <w:p w14:paraId="41CD111C" w14:textId="77777777" w:rsidR="00DA3852" w:rsidRDefault="00DA3852" w:rsidP="00C03F9E">
                  <w:pPr>
                    <w:pStyle w:val="TableBodyText"/>
                    <w:jc w:val="left"/>
                    <w:rPr>
                      <w:i/>
                    </w:rPr>
                  </w:pPr>
                  <w:r>
                    <w:t>Victoria</w:t>
                  </w:r>
                </w:p>
              </w:tc>
              <w:tc>
                <w:tcPr>
                  <w:tcW w:w="1250" w:type="pct"/>
                  <w:vAlign w:val="center"/>
                </w:tcPr>
                <w:p w14:paraId="73163A22" w14:textId="77777777" w:rsidR="00DA3852" w:rsidRDefault="00DA3852" w:rsidP="00C03F9E">
                  <w:pPr>
                    <w:pStyle w:val="TableBodyText"/>
                    <w:ind w:right="28"/>
                  </w:pPr>
                  <w:r>
                    <w:t>-0.18</w:t>
                  </w:r>
                </w:p>
              </w:tc>
              <w:tc>
                <w:tcPr>
                  <w:tcW w:w="1249" w:type="pct"/>
                  <w:vAlign w:val="center"/>
                </w:tcPr>
                <w:p w14:paraId="36C12349" w14:textId="77777777" w:rsidR="00DA3852" w:rsidRDefault="00DA3852" w:rsidP="00C03F9E">
                  <w:pPr>
                    <w:pStyle w:val="TableBodyText"/>
                    <w:ind w:left="57"/>
                    <w:rPr>
                      <w:i/>
                    </w:rPr>
                  </w:pPr>
                  <w:r>
                    <w:t>-0.41</w:t>
                  </w:r>
                </w:p>
              </w:tc>
            </w:tr>
            <w:tr w:rsidR="00DA3852" w14:paraId="182CC135" w14:textId="77777777" w:rsidTr="00C03F9E">
              <w:tc>
                <w:tcPr>
                  <w:tcW w:w="1250" w:type="pct"/>
                </w:tcPr>
                <w:p w14:paraId="2D2DACF9" w14:textId="2113FE1C" w:rsidR="00DA3852" w:rsidRDefault="00DA3852" w:rsidP="00C03F9E">
                  <w:pPr>
                    <w:pStyle w:val="TableBodyText"/>
                    <w:jc w:val="left"/>
                  </w:pPr>
                  <w:r>
                    <w:t>Surat–Bowen</w:t>
                  </w:r>
                </w:p>
              </w:tc>
              <w:tc>
                <w:tcPr>
                  <w:tcW w:w="1251" w:type="pct"/>
                </w:tcPr>
                <w:p w14:paraId="4C519CB4" w14:textId="77777777" w:rsidR="00DA3852" w:rsidRDefault="00DA3852" w:rsidP="00C03F9E">
                  <w:pPr>
                    <w:pStyle w:val="TableBodyText"/>
                    <w:jc w:val="left"/>
                    <w:rPr>
                      <w:i/>
                    </w:rPr>
                  </w:pPr>
                  <w:r>
                    <w:t>Queensland</w:t>
                  </w:r>
                </w:p>
              </w:tc>
              <w:tc>
                <w:tcPr>
                  <w:tcW w:w="1250" w:type="pct"/>
                  <w:vAlign w:val="center"/>
                </w:tcPr>
                <w:p w14:paraId="71F593D5" w14:textId="77777777" w:rsidR="00DA3852" w:rsidRDefault="00DA3852" w:rsidP="00C03F9E">
                  <w:pPr>
                    <w:pStyle w:val="TableBodyText"/>
                    <w:ind w:right="28"/>
                  </w:pPr>
                  <w:r>
                    <w:t>-0.40</w:t>
                  </w:r>
                </w:p>
              </w:tc>
              <w:tc>
                <w:tcPr>
                  <w:tcW w:w="1249" w:type="pct"/>
                  <w:vAlign w:val="center"/>
                </w:tcPr>
                <w:p w14:paraId="7535488A" w14:textId="77777777" w:rsidR="00DA3852" w:rsidRDefault="00DA3852" w:rsidP="00C03F9E">
                  <w:pPr>
                    <w:pStyle w:val="TableBodyText"/>
                    <w:ind w:left="57"/>
                    <w:rPr>
                      <w:i/>
                    </w:rPr>
                  </w:pPr>
                  <w:r>
                    <w:t>-0.65</w:t>
                  </w:r>
                </w:p>
              </w:tc>
            </w:tr>
            <w:tr w:rsidR="00DA3852" w14:paraId="76B4AE5F" w14:textId="77777777" w:rsidTr="00C03F9E">
              <w:tc>
                <w:tcPr>
                  <w:tcW w:w="1250" w:type="pct"/>
                </w:tcPr>
                <w:p w14:paraId="07FCD776" w14:textId="77777777" w:rsidR="00DA3852" w:rsidRDefault="00DA3852" w:rsidP="00C03F9E">
                  <w:pPr>
                    <w:pStyle w:val="TableBodyText"/>
                    <w:jc w:val="left"/>
                  </w:pPr>
                  <w:r w:rsidRPr="003877E5">
                    <w:t>Sydney</w:t>
                  </w:r>
                </w:p>
              </w:tc>
              <w:tc>
                <w:tcPr>
                  <w:tcW w:w="1251" w:type="pct"/>
                </w:tcPr>
                <w:p w14:paraId="09E28F1B" w14:textId="77777777" w:rsidR="00DA3852" w:rsidRDefault="00DA3852" w:rsidP="00C03F9E">
                  <w:pPr>
                    <w:pStyle w:val="TableBodyText"/>
                    <w:jc w:val="left"/>
                    <w:rPr>
                      <w:i/>
                    </w:rPr>
                  </w:pPr>
                  <w:r>
                    <w:t>New South Wales</w:t>
                  </w:r>
                </w:p>
              </w:tc>
              <w:tc>
                <w:tcPr>
                  <w:tcW w:w="1250" w:type="pct"/>
                  <w:vAlign w:val="center"/>
                </w:tcPr>
                <w:p w14:paraId="5398ABFD" w14:textId="77777777" w:rsidR="00DA3852" w:rsidRDefault="00DA3852" w:rsidP="00C03F9E">
                  <w:pPr>
                    <w:pStyle w:val="TableBodyText"/>
                    <w:ind w:right="28"/>
                  </w:pPr>
                  <w:r>
                    <w:t>-0.34</w:t>
                  </w:r>
                </w:p>
              </w:tc>
              <w:tc>
                <w:tcPr>
                  <w:tcW w:w="1249" w:type="pct"/>
                  <w:vAlign w:val="center"/>
                </w:tcPr>
                <w:p w14:paraId="230AF70F" w14:textId="77777777" w:rsidR="00DA3852" w:rsidRDefault="00DA3852" w:rsidP="00C03F9E">
                  <w:pPr>
                    <w:pStyle w:val="TableBodyText"/>
                    <w:ind w:left="57"/>
                    <w:rPr>
                      <w:i/>
                    </w:rPr>
                  </w:pPr>
                  <w:r>
                    <w:t>-0.44</w:t>
                  </w:r>
                </w:p>
              </w:tc>
            </w:tr>
            <w:tr w:rsidR="00DA3852" w14:paraId="08D696DB" w14:textId="77777777" w:rsidTr="008F234C">
              <w:tc>
                <w:tcPr>
                  <w:tcW w:w="1250" w:type="pct"/>
                  <w:vAlign w:val="bottom"/>
                </w:tcPr>
                <w:p w14:paraId="0C926DFF" w14:textId="77777777" w:rsidR="00DA3852" w:rsidRDefault="00DA3852" w:rsidP="008F234C">
                  <w:pPr>
                    <w:pStyle w:val="TableBodyText"/>
                    <w:jc w:val="left"/>
                  </w:pPr>
                  <w:r w:rsidRPr="003877E5">
                    <w:t>Tasmania</w:t>
                  </w:r>
                </w:p>
              </w:tc>
              <w:tc>
                <w:tcPr>
                  <w:tcW w:w="1251" w:type="pct"/>
                  <w:vAlign w:val="bottom"/>
                </w:tcPr>
                <w:p w14:paraId="6892904C" w14:textId="77777777" w:rsidR="00DA3852" w:rsidRDefault="00DA3852" w:rsidP="008F234C">
                  <w:pPr>
                    <w:pStyle w:val="TableBodyText"/>
                    <w:jc w:val="left"/>
                    <w:rPr>
                      <w:i/>
                    </w:rPr>
                  </w:pPr>
                  <w:r>
                    <w:t>Tasmania</w:t>
                  </w:r>
                </w:p>
              </w:tc>
              <w:tc>
                <w:tcPr>
                  <w:tcW w:w="1250" w:type="pct"/>
                  <w:vAlign w:val="bottom"/>
                </w:tcPr>
                <w:p w14:paraId="59B6AA72" w14:textId="77777777" w:rsidR="00DA3852" w:rsidRDefault="00DA3852" w:rsidP="008F234C">
                  <w:pPr>
                    <w:pStyle w:val="TableBodyText"/>
                    <w:ind w:right="28"/>
                  </w:pPr>
                  <w:r>
                    <w:t>-0.20</w:t>
                  </w:r>
                </w:p>
              </w:tc>
              <w:tc>
                <w:tcPr>
                  <w:tcW w:w="1249" w:type="pct"/>
                  <w:vAlign w:val="center"/>
                </w:tcPr>
                <w:p w14:paraId="4FB5B466" w14:textId="77777777" w:rsidR="00DA3852" w:rsidRDefault="00DA3852" w:rsidP="00C03F9E">
                  <w:pPr>
                    <w:pStyle w:val="TableBodyText"/>
                    <w:ind w:right="28"/>
                  </w:pPr>
                  <w:r>
                    <w:t>-0.50</w:t>
                  </w:r>
                  <w:r w:rsidRPr="008E77FE">
                    <w:rPr>
                      <w:rStyle w:val="NoteLabel"/>
                    </w:rPr>
                    <w:t>a</w:t>
                  </w:r>
                </w:p>
              </w:tc>
            </w:tr>
            <w:tr w:rsidR="00DA3852" w14:paraId="28C2AE15" w14:textId="77777777" w:rsidTr="00C03F9E">
              <w:tc>
                <w:tcPr>
                  <w:tcW w:w="1250" w:type="pct"/>
                  <w:tcBorders>
                    <w:bottom w:val="single" w:sz="6" w:space="0" w:color="BFBFBF"/>
                  </w:tcBorders>
                  <w:shd w:val="clear" w:color="auto" w:fill="auto"/>
                </w:tcPr>
                <w:p w14:paraId="2B661552" w14:textId="77777777" w:rsidR="00DA3852" w:rsidRDefault="00DA3852" w:rsidP="00C03F9E">
                  <w:pPr>
                    <w:pStyle w:val="TableBodyText"/>
                    <w:jc w:val="left"/>
                  </w:pPr>
                  <w:r>
                    <w:t>Young</w:t>
                  </w:r>
                </w:p>
              </w:tc>
              <w:tc>
                <w:tcPr>
                  <w:tcW w:w="1251" w:type="pct"/>
                  <w:tcBorders>
                    <w:bottom w:val="single" w:sz="6" w:space="0" w:color="BFBFBF"/>
                  </w:tcBorders>
                  <w:shd w:val="clear" w:color="auto" w:fill="auto"/>
                </w:tcPr>
                <w:p w14:paraId="064CA264" w14:textId="77777777" w:rsidR="00DA3852" w:rsidRDefault="00DA3852" w:rsidP="00C03F9E">
                  <w:pPr>
                    <w:pStyle w:val="TableBodyText"/>
                    <w:jc w:val="left"/>
                    <w:rPr>
                      <w:i/>
                    </w:rPr>
                  </w:pPr>
                  <w:r>
                    <w:t>New South Wales</w:t>
                  </w:r>
                </w:p>
              </w:tc>
              <w:tc>
                <w:tcPr>
                  <w:tcW w:w="1250" w:type="pct"/>
                  <w:tcBorders>
                    <w:bottom w:val="single" w:sz="6" w:space="0" w:color="BFBFBF"/>
                  </w:tcBorders>
                  <w:shd w:val="clear" w:color="auto" w:fill="auto"/>
                  <w:vAlign w:val="center"/>
                </w:tcPr>
                <w:p w14:paraId="44FE8143" w14:textId="77777777" w:rsidR="00DA3852" w:rsidRDefault="00DA3852" w:rsidP="00C03F9E">
                  <w:pPr>
                    <w:pStyle w:val="TableBodyText"/>
                    <w:ind w:right="28"/>
                  </w:pPr>
                  <w:r>
                    <w:t>-0.34</w:t>
                  </w:r>
                </w:p>
              </w:tc>
              <w:tc>
                <w:tcPr>
                  <w:tcW w:w="1249" w:type="pct"/>
                  <w:tcBorders>
                    <w:bottom w:val="single" w:sz="6" w:space="0" w:color="BFBFBF"/>
                  </w:tcBorders>
                  <w:vAlign w:val="center"/>
                </w:tcPr>
                <w:p w14:paraId="72B1C440" w14:textId="77777777" w:rsidR="00DA3852" w:rsidRDefault="00DA3852" w:rsidP="00C03F9E">
                  <w:pPr>
                    <w:pStyle w:val="TableBodyText"/>
                    <w:ind w:left="57"/>
                    <w:rPr>
                      <w:i/>
                    </w:rPr>
                  </w:pPr>
                  <w:r>
                    <w:t>-0.44</w:t>
                  </w:r>
                </w:p>
              </w:tc>
            </w:tr>
          </w:tbl>
          <w:p w14:paraId="4F9D2595" w14:textId="77777777" w:rsidR="00DA3852" w:rsidRDefault="00DA3852" w:rsidP="00C03F9E">
            <w:pPr>
              <w:pStyle w:val="Box"/>
            </w:pPr>
          </w:p>
        </w:tc>
      </w:tr>
      <w:tr w:rsidR="00DA3852" w14:paraId="2CBA9BF5" w14:textId="77777777" w:rsidTr="00C03F9E">
        <w:trPr>
          <w:cantSplit/>
        </w:trPr>
        <w:tc>
          <w:tcPr>
            <w:tcW w:w="8771" w:type="dxa"/>
            <w:tcBorders>
              <w:top w:val="nil"/>
              <w:left w:val="nil"/>
              <w:bottom w:val="nil"/>
              <w:right w:val="nil"/>
            </w:tcBorders>
            <w:shd w:val="clear" w:color="auto" w:fill="auto"/>
          </w:tcPr>
          <w:p w14:paraId="52F56F45" w14:textId="06B48F2D" w:rsidR="00DA3852" w:rsidRDefault="00DA3852" w:rsidP="00C03F9E">
            <w:pPr>
              <w:pStyle w:val="Note"/>
              <w:rPr>
                <w:i/>
              </w:rPr>
            </w:pPr>
            <w:proofErr w:type="gramStart"/>
            <w:r w:rsidRPr="008E77FE">
              <w:rPr>
                <w:rStyle w:val="NoteLabel"/>
              </w:rPr>
              <w:t>a</w:t>
            </w:r>
            <w:proofErr w:type="gramEnd"/>
            <w:r>
              <w:t xml:space="preserve"> Commission estimate</w:t>
            </w:r>
            <w:r w:rsidR="009A13BD">
              <w:t>s</w:t>
            </w:r>
            <w:r>
              <w:t>, based on average of industrial demand elasticity in other states.</w:t>
            </w:r>
          </w:p>
        </w:tc>
      </w:tr>
      <w:tr w:rsidR="00DA3852" w14:paraId="600B2CEE" w14:textId="77777777" w:rsidTr="00C03F9E">
        <w:trPr>
          <w:cantSplit/>
        </w:trPr>
        <w:tc>
          <w:tcPr>
            <w:tcW w:w="8771" w:type="dxa"/>
            <w:tcBorders>
              <w:top w:val="nil"/>
              <w:left w:val="nil"/>
              <w:bottom w:val="nil"/>
              <w:right w:val="nil"/>
            </w:tcBorders>
            <w:shd w:val="clear" w:color="auto" w:fill="auto"/>
          </w:tcPr>
          <w:p w14:paraId="0DFDE371" w14:textId="595AFAAA" w:rsidR="00DA3852" w:rsidRDefault="00DA3852" w:rsidP="00C03F9E">
            <w:pPr>
              <w:pStyle w:val="Source"/>
            </w:pPr>
            <w:r>
              <w:rPr>
                <w:i/>
              </w:rPr>
              <w:t>Source</w:t>
            </w:r>
            <w:r w:rsidRPr="00167F06">
              <w:t xml:space="preserve">: </w:t>
            </w:r>
            <w:r>
              <w:t xml:space="preserve">AEMO </w:t>
            </w:r>
            <w:r w:rsidR="00281A90">
              <w:rPr>
                <w:rFonts w:cs="Arial"/>
              </w:rPr>
              <w:t>(2014c</w:t>
            </w:r>
            <w:r w:rsidRPr="004F1A86">
              <w:rPr>
                <w:rFonts w:cs="Arial"/>
              </w:rPr>
              <w:t>)</w:t>
            </w:r>
            <w:r>
              <w:t>.</w:t>
            </w:r>
          </w:p>
        </w:tc>
      </w:tr>
      <w:tr w:rsidR="00DA3852" w14:paraId="305A648E" w14:textId="77777777" w:rsidTr="00C03F9E">
        <w:trPr>
          <w:cantSplit/>
        </w:trPr>
        <w:tc>
          <w:tcPr>
            <w:tcW w:w="8771" w:type="dxa"/>
            <w:tcBorders>
              <w:top w:val="nil"/>
              <w:left w:val="nil"/>
              <w:bottom w:val="single" w:sz="6" w:space="0" w:color="78A22F"/>
              <w:right w:val="nil"/>
            </w:tcBorders>
            <w:shd w:val="clear" w:color="auto" w:fill="auto"/>
          </w:tcPr>
          <w:p w14:paraId="27C7A039" w14:textId="77777777" w:rsidR="00DA3852" w:rsidRDefault="00DA3852" w:rsidP="00C03F9E">
            <w:pPr>
              <w:pStyle w:val="Box"/>
              <w:spacing w:before="0" w:line="120" w:lineRule="exact"/>
            </w:pPr>
          </w:p>
        </w:tc>
      </w:tr>
      <w:tr w:rsidR="00DA3852" w:rsidRPr="000863A5" w14:paraId="51C35B7B" w14:textId="77777777" w:rsidTr="00C03F9E">
        <w:tc>
          <w:tcPr>
            <w:tcW w:w="8771" w:type="dxa"/>
            <w:tcBorders>
              <w:top w:val="single" w:sz="6" w:space="0" w:color="78A22F"/>
              <w:left w:val="nil"/>
              <w:bottom w:val="nil"/>
              <w:right w:val="nil"/>
            </w:tcBorders>
          </w:tcPr>
          <w:p w14:paraId="16D057C2" w14:textId="77777777" w:rsidR="00DA3852" w:rsidRPr="00626D32" w:rsidRDefault="00DA3852" w:rsidP="00C03F9E">
            <w:pPr>
              <w:pStyle w:val="BoxSpaceBelow"/>
            </w:pPr>
          </w:p>
        </w:tc>
      </w:tr>
    </w:tbl>
    <w:p w14:paraId="4E996BC1" w14:textId="77777777" w:rsidR="00DA3852" w:rsidRDefault="00DA3852" w:rsidP="00DA3852">
      <w:pPr>
        <w:pStyle w:val="Heading4"/>
      </w:pPr>
      <w:r>
        <w:t>Demand growth</w:t>
      </w:r>
    </w:p>
    <w:p w14:paraId="6EC79E6E" w14:textId="2EAFFA2D" w:rsidR="00DA3852" w:rsidRDefault="00DA3852" w:rsidP="00DA3852">
      <w:pPr>
        <w:pStyle w:val="BodyText"/>
      </w:pPr>
      <w:r>
        <w:t xml:space="preserve">Demand projections were estimated using data from AEMO’s 2014 national gas forecasting report </w:t>
      </w:r>
      <w:r w:rsidRPr="004F1A86">
        <w:rPr>
          <w:szCs w:val="24"/>
        </w:rPr>
        <w:t>(AEMO 2014d)</w:t>
      </w:r>
      <w:r>
        <w:t xml:space="preserve">. For calibration of demand functions, movements along each demand function (the effect of price changes) need to be distinguished from shifts in that demand function. Movements along the demand function are captured by the demand function itself and should not be incorporated in data used for calibration. Data from the national gas forecasting report were adjusted to remove the effect of price changes on demand forecasts using demand </w:t>
      </w:r>
      <w:proofErr w:type="spellStart"/>
      <w:r>
        <w:t>elasticities</w:t>
      </w:r>
      <w:proofErr w:type="spellEnd"/>
      <w:r>
        <w:t xml:space="preserve"> and price estimates documented as part of the national gas forecasting report </w:t>
      </w:r>
      <w:r w:rsidRPr="004F1A86">
        <w:rPr>
          <w:szCs w:val="24"/>
        </w:rPr>
        <w:t>(AEMO 2014</w:t>
      </w:r>
      <w:r w:rsidR="00281A90">
        <w:rPr>
          <w:szCs w:val="24"/>
        </w:rPr>
        <w:t>c</w:t>
      </w:r>
      <w:r w:rsidRPr="004F1A86">
        <w:rPr>
          <w:szCs w:val="24"/>
        </w:rPr>
        <w:t>)</w:t>
      </w:r>
      <w:r>
        <w:t xml:space="preserve">. The national gas forecasting report </w:t>
      </w:r>
      <w:r>
        <w:lastRenderedPageBreak/>
        <w:t xml:space="preserve">forecasts prices until 2034, so annual proportional demand changes between 2013 and 2034 were extrapolated to estimate demand growth after 2034. </w:t>
      </w:r>
    </w:p>
    <w:p w14:paraId="7B15E18F" w14:textId="77777777" w:rsidR="00DA3852" w:rsidRDefault="00DA3852" w:rsidP="00DA3852">
      <w:pPr>
        <w:pStyle w:val="BodyText"/>
      </w:pPr>
      <w:r>
        <w:t>For many locations and uses of gas — in particular, gas</w:t>
      </w:r>
      <w:r>
        <w:noBreakHyphen/>
        <w:t>fired generation — demand is projected to decrease to 2020 but increase thereafter (table B.19). These growth rates are used to determine how demand functions shift over time. In the framework applied in this project, prices and quantities are endogenous and so outcomes for prices and quantities are different to those used to calibrate the demand functions.</w:t>
      </w:r>
    </w:p>
    <w:p w14:paraId="117B380B" w14:textId="77777777" w:rsidR="00DA3852" w:rsidRDefault="00DA3852" w:rsidP="00DA3852">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67"/>
      </w:tblGrid>
      <w:tr w:rsidR="00DA3852" w14:paraId="0AD03E90" w14:textId="77777777" w:rsidTr="00C03F9E">
        <w:tc>
          <w:tcPr>
            <w:tcW w:w="8767" w:type="dxa"/>
            <w:tcBorders>
              <w:top w:val="single" w:sz="6" w:space="0" w:color="78A22F"/>
              <w:left w:val="nil"/>
              <w:bottom w:val="nil"/>
              <w:right w:val="nil"/>
            </w:tcBorders>
            <w:shd w:val="clear" w:color="auto" w:fill="auto"/>
          </w:tcPr>
          <w:p w14:paraId="3F21B2AC" w14:textId="48F1E434" w:rsidR="00DA3852" w:rsidRPr="0022499B" w:rsidRDefault="00DA3852" w:rsidP="00C03F9E">
            <w:pPr>
              <w:pStyle w:val="TableTitle"/>
            </w:pPr>
            <w:r>
              <w:rPr>
                <w:b w:val="0"/>
              </w:rPr>
              <w:t>Table B.</w:t>
            </w:r>
            <w:r>
              <w:rPr>
                <w:b w:val="0"/>
                <w:noProof/>
              </w:rPr>
              <w:t>19</w:t>
            </w:r>
            <w:r>
              <w:tab/>
              <w:t>Demand growth</w:t>
            </w:r>
          </w:p>
        </w:tc>
      </w:tr>
      <w:tr w:rsidR="00DA3852" w14:paraId="1E67D496" w14:textId="77777777" w:rsidTr="00C03F9E">
        <w:trPr>
          <w:cantSplit/>
        </w:trPr>
        <w:tc>
          <w:tcPr>
            <w:tcW w:w="8767"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566"/>
              <w:gridCol w:w="2553"/>
              <w:gridCol w:w="1943"/>
              <w:gridCol w:w="2421"/>
            </w:tblGrid>
            <w:tr w:rsidR="00DA3852" w14:paraId="0778AF89" w14:textId="77777777" w:rsidTr="00C03F9E">
              <w:tc>
                <w:tcPr>
                  <w:tcW w:w="923" w:type="pct"/>
                  <w:tcBorders>
                    <w:top w:val="single" w:sz="6" w:space="0" w:color="BFBFBF"/>
                    <w:bottom w:val="single" w:sz="6" w:space="0" w:color="BFBFBF"/>
                  </w:tcBorders>
                  <w:shd w:val="clear" w:color="auto" w:fill="auto"/>
                  <w:tcMar>
                    <w:top w:w="28" w:type="dxa"/>
                  </w:tcMar>
                </w:tcPr>
                <w:p w14:paraId="71FCD820" w14:textId="77777777" w:rsidR="00DA3852" w:rsidRDefault="00DA3852" w:rsidP="00C03F9E">
                  <w:pPr>
                    <w:pStyle w:val="TableColumnHeading"/>
                    <w:jc w:val="left"/>
                  </w:pPr>
                  <w:r>
                    <w:t>Model node</w:t>
                  </w:r>
                </w:p>
              </w:tc>
              <w:tc>
                <w:tcPr>
                  <w:tcW w:w="1505" w:type="pct"/>
                  <w:tcBorders>
                    <w:top w:val="single" w:sz="6" w:space="0" w:color="BFBFBF"/>
                    <w:bottom w:val="single" w:sz="6" w:space="0" w:color="BFBFBF"/>
                  </w:tcBorders>
                </w:tcPr>
                <w:p w14:paraId="0BFC3E36" w14:textId="77777777" w:rsidR="00DA3852" w:rsidRDefault="00DA3852" w:rsidP="00C03F9E">
                  <w:pPr>
                    <w:pStyle w:val="TableColumnHeading"/>
                    <w:ind w:right="28"/>
                    <w:jc w:val="left"/>
                  </w:pPr>
                  <w:r>
                    <w:t>Demand type</w:t>
                  </w:r>
                </w:p>
              </w:tc>
              <w:tc>
                <w:tcPr>
                  <w:tcW w:w="1145" w:type="pct"/>
                  <w:tcBorders>
                    <w:top w:val="single" w:sz="6" w:space="0" w:color="BFBFBF"/>
                    <w:bottom w:val="single" w:sz="6" w:space="0" w:color="BFBFBF"/>
                  </w:tcBorders>
                </w:tcPr>
                <w:p w14:paraId="66EB5763" w14:textId="77777777" w:rsidR="00DA3852" w:rsidRDefault="00DA3852" w:rsidP="008F234C">
                  <w:pPr>
                    <w:pStyle w:val="TableColumnHeading"/>
                    <w:ind w:right="28"/>
                  </w:pPr>
                  <w:r>
                    <w:t>Demand growth</w:t>
                  </w:r>
                  <w:r>
                    <w:br/>
                    <w:t>2013</w:t>
                  </w:r>
                  <w:r w:rsidR="008F234C">
                    <w:t>–</w:t>
                  </w:r>
                  <w:r>
                    <w:t>2020 (per cent)</w:t>
                  </w:r>
                </w:p>
              </w:tc>
              <w:tc>
                <w:tcPr>
                  <w:tcW w:w="1427" w:type="pct"/>
                  <w:tcBorders>
                    <w:top w:val="single" w:sz="6" w:space="0" w:color="BFBFBF"/>
                    <w:bottom w:val="single" w:sz="6" w:space="0" w:color="BFBFBF"/>
                  </w:tcBorders>
                </w:tcPr>
                <w:p w14:paraId="6D844C86" w14:textId="77777777" w:rsidR="00DA3852" w:rsidRDefault="00DA3852" w:rsidP="008F234C">
                  <w:pPr>
                    <w:pStyle w:val="TableColumnHeading"/>
                    <w:ind w:right="28"/>
                  </w:pPr>
                  <w:r>
                    <w:t>Demand growth</w:t>
                  </w:r>
                  <w:r>
                    <w:br/>
                    <w:t>2013</w:t>
                  </w:r>
                  <w:r w:rsidR="008F234C">
                    <w:t>–</w:t>
                  </w:r>
                  <w:r>
                    <w:t>2032 (per cent)</w:t>
                  </w:r>
                </w:p>
              </w:tc>
            </w:tr>
            <w:tr w:rsidR="00DA3852" w14:paraId="750CB127" w14:textId="77777777" w:rsidTr="00C03F9E">
              <w:tc>
                <w:tcPr>
                  <w:tcW w:w="923" w:type="pct"/>
                  <w:tcBorders>
                    <w:top w:val="single" w:sz="6" w:space="0" w:color="BFBFBF"/>
                  </w:tcBorders>
                  <w:vAlign w:val="center"/>
                </w:tcPr>
                <w:p w14:paraId="3BF2E22D" w14:textId="77777777" w:rsidR="00DA3852" w:rsidRDefault="00DA3852" w:rsidP="00C03F9E">
                  <w:pPr>
                    <w:pStyle w:val="TableBodyText"/>
                    <w:spacing w:before="40"/>
                    <w:jc w:val="left"/>
                  </w:pPr>
                  <w:r>
                    <w:t>Adelaide</w:t>
                  </w:r>
                </w:p>
              </w:tc>
              <w:tc>
                <w:tcPr>
                  <w:tcW w:w="1505" w:type="pct"/>
                  <w:tcBorders>
                    <w:top w:val="single" w:sz="6" w:space="0" w:color="BFBFBF"/>
                  </w:tcBorders>
                  <w:vAlign w:val="center"/>
                </w:tcPr>
                <w:p w14:paraId="6FDBB628" w14:textId="77777777" w:rsidR="00DA3852" w:rsidRDefault="00DA3852" w:rsidP="00C03F9E">
                  <w:pPr>
                    <w:pStyle w:val="TableBodyText"/>
                    <w:spacing w:before="40"/>
                    <w:jc w:val="left"/>
                  </w:pPr>
                  <w:r>
                    <w:t>Generation</w:t>
                  </w:r>
                </w:p>
              </w:tc>
              <w:tc>
                <w:tcPr>
                  <w:tcW w:w="1145" w:type="pct"/>
                  <w:tcBorders>
                    <w:top w:val="single" w:sz="6" w:space="0" w:color="BFBFBF"/>
                  </w:tcBorders>
                  <w:vAlign w:val="bottom"/>
                </w:tcPr>
                <w:p w14:paraId="5AE80641" w14:textId="77777777" w:rsidR="00DA3852" w:rsidRDefault="00DA3852" w:rsidP="00C03F9E">
                  <w:pPr>
                    <w:pStyle w:val="TableBodyText"/>
                    <w:spacing w:before="40"/>
                    <w:ind w:right="0"/>
                  </w:pPr>
                  <w:r>
                    <w:t>-47</w:t>
                  </w:r>
                </w:p>
              </w:tc>
              <w:tc>
                <w:tcPr>
                  <w:tcW w:w="1427" w:type="pct"/>
                  <w:tcBorders>
                    <w:top w:val="single" w:sz="6" w:space="0" w:color="BFBFBF"/>
                  </w:tcBorders>
                  <w:vAlign w:val="bottom"/>
                </w:tcPr>
                <w:p w14:paraId="1244D0D8" w14:textId="77777777" w:rsidR="00DA3852" w:rsidRPr="00684C29" w:rsidRDefault="00DA3852" w:rsidP="00C03F9E">
                  <w:pPr>
                    <w:pStyle w:val="TableBodyText"/>
                    <w:spacing w:before="40"/>
                    <w:ind w:right="0"/>
                  </w:pPr>
                  <w:r>
                    <w:t>30</w:t>
                  </w:r>
                </w:p>
              </w:tc>
            </w:tr>
            <w:tr w:rsidR="00DA3852" w14:paraId="754D708C" w14:textId="77777777" w:rsidTr="00C03F9E">
              <w:tc>
                <w:tcPr>
                  <w:tcW w:w="923" w:type="pct"/>
                  <w:vAlign w:val="center"/>
                </w:tcPr>
                <w:p w14:paraId="02F51856" w14:textId="77777777" w:rsidR="00DA3852" w:rsidRDefault="00DA3852" w:rsidP="00C03F9E">
                  <w:pPr>
                    <w:pStyle w:val="TableBodyText"/>
                    <w:jc w:val="left"/>
                  </w:pPr>
                  <w:r>
                    <w:t>Adelaide</w:t>
                  </w:r>
                </w:p>
              </w:tc>
              <w:tc>
                <w:tcPr>
                  <w:tcW w:w="1505" w:type="pct"/>
                  <w:vAlign w:val="center"/>
                </w:tcPr>
                <w:p w14:paraId="0FB355C4" w14:textId="77777777" w:rsidR="00DA3852" w:rsidRDefault="00DA3852" w:rsidP="00C03F9E">
                  <w:pPr>
                    <w:pStyle w:val="TableBodyText"/>
                    <w:jc w:val="left"/>
                  </w:pPr>
                  <w:r>
                    <w:t>Industrial</w:t>
                  </w:r>
                </w:p>
              </w:tc>
              <w:tc>
                <w:tcPr>
                  <w:tcW w:w="1145" w:type="pct"/>
                  <w:vAlign w:val="bottom"/>
                </w:tcPr>
                <w:p w14:paraId="6DEDEE5C" w14:textId="77777777" w:rsidR="00DA3852" w:rsidRDefault="00DA3852" w:rsidP="00C03F9E">
                  <w:pPr>
                    <w:pStyle w:val="TableBodyText"/>
                    <w:ind w:right="0"/>
                  </w:pPr>
                  <w:r>
                    <w:t>1</w:t>
                  </w:r>
                </w:p>
              </w:tc>
              <w:tc>
                <w:tcPr>
                  <w:tcW w:w="1427" w:type="pct"/>
                  <w:vAlign w:val="bottom"/>
                </w:tcPr>
                <w:p w14:paraId="5BDE2C11" w14:textId="77777777" w:rsidR="00DA3852" w:rsidRPr="00684C29" w:rsidRDefault="00DA3852" w:rsidP="00C03F9E">
                  <w:pPr>
                    <w:pStyle w:val="TableBodyText"/>
                    <w:ind w:right="0"/>
                  </w:pPr>
                  <w:r>
                    <w:t>7</w:t>
                  </w:r>
                </w:p>
              </w:tc>
            </w:tr>
            <w:tr w:rsidR="00DA3852" w14:paraId="4A31568F" w14:textId="77777777" w:rsidTr="00C03F9E">
              <w:tc>
                <w:tcPr>
                  <w:tcW w:w="923" w:type="pct"/>
                  <w:vAlign w:val="center"/>
                </w:tcPr>
                <w:p w14:paraId="36E3AC09" w14:textId="77777777" w:rsidR="00DA3852" w:rsidRDefault="00DA3852" w:rsidP="00C03F9E">
                  <w:pPr>
                    <w:pStyle w:val="TableBodyText"/>
                    <w:jc w:val="left"/>
                  </w:pPr>
                  <w:r>
                    <w:t>Adelaide</w:t>
                  </w:r>
                </w:p>
              </w:tc>
              <w:tc>
                <w:tcPr>
                  <w:tcW w:w="1505" w:type="pct"/>
                  <w:vAlign w:val="center"/>
                </w:tcPr>
                <w:p w14:paraId="574BB4CD" w14:textId="77777777" w:rsidR="00DA3852" w:rsidRDefault="00DA3852" w:rsidP="00C03F9E">
                  <w:pPr>
                    <w:pStyle w:val="TableBodyText"/>
                    <w:jc w:val="left"/>
                  </w:pPr>
                  <w:r>
                    <w:t>Household and commercial</w:t>
                  </w:r>
                </w:p>
              </w:tc>
              <w:tc>
                <w:tcPr>
                  <w:tcW w:w="1145" w:type="pct"/>
                  <w:vAlign w:val="bottom"/>
                </w:tcPr>
                <w:p w14:paraId="0E640D05" w14:textId="77777777" w:rsidR="00DA3852" w:rsidRDefault="00DA3852" w:rsidP="00C03F9E">
                  <w:pPr>
                    <w:pStyle w:val="TableBodyText"/>
                    <w:ind w:right="0"/>
                  </w:pPr>
                  <w:r>
                    <w:t>18</w:t>
                  </w:r>
                </w:p>
              </w:tc>
              <w:tc>
                <w:tcPr>
                  <w:tcW w:w="1427" w:type="pct"/>
                  <w:vAlign w:val="bottom"/>
                </w:tcPr>
                <w:p w14:paraId="2F54258D" w14:textId="77777777" w:rsidR="00DA3852" w:rsidRPr="00684C29" w:rsidRDefault="00DA3852" w:rsidP="00C03F9E">
                  <w:pPr>
                    <w:pStyle w:val="TableBodyText"/>
                    <w:ind w:right="0"/>
                  </w:pPr>
                  <w:r>
                    <w:t>42</w:t>
                  </w:r>
                </w:p>
              </w:tc>
            </w:tr>
            <w:tr w:rsidR="00DA3852" w14:paraId="30B3BDAB" w14:textId="77777777" w:rsidTr="00C03F9E">
              <w:tc>
                <w:tcPr>
                  <w:tcW w:w="923" w:type="pct"/>
                  <w:vAlign w:val="center"/>
                </w:tcPr>
                <w:p w14:paraId="61D27899" w14:textId="77777777" w:rsidR="00DA3852" w:rsidRDefault="00DA3852" w:rsidP="00C03F9E">
                  <w:pPr>
                    <w:pStyle w:val="TableBodyText"/>
                    <w:jc w:val="left"/>
                  </w:pPr>
                  <w:r>
                    <w:t>Brisbane</w:t>
                  </w:r>
                </w:p>
              </w:tc>
              <w:tc>
                <w:tcPr>
                  <w:tcW w:w="1505" w:type="pct"/>
                  <w:vAlign w:val="center"/>
                </w:tcPr>
                <w:p w14:paraId="62697ED0" w14:textId="77777777" w:rsidR="00DA3852" w:rsidRDefault="00DA3852" w:rsidP="00C03F9E">
                  <w:pPr>
                    <w:pStyle w:val="TableBodyText"/>
                    <w:jc w:val="left"/>
                  </w:pPr>
                  <w:r>
                    <w:t>Generation</w:t>
                  </w:r>
                </w:p>
              </w:tc>
              <w:tc>
                <w:tcPr>
                  <w:tcW w:w="1145" w:type="pct"/>
                  <w:vAlign w:val="bottom"/>
                </w:tcPr>
                <w:p w14:paraId="0432EDB9" w14:textId="77777777" w:rsidR="00DA3852" w:rsidRDefault="00DA3852" w:rsidP="00C03F9E">
                  <w:pPr>
                    <w:pStyle w:val="TableBodyText"/>
                    <w:ind w:right="0"/>
                  </w:pPr>
                  <w:r>
                    <w:t>-44</w:t>
                  </w:r>
                </w:p>
              </w:tc>
              <w:tc>
                <w:tcPr>
                  <w:tcW w:w="1427" w:type="pct"/>
                  <w:vAlign w:val="bottom"/>
                </w:tcPr>
                <w:p w14:paraId="30D684DC" w14:textId="77777777" w:rsidR="00DA3852" w:rsidRPr="00684C29" w:rsidRDefault="00DA3852" w:rsidP="00C03F9E">
                  <w:pPr>
                    <w:pStyle w:val="TableBodyText"/>
                    <w:ind w:right="0"/>
                  </w:pPr>
                  <w:r>
                    <w:t>17</w:t>
                  </w:r>
                </w:p>
              </w:tc>
            </w:tr>
            <w:tr w:rsidR="00DA3852" w14:paraId="49B16E87" w14:textId="77777777" w:rsidTr="00C03F9E">
              <w:tc>
                <w:tcPr>
                  <w:tcW w:w="923" w:type="pct"/>
                  <w:vAlign w:val="center"/>
                </w:tcPr>
                <w:p w14:paraId="7A80297A" w14:textId="77777777" w:rsidR="00DA3852" w:rsidRDefault="00DA3852" w:rsidP="00C03F9E">
                  <w:pPr>
                    <w:pStyle w:val="TableBodyText"/>
                    <w:jc w:val="left"/>
                  </w:pPr>
                  <w:r>
                    <w:t>Brisbane</w:t>
                  </w:r>
                </w:p>
              </w:tc>
              <w:tc>
                <w:tcPr>
                  <w:tcW w:w="1505" w:type="pct"/>
                  <w:vAlign w:val="center"/>
                </w:tcPr>
                <w:p w14:paraId="21C41DCA" w14:textId="77777777" w:rsidR="00DA3852" w:rsidRDefault="00DA3852" w:rsidP="00C03F9E">
                  <w:pPr>
                    <w:pStyle w:val="TableBodyText"/>
                    <w:jc w:val="left"/>
                  </w:pPr>
                  <w:r>
                    <w:t>Industrial</w:t>
                  </w:r>
                </w:p>
              </w:tc>
              <w:tc>
                <w:tcPr>
                  <w:tcW w:w="1145" w:type="pct"/>
                  <w:vAlign w:val="bottom"/>
                </w:tcPr>
                <w:p w14:paraId="7BB79A95" w14:textId="77777777" w:rsidR="00DA3852" w:rsidRDefault="00DA3852" w:rsidP="00C03F9E">
                  <w:pPr>
                    <w:pStyle w:val="TableBodyText"/>
                    <w:ind w:right="0"/>
                  </w:pPr>
                  <w:r>
                    <w:t>10</w:t>
                  </w:r>
                </w:p>
              </w:tc>
              <w:tc>
                <w:tcPr>
                  <w:tcW w:w="1427" w:type="pct"/>
                  <w:vAlign w:val="bottom"/>
                </w:tcPr>
                <w:p w14:paraId="4DB23BEA" w14:textId="77777777" w:rsidR="00DA3852" w:rsidRPr="00684C29" w:rsidRDefault="00DA3852" w:rsidP="00C03F9E">
                  <w:pPr>
                    <w:pStyle w:val="TableBodyText"/>
                    <w:ind w:right="0"/>
                  </w:pPr>
                  <w:r>
                    <w:t>39</w:t>
                  </w:r>
                </w:p>
              </w:tc>
            </w:tr>
            <w:tr w:rsidR="00DA3852" w14:paraId="0D45A115" w14:textId="77777777" w:rsidTr="00C03F9E">
              <w:tc>
                <w:tcPr>
                  <w:tcW w:w="923" w:type="pct"/>
                  <w:vAlign w:val="center"/>
                </w:tcPr>
                <w:p w14:paraId="36EA07D0" w14:textId="77777777" w:rsidR="00DA3852" w:rsidRDefault="00DA3852" w:rsidP="00C03F9E">
                  <w:pPr>
                    <w:pStyle w:val="TableBodyText"/>
                    <w:jc w:val="left"/>
                  </w:pPr>
                  <w:r>
                    <w:t>Brisbane</w:t>
                  </w:r>
                </w:p>
              </w:tc>
              <w:tc>
                <w:tcPr>
                  <w:tcW w:w="1505" w:type="pct"/>
                  <w:vAlign w:val="center"/>
                </w:tcPr>
                <w:p w14:paraId="4B3A7713" w14:textId="77777777" w:rsidR="00DA3852" w:rsidRDefault="00DA3852" w:rsidP="00C03F9E">
                  <w:pPr>
                    <w:pStyle w:val="TableBodyText"/>
                    <w:jc w:val="left"/>
                  </w:pPr>
                  <w:r>
                    <w:t>Household and commercial</w:t>
                  </w:r>
                </w:p>
              </w:tc>
              <w:tc>
                <w:tcPr>
                  <w:tcW w:w="1145" w:type="pct"/>
                  <w:vAlign w:val="bottom"/>
                </w:tcPr>
                <w:p w14:paraId="1CF6FCCE" w14:textId="77777777" w:rsidR="00DA3852" w:rsidRDefault="00DA3852" w:rsidP="00C03F9E">
                  <w:pPr>
                    <w:pStyle w:val="TableBodyText"/>
                    <w:ind w:right="0"/>
                  </w:pPr>
                  <w:r>
                    <w:t>18</w:t>
                  </w:r>
                </w:p>
              </w:tc>
              <w:tc>
                <w:tcPr>
                  <w:tcW w:w="1427" w:type="pct"/>
                  <w:vAlign w:val="bottom"/>
                </w:tcPr>
                <w:p w14:paraId="4A4D29B3" w14:textId="77777777" w:rsidR="00DA3852" w:rsidRPr="00684C29" w:rsidRDefault="00DA3852" w:rsidP="00C03F9E">
                  <w:pPr>
                    <w:pStyle w:val="TableBodyText"/>
                    <w:ind w:right="0"/>
                  </w:pPr>
                  <w:r>
                    <w:t>43</w:t>
                  </w:r>
                </w:p>
              </w:tc>
            </w:tr>
            <w:tr w:rsidR="00DA3852" w14:paraId="29DE158A" w14:textId="77777777" w:rsidTr="00C03F9E">
              <w:tc>
                <w:tcPr>
                  <w:tcW w:w="923" w:type="pct"/>
                  <w:vAlign w:val="center"/>
                </w:tcPr>
                <w:p w14:paraId="43414911" w14:textId="77777777" w:rsidR="00DA3852" w:rsidRDefault="00DA3852" w:rsidP="00C03F9E">
                  <w:pPr>
                    <w:pStyle w:val="TableBodyText"/>
                    <w:jc w:val="left"/>
                  </w:pPr>
                  <w:r>
                    <w:t>Gladstone</w:t>
                  </w:r>
                </w:p>
              </w:tc>
              <w:tc>
                <w:tcPr>
                  <w:tcW w:w="1505" w:type="pct"/>
                  <w:vAlign w:val="center"/>
                </w:tcPr>
                <w:p w14:paraId="3A9CF1FC" w14:textId="77777777" w:rsidR="00DA3852" w:rsidRDefault="00DA3852" w:rsidP="00C03F9E">
                  <w:pPr>
                    <w:pStyle w:val="TableBodyText"/>
                    <w:jc w:val="left"/>
                  </w:pPr>
                  <w:r>
                    <w:t>Generation</w:t>
                  </w:r>
                </w:p>
              </w:tc>
              <w:tc>
                <w:tcPr>
                  <w:tcW w:w="1145" w:type="pct"/>
                  <w:vAlign w:val="bottom"/>
                </w:tcPr>
                <w:p w14:paraId="31FC1E19" w14:textId="77777777" w:rsidR="00DA3852" w:rsidRDefault="00DA3852" w:rsidP="00C03F9E">
                  <w:pPr>
                    <w:pStyle w:val="TableBodyText"/>
                    <w:ind w:right="0"/>
                  </w:pPr>
                  <w:r>
                    <w:t>-44</w:t>
                  </w:r>
                </w:p>
              </w:tc>
              <w:tc>
                <w:tcPr>
                  <w:tcW w:w="1427" w:type="pct"/>
                  <w:vAlign w:val="bottom"/>
                </w:tcPr>
                <w:p w14:paraId="301B7ED9" w14:textId="77777777" w:rsidR="00DA3852" w:rsidRPr="00684C29" w:rsidRDefault="00DA3852" w:rsidP="00C03F9E">
                  <w:pPr>
                    <w:pStyle w:val="TableBodyText"/>
                    <w:ind w:right="0"/>
                  </w:pPr>
                  <w:r>
                    <w:t>17</w:t>
                  </w:r>
                </w:p>
              </w:tc>
            </w:tr>
            <w:tr w:rsidR="00DA3852" w14:paraId="3B296D23" w14:textId="77777777" w:rsidTr="00C03F9E">
              <w:tc>
                <w:tcPr>
                  <w:tcW w:w="923" w:type="pct"/>
                  <w:vAlign w:val="center"/>
                </w:tcPr>
                <w:p w14:paraId="47ED0648" w14:textId="77777777" w:rsidR="00DA3852" w:rsidRDefault="00DA3852" w:rsidP="00C03F9E">
                  <w:pPr>
                    <w:pStyle w:val="TableBodyText"/>
                    <w:jc w:val="left"/>
                  </w:pPr>
                  <w:r>
                    <w:t>Gladstone</w:t>
                  </w:r>
                </w:p>
              </w:tc>
              <w:tc>
                <w:tcPr>
                  <w:tcW w:w="1505" w:type="pct"/>
                  <w:vAlign w:val="center"/>
                </w:tcPr>
                <w:p w14:paraId="6B16C601" w14:textId="77777777" w:rsidR="00DA3852" w:rsidRDefault="00DA3852" w:rsidP="00C03F9E">
                  <w:pPr>
                    <w:pStyle w:val="TableBodyText"/>
                    <w:jc w:val="left"/>
                  </w:pPr>
                  <w:r>
                    <w:t>Industrial</w:t>
                  </w:r>
                </w:p>
              </w:tc>
              <w:tc>
                <w:tcPr>
                  <w:tcW w:w="1145" w:type="pct"/>
                  <w:vAlign w:val="bottom"/>
                </w:tcPr>
                <w:p w14:paraId="63B70A00" w14:textId="77777777" w:rsidR="00DA3852" w:rsidRDefault="00DA3852" w:rsidP="00C03F9E">
                  <w:pPr>
                    <w:pStyle w:val="TableBodyText"/>
                    <w:ind w:right="0"/>
                  </w:pPr>
                  <w:r>
                    <w:t>10</w:t>
                  </w:r>
                </w:p>
              </w:tc>
              <w:tc>
                <w:tcPr>
                  <w:tcW w:w="1427" w:type="pct"/>
                  <w:vAlign w:val="bottom"/>
                </w:tcPr>
                <w:p w14:paraId="00078296" w14:textId="77777777" w:rsidR="00DA3852" w:rsidRPr="00684C29" w:rsidRDefault="00DA3852" w:rsidP="00C03F9E">
                  <w:pPr>
                    <w:pStyle w:val="TableBodyText"/>
                    <w:ind w:right="0"/>
                  </w:pPr>
                  <w:r>
                    <w:t>39</w:t>
                  </w:r>
                </w:p>
              </w:tc>
            </w:tr>
            <w:tr w:rsidR="00DA3852" w14:paraId="096F42EC" w14:textId="77777777" w:rsidTr="00C03F9E">
              <w:tc>
                <w:tcPr>
                  <w:tcW w:w="923" w:type="pct"/>
                  <w:vAlign w:val="center"/>
                </w:tcPr>
                <w:p w14:paraId="3F4CBDD8" w14:textId="77777777" w:rsidR="00DA3852" w:rsidRDefault="00DA3852" w:rsidP="00C03F9E">
                  <w:pPr>
                    <w:pStyle w:val="TableBodyText"/>
                    <w:jc w:val="left"/>
                  </w:pPr>
                  <w:r>
                    <w:t>Gladstone</w:t>
                  </w:r>
                </w:p>
              </w:tc>
              <w:tc>
                <w:tcPr>
                  <w:tcW w:w="1505" w:type="pct"/>
                  <w:vAlign w:val="center"/>
                </w:tcPr>
                <w:p w14:paraId="7E1BDEAF" w14:textId="77777777" w:rsidR="00DA3852" w:rsidRDefault="00DA3852" w:rsidP="00C03F9E">
                  <w:pPr>
                    <w:pStyle w:val="TableBodyText"/>
                    <w:jc w:val="left"/>
                  </w:pPr>
                  <w:r>
                    <w:t>Household and commercial</w:t>
                  </w:r>
                </w:p>
              </w:tc>
              <w:tc>
                <w:tcPr>
                  <w:tcW w:w="1145" w:type="pct"/>
                  <w:vAlign w:val="bottom"/>
                </w:tcPr>
                <w:p w14:paraId="0E3AC9E7" w14:textId="77777777" w:rsidR="00DA3852" w:rsidRDefault="00DA3852" w:rsidP="00C03F9E">
                  <w:pPr>
                    <w:pStyle w:val="TableBodyText"/>
                    <w:ind w:right="0"/>
                  </w:pPr>
                  <w:r>
                    <w:t>18</w:t>
                  </w:r>
                </w:p>
              </w:tc>
              <w:tc>
                <w:tcPr>
                  <w:tcW w:w="1427" w:type="pct"/>
                  <w:vAlign w:val="bottom"/>
                </w:tcPr>
                <w:p w14:paraId="00604CCF" w14:textId="77777777" w:rsidR="00DA3852" w:rsidRPr="00684C29" w:rsidRDefault="00DA3852" w:rsidP="00C03F9E">
                  <w:pPr>
                    <w:pStyle w:val="TableBodyText"/>
                    <w:ind w:right="0"/>
                  </w:pPr>
                  <w:r>
                    <w:t>43</w:t>
                  </w:r>
                </w:p>
              </w:tc>
            </w:tr>
            <w:tr w:rsidR="00DA3852" w14:paraId="78596D3A" w14:textId="77777777" w:rsidTr="00C03F9E">
              <w:tc>
                <w:tcPr>
                  <w:tcW w:w="923" w:type="pct"/>
                  <w:shd w:val="clear" w:color="auto" w:fill="auto"/>
                  <w:vAlign w:val="center"/>
                </w:tcPr>
                <w:p w14:paraId="0C67012D" w14:textId="77777777" w:rsidR="00DA3852" w:rsidRDefault="00DA3852" w:rsidP="00C03F9E">
                  <w:pPr>
                    <w:pStyle w:val="TableBodyText"/>
                    <w:jc w:val="left"/>
                  </w:pPr>
                  <w:r>
                    <w:t>Melbourne</w:t>
                  </w:r>
                </w:p>
              </w:tc>
              <w:tc>
                <w:tcPr>
                  <w:tcW w:w="1505" w:type="pct"/>
                  <w:vAlign w:val="center"/>
                </w:tcPr>
                <w:p w14:paraId="66A4C7FE" w14:textId="77777777" w:rsidR="00DA3852" w:rsidRDefault="00DA3852" w:rsidP="00C03F9E">
                  <w:pPr>
                    <w:pStyle w:val="TableBodyText"/>
                    <w:jc w:val="left"/>
                  </w:pPr>
                  <w:r>
                    <w:t>Generation</w:t>
                  </w:r>
                </w:p>
              </w:tc>
              <w:tc>
                <w:tcPr>
                  <w:tcW w:w="1145" w:type="pct"/>
                  <w:vAlign w:val="bottom"/>
                </w:tcPr>
                <w:p w14:paraId="5A99561C" w14:textId="77777777" w:rsidR="00DA3852" w:rsidRDefault="00DA3852" w:rsidP="00C03F9E">
                  <w:pPr>
                    <w:pStyle w:val="TableBodyText"/>
                    <w:ind w:right="0"/>
                  </w:pPr>
                  <w:r>
                    <w:t>-59</w:t>
                  </w:r>
                </w:p>
              </w:tc>
              <w:tc>
                <w:tcPr>
                  <w:tcW w:w="1427" w:type="pct"/>
                  <w:vAlign w:val="bottom"/>
                </w:tcPr>
                <w:p w14:paraId="47894644" w14:textId="77777777" w:rsidR="00DA3852" w:rsidRPr="00684C29" w:rsidRDefault="00DA3852" w:rsidP="00C03F9E">
                  <w:pPr>
                    <w:pStyle w:val="TableBodyText"/>
                    <w:ind w:right="0"/>
                  </w:pPr>
                  <w:r>
                    <w:t>32</w:t>
                  </w:r>
                </w:p>
              </w:tc>
            </w:tr>
            <w:tr w:rsidR="00DA3852" w14:paraId="052B7B06" w14:textId="77777777" w:rsidTr="00C03F9E">
              <w:tc>
                <w:tcPr>
                  <w:tcW w:w="923" w:type="pct"/>
                  <w:shd w:val="clear" w:color="auto" w:fill="auto"/>
                  <w:vAlign w:val="center"/>
                </w:tcPr>
                <w:p w14:paraId="19C031B3" w14:textId="77777777" w:rsidR="00DA3852" w:rsidRDefault="00DA3852" w:rsidP="00C03F9E">
                  <w:pPr>
                    <w:pStyle w:val="TableBodyText"/>
                    <w:jc w:val="left"/>
                  </w:pPr>
                  <w:r>
                    <w:t>Melbourne</w:t>
                  </w:r>
                </w:p>
              </w:tc>
              <w:tc>
                <w:tcPr>
                  <w:tcW w:w="1505" w:type="pct"/>
                  <w:vAlign w:val="center"/>
                </w:tcPr>
                <w:p w14:paraId="7D3F5B98" w14:textId="77777777" w:rsidR="00DA3852" w:rsidRDefault="00DA3852" w:rsidP="00C03F9E">
                  <w:pPr>
                    <w:pStyle w:val="TableBodyText"/>
                    <w:jc w:val="left"/>
                  </w:pPr>
                  <w:r>
                    <w:t>Industrial</w:t>
                  </w:r>
                </w:p>
              </w:tc>
              <w:tc>
                <w:tcPr>
                  <w:tcW w:w="1145" w:type="pct"/>
                  <w:vAlign w:val="bottom"/>
                </w:tcPr>
                <w:p w14:paraId="02A9BF92" w14:textId="77777777" w:rsidR="00DA3852" w:rsidRDefault="00DA3852" w:rsidP="00C03F9E">
                  <w:pPr>
                    <w:pStyle w:val="TableBodyText"/>
                    <w:ind w:right="0"/>
                  </w:pPr>
                  <w:r>
                    <w:t>-3</w:t>
                  </w:r>
                </w:p>
              </w:tc>
              <w:tc>
                <w:tcPr>
                  <w:tcW w:w="1427" w:type="pct"/>
                  <w:vAlign w:val="bottom"/>
                </w:tcPr>
                <w:p w14:paraId="4527065A" w14:textId="77777777" w:rsidR="00DA3852" w:rsidRDefault="00DA3852" w:rsidP="00C03F9E">
                  <w:pPr>
                    <w:pStyle w:val="TableBodyText"/>
                    <w:ind w:right="0"/>
                  </w:pPr>
                  <w:r>
                    <w:t>25</w:t>
                  </w:r>
                </w:p>
              </w:tc>
            </w:tr>
            <w:tr w:rsidR="00DA3852" w14:paraId="7085C2E3" w14:textId="77777777" w:rsidTr="00C03F9E">
              <w:tc>
                <w:tcPr>
                  <w:tcW w:w="923" w:type="pct"/>
                  <w:shd w:val="clear" w:color="auto" w:fill="auto"/>
                  <w:vAlign w:val="center"/>
                </w:tcPr>
                <w:p w14:paraId="701B54DE" w14:textId="77777777" w:rsidR="00DA3852" w:rsidRDefault="00DA3852" w:rsidP="00C03F9E">
                  <w:pPr>
                    <w:pStyle w:val="TableBodyText"/>
                    <w:jc w:val="left"/>
                  </w:pPr>
                  <w:r>
                    <w:t>Melbourne</w:t>
                  </w:r>
                </w:p>
              </w:tc>
              <w:tc>
                <w:tcPr>
                  <w:tcW w:w="1505" w:type="pct"/>
                  <w:vAlign w:val="center"/>
                </w:tcPr>
                <w:p w14:paraId="6393B19F" w14:textId="77777777" w:rsidR="00DA3852" w:rsidRDefault="00DA3852" w:rsidP="00C03F9E">
                  <w:pPr>
                    <w:pStyle w:val="TableBodyText"/>
                    <w:jc w:val="left"/>
                  </w:pPr>
                  <w:r>
                    <w:t>Household and commercial</w:t>
                  </w:r>
                </w:p>
              </w:tc>
              <w:tc>
                <w:tcPr>
                  <w:tcW w:w="1145" w:type="pct"/>
                  <w:vAlign w:val="bottom"/>
                </w:tcPr>
                <w:p w14:paraId="34120D09" w14:textId="77777777" w:rsidR="00DA3852" w:rsidRDefault="00DA3852" w:rsidP="00C03F9E">
                  <w:pPr>
                    <w:pStyle w:val="TableBodyText"/>
                    <w:ind w:right="0"/>
                  </w:pPr>
                  <w:r>
                    <w:t>10</w:t>
                  </w:r>
                </w:p>
              </w:tc>
              <w:tc>
                <w:tcPr>
                  <w:tcW w:w="1427" w:type="pct"/>
                  <w:vAlign w:val="bottom"/>
                </w:tcPr>
                <w:p w14:paraId="338AD7CE" w14:textId="77777777" w:rsidR="00DA3852" w:rsidRDefault="00DA3852" w:rsidP="00C03F9E">
                  <w:pPr>
                    <w:pStyle w:val="TableBodyText"/>
                    <w:ind w:right="0"/>
                  </w:pPr>
                  <w:r>
                    <w:t>29</w:t>
                  </w:r>
                </w:p>
              </w:tc>
            </w:tr>
            <w:tr w:rsidR="00DA3852" w14:paraId="43CF6D1F" w14:textId="77777777" w:rsidTr="00C03F9E">
              <w:tc>
                <w:tcPr>
                  <w:tcW w:w="923" w:type="pct"/>
                  <w:shd w:val="clear" w:color="auto" w:fill="auto"/>
                  <w:vAlign w:val="center"/>
                </w:tcPr>
                <w:p w14:paraId="5692827D" w14:textId="77777777" w:rsidR="00DA3852" w:rsidRDefault="00DA3852" w:rsidP="00C03F9E">
                  <w:pPr>
                    <w:pStyle w:val="TableBodyText"/>
                    <w:jc w:val="left"/>
                  </w:pPr>
                  <w:r>
                    <w:t>Mt Isa</w:t>
                  </w:r>
                </w:p>
              </w:tc>
              <w:tc>
                <w:tcPr>
                  <w:tcW w:w="1505" w:type="pct"/>
                  <w:vAlign w:val="center"/>
                </w:tcPr>
                <w:p w14:paraId="4DA4D132" w14:textId="77777777" w:rsidR="00DA3852" w:rsidRDefault="00DA3852" w:rsidP="00C03F9E">
                  <w:pPr>
                    <w:pStyle w:val="TableBodyText"/>
                    <w:jc w:val="left"/>
                  </w:pPr>
                  <w:r>
                    <w:t>Generation</w:t>
                  </w:r>
                </w:p>
              </w:tc>
              <w:tc>
                <w:tcPr>
                  <w:tcW w:w="1145" w:type="pct"/>
                  <w:vAlign w:val="bottom"/>
                </w:tcPr>
                <w:p w14:paraId="46FA588F" w14:textId="77777777" w:rsidR="00DA3852" w:rsidRDefault="00DA3852" w:rsidP="00C03F9E">
                  <w:pPr>
                    <w:pStyle w:val="TableBodyText"/>
                    <w:ind w:right="0"/>
                  </w:pPr>
                  <w:r>
                    <w:t>-44</w:t>
                  </w:r>
                </w:p>
              </w:tc>
              <w:tc>
                <w:tcPr>
                  <w:tcW w:w="1427" w:type="pct"/>
                  <w:vAlign w:val="bottom"/>
                </w:tcPr>
                <w:p w14:paraId="0D244749" w14:textId="77777777" w:rsidR="00DA3852" w:rsidRDefault="00DA3852" w:rsidP="00C03F9E">
                  <w:pPr>
                    <w:pStyle w:val="TableBodyText"/>
                    <w:ind w:right="0"/>
                  </w:pPr>
                  <w:r>
                    <w:t>17</w:t>
                  </w:r>
                </w:p>
              </w:tc>
            </w:tr>
            <w:tr w:rsidR="00DA3852" w14:paraId="183E726C" w14:textId="77777777" w:rsidTr="00C03F9E">
              <w:tc>
                <w:tcPr>
                  <w:tcW w:w="923" w:type="pct"/>
                  <w:shd w:val="clear" w:color="auto" w:fill="auto"/>
                  <w:vAlign w:val="center"/>
                </w:tcPr>
                <w:p w14:paraId="079A218C" w14:textId="77777777" w:rsidR="00DA3852" w:rsidRDefault="00DA3852" w:rsidP="00C03F9E">
                  <w:pPr>
                    <w:pStyle w:val="TableBodyText"/>
                    <w:jc w:val="left"/>
                  </w:pPr>
                  <w:r>
                    <w:t>Mt Isa</w:t>
                  </w:r>
                </w:p>
              </w:tc>
              <w:tc>
                <w:tcPr>
                  <w:tcW w:w="1505" w:type="pct"/>
                  <w:vAlign w:val="center"/>
                </w:tcPr>
                <w:p w14:paraId="3F059ED3" w14:textId="77777777" w:rsidR="00DA3852" w:rsidRDefault="00DA3852" w:rsidP="00C03F9E">
                  <w:pPr>
                    <w:pStyle w:val="TableBodyText"/>
                    <w:jc w:val="left"/>
                  </w:pPr>
                  <w:r>
                    <w:t>Industrial</w:t>
                  </w:r>
                </w:p>
              </w:tc>
              <w:tc>
                <w:tcPr>
                  <w:tcW w:w="1145" w:type="pct"/>
                  <w:vAlign w:val="bottom"/>
                </w:tcPr>
                <w:p w14:paraId="55AAC983" w14:textId="77777777" w:rsidR="00DA3852" w:rsidRDefault="00DA3852" w:rsidP="00C03F9E">
                  <w:pPr>
                    <w:pStyle w:val="TableBodyText"/>
                    <w:ind w:right="0"/>
                  </w:pPr>
                  <w:r>
                    <w:t>10</w:t>
                  </w:r>
                </w:p>
              </w:tc>
              <w:tc>
                <w:tcPr>
                  <w:tcW w:w="1427" w:type="pct"/>
                  <w:vAlign w:val="bottom"/>
                </w:tcPr>
                <w:p w14:paraId="14017DA9" w14:textId="77777777" w:rsidR="00DA3852" w:rsidRDefault="00DA3852" w:rsidP="00C03F9E">
                  <w:pPr>
                    <w:pStyle w:val="TableBodyText"/>
                    <w:ind w:right="0"/>
                  </w:pPr>
                  <w:r>
                    <w:t>39</w:t>
                  </w:r>
                </w:p>
              </w:tc>
            </w:tr>
            <w:tr w:rsidR="00DA3852" w14:paraId="6F782D45" w14:textId="77777777" w:rsidTr="00C03F9E">
              <w:tc>
                <w:tcPr>
                  <w:tcW w:w="923" w:type="pct"/>
                  <w:shd w:val="clear" w:color="auto" w:fill="auto"/>
                  <w:vAlign w:val="center"/>
                </w:tcPr>
                <w:p w14:paraId="2EB84B4A" w14:textId="77777777" w:rsidR="00DA3852" w:rsidRDefault="00DA3852" w:rsidP="00C03F9E">
                  <w:pPr>
                    <w:pStyle w:val="TableBodyText"/>
                    <w:jc w:val="left"/>
                  </w:pPr>
                  <w:r>
                    <w:t>Mt Isa</w:t>
                  </w:r>
                </w:p>
              </w:tc>
              <w:tc>
                <w:tcPr>
                  <w:tcW w:w="1505" w:type="pct"/>
                  <w:vAlign w:val="center"/>
                </w:tcPr>
                <w:p w14:paraId="6F2D163E" w14:textId="77777777" w:rsidR="00DA3852" w:rsidRDefault="00DA3852" w:rsidP="00C03F9E">
                  <w:pPr>
                    <w:pStyle w:val="TableBodyText"/>
                    <w:jc w:val="left"/>
                  </w:pPr>
                  <w:r>
                    <w:t>Household and commercial</w:t>
                  </w:r>
                </w:p>
              </w:tc>
              <w:tc>
                <w:tcPr>
                  <w:tcW w:w="1145" w:type="pct"/>
                  <w:vAlign w:val="bottom"/>
                </w:tcPr>
                <w:p w14:paraId="2FBB49DA" w14:textId="77777777" w:rsidR="00DA3852" w:rsidRDefault="00DA3852" w:rsidP="00C03F9E">
                  <w:pPr>
                    <w:pStyle w:val="TableBodyText"/>
                    <w:ind w:right="0"/>
                  </w:pPr>
                  <w:r>
                    <w:t>18</w:t>
                  </w:r>
                </w:p>
              </w:tc>
              <w:tc>
                <w:tcPr>
                  <w:tcW w:w="1427" w:type="pct"/>
                  <w:vAlign w:val="bottom"/>
                </w:tcPr>
                <w:p w14:paraId="3F0CF74D" w14:textId="77777777" w:rsidR="00DA3852" w:rsidRDefault="00DA3852" w:rsidP="00C03F9E">
                  <w:pPr>
                    <w:pStyle w:val="TableBodyText"/>
                    <w:ind w:right="0"/>
                  </w:pPr>
                  <w:r>
                    <w:t>43</w:t>
                  </w:r>
                </w:p>
              </w:tc>
            </w:tr>
            <w:tr w:rsidR="00DA3852" w14:paraId="0E3C669B" w14:textId="77777777" w:rsidTr="00C03F9E">
              <w:tc>
                <w:tcPr>
                  <w:tcW w:w="923" w:type="pct"/>
                  <w:shd w:val="clear" w:color="auto" w:fill="auto"/>
                  <w:vAlign w:val="center"/>
                </w:tcPr>
                <w:p w14:paraId="706DAA46" w14:textId="77777777" w:rsidR="00DA3852" w:rsidRDefault="00DA3852" w:rsidP="00C03F9E">
                  <w:pPr>
                    <w:pStyle w:val="TableBodyText"/>
                    <w:jc w:val="left"/>
                  </w:pPr>
                  <w:r>
                    <w:t>Otway</w:t>
                  </w:r>
                </w:p>
              </w:tc>
              <w:tc>
                <w:tcPr>
                  <w:tcW w:w="1505" w:type="pct"/>
                  <w:vAlign w:val="center"/>
                </w:tcPr>
                <w:p w14:paraId="3A2A2329" w14:textId="77777777" w:rsidR="00DA3852" w:rsidRDefault="00DA3852" w:rsidP="00C03F9E">
                  <w:pPr>
                    <w:pStyle w:val="TableBodyText"/>
                    <w:jc w:val="left"/>
                  </w:pPr>
                  <w:r>
                    <w:t>Generation</w:t>
                  </w:r>
                </w:p>
              </w:tc>
              <w:tc>
                <w:tcPr>
                  <w:tcW w:w="1145" w:type="pct"/>
                  <w:vAlign w:val="bottom"/>
                </w:tcPr>
                <w:p w14:paraId="7D93ACBD" w14:textId="77777777" w:rsidR="00DA3852" w:rsidRDefault="00DA3852" w:rsidP="00C03F9E">
                  <w:pPr>
                    <w:pStyle w:val="TableBodyText"/>
                    <w:ind w:right="0"/>
                  </w:pPr>
                  <w:r>
                    <w:t>-59</w:t>
                  </w:r>
                </w:p>
              </w:tc>
              <w:tc>
                <w:tcPr>
                  <w:tcW w:w="1427" w:type="pct"/>
                  <w:vAlign w:val="bottom"/>
                </w:tcPr>
                <w:p w14:paraId="2556CE7D" w14:textId="77777777" w:rsidR="00DA3852" w:rsidRDefault="00DA3852" w:rsidP="00C03F9E">
                  <w:pPr>
                    <w:pStyle w:val="TableBodyText"/>
                    <w:ind w:right="0"/>
                  </w:pPr>
                  <w:r>
                    <w:t>32</w:t>
                  </w:r>
                </w:p>
              </w:tc>
            </w:tr>
            <w:tr w:rsidR="00DA3852" w14:paraId="06CA0B0F" w14:textId="77777777" w:rsidTr="00C03F9E">
              <w:tc>
                <w:tcPr>
                  <w:tcW w:w="923" w:type="pct"/>
                  <w:shd w:val="clear" w:color="auto" w:fill="auto"/>
                  <w:vAlign w:val="center"/>
                </w:tcPr>
                <w:p w14:paraId="3E390FF1" w14:textId="77777777" w:rsidR="00DA3852" w:rsidRDefault="00DA3852" w:rsidP="00C03F9E">
                  <w:pPr>
                    <w:pStyle w:val="TableBodyText"/>
                    <w:jc w:val="left"/>
                  </w:pPr>
                  <w:r>
                    <w:t>Otway</w:t>
                  </w:r>
                </w:p>
              </w:tc>
              <w:tc>
                <w:tcPr>
                  <w:tcW w:w="1505" w:type="pct"/>
                  <w:vAlign w:val="center"/>
                </w:tcPr>
                <w:p w14:paraId="2E255CE7" w14:textId="77777777" w:rsidR="00DA3852" w:rsidRDefault="00DA3852" w:rsidP="00C03F9E">
                  <w:pPr>
                    <w:pStyle w:val="TableBodyText"/>
                    <w:jc w:val="left"/>
                  </w:pPr>
                  <w:r>
                    <w:t>Industrial</w:t>
                  </w:r>
                </w:p>
              </w:tc>
              <w:tc>
                <w:tcPr>
                  <w:tcW w:w="1145" w:type="pct"/>
                  <w:vAlign w:val="bottom"/>
                </w:tcPr>
                <w:p w14:paraId="6A69E747" w14:textId="77777777" w:rsidR="00DA3852" w:rsidRDefault="00DA3852" w:rsidP="00C03F9E">
                  <w:pPr>
                    <w:pStyle w:val="TableBodyText"/>
                    <w:ind w:right="0"/>
                  </w:pPr>
                  <w:r>
                    <w:t>-3</w:t>
                  </w:r>
                </w:p>
              </w:tc>
              <w:tc>
                <w:tcPr>
                  <w:tcW w:w="1427" w:type="pct"/>
                  <w:vAlign w:val="bottom"/>
                </w:tcPr>
                <w:p w14:paraId="7BDA7511" w14:textId="77777777" w:rsidR="00DA3852" w:rsidRDefault="00DA3852" w:rsidP="00C03F9E">
                  <w:pPr>
                    <w:pStyle w:val="TableBodyText"/>
                    <w:ind w:right="0"/>
                  </w:pPr>
                  <w:r>
                    <w:t>25</w:t>
                  </w:r>
                </w:p>
              </w:tc>
            </w:tr>
            <w:tr w:rsidR="00DA3852" w14:paraId="7CC979B4" w14:textId="77777777" w:rsidTr="00C03F9E">
              <w:tc>
                <w:tcPr>
                  <w:tcW w:w="923" w:type="pct"/>
                  <w:shd w:val="clear" w:color="auto" w:fill="auto"/>
                  <w:vAlign w:val="center"/>
                </w:tcPr>
                <w:p w14:paraId="1016F7EC" w14:textId="77777777" w:rsidR="00DA3852" w:rsidRDefault="00DA3852" w:rsidP="00C03F9E">
                  <w:pPr>
                    <w:pStyle w:val="TableBodyText"/>
                    <w:jc w:val="left"/>
                  </w:pPr>
                  <w:r>
                    <w:t>Otway</w:t>
                  </w:r>
                </w:p>
              </w:tc>
              <w:tc>
                <w:tcPr>
                  <w:tcW w:w="1505" w:type="pct"/>
                  <w:vAlign w:val="center"/>
                </w:tcPr>
                <w:p w14:paraId="5C31D86C" w14:textId="77777777" w:rsidR="00DA3852" w:rsidRDefault="00DA3852" w:rsidP="00C03F9E">
                  <w:pPr>
                    <w:pStyle w:val="TableBodyText"/>
                    <w:jc w:val="left"/>
                  </w:pPr>
                  <w:r>
                    <w:t>Household and commercial</w:t>
                  </w:r>
                </w:p>
              </w:tc>
              <w:tc>
                <w:tcPr>
                  <w:tcW w:w="1145" w:type="pct"/>
                  <w:vAlign w:val="bottom"/>
                </w:tcPr>
                <w:p w14:paraId="7F489035" w14:textId="77777777" w:rsidR="00DA3852" w:rsidRDefault="00DA3852" w:rsidP="00C03F9E">
                  <w:pPr>
                    <w:pStyle w:val="TableBodyText"/>
                    <w:ind w:right="0"/>
                  </w:pPr>
                  <w:r>
                    <w:t>10</w:t>
                  </w:r>
                </w:p>
              </w:tc>
              <w:tc>
                <w:tcPr>
                  <w:tcW w:w="1427" w:type="pct"/>
                  <w:vAlign w:val="bottom"/>
                </w:tcPr>
                <w:p w14:paraId="1DD12D74" w14:textId="77777777" w:rsidR="00DA3852" w:rsidRDefault="00DA3852" w:rsidP="00C03F9E">
                  <w:pPr>
                    <w:pStyle w:val="TableBodyText"/>
                    <w:ind w:right="0"/>
                  </w:pPr>
                  <w:r>
                    <w:t>29</w:t>
                  </w:r>
                </w:p>
              </w:tc>
            </w:tr>
            <w:tr w:rsidR="00DA3852" w14:paraId="7996136E" w14:textId="77777777" w:rsidTr="00C03F9E">
              <w:tc>
                <w:tcPr>
                  <w:tcW w:w="923" w:type="pct"/>
                  <w:shd w:val="clear" w:color="auto" w:fill="auto"/>
                  <w:vAlign w:val="center"/>
                </w:tcPr>
                <w:p w14:paraId="584EE1EE" w14:textId="32CE20AF" w:rsidR="00DA3852" w:rsidRDefault="00DA3852" w:rsidP="00C03F9E">
                  <w:pPr>
                    <w:pStyle w:val="TableBodyText"/>
                    <w:jc w:val="left"/>
                  </w:pPr>
                  <w:r>
                    <w:t>Surat–Bowen</w:t>
                  </w:r>
                </w:p>
              </w:tc>
              <w:tc>
                <w:tcPr>
                  <w:tcW w:w="1505" w:type="pct"/>
                  <w:vAlign w:val="center"/>
                </w:tcPr>
                <w:p w14:paraId="653E44BF" w14:textId="77777777" w:rsidR="00DA3852" w:rsidRDefault="00DA3852" w:rsidP="00C03F9E">
                  <w:pPr>
                    <w:pStyle w:val="TableBodyText"/>
                    <w:jc w:val="left"/>
                  </w:pPr>
                  <w:r>
                    <w:t>Generation</w:t>
                  </w:r>
                </w:p>
              </w:tc>
              <w:tc>
                <w:tcPr>
                  <w:tcW w:w="1145" w:type="pct"/>
                  <w:vAlign w:val="bottom"/>
                </w:tcPr>
                <w:p w14:paraId="20E032B3" w14:textId="77777777" w:rsidR="00DA3852" w:rsidRDefault="00DA3852" w:rsidP="00C03F9E">
                  <w:pPr>
                    <w:pStyle w:val="TableBodyText"/>
                    <w:ind w:right="0"/>
                  </w:pPr>
                  <w:r>
                    <w:t>-44</w:t>
                  </w:r>
                </w:p>
              </w:tc>
              <w:tc>
                <w:tcPr>
                  <w:tcW w:w="1427" w:type="pct"/>
                  <w:vAlign w:val="bottom"/>
                </w:tcPr>
                <w:p w14:paraId="5405B24D" w14:textId="77777777" w:rsidR="00DA3852" w:rsidRDefault="00DA3852" w:rsidP="00C03F9E">
                  <w:pPr>
                    <w:pStyle w:val="TableBodyText"/>
                    <w:ind w:right="0"/>
                  </w:pPr>
                  <w:r>
                    <w:t>17</w:t>
                  </w:r>
                </w:p>
              </w:tc>
            </w:tr>
            <w:tr w:rsidR="00DA3852" w14:paraId="0C0D68C2" w14:textId="77777777" w:rsidTr="00C03F9E">
              <w:tc>
                <w:tcPr>
                  <w:tcW w:w="923" w:type="pct"/>
                  <w:shd w:val="clear" w:color="auto" w:fill="auto"/>
                  <w:vAlign w:val="center"/>
                </w:tcPr>
                <w:p w14:paraId="0D744C8A" w14:textId="68A470A7" w:rsidR="00DA3852" w:rsidRDefault="00DA3852" w:rsidP="00C03F9E">
                  <w:pPr>
                    <w:pStyle w:val="TableBodyText"/>
                    <w:jc w:val="left"/>
                  </w:pPr>
                  <w:r>
                    <w:t>Surat–Bowen</w:t>
                  </w:r>
                </w:p>
              </w:tc>
              <w:tc>
                <w:tcPr>
                  <w:tcW w:w="1505" w:type="pct"/>
                  <w:vAlign w:val="center"/>
                </w:tcPr>
                <w:p w14:paraId="41A8FB10" w14:textId="77777777" w:rsidR="00DA3852" w:rsidRDefault="00DA3852" w:rsidP="00C03F9E">
                  <w:pPr>
                    <w:pStyle w:val="TableBodyText"/>
                    <w:jc w:val="left"/>
                  </w:pPr>
                  <w:r>
                    <w:t>Industrial</w:t>
                  </w:r>
                </w:p>
              </w:tc>
              <w:tc>
                <w:tcPr>
                  <w:tcW w:w="1145" w:type="pct"/>
                  <w:vAlign w:val="bottom"/>
                </w:tcPr>
                <w:p w14:paraId="0AB45FBF" w14:textId="77777777" w:rsidR="00DA3852" w:rsidRDefault="00DA3852" w:rsidP="00C03F9E">
                  <w:pPr>
                    <w:pStyle w:val="TableBodyText"/>
                    <w:ind w:right="0"/>
                  </w:pPr>
                  <w:r>
                    <w:t>10</w:t>
                  </w:r>
                </w:p>
              </w:tc>
              <w:tc>
                <w:tcPr>
                  <w:tcW w:w="1427" w:type="pct"/>
                  <w:vAlign w:val="bottom"/>
                </w:tcPr>
                <w:p w14:paraId="44C9C813" w14:textId="77777777" w:rsidR="00DA3852" w:rsidRDefault="00DA3852" w:rsidP="00C03F9E">
                  <w:pPr>
                    <w:pStyle w:val="TableBodyText"/>
                    <w:ind w:right="0"/>
                  </w:pPr>
                  <w:r>
                    <w:t>39</w:t>
                  </w:r>
                </w:p>
              </w:tc>
            </w:tr>
            <w:tr w:rsidR="00DA3852" w14:paraId="22335E69" w14:textId="77777777" w:rsidTr="00C03F9E">
              <w:tc>
                <w:tcPr>
                  <w:tcW w:w="923" w:type="pct"/>
                  <w:shd w:val="clear" w:color="auto" w:fill="auto"/>
                  <w:vAlign w:val="center"/>
                </w:tcPr>
                <w:p w14:paraId="79788482" w14:textId="1A4E09B8" w:rsidR="00DA3852" w:rsidRDefault="00DA3852" w:rsidP="00C03F9E">
                  <w:pPr>
                    <w:pStyle w:val="TableBodyText"/>
                    <w:jc w:val="left"/>
                  </w:pPr>
                  <w:r>
                    <w:t>Surat–Bowen</w:t>
                  </w:r>
                </w:p>
              </w:tc>
              <w:tc>
                <w:tcPr>
                  <w:tcW w:w="1505" w:type="pct"/>
                  <w:vAlign w:val="center"/>
                </w:tcPr>
                <w:p w14:paraId="1F806B9C" w14:textId="77777777" w:rsidR="00DA3852" w:rsidRDefault="00DA3852" w:rsidP="00C03F9E">
                  <w:pPr>
                    <w:pStyle w:val="TableBodyText"/>
                    <w:jc w:val="left"/>
                  </w:pPr>
                  <w:r>
                    <w:t>Household and commercial</w:t>
                  </w:r>
                </w:p>
              </w:tc>
              <w:tc>
                <w:tcPr>
                  <w:tcW w:w="1145" w:type="pct"/>
                  <w:vAlign w:val="bottom"/>
                </w:tcPr>
                <w:p w14:paraId="1CAD073B" w14:textId="77777777" w:rsidR="00DA3852" w:rsidRDefault="00DA3852" w:rsidP="00C03F9E">
                  <w:pPr>
                    <w:pStyle w:val="TableBodyText"/>
                    <w:ind w:right="0"/>
                  </w:pPr>
                  <w:r>
                    <w:t>18</w:t>
                  </w:r>
                </w:p>
              </w:tc>
              <w:tc>
                <w:tcPr>
                  <w:tcW w:w="1427" w:type="pct"/>
                  <w:vAlign w:val="bottom"/>
                </w:tcPr>
                <w:p w14:paraId="34FB27D1" w14:textId="77777777" w:rsidR="00DA3852" w:rsidRDefault="00DA3852" w:rsidP="00C03F9E">
                  <w:pPr>
                    <w:pStyle w:val="TableBodyText"/>
                    <w:ind w:right="0"/>
                  </w:pPr>
                  <w:r>
                    <w:t>43</w:t>
                  </w:r>
                </w:p>
              </w:tc>
            </w:tr>
            <w:tr w:rsidR="00DA3852" w14:paraId="5091E0EA" w14:textId="77777777" w:rsidTr="00C03F9E">
              <w:tc>
                <w:tcPr>
                  <w:tcW w:w="923" w:type="pct"/>
                  <w:shd w:val="clear" w:color="auto" w:fill="auto"/>
                  <w:vAlign w:val="center"/>
                </w:tcPr>
                <w:p w14:paraId="27B9A1AF" w14:textId="77777777" w:rsidR="00DA3852" w:rsidRDefault="00DA3852" w:rsidP="00C03F9E">
                  <w:pPr>
                    <w:pStyle w:val="TableBodyText"/>
                    <w:jc w:val="left"/>
                  </w:pPr>
                  <w:r>
                    <w:t>Sydney</w:t>
                  </w:r>
                </w:p>
              </w:tc>
              <w:tc>
                <w:tcPr>
                  <w:tcW w:w="1505" w:type="pct"/>
                  <w:vAlign w:val="center"/>
                </w:tcPr>
                <w:p w14:paraId="177C919D" w14:textId="77777777" w:rsidR="00DA3852" w:rsidRDefault="00DA3852" w:rsidP="00C03F9E">
                  <w:pPr>
                    <w:pStyle w:val="TableBodyText"/>
                    <w:jc w:val="left"/>
                  </w:pPr>
                  <w:r>
                    <w:t>Generation</w:t>
                  </w:r>
                </w:p>
              </w:tc>
              <w:tc>
                <w:tcPr>
                  <w:tcW w:w="1145" w:type="pct"/>
                  <w:vAlign w:val="bottom"/>
                </w:tcPr>
                <w:p w14:paraId="20EB021D" w14:textId="77777777" w:rsidR="00DA3852" w:rsidRDefault="00DA3852" w:rsidP="00C03F9E">
                  <w:pPr>
                    <w:pStyle w:val="TableBodyText"/>
                    <w:ind w:right="0"/>
                  </w:pPr>
                  <w:r>
                    <w:t>-25</w:t>
                  </w:r>
                </w:p>
              </w:tc>
              <w:tc>
                <w:tcPr>
                  <w:tcW w:w="1427" w:type="pct"/>
                  <w:vAlign w:val="bottom"/>
                </w:tcPr>
                <w:p w14:paraId="72BCD059" w14:textId="77777777" w:rsidR="00DA3852" w:rsidRDefault="00DA3852" w:rsidP="00C03F9E">
                  <w:pPr>
                    <w:pStyle w:val="TableBodyText"/>
                    <w:ind w:right="0"/>
                  </w:pPr>
                  <w:r>
                    <w:t>14</w:t>
                  </w:r>
                </w:p>
              </w:tc>
            </w:tr>
            <w:tr w:rsidR="00DA3852" w14:paraId="5DE363DA" w14:textId="77777777" w:rsidTr="00C03F9E">
              <w:tc>
                <w:tcPr>
                  <w:tcW w:w="923" w:type="pct"/>
                  <w:shd w:val="clear" w:color="auto" w:fill="auto"/>
                  <w:vAlign w:val="center"/>
                </w:tcPr>
                <w:p w14:paraId="076E5125" w14:textId="77777777" w:rsidR="00DA3852" w:rsidRDefault="00DA3852" w:rsidP="00C03F9E">
                  <w:pPr>
                    <w:pStyle w:val="TableBodyText"/>
                    <w:jc w:val="left"/>
                  </w:pPr>
                  <w:r>
                    <w:t>Sydney</w:t>
                  </w:r>
                </w:p>
              </w:tc>
              <w:tc>
                <w:tcPr>
                  <w:tcW w:w="1505" w:type="pct"/>
                  <w:vAlign w:val="center"/>
                </w:tcPr>
                <w:p w14:paraId="2E2BADA4" w14:textId="77777777" w:rsidR="00DA3852" w:rsidRDefault="00DA3852" w:rsidP="00C03F9E">
                  <w:pPr>
                    <w:pStyle w:val="TableBodyText"/>
                    <w:jc w:val="left"/>
                  </w:pPr>
                  <w:r>
                    <w:t>Industrial</w:t>
                  </w:r>
                </w:p>
              </w:tc>
              <w:tc>
                <w:tcPr>
                  <w:tcW w:w="1145" w:type="pct"/>
                  <w:vAlign w:val="bottom"/>
                </w:tcPr>
                <w:p w14:paraId="5CB14511" w14:textId="77777777" w:rsidR="00DA3852" w:rsidRDefault="00DA3852" w:rsidP="00C03F9E">
                  <w:pPr>
                    <w:pStyle w:val="TableBodyText"/>
                    <w:ind w:right="0"/>
                  </w:pPr>
                  <w:r>
                    <w:t>-5</w:t>
                  </w:r>
                </w:p>
              </w:tc>
              <w:tc>
                <w:tcPr>
                  <w:tcW w:w="1427" w:type="pct"/>
                  <w:vAlign w:val="bottom"/>
                </w:tcPr>
                <w:p w14:paraId="17B38AE0" w14:textId="77777777" w:rsidR="00DA3852" w:rsidRDefault="00DA3852" w:rsidP="00C03F9E">
                  <w:pPr>
                    <w:pStyle w:val="TableBodyText"/>
                    <w:ind w:right="0"/>
                  </w:pPr>
                  <w:r>
                    <w:t>5</w:t>
                  </w:r>
                </w:p>
              </w:tc>
            </w:tr>
            <w:tr w:rsidR="00DA3852" w14:paraId="28E23A76" w14:textId="77777777" w:rsidTr="00C03F9E">
              <w:tc>
                <w:tcPr>
                  <w:tcW w:w="923" w:type="pct"/>
                  <w:shd w:val="clear" w:color="auto" w:fill="auto"/>
                  <w:vAlign w:val="center"/>
                </w:tcPr>
                <w:p w14:paraId="777A900A" w14:textId="77777777" w:rsidR="00DA3852" w:rsidRDefault="00DA3852" w:rsidP="00C03F9E">
                  <w:pPr>
                    <w:pStyle w:val="TableBodyText"/>
                    <w:jc w:val="left"/>
                  </w:pPr>
                  <w:r>
                    <w:t>Sydney</w:t>
                  </w:r>
                </w:p>
              </w:tc>
              <w:tc>
                <w:tcPr>
                  <w:tcW w:w="1505" w:type="pct"/>
                  <w:vAlign w:val="center"/>
                </w:tcPr>
                <w:p w14:paraId="33F4B46A" w14:textId="77777777" w:rsidR="00DA3852" w:rsidRDefault="00DA3852" w:rsidP="00C03F9E">
                  <w:pPr>
                    <w:pStyle w:val="TableBodyText"/>
                    <w:jc w:val="left"/>
                  </w:pPr>
                  <w:r>
                    <w:t>Household and commercial</w:t>
                  </w:r>
                </w:p>
              </w:tc>
              <w:tc>
                <w:tcPr>
                  <w:tcW w:w="1145" w:type="pct"/>
                  <w:vAlign w:val="bottom"/>
                </w:tcPr>
                <w:p w14:paraId="4DBA05D2" w14:textId="77777777" w:rsidR="00DA3852" w:rsidRDefault="00DA3852" w:rsidP="00C03F9E">
                  <w:pPr>
                    <w:pStyle w:val="TableBodyText"/>
                    <w:ind w:right="0"/>
                  </w:pPr>
                  <w:r>
                    <w:t>23</w:t>
                  </w:r>
                </w:p>
              </w:tc>
              <w:tc>
                <w:tcPr>
                  <w:tcW w:w="1427" w:type="pct"/>
                  <w:vAlign w:val="bottom"/>
                </w:tcPr>
                <w:p w14:paraId="747E35C8" w14:textId="77777777" w:rsidR="00DA3852" w:rsidRDefault="00DA3852" w:rsidP="00C03F9E">
                  <w:pPr>
                    <w:pStyle w:val="TableBodyText"/>
                    <w:ind w:right="0"/>
                  </w:pPr>
                  <w:r>
                    <w:t>54</w:t>
                  </w:r>
                </w:p>
              </w:tc>
            </w:tr>
            <w:tr w:rsidR="00DA3852" w14:paraId="52A4044C" w14:textId="77777777" w:rsidTr="00C03F9E">
              <w:tc>
                <w:tcPr>
                  <w:tcW w:w="923" w:type="pct"/>
                  <w:shd w:val="clear" w:color="auto" w:fill="auto"/>
                  <w:vAlign w:val="center"/>
                </w:tcPr>
                <w:p w14:paraId="09E97DA3" w14:textId="77777777" w:rsidR="00DA3852" w:rsidRDefault="00DA3852" w:rsidP="00C03F9E">
                  <w:pPr>
                    <w:pStyle w:val="TableBodyText"/>
                    <w:jc w:val="left"/>
                  </w:pPr>
                  <w:r>
                    <w:t>Tasmania</w:t>
                  </w:r>
                </w:p>
              </w:tc>
              <w:tc>
                <w:tcPr>
                  <w:tcW w:w="1505" w:type="pct"/>
                  <w:vAlign w:val="center"/>
                </w:tcPr>
                <w:p w14:paraId="5D85959A" w14:textId="77777777" w:rsidR="00DA3852" w:rsidRDefault="00DA3852" w:rsidP="00C03F9E">
                  <w:pPr>
                    <w:pStyle w:val="TableBodyText"/>
                    <w:jc w:val="left"/>
                  </w:pPr>
                  <w:r>
                    <w:t>Generation</w:t>
                  </w:r>
                </w:p>
              </w:tc>
              <w:tc>
                <w:tcPr>
                  <w:tcW w:w="1145" w:type="pct"/>
                  <w:vAlign w:val="bottom"/>
                </w:tcPr>
                <w:p w14:paraId="68C92868" w14:textId="77777777" w:rsidR="00DA3852" w:rsidRDefault="00DA3852" w:rsidP="00C03F9E">
                  <w:pPr>
                    <w:pStyle w:val="TableBodyText"/>
                    <w:ind w:right="0"/>
                  </w:pPr>
                  <w:r>
                    <w:t>-81</w:t>
                  </w:r>
                </w:p>
              </w:tc>
              <w:tc>
                <w:tcPr>
                  <w:tcW w:w="1427" w:type="pct"/>
                  <w:vAlign w:val="bottom"/>
                </w:tcPr>
                <w:p w14:paraId="08201A77" w14:textId="77777777" w:rsidR="00DA3852" w:rsidRDefault="00DA3852" w:rsidP="00C03F9E">
                  <w:pPr>
                    <w:pStyle w:val="TableBodyText"/>
                    <w:ind w:right="0"/>
                  </w:pPr>
                  <w:r>
                    <w:t>-42</w:t>
                  </w:r>
                </w:p>
              </w:tc>
            </w:tr>
            <w:tr w:rsidR="00DA3852" w14:paraId="48B5EF7D" w14:textId="77777777" w:rsidTr="00C03F9E">
              <w:tc>
                <w:tcPr>
                  <w:tcW w:w="923" w:type="pct"/>
                  <w:shd w:val="clear" w:color="auto" w:fill="auto"/>
                  <w:vAlign w:val="center"/>
                </w:tcPr>
                <w:p w14:paraId="7945B2DE" w14:textId="77777777" w:rsidR="00DA3852" w:rsidRDefault="00DA3852" w:rsidP="00C03F9E">
                  <w:pPr>
                    <w:pStyle w:val="TableBodyText"/>
                    <w:jc w:val="left"/>
                  </w:pPr>
                  <w:r>
                    <w:t>Tasmania</w:t>
                  </w:r>
                </w:p>
              </w:tc>
              <w:tc>
                <w:tcPr>
                  <w:tcW w:w="1505" w:type="pct"/>
                  <w:vAlign w:val="center"/>
                </w:tcPr>
                <w:p w14:paraId="01EBF7FF" w14:textId="77777777" w:rsidR="00DA3852" w:rsidRDefault="00DA3852" w:rsidP="00C03F9E">
                  <w:pPr>
                    <w:pStyle w:val="TableBodyText"/>
                    <w:jc w:val="left"/>
                  </w:pPr>
                  <w:r>
                    <w:t>Industrial</w:t>
                  </w:r>
                </w:p>
              </w:tc>
              <w:tc>
                <w:tcPr>
                  <w:tcW w:w="1145" w:type="pct"/>
                  <w:vAlign w:val="bottom"/>
                </w:tcPr>
                <w:p w14:paraId="5495A32A" w14:textId="77777777" w:rsidR="00DA3852" w:rsidRDefault="00DA3852" w:rsidP="00C03F9E">
                  <w:pPr>
                    <w:pStyle w:val="TableBodyText"/>
                    <w:ind w:right="0"/>
                  </w:pPr>
                  <w:r>
                    <w:t>13</w:t>
                  </w:r>
                </w:p>
              </w:tc>
              <w:tc>
                <w:tcPr>
                  <w:tcW w:w="1427" w:type="pct"/>
                  <w:vAlign w:val="bottom"/>
                </w:tcPr>
                <w:p w14:paraId="0BA15E93" w14:textId="77777777" w:rsidR="00DA3852" w:rsidRDefault="00DA3852" w:rsidP="00C03F9E">
                  <w:pPr>
                    <w:pStyle w:val="TableBodyText"/>
                    <w:ind w:right="0"/>
                  </w:pPr>
                  <w:r>
                    <w:t>-6</w:t>
                  </w:r>
                </w:p>
              </w:tc>
            </w:tr>
            <w:tr w:rsidR="00DA3852" w14:paraId="5EB5580F" w14:textId="77777777" w:rsidTr="00C03F9E">
              <w:tc>
                <w:tcPr>
                  <w:tcW w:w="923" w:type="pct"/>
                  <w:shd w:val="clear" w:color="auto" w:fill="auto"/>
                  <w:vAlign w:val="center"/>
                </w:tcPr>
                <w:p w14:paraId="06B17032" w14:textId="77777777" w:rsidR="00DA3852" w:rsidRDefault="00DA3852" w:rsidP="00C03F9E">
                  <w:pPr>
                    <w:pStyle w:val="TableBodyText"/>
                    <w:jc w:val="left"/>
                  </w:pPr>
                  <w:r>
                    <w:t>Tasmania</w:t>
                  </w:r>
                </w:p>
              </w:tc>
              <w:tc>
                <w:tcPr>
                  <w:tcW w:w="1505" w:type="pct"/>
                  <w:vAlign w:val="center"/>
                </w:tcPr>
                <w:p w14:paraId="6029E336" w14:textId="77777777" w:rsidR="00DA3852" w:rsidRDefault="00DA3852" w:rsidP="00C03F9E">
                  <w:pPr>
                    <w:pStyle w:val="TableBodyText"/>
                    <w:jc w:val="left"/>
                  </w:pPr>
                  <w:r>
                    <w:t>Household and commercial</w:t>
                  </w:r>
                </w:p>
              </w:tc>
              <w:tc>
                <w:tcPr>
                  <w:tcW w:w="1145" w:type="pct"/>
                  <w:vAlign w:val="bottom"/>
                </w:tcPr>
                <w:p w14:paraId="41FE7F89" w14:textId="77777777" w:rsidR="00DA3852" w:rsidRDefault="00DA3852" w:rsidP="00C03F9E">
                  <w:pPr>
                    <w:pStyle w:val="TableBodyText"/>
                    <w:ind w:right="0"/>
                  </w:pPr>
                  <w:r>
                    <w:t>47</w:t>
                  </w:r>
                </w:p>
              </w:tc>
              <w:tc>
                <w:tcPr>
                  <w:tcW w:w="1427" w:type="pct"/>
                  <w:vAlign w:val="bottom"/>
                </w:tcPr>
                <w:p w14:paraId="5B6F7A58" w14:textId="77777777" w:rsidR="00DA3852" w:rsidRDefault="00DA3852" w:rsidP="00C03F9E">
                  <w:pPr>
                    <w:pStyle w:val="TableBodyText"/>
                    <w:ind w:right="0"/>
                  </w:pPr>
                  <w:r>
                    <w:t>86</w:t>
                  </w:r>
                </w:p>
              </w:tc>
            </w:tr>
            <w:tr w:rsidR="00DA3852" w14:paraId="7AAD5035" w14:textId="77777777" w:rsidTr="00C03F9E">
              <w:tc>
                <w:tcPr>
                  <w:tcW w:w="923" w:type="pct"/>
                  <w:shd w:val="clear" w:color="auto" w:fill="auto"/>
                  <w:vAlign w:val="center"/>
                </w:tcPr>
                <w:p w14:paraId="6E002C56" w14:textId="77777777" w:rsidR="00DA3852" w:rsidRDefault="00DA3852" w:rsidP="00C03F9E">
                  <w:pPr>
                    <w:pStyle w:val="TableBodyText"/>
                    <w:jc w:val="left"/>
                  </w:pPr>
                  <w:r>
                    <w:t>Young</w:t>
                  </w:r>
                </w:p>
              </w:tc>
              <w:tc>
                <w:tcPr>
                  <w:tcW w:w="1505" w:type="pct"/>
                  <w:vAlign w:val="center"/>
                </w:tcPr>
                <w:p w14:paraId="17B1C6DF" w14:textId="77777777" w:rsidR="00DA3852" w:rsidRDefault="00DA3852" w:rsidP="00C03F9E">
                  <w:pPr>
                    <w:pStyle w:val="TableBodyText"/>
                    <w:jc w:val="left"/>
                  </w:pPr>
                  <w:r>
                    <w:t>Generation</w:t>
                  </w:r>
                </w:p>
              </w:tc>
              <w:tc>
                <w:tcPr>
                  <w:tcW w:w="1145" w:type="pct"/>
                  <w:vAlign w:val="bottom"/>
                </w:tcPr>
                <w:p w14:paraId="1A271495" w14:textId="77777777" w:rsidR="00DA3852" w:rsidRDefault="00DA3852" w:rsidP="00C03F9E">
                  <w:pPr>
                    <w:pStyle w:val="TableBodyText"/>
                    <w:ind w:right="0"/>
                  </w:pPr>
                  <w:r>
                    <w:t>-25</w:t>
                  </w:r>
                </w:p>
              </w:tc>
              <w:tc>
                <w:tcPr>
                  <w:tcW w:w="1427" w:type="pct"/>
                  <w:vAlign w:val="bottom"/>
                </w:tcPr>
                <w:p w14:paraId="684D5B1D" w14:textId="77777777" w:rsidR="00DA3852" w:rsidRDefault="00DA3852" w:rsidP="00C03F9E">
                  <w:pPr>
                    <w:pStyle w:val="TableBodyText"/>
                    <w:ind w:right="0"/>
                  </w:pPr>
                  <w:r>
                    <w:t>14</w:t>
                  </w:r>
                </w:p>
              </w:tc>
            </w:tr>
            <w:tr w:rsidR="00DA3852" w14:paraId="7A1BD15A" w14:textId="77777777" w:rsidTr="00C03F9E">
              <w:tc>
                <w:tcPr>
                  <w:tcW w:w="923" w:type="pct"/>
                  <w:shd w:val="clear" w:color="auto" w:fill="auto"/>
                  <w:vAlign w:val="center"/>
                </w:tcPr>
                <w:p w14:paraId="65EAF7F0" w14:textId="77777777" w:rsidR="00DA3852" w:rsidRDefault="00DA3852" w:rsidP="00C03F9E">
                  <w:pPr>
                    <w:pStyle w:val="TableBodyText"/>
                    <w:jc w:val="left"/>
                  </w:pPr>
                  <w:r>
                    <w:t>Young</w:t>
                  </w:r>
                </w:p>
              </w:tc>
              <w:tc>
                <w:tcPr>
                  <w:tcW w:w="1505" w:type="pct"/>
                  <w:vAlign w:val="center"/>
                </w:tcPr>
                <w:p w14:paraId="0236A79B" w14:textId="77777777" w:rsidR="00DA3852" w:rsidRDefault="00DA3852" w:rsidP="00C03F9E">
                  <w:pPr>
                    <w:pStyle w:val="TableBodyText"/>
                    <w:jc w:val="left"/>
                  </w:pPr>
                  <w:r>
                    <w:t>Industrial</w:t>
                  </w:r>
                </w:p>
              </w:tc>
              <w:tc>
                <w:tcPr>
                  <w:tcW w:w="1145" w:type="pct"/>
                  <w:vAlign w:val="bottom"/>
                </w:tcPr>
                <w:p w14:paraId="05C88AA0" w14:textId="77777777" w:rsidR="00DA3852" w:rsidRDefault="00DA3852" w:rsidP="00C03F9E">
                  <w:pPr>
                    <w:pStyle w:val="TableBodyText"/>
                    <w:ind w:right="0"/>
                  </w:pPr>
                  <w:r>
                    <w:t>-5</w:t>
                  </w:r>
                </w:p>
              </w:tc>
              <w:tc>
                <w:tcPr>
                  <w:tcW w:w="1427" w:type="pct"/>
                  <w:vAlign w:val="bottom"/>
                </w:tcPr>
                <w:p w14:paraId="797AE122" w14:textId="77777777" w:rsidR="00DA3852" w:rsidRDefault="00DA3852" w:rsidP="00C03F9E">
                  <w:pPr>
                    <w:pStyle w:val="TableBodyText"/>
                    <w:ind w:right="0"/>
                  </w:pPr>
                  <w:r>
                    <w:t>5</w:t>
                  </w:r>
                </w:p>
              </w:tc>
            </w:tr>
            <w:tr w:rsidR="00DA3852" w14:paraId="5C42E9B6" w14:textId="77777777" w:rsidTr="00C03F9E">
              <w:tc>
                <w:tcPr>
                  <w:tcW w:w="923" w:type="pct"/>
                  <w:tcBorders>
                    <w:bottom w:val="single" w:sz="6" w:space="0" w:color="BFBFBF"/>
                  </w:tcBorders>
                  <w:shd w:val="clear" w:color="auto" w:fill="auto"/>
                  <w:vAlign w:val="center"/>
                </w:tcPr>
                <w:p w14:paraId="183B5392" w14:textId="77777777" w:rsidR="00DA3852" w:rsidRDefault="00DA3852" w:rsidP="00C03F9E">
                  <w:pPr>
                    <w:pStyle w:val="TableBodyText"/>
                    <w:jc w:val="left"/>
                  </w:pPr>
                  <w:r>
                    <w:t>Young</w:t>
                  </w:r>
                </w:p>
              </w:tc>
              <w:tc>
                <w:tcPr>
                  <w:tcW w:w="1505" w:type="pct"/>
                  <w:tcBorders>
                    <w:bottom w:val="single" w:sz="6" w:space="0" w:color="BFBFBF"/>
                  </w:tcBorders>
                  <w:vAlign w:val="center"/>
                </w:tcPr>
                <w:p w14:paraId="3701D4D7" w14:textId="77777777" w:rsidR="00DA3852" w:rsidRDefault="00DA3852" w:rsidP="00C03F9E">
                  <w:pPr>
                    <w:pStyle w:val="TableBodyText"/>
                    <w:jc w:val="left"/>
                  </w:pPr>
                  <w:r>
                    <w:t>Household and commercial</w:t>
                  </w:r>
                </w:p>
              </w:tc>
              <w:tc>
                <w:tcPr>
                  <w:tcW w:w="1145" w:type="pct"/>
                  <w:tcBorders>
                    <w:bottom w:val="single" w:sz="6" w:space="0" w:color="BFBFBF"/>
                  </w:tcBorders>
                  <w:vAlign w:val="bottom"/>
                </w:tcPr>
                <w:p w14:paraId="5C4F1CE9" w14:textId="77777777" w:rsidR="00DA3852" w:rsidRDefault="00DA3852" w:rsidP="00C03F9E">
                  <w:pPr>
                    <w:pStyle w:val="TableBodyText"/>
                    <w:ind w:right="0"/>
                  </w:pPr>
                  <w:r>
                    <w:t>23</w:t>
                  </w:r>
                </w:p>
              </w:tc>
              <w:tc>
                <w:tcPr>
                  <w:tcW w:w="1427" w:type="pct"/>
                  <w:tcBorders>
                    <w:bottom w:val="single" w:sz="6" w:space="0" w:color="BFBFBF"/>
                  </w:tcBorders>
                  <w:vAlign w:val="bottom"/>
                </w:tcPr>
                <w:p w14:paraId="62150A8F" w14:textId="77777777" w:rsidR="00DA3852" w:rsidRDefault="00DA3852" w:rsidP="00C03F9E">
                  <w:pPr>
                    <w:pStyle w:val="TableBodyText"/>
                    <w:ind w:right="0"/>
                  </w:pPr>
                  <w:r>
                    <w:t>54</w:t>
                  </w:r>
                </w:p>
              </w:tc>
            </w:tr>
          </w:tbl>
          <w:p w14:paraId="0E0CDC30" w14:textId="77777777" w:rsidR="00DA3852" w:rsidRDefault="00DA3852" w:rsidP="00C03F9E">
            <w:pPr>
              <w:pStyle w:val="Box"/>
            </w:pPr>
          </w:p>
        </w:tc>
      </w:tr>
      <w:tr w:rsidR="00DA3852" w14:paraId="66A49B3E" w14:textId="77777777" w:rsidTr="00C03F9E">
        <w:trPr>
          <w:cantSplit/>
        </w:trPr>
        <w:tc>
          <w:tcPr>
            <w:tcW w:w="8767" w:type="dxa"/>
            <w:tcBorders>
              <w:top w:val="nil"/>
              <w:left w:val="nil"/>
              <w:bottom w:val="nil"/>
              <w:right w:val="nil"/>
            </w:tcBorders>
            <w:shd w:val="clear" w:color="auto" w:fill="auto"/>
          </w:tcPr>
          <w:p w14:paraId="10534C59" w14:textId="77777777" w:rsidR="00DA3852" w:rsidRDefault="00DA3852" w:rsidP="00C03F9E">
            <w:pPr>
              <w:pStyle w:val="Source"/>
            </w:pPr>
            <w:r>
              <w:rPr>
                <w:i/>
              </w:rPr>
              <w:t>Source</w:t>
            </w:r>
            <w:r w:rsidRPr="00167F06">
              <w:t xml:space="preserve">: </w:t>
            </w:r>
            <w:r>
              <w:t>Commission estimates.</w:t>
            </w:r>
          </w:p>
        </w:tc>
      </w:tr>
      <w:tr w:rsidR="00DA3852" w14:paraId="7F2D3CD0" w14:textId="77777777" w:rsidTr="00C03F9E">
        <w:trPr>
          <w:cantSplit/>
        </w:trPr>
        <w:tc>
          <w:tcPr>
            <w:tcW w:w="8767" w:type="dxa"/>
            <w:tcBorders>
              <w:top w:val="nil"/>
              <w:left w:val="nil"/>
              <w:bottom w:val="single" w:sz="6" w:space="0" w:color="78A22F"/>
              <w:right w:val="nil"/>
            </w:tcBorders>
            <w:shd w:val="clear" w:color="auto" w:fill="auto"/>
          </w:tcPr>
          <w:p w14:paraId="53E47A1B" w14:textId="77777777" w:rsidR="00DA3852" w:rsidRDefault="00DA3852" w:rsidP="00C03F9E">
            <w:pPr>
              <w:pStyle w:val="Box"/>
              <w:spacing w:before="0" w:line="120" w:lineRule="exact"/>
            </w:pPr>
          </w:p>
        </w:tc>
      </w:tr>
      <w:tr w:rsidR="00DA3852" w:rsidRPr="000863A5" w14:paraId="0E3F56BE" w14:textId="77777777" w:rsidTr="00C03F9E">
        <w:tc>
          <w:tcPr>
            <w:tcW w:w="8767" w:type="dxa"/>
            <w:tcBorders>
              <w:top w:val="single" w:sz="6" w:space="0" w:color="78A22F"/>
              <w:left w:val="nil"/>
              <w:bottom w:val="nil"/>
              <w:right w:val="nil"/>
            </w:tcBorders>
          </w:tcPr>
          <w:p w14:paraId="0583040F" w14:textId="77777777" w:rsidR="00DA3852" w:rsidRPr="00626D32" w:rsidRDefault="00DA3852" w:rsidP="00C03F9E">
            <w:pPr>
              <w:pStyle w:val="BoxSpaceBelow"/>
            </w:pPr>
          </w:p>
        </w:tc>
      </w:tr>
    </w:tbl>
    <w:p w14:paraId="3502FD93" w14:textId="6CAC34F7" w:rsidR="00DA3852" w:rsidRDefault="00CC518F" w:rsidP="00CC518F">
      <w:pPr>
        <w:pStyle w:val="Heading2"/>
      </w:pPr>
      <w:r>
        <w:lastRenderedPageBreak/>
        <w:t>B.3</w:t>
      </w:r>
      <w:r>
        <w:tab/>
      </w:r>
      <w:r w:rsidR="00DA3852">
        <w:t>Potential extensions to the model</w:t>
      </w:r>
    </w:p>
    <w:p w14:paraId="4EC6BA6E" w14:textId="26C84488" w:rsidR="00DA3852" w:rsidRPr="00CC518F" w:rsidRDefault="00DA3852" w:rsidP="00CC518F">
      <w:pPr>
        <w:pStyle w:val="BodyText"/>
      </w:pPr>
      <w:r w:rsidRPr="00CC518F">
        <w:t>The priority in developing the model has been to keep it as simple as practicable to achieve policy insights, facilitating transparency in the modelling approach and use of data. Several extensions are possible th</w:t>
      </w:r>
      <w:r w:rsidR="008F234C" w:rsidRPr="00CC518F">
        <w:t>at might yield further insights.</w:t>
      </w:r>
    </w:p>
    <w:p w14:paraId="38EAF97C" w14:textId="77777777" w:rsidR="00DA3852" w:rsidRDefault="00DA3852" w:rsidP="00DA3852">
      <w:pPr>
        <w:pStyle w:val="ListBullet"/>
      </w:pPr>
      <w:r>
        <w:t>A more detailed description of well production profiles and well deliverability constraints, in particular for CSG production.</w:t>
      </w:r>
    </w:p>
    <w:p w14:paraId="2971D6A0" w14:textId="64CFB2A5" w:rsidR="00DA3852" w:rsidRDefault="00DA3852" w:rsidP="00DA3852">
      <w:pPr>
        <w:pStyle w:val="ListBullet"/>
      </w:pPr>
      <w:r>
        <w:t xml:space="preserve">Explicitly modelling </w:t>
      </w:r>
      <w:r w:rsidR="00DE7AA2">
        <w:t xml:space="preserve">of </w:t>
      </w:r>
      <w:r>
        <w:t>3P and 2C resources, which can be produced at a higher cost to 2P</w:t>
      </w:r>
      <w:r w:rsidR="008F234C">
        <w:t> </w:t>
      </w:r>
      <w:r>
        <w:t>reserves.</w:t>
      </w:r>
    </w:p>
    <w:p w14:paraId="0F438408" w14:textId="77777777" w:rsidR="00DA3852" w:rsidRDefault="00DA3852" w:rsidP="00DA3852">
      <w:pPr>
        <w:pStyle w:val="ListBullet"/>
      </w:pPr>
      <w:r>
        <w:t xml:space="preserve">More complex expectations mechanisms for including risk for gas market participants.  </w:t>
      </w:r>
    </w:p>
    <w:p w14:paraId="2C2CDA75" w14:textId="77777777" w:rsidR="00DA3852" w:rsidRDefault="00DA3852" w:rsidP="00DA3852">
      <w:pPr>
        <w:pStyle w:val="ListBullet"/>
      </w:pPr>
      <w:r>
        <w:t>Oligopolistic behaviour among gas producers, processors and/or transmission pipeline owners.</w:t>
      </w:r>
    </w:p>
    <w:p w14:paraId="4FC59325" w14:textId="77777777" w:rsidR="00DA3852" w:rsidRDefault="00DA3852" w:rsidP="00DA3852">
      <w:pPr>
        <w:pStyle w:val="ListBullet"/>
      </w:pPr>
      <w:r>
        <w:t>Linkages to other gas markets, in particular to the northern Australian gas market through new transmission pipelines.</w:t>
      </w:r>
    </w:p>
    <w:p w14:paraId="69AAC7B5" w14:textId="77777777" w:rsidR="00DA3852" w:rsidRDefault="00DA3852" w:rsidP="00DA3852">
      <w:pPr>
        <w:pStyle w:val="ListBullet"/>
      </w:pPr>
      <w:r>
        <w:t>Greater temporal detail (for example, developing a version of the model capable of yielding prices and quantities on a daily basis), in order to investigate potential short</w:t>
      </w:r>
      <w:r>
        <w:noBreakHyphen/>
        <w:t>term gas shortages.</w:t>
      </w:r>
    </w:p>
    <w:p w14:paraId="57BC5FB7" w14:textId="77777777" w:rsidR="00DA3852" w:rsidRDefault="00DA3852" w:rsidP="00DA3852">
      <w:pPr>
        <w:pStyle w:val="ListBullet"/>
      </w:pPr>
      <w:r>
        <w:t>Explicit representation of gas contracts and their effects on short</w:t>
      </w:r>
      <w:r>
        <w:noBreakHyphen/>
        <w:t>term market dynamics.</w:t>
      </w:r>
    </w:p>
    <w:p w14:paraId="70B0DE12" w14:textId="77777777" w:rsidR="00DA3852" w:rsidRPr="00DA3852" w:rsidRDefault="00DA3852" w:rsidP="00DA3852">
      <w:pPr>
        <w:pStyle w:val="BodyText"/>
      </w:pPr>
    </w:p>
    <w:p w14:paraId="4C445CA3" w14:textId="77777777" w:rsidR="00DA3852" w:rsidRPr="00917372" w:rsidRDefault="00DA3852" w:rsidP="00DA3852">
      <w:pPr>
        <w:pStyle w:val="BodyText"/>
      </w:pPr>
    </w:p>
    <w:p w14:paraId="75A2BC0B" w14:textId="77777777" w:rsidR="00DA3852" w:rsidRDefault="00DA3852" w:rsidP="00DA3852">
      <w:pPr>
        <w:pStyle w:val="BodyText"/>
      </w:pPr>
    </w:p>
    <w:p w14:paraId="27819C71" w14:textId="77777777" w:rsidR="000712A5" w:rsidRPr="00DA3852" w:rsidRDefault="000712A5" w:rsidP="00DA3852"/>
    <w:sectPr w:rsidR="000712A5" w:rsidRPr="00DA3852" w:rsidSect="00953FDD">
      <w:headerReference w:type="even" r:id="rId23"/>
      <w:headerReference w:type="default" r:id="rId24"/>
      <w:footerReference w:type="even" r:id="rId25"/>
      <w:footerReference w:type="default" r:id="rId26"/>
      <w:pgSz w:w="11907" w:h="16840" w:code="9"/>
      <w:pgMar w:top="1985" w:right="1304" w:bottom="1247" w:left="1814" w:header="1701" w:footer="397" w:gutter="0"/>
      <w:pgNumType w:start="163" w:chapStyle="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A9A20E" w14:textId="77777777" w:rsidR="00D90D06" w:rsidRDefault="00D90D06">
      <w:r>
        <w:separator/>
      </w:r>
    </w:p>
  </w:endnote>
  <w:endnote w:type="continuationSeparator" w:id="0">
    <w:p w14:paraId="27966349" w14:textId="77777777" w:rsidR="00D90D06" w:rsidRDefault="00D90D06">
      <w:r>
        <w:continuationSeparator/>
      </w:r>
    </w:p>
  </w:endnote>
  <w:endnote w:type="continuationNotice" w:id="1">
    <w:p w14:paraId="73A67AF0" w14:textId="77777777" w:rsidR="00D90D06" w:rsidRDefault="00D90D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Univers LT Std 45 Light">
    <w:altName w:val="Univers LT Std 45 Ligh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D90D06" w14:paraId="4F76469D" w14:textId="77777777" w:rsidTr="005F48ED">
      <w:trPr>
        <w:trHeight w:hRule="exact" w:val="567"/>
      </w:trPr>
      <w:tc>
        <w:tcPr>
          <w:tcW w:w="510" w:type="dxa"/>
        </w:tcPr>
        <w:p w14:paraId="4F76469A" w14:textId="77777777" w:rsidR="00D90D06" w:rsidRPr="00A24443" w:rsidRDefault="00D90D06"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7231F7">
            <w:rPr>
              <w:rStyle w:val="PageNumber"/>
              <w:caps w:val="0"/>
              <w:noProof/>
            </w:rPr>
            <w:t>166</w:t>
          </w:r>
          <w:r w:rsidRPr="00A24443">
            <w:rPr>
              <w:rStyle w:val="PageNumber"/>
              <w:caps w:val="0"/>
            </w:rPr>
            <w:fldChar w:fldCharType="end"/>
          </w:r>
        </w:p>
      </w:tc>
      <w:tc>
        <w:tcPr>
          <w:tcW w:w="7767" w:type="dxa"/>
        </w:tcPr>
        <w:p w14:paraId="4F76469B" w14:textId="476196BB" w:rsidR="00D90D06" w:rsidRPr="0013739A" w:rsidRDefault="00D90D06" w:rsidP="0013739A">
          <w:pPr>
            <w:pStyle w:val="Footer"/>
            <w:rPr>
              <w:rFonts w:cs="Arial"/>
            </w:rPr>
          </w:pPr>
          <w:bookmarkStart w:id="14" w:name="DraftReportEven"/>
          <w:bookmarkEnd w:id="14"/>
          <w:r>
            <w:rPr>
              <w:rFonts w:cs="Arial"/>
            </w:rPr>
            <w:t>Examining barriers to more efficient gas markets</w:t>
          </w:r>
        </w:p>
      </w:tc>
      <w:tc>
        <w:tcPr>
          <w:tcW w:w="510" w:type="dxa"/>
        </w:tcPr>
        <w:p w14:paraId="4F76469C" w14:textId="77777777" w:rsidR="00D90D06" w:rsidRDefault="00D90D06" w:rsidP="0019293B">
          <w:pPr>
            <w:pStyle w:val="Footer"/>
          </w:pPr>
        </w:p>
      </w:tc>
    </w:tr>
  </w:tbl>
  <w:p w14:paraId="4F76469E" w14:textId="77777777" w:rsidR="00D90D06" w:rsidRDefault="00D90D06"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D90D06" w14:paraId="4F7646A2" w14:textId="77777777" w:rsidTr="005F48ED">
      <w:trPr>
        <w:trHeight w:hRule="exact" w:val="567"/>
      </w:trPr>
      <w:tc>
        <w:tcPr>
          <w:tcW w:w="510" w:type="dxa"/>
        </w:tcPr>
        <w:p w14:paraId="4F76469F" w14:textId="77777777" w:rsidR="00D90D06" w:rsidRDefault="00D90D06">
          <w:pPr>
            <w:pStyle w:val="Footer"/>
            <w:ind w:right="360" w:firstLine="360"/>
          </w:pPr>
        </w:p>
      </w:tc>
      <w:tc>
        <w:tcPr>
          <w:tcW w:w="7767" w:type="dxa"/>
        </w:tcPr>
        <w:p w14:paraId="4F7646A0" w14:textId="77777777" w:rsidR="00D90D06" w:rsidRPr="00BA5B14" w:rsidRDefault="00D90D06"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Pr>
              <w:rFonts w:cs="Arial"/>
            </w:rPr>
            <w:t>Eastern Australian gas market model</w:t>
          </w:r>
          <w:r w:rsidRPr="00BA5B14">
            <w:rPr>
              <w:rFonts w:cs="Arial"/>
            </w:rPr>
            <w:fldChar w:fldCharType="end"/>
          </w:r>
          <w:bookmarkStart w:id="15" w:name="DraftReportOdd"/>
          <w:bookmarkEnd w:id="15"/>
        </w:p>
      </w:tc>
      <w:tc>
        <w:tcPr>
          <w:tcW w:w="510" w:type="dxa"/>
        </w:tcPr>
        <w:p w14:paraId="4F7646A1" w14:textId="77777777" w:rsidR="00D90D06" w:rsidRPr="00A24443" w:rsidRDefault="00D90D06">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7231F7">
            <w:rPr>
              <w:rStyle w:val="PageNumber"/>
              <w:caps w:val="0"/>
              <w:noProof/>
            </w:rPr>
            <w:t>167</w:t>
          </w:r>
          <w:r w:rsidRPr="00A24443">
            <w:rPr>
              <w:rStyle w:val="PageNumber"/>
              <w:caps w:val="0"/>
            </w:rPr>
            <w:fldChar w:fldCharType="end"/>
          </w:r>
        </w:p>
      </w:tc>
    </w:tr>
  </w:tbl>
  <w:p w14:paraId="4F7646A3" w14:textId="77777777" w:rsidR="00D90D06" w:rsidRDefault="00D90D06">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B04640" w14:textId="77777777" w:rsidR="00D90D06" w:rsidRDefault="00D90D06">
      <w:r>
        <w:separator/>
      </w:r>
    </w:p>
  </w:footnote>
  <w:footnote w:type="continuationSeparator" w:id="0">
    <w:p w14:paraId="5CDC2C03" w14:textId="77777777" w:rsidR="00D90D06" w:rsidRDefault="00D90D06">
      <w:r>
        <w:continuationSeparator/>
      </w:r>
    </w:p>
  </w:footnote>
  <w:footnote w:type="continuationNotice" w:id="1">
    <w:p w14:paraId="35BDF50F" w14:textId="77777777" w:rsidR="00D90D06" w:rsidRDefault="00D90D06"/>
  </w:footnote>
  <w:footnote w:id="2">
    <w:p w14:paraId="4BCE955D" w14:textId="2AB351CD" w:rsidR="00D90D06" w:rsidRDefault="00D90D06" w:rsidP="00DA3852">
      <w:pPr>
        <w:pStyle w:val="FootnoteText"/>
      </w:pPr>
      <w:r w:rsidRPr="00D54D05">
        <w:rPr>
          <w:rStyle w:val="FootnoteReference"/>
        </w:rPr>
        <w:footnoteRef/>
      </w:r>
      <w:r>
        <w:tab/>
        <w:t xml:space="preserve">The GAMS model code and data developed for this project are available on request. Requests should be directed to </w:t>
      </w:r>
      <w:r w:rsidRPr="00831026">
        <w:t>gas.markets@pc.gov.au</w:t>
      </w:r>
      <w:r>
        <w:t xml:space="preserve">. </w:t>
      </w:r>
    </w:p>
  </w:footnote>
  <w:footnote w:id="3">
    <w:p w14:paraId="4F44F650" w14:textId="55563A8A" w:rsidR="00D90D06" w:rsidRDefault="00D90D06" w:rsidP="00DA3852">
      <w:pPr>
        <w:pStyle w:val="FootnoteText"/>
      </w:pPr>
      <w:r w:rsidRPr="00D54D05">
        <w:rPr>
          <w:rStyle w:val="FootnoteReference"/>
        </w:rPr>
        <w:footnoteRef/>
      </w:r>
      <w:r>
        <w:tab/>
        <w:t xml:space="preserve">Just </w:t>
      </w:r>
      <w:proofErr w:type="gramStart"/>
      <w:r>
        <w:t>under</w:t>
      </w:r>
      <w:proofErr w:type="gramEnd"/>
      <w:r>
        <w:t xml:space="preserve"> 1000 </w:t>
      </w:r>
      <w:proofErr w:type="spellStart"/>
      <w:r>
        <w:t>petajoules</w:t>
      </w:r>
      <w:proofErr w:type="spellEnd"/>
      <w:r>
        <w:t xml:space="preserve"> of 2P reserves associated with the Moranbah Gas Project are excluded from the model (of a total of more than 9000 </w:t>
      </w:r>
      <w:proofErr w:type="spellStart"/>
      <w:r>
        <w:t>petajoules</w:t>
      </w:r>
      <w:proofErr w:type="spellEnd"/>
      <w:r>
        <w:t xml:space="preserve"> of reserves in the Bowen basin as at 30 June 2014 </w:t>
      </w:r>
      <w:r w:rsidRPr="004F1A86">
        <w:rPr>
          <w:szCs w:val="24"/>
        </w:rPr>
        <w:t>(DNRM 2015a)</w:t>
      </w:r>
      <w:r>
        <w:t>).</w:t>
      </w:r>
    </w:p>
  </w:footnote>
  <w:footnote w:id="4">
    <w:p w14:paraId="23AA39A0" w14:textId="77777777" w:rsidR="00D90D06" w:rsidRDefault="00D90D06" w:rsidP="00DA3852">
      <w:pPr>
        <w:pStyle w:val="FootnoteText"/>
      </w:pPr>
      <w:r w:rsidRPr="00D54D05">
        <w:rPr>
          <w:rStyle w:val="FootnoteReference"/>
        </w:rPr>
        <w:footnoteRef/>
      </w:r>
      <w:r>
        <w:tab/>
        <w:t>Solution times are slowed by the inclusion of many binary variables, so new pipelines were restricted to two different sizes along three specific routes (see transmission data section below).</w:t>
      </w:r>
    </w:p>
  </w:footnote>
  <w:footnote w:id="5">
    <w:p w14:paraId="54716B71" w14:textId="77777777" w:rsidR="00D90D06" w:rsidRDefault="00D90D06" w:rsidP="00DA3852">
      <w:pPr>
        <w:pStyle w:val="FootnoteText"/>
      </w:pPr>
      <w:r w:rsidRPr="00D54D05">
        <w:rPr>
          <w:rStyle w:val="FootnoteReference"/>
        </w:rPr>
        <w:footnoteRef/>
      </w:r>
      <w:r>
        <w:tab/>
        <w:t xml:space="preserve">The economic welfare measure used in reporting of modelling results is the sum of </w:t>
      </w:r>
      <w:proofErr w:type="spellStart"/>
      <w:r>
        <w:t>Marshallian</w:t>
      </w:r>
      <w:proofErr w:type="spellEnd"/>
      <w:r>
        <w:t xml:space="preserve"> consumer and producer surplus. This measure excludes welfare changes in other markets resulting from income effects and broader externalities not included in the model, such as environmental effects of gas production and supply.</w:t>
      </w:r>
    </w:p>
  </w:footnote>
  <w:footnote w:id="6">
    <w:p w14:paraId="1E33B05C" w14:textId="77777777" w:rsidR="00D90D06" w:rsidRDefault="00D90D06" w:rsidP="00DA3852">
      <w:pPr>
        <w:pStyle w:val="FootnoteText"/>
      </w:pPr>
      <w:r w:rsidRPr="00D54D05">
        <w:rPr>
          <w:rStyle w:val="FootnoteReference"/>
        </w:rPr>
        <w:footnoteRef/>
      </w:r>
      <w:r>
        <w:tab/>
        <w:t>All costs and prices expressed in this appendix are in 2014-15 Australian dollars unless otherwise indicated. Where relevant, prices have been inflated to 2014-15 dollars using the latest available ABS GDP implicit price deflator for the September 2014 quarter.</w:t>
      </w:r>
    </w:p>
  </w:footnote>
  <w:footnote w:id="7">
    <w:p w14:paraId="400178E3" w14:textId="77777777" w:rsidR="00D90D06" w:rsidRDefault="00D90D06" w:rsidP="00DA3852">
      <w:pPr>
        <w:pStyle w:val="FootnoteText"/>
      </w:pPr>
      <w:r w:rsidRPr="00D54D05">
        <w:rPr>
          <w:rStyle w:val="FootnoteReference"/>
        </w:rPr>
        <w:footnoteRef/>
      </w:r>
      <w:r>
        <w:tab/>
        <w:t xml:space="preserve">Fields included in the model are based on the classification in Core Energy Group’s </w:t>
      </w:r>
      <w:r w:rsidRPr="005647E8">
        <w:t>(2012a)</w:t>
      </w:r>
      <w:r>
        <w:t xml:space="preserve"> analysis of production costs for AEMO.</w:t>
      </w:r>
    </w:p>
  </w:footnote>
  <w:footnote w:id="8">
    <w:p w14:paraId="1387708A" w14:textId="77777777" w:rsidR="00D90D06" w:rsidRDefault="00D90D06" w:rsidP="00DA3852">
      <w:pPr>
        <w:pStyle w:val="FootnoteText"/>
      </w:pPr>
      <w:r w:rsidRPr="00D54D05">
        <w:rPr>
          <w:rStyle w:val="FootnoteReference"/>
        </w:rPr>
        <w:footnoteRef/>
      </w:r>
      <w:r>
        <w:tab/>
        <w:t xml:space="preserve"> Reported model results are not particularly sensitive to terminal values. Increasing or decreasing terminal values by one third (33 per cent, based on uncertainty about future LNG prices) changes total supply and demand over the first twenty years by 2 per cent or less.   </w:t>
      </w:r>
    </w:p>
  </w:footnote>
  <w:footnote w:id="9">
    <w:p w14:paraId="4DF509F7" w14:textId="401939D0" w:rsidR="00D90D06" w:rsidRDefault="00D90D06" w:rsidP="00DA3852">
      <w:pPr>
        <w:pStyle w:val="FootnoteText"/>
      </w:pPr>
      <w:r w:rsidRPr="00D54D05">
        <w:rPr>
          <w:rStyle w:val="FootnoteReference"/>
        </w:rPr>
        <w:footnoteRef/>
      </w:r>
      <w:r>
        <w:tab/>
        <w:t xml:space="preserve">Production cost estimates include royalty payments </w:t>
      </w:r>
      <w:r w:rsidRPr="00E23AB1">
        <w:rPr>
          <w:szCs w:val="24"/>
        </w:rPr>
        <w:t>(Core Energy Group 2015b)</w:t>
      </w:r>
      <w:r>
        <w:t xml:space="preserve">. Accordingly, illustrative estimates of state royalty payments are calculated and added back to total welfare after the model is solved, based on state royalties being payable at 10 per cent of the wellhead value of gas </w:t>
      </w:r>
      <w:r w:rsidRPr="004F1A86">
        <w:rPr>
          <w:szCs w:val="24"/>
        </w:rPr>
        <w:t>(Government of South Australia 2014; NSW Trade &amp; Investment 2015; Queensland Government 2015a; Victorian Gas Market Taskforce 2013b)</w:t>
      </w:r>
      <w:r>
        <w:t>. More detailed modelling of royalty payments would require further model development to allow for deductible expenses under state royalty regimes.</w:t>
      </w:r>
    </w:p>
  </w:footnote>
  <w:footnote w:id="10">
    <w:p w14:paraId="4C8C2C89" w14:textId="45DEFE96" w:rsidR="00D90D06" w:rsidRDefault="00D90D06" w:rsidP="00DA3852">
      <w:pPr>
        <w:pStyle w:val="FootnoteText"/>
      </w:pPr>
      <w:r w:rsidRPr="00D54D05">
        <w:rPr>
          <w:rStyle w:val="FootnoteReference"/>
        </w:rPr>
        <w:footnoteRef/>
      </w:r>
      <w:r>
        <w:tab/>
        <w:t xml:space="preserve">That is, investment risks on both the demand and supply side are reflected in an increase in supply cost parameters in the model. No certainty equivalent uplift was applied to investment in transmission pipelines. The real weighted average cost of capital for pipelines is likely to be lower than for upstream investments </w:t>
      </w:r>
      <w:r w:rsidRPr="00A95038">
        <w:rPr>
          <w:szCs w:val="24"/>
        </w:rPr>
        <w:t>(see, for example, AER 2011a, 2012</w:t>
      </w:r>
      <w:r>
        <w:rPr>
          <w:szCs w:val="24"/>
        </w:rPr>
        <w:t>b</w:t>
      </w:r>
      <w:r w:rsidRPr="00A95038">
        <w:rPr>
          <w:szCs w:val="24"/>
        </w:rPr>
        <w:t>, 2013</w:t>
      </w:r>
      <w:r>
        <w:rPr>
          <w:szCs w:val="24"/>
        </w:rPr>
        <w:t>b</w:t>
      </w:r>
      <w:r w:rsidRPr="00A95038">
        <w:rPr>
          <w:szCs w:val="24"/>
        </w:rPr>
        <w:t>)</w:t>
      </w:r>
      <w:r>
        <w:t xml:space="preserve"> so any certainty equivalent adjustment to the capital cost of pipelines would be smaller. Given this, and limited pipeline investment in model results (appendix C), the inclusion of a certainty equivalent adjustment to pipeline investment costs would not have a material effect on results. </w:t>
      </w:r>
    </w:p>
  </w:footnote>
  <w:footnote w:id="11">
    <w:p w14:paraId="38955B83" w14:textId="77777777" w:rsidR="00D90D06" w:rsidRDefault="00D90D06" w:rsidP="00DA3852">
      <w:pPr>
        <w:pStyle w:val="FootnoteText"/>
      </w:pPr>
      <w:r w:rsidRPr="00D54D05">
        <w:rPr>
          <w:rStyle w:val="FootnoteReference"/>
        </w:rPr>
        <w:footnoteRef/>
      </w:r>
      <w:r>
        <w:tab/>
        <w:t xml:space="preserve">Production at full capacity is modelled to be possible at the end of the build time — ramp gas production is not included in the model. </w:t>
      </w:r>
    </w:p>
  </w:footnote>
  <w:footnote w:id="12">
    <w:p w14:paraId="54E47EF7" w14:textId="77777777" w:rsidR="00D90D06" w:rsidRDefault="00D90D06" w:rsidP="00DA3852">
      <w:pPr>
        <w:pStyle w:val="FootnoteText"/>
      </w:pPr>
      <w:r w:rsidRPr="00D54D05">
        <w:rPr>
          <w:rStyle w:val="FootnoteReference"/>
        </w:rPr>
        <w:footnoteRef/>
      </w:r>
      <w:r>
        <w:tab/>
        <w:t>Processing and transmission capacity data in this appendix is specified in PJ/</w:t>
      </w:r>
      <w:proofErr w:type="spellStart"/>
      <w:r>
        <w:t>yr</w:t>
      </w:r>
      <w:proofErr w:type="spellEnd"/>
      <w:r>
        <w:t xml:space="preserve"> (rather than TJ/day) for consistency with the rest of the gas supply chain and other parts of this report.</w:t>
      </w:r>
    </w:p>
  </w:footnote>
  <w:footnote w:id="13">
    <w:p w14:paraId="3D7529F8" w14:textId="77777777" w:rsidR="00D90D06" w:rsidRDefault="00D90D06" w:rsidP="00DA3852">
      <w:pPr>
        <w:pStyle w:val="FootnoteText"/>
      </w:pPr>
      <w:r w:rsidRPr="00D54D05">
        <w:rPr>
          <w:rStyle w:val="FootnoteReference"/>
        </w:rPr>
        <w:footnoteRef/>
      </w:r>
      <w:r>
        <w:tab/>
        <w:t xml:space="preserve">System use of gas is the difference between gas received into a pipeline and gas delivered to users. System use of gas is comprised of gas that is used for transmission and gas that is unaccounted for, which is comprised of metering errors, unmeasured gas use and fugitive emissions. The vast majority (between 80 and 90 per cent) of system use of gas is gas used in driving compressors </w:t>
      </w:r>
      <w:r w:rsidRPr="00D4011C">
        <w:rPr>
          <w:szCs w:val="24"/>
        </w:rPr>
        <w:t>(DRET 2013)</w:t>
      </w:r>
      <w:r>
        <w:t xml:space="preserve">. </w:t>
      </w:r>
    </w:p>
  </w:footnote>
  <w:footnote w:id="14">
    <w:p w14:paraId="413ADD0C" w14:textId="77777777" w:rsidR="00D90D06" w:rsidRDefault="00D90D06" w:rsidP="00DA3852">
      <w:pPr>
        <w:pStyle w:val="FootnoteText"/>
      </w:pPr>
      <w:r w:rsidRPr="00D54D05">
        <w:rPr>
          <w:rStyle w:val="FootnoteReference"/>
        </w:rPr>
        <w:footnoteRef/>
      </w:r>
      <w:r>
        <w:tab/>
        <w:t>Greenfield expansion can occur along a route that has an existing pipeline or along a route that does not have a pipeline.</w:t>
      </w:r>
    </w:p>
  </w:footnote>
  <w:footnote w:id="15">
    <w:p w14:paraId="0A3EE829" w14:textId="16D992FE" w:rsidR="00D90D06" w:rsidRDefault="00D90D06" w:rsidP="00DA3852">
      <w:pPr>
        <w:pStyle w:val="FootnoteText"/>
      </w:pPr>
      <w:r w:rsidRPr="00D54D05">
        <w:rPr>
          <w:rStyle w:val="FootnoteReference"/>
        </w:rPr>
        <w:footnoteRef/>
      </w:r>
      <w:r>
        <w:tab/>
        <w:t xml:space="preserve">The costs of building a new pipeline increase with each additional kilometre of length due to higher material, right of way and other costs. More compression will likely be required on longer pipelines to increase capacity by a given amount. However, compressor stations are typically spaced more than 100 km apart along a pipeline so it is unlikely that the costs of compression will increase with each additional kilometre of length. Large fixed costs of compressor stations also suggest the relationship between the cost of expansion through compression and length is weak.  </w:t>
      </w:r>
    </w:p>
  </w:footnote>
  <w:footnote w:id="16">
    <w:p w14:paraId="2A5D155C" w14:textId="77777777" w:rsidR="00D90D06" w:rsidRDefault="00D90D06" w:rsidP="00DA3852">
      <w:pPr>
        <w:pStyle w:val="FootnoteText"/>
      </w:pPr>
      <w:r w:rsidRPr="00D54D05">
        <w:rPr>
          <w:rStyle w:val="FootnoteReference"/>
        </w:rPr>
        <w:footnoteRef/>
      </w:r>
      <w:r>
        <w:tab/>
        <w:t xml:space="preserve">Data from September 2012 to August 2013 were examined because this is the first year in the model. </w:t>
      </w:r>
    </w:p>
  </w:footnote>
  <w:footnote w:id="17">
    <w:p w14:paraId="50092132" w14:textId="77777777" w:rsidR="00D90D06" w:rsidRDefault="00D90D06" w:rsidP="00DA3852">
      <w:pPr>
        <w:pStyle w:val="FootnoteText"/>
      </w:pPr>
      <w:r w:rsidRPr="00D54D05">
        <w:rPr>
          <w:rStyle w:val="FootnoteReference"/>
        </w:rPr>
        <w:footnoteRef/>
      </w:r>
      <w:r>
        <w:tab/>
        <w:t xml:space="preserve">For example, the Newcastle gas storage facility under construction will have a capacity of 1.5 PJ. The estimated capital cost of the project is $300 million </w:t>
      </w:r>
      <w:r w:rsidRPr="004F1A86">
        <w:rPr>
          <w:szCs w:val="24"/>
        </w:rPr>
        <w:t>(AGL Energy 2015b)</w:t>
      </w:r>
      <w:r>
        <w:t xml:space="preserve">. </w:t>
      </w:r>
    </w:p>
  </w:footnote>
  <w:footnote w:id="18">
    <w:p w14:paraId="094B4C8A" w14:textId="77777777" w:rsidR="00D90D06" w:rsidRDefault="00D90D06" w:rsidP="00DA3852">
      <w:pPr>
        <w:pStyle w:val="FootnoteText"/>
      </w:pPr>
      <w:r w:rsidRPr="00D54D05">
        <w:rPr>
          <w:rStyle w:val="FootnoteReference"/>
        </w:rPr>
        <w:footnoteRef/>
      </w:r>
      <w:r>
        <w:tab/>
        <w:t xml:space="preserve">APLNG and QCLNG contracts cover slightly less than their full ‘nameplate’ capacity, but the true operating capacity of LNG plants tends to be less than nameplate capacity due to </w:t>
      </w:r>
      <w:proofErr w:type="spellStart"/>
      <w:r>
        <w:t>downtime</w:t>
      </w:r>
      <w:proofErr w:type="spellEnd"/>
      <w:r>
        <w:t xml:space="preserve"> for </w:t>
      </w:r>
      <w:r w:rsidRPr="001D3A15">
        <w:t>maintenance (Core Energy Group 2013b)</w:t>
      </w:r>
      <w:r>
        <w:t>.</w:t>
      </w:r>
    </w:p>
  </w:footnote>
  <w:footnote w:id="19">
    <w:p w14:paraId="28C407A7" w14:textId="33E8CD3A" w:rsidR="00D90D06" w:rsidRDefault="00D90D06" w:rsidP="00DA3852">
      <w:pPr>
        <w:pStyle w:val="FootnoteText"/>
      </w:pPr>
      <w:r w:rsidRPr="00D54D05">
        <w:rPr>
          <w:rStyle w:val="FootnoteReference"/>
        </w:rPr>
        <w:footnoteRef/>
      </w:r>
      <w:r>
        <w:tab/>
        <w:t xml:space="preserve">It may also be possible to achieve small increases in the capacity of existing trains (in the order of </w:t>
      </w:r>
      <w:r>
        <w:br/>
        <w:t xml:space="preserve">5–10 per cent) through ‘debottlenecking’. Plant debottlenecking involves upgrading or modifying key equipment, such as compressors and </w:t>
      </w:r>
      <w:proofErr w:type="gramStart"/>
      <w:r>
        <w:t>turbines, that</w:t>
      </w:r>
      <w:proofErr w:type="gramEnd"/>
      <w:r>
        <w:t xml:space="preserve"> limit production. Identifying debottlenecking opportunities requires operating experience and potential capacity increases tend to be smaller in more recently designed plants </w:t>
      </w:r>
      <w:r w:rsidRPr="008E0CC5">
        <w:rPr>
          <w:szCs w:val="24"/>
        </w:rPr>
        <w:t>(</w:t>
      </w:r>
      <w:proofErr w:type="spellStart"/>
      <w:r w:rsidRPr="008E0CC5">
        <w:rPr>
          <w:szCs w:val="24"/>
        </w:rPr>
        <w:t>Tusiani</w:t>
      </w:r>
      <w:proofErr w:type="spellEnd"/>
      <w:r w:rsidRPr="008E0CC5">
        <w:rPr>
          <w:szCs w:val="24"/>
        </w:rPr>
        <w:t xml:space="preserve"> and Shearer 2007)</w:t>
      </w:r>
      <w:r>
        <w:t>. Given the cost and potential for debottlenecking of the Gladstone plants is uncertain, this possibility is not included.</w:t>
      </w:r>
    </w:p>
  </w:footnote>
  <w:footnote w:id="20">
    <w:p w14:paraId="03664A05" w14:textId="77777777" w:rsidR="00D90D06" w:rsidRDefault="00D90D06" w:rsidP="00DA3852">
      <w:pPr>
        <w:pStyle w:val="FootnoteText"/>
      </w:pPr>
      <w:r w:rsidRPr="00D54D05">
        <w:rPr>
          <w:rStyle w:val="FootnoteReference"/>
        </w:rPr>
        <w:footnoteRef/>
      </w:r>
      <w:r>
        <w:tab/>
        <w:t xml:space="preserve">The demand function used is a linear approximation of a constant elasticity of demand function (box B.1). However, the </w:t>
      </w:r>
      <w:proofErr w:type="spellStart"/>
      <w:r>
        <w:t>linearisation</w:t>
      </w:r>
      <w:proofErr w:type="spellEnd"/>
      <w:r>
        <w:t xml:space="preserve"> approach does mean that there is some lumpiness to changes in demand.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D90D06" w14:paraId="4F764694" w14:textId="77777777">
      <w:tc>
        <w:tcPr>
          <w:tcW w:w="2155" w:type="dxa"/>
          <w:tcBorders>
            <w:top w:val="single" w:sz="24" w:space="0" w:color="auto"/>
          </w:tcBorders>
        </w:tcPr>
        <w:p w14:paraId="4F764692" w14:textId="77777777" w:rsidR="00D90D06" w:rsidRDefault="00D90D06" w:rsidP="0019293B">
          <w:pPr>
            <w:pStyle w:val="HeaderEven"/>
          </w:pPr>
        </w:p>
      </w:tc>
      <w:tc>
        <w:tcPr>
          <w:tcW w:w="6634" w:type="dxa"/>
          <w:tcBorders>
            <w:top w:val="single" w:sz="6" w:space="0" w:color="auto"/>
          </w:tcBorders>
        </w:tcPr>
        <w:p w14:paraId="4F764693" w14:textId="77777777" w:rsidR="00D90D06" w:rsidRDefault="00D90D06" w:rsidP="0019293B">
          <w:pPr>
            <w:pStyle w:val="HeaderEven"/>
          </w:pPr>
        </w:p>
      </w:tc>
    </w:tr>
  </w:tbl>
  <w:p w14:paraId="4F764695" w14:textId="77777777" w:rsidR="00D90D06" w:rsidRDefault="00D90D06"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D90D06" w14:paraId="4F764698" w14:textId="77777777">
      <w:tc>
        <w:tcPr>
          <w:tcW w:w="6634" w:type="dxa"/>
          <w:tcBorders>
            <w:top w:val="single" w:sz="6" w:space="0" w:color="auto"/>
          </w:tcBorders>
        </w:tcPr>
        <w:p w14:paraId="4F764696" w14:textId="77777777" w:rsidR="00D90D06" w:rsidRDefault="00D90D06" w:rsidP="00E669E2">
          <w:pPr>
            <w:pStyle w:val="HeaderOdd"/>
          </w:pPr>
        </w:p>
      </w:tc>
      <w:tc>
        <w:tcPr>
          <w:tcW w:w="2155" w:type="dxa"/>
          <w:tcBorders>
            <w:top w:val="single" w:sz="24" w:space="0" w:color="auto"/>
          </w:tcBorders>
        </w:tcPr>
        <w:p w14:paraId="4F764697" w14:textId="77777777" w:rsidR="00D90D06" w:rsidRDefault="00D90D06" w:rsidP="00E669E2">
          <w:pPr>
            <w:pStyle w:val="HeaderOdd"/>
          </w:pPr>
        </w:p>
      </w:tc>
    </w:tr>
  </w:tbl>
  <w:p w14:paraId="4F764699" w14:textId="77777777" w:rsidR="00D90D06" w:rsidRDefault="00D90D06"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521C75D6"/>
    <w:lvl w:ilvl="0">
      <w:start w:val="1"/>
      <w:numFmt w:val="bullet"/>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lvlText w:val="*"/>
      <w:lvlJc w:val="left"/>
    </w:lvl>
  </w:abstractNum>
  <w:abstractNum w:abstractNumId="3">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5">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6">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1">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3">
    <w:nsid w:val="373B092D"/>
    <w:multiLevelType w:val="hybridMultilevel"/>
    <w:tmpl w:val="A3D2433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9F16801"/>
    <w:multiLevelType w:val="hybridMultilevel"/>
    <w:tmpl w:val="5DE4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3DD0824"/>
    <w:multiLevelType w:val="singleLevel"/>
    <w:tmpl w:val="F0CA07B8"/>
    <w:lvl w:ilvl="0">
      <w:start w:val="1"/>
      <w:numFmt w:val="decimal"/>
      <w:lvlText w:val="%1."/>
      <w:lvlJc w:val="left"/>
      <w:pPr>
        <w:ind w:left="720" w:hanging="360"/>
      </w:pPr>
      <w:rPr>
        <w:rFonts w:hint="default"/>
        <w:sz w:val="18"/>
      </w:rPr>
    </w:lvl>
  </w:abstractNum>
  <w:abstractNum w:abstractNumId="17">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8">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9">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27154D2"/>
    <w:multiLevelType w:val="singleLevel"/>
    <w:tmpl w:val="AD60D3B8"/>
    <w:lvl w:ilvl="0">
      <w:start w:val="1"/>
      <w:numFmt w:val="lowerLetter"/>
      <w:lvlText w:val="(%1)"/>
      <w:legacy w:legacy="1" w:legacySpace="0" w:legacyIndent="340"/>
      <w:lvlJc w:val="left"/>
      <w:pPr>
        <w:ind w:left="680" w:hanging="340"/>
      </w:pPr>
    </w:lvl>
  </w:abstractNum>
  <w:abstractNum w:abstractNumId="23">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4">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5">
    <w:nsid w:val="7A167678"/>
    <w:multiLevelType w:val="multilevel"/>
    <w:tmpl w:val="61742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27">
    <w:nsid w:val="7DDC447E"/>
    <w:multiLevelType w:val="hybridMultilevel"/>
    <w:tmpl w:val="E460C37C"/>
    <w:lvl w:ilvl="0" w:tplc="F51260AC">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2"/>
  </w:num>
  <w:num w:numId="2">
    <w:abstractNumId w:val="3"/>
  </w:num>
  <w:num w:numId="3">
    <w:abstractNumId w:val="17"/>
  </w:num>
  <w:num w:numId="4">
    <w:abstractNumId w:val="4"/>
  </w:num>
  <w:num w:numId="5">
    <w:abstractNumId w:val="23"/>
  </w:num>
  <w:num w:numId="6">
    <w:abstractNumId w:val="19"/>
  </w:num>
  <w:num w:numId="7">
    <w:abstractNumId w:val="8"/>
  </w:num>
  <w:num w:numId="8">
    <w:abstractNumId w:val="18"/>
  </w:num>
  <w:num w:numId="9">
    <w:abstractNumId w:val="7"/>
  </w:num>
  <w:num w:numId="10">
    <w:abstractNumId w:val="6"/>
  </w:num>
  <w:num w:numId="11">
    <w:abstractNumId w:val="10"/>
  </w:num>
  <w:num w:numId="12">
    <w:abstractNumId w:val="11"/>
  </w:num>
  <w:num w:numId="13">
    <w:abstractNumId w:val="5"/>
  </w:num>
  <w:num w:numId="14">
    <w:abstractNumId w:val="20"/>
  </w:num>
  <w:num w:numId="15">
    <w:abstractNumId w:val="24"/>
  </w:num>
  <w:num w:numId="16">
    <w:abstractNumId w:val="15"/>
  </w:num>
  <w:num w:numId="17">
    <w:abstractNumId w:val="26"/>
  </w:num>
  <w:num w:numId="18">
    <w:abstractNumId w:val="0"/>
  </w:num>
  <w:num w:numId="19">
    <w:abstractNumId w:val="2"/>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21"/>
  </w:num>
  <w:num w:numId="21">
    <w:abstractNumId w:val="9"/>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
    <w:lvlOverride w:ilvl="0">
      <w:lvl w:ilvl="0">
        <w:start w:val="1"/>
        <w:numFmt w:val="bullet"/>
        <w:lvlText w:val=""/>
        <w:legacy w:legacy="1" w:legacySpace="0" w:legacyIndent="340"/>
        <w:lvlJc w:val="left"/>
        <w:pPr>
          <w:ind w:left="340" w:hanging="340"/>
        </w:pPr>
        <w:rPr>
          <w:rFonts w:ascii="Symbol" w:hAnsi="Symbol" w:hint="default"/>
          <w:sz w:val="18"/>
        </w:rPr>
      </w:lvl>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25"/>
  </w:num>
  <w:num w:numId="31">
    <w:abstractNumId w:val="16"/>
  </w:num>
  <w:num w:numId="32">
    <w:abstractNumId w:val="27"/>
  </w:num>
  <w:num w:numId="33">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mirrorMargin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413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xNumber" w:val="B"/>
    <w:docVar w:name="FindingOptions" w:val="1"/>
    <w:docVar w:name="RecOptions" w:val="111"/>
    <w:docVar w:name="ShortChapterTitle" w:val="Eastern Australian gas market model"/>
    <w:docVar w:name="ShortReportTitle" w:val="Impediments to efficient gas markets"/>
  </w:docVars>
  <w:rsids>
    <w:rsidRoot w:val="005A030B"/>
    <w:rsid w:val="00003028"/>
    <w:rsid w:val="00005941"/>
    <w:rsid w:val="00005F03"/>
    <w:rsid w:val="000125C2"/>
    <w:rsid w:val="00013205"/>
    <w:rsid w:val="00013638"/>
    <w:rsid w:val="00016D8A"/>
    <w:rsid w:val="00016F8D"/>
    <w:rsid w:val="000227D5"/>
    <w:rsid w:val="00023DDE"/>
    <w:rsid w:val="000245AA"/>
    <w:rsid w:val="000269C4"/>
    <w:rsid w:val="00030D21"/>
    <w:rsid w:val="0003126B"/>
    <w:rsid w:val="000349FC"/>
    <w:rsid w:val="000353AC"/>
    <w:rsid w:val="00035515"/>
    <w:rsid w:val="00036526"/>
    <w:rsid w:val="0003664B"/>
    <w:rsid w:val="00036A6A"/>
    <w:rsid w:val="0004111F"/>
    <w:rsid w:val="00043062"/>
    <w:rsid w:val="000431EF"/>
    <w:rsid w:val="0004477B"/>
    <w:rsid w:val="00045645"/>
    <w:rsid w:val="00045ECD"/>
    <w:rsid w:val="0005156F"/>
    <w:rsid w:val="00052239"/>
    <w:rsid w:val="00052880"/>
    <w:rsid w:val="0005453D"/>
    <w:rsid w:val="00055077"/>
    <w:rsid w:val="000552C0"/>
    <w:rsid w:val="000565B3"/>
    <w:rsid w:val="00056738"/>
    <w:rsid w:val="0005723F"/>
    <w:rsid w:val="00057A48"/>
    <w:rsid w:val="000611C9"/>
    <w:rsid w:val="00063EA1"/>
    <w:rsid w:val="00066239"/>
    <w:rsid w:val="00067590"/>
    <w:rsid w:val="000712A5"/>
    <w:rsid w:val="0007150B"/>
    <w:rsid w:val="00072AE7"/>
    <w:rsid w:val="000802FB"/>
    <w:rsid w:val="00080FB3"/>
    <w:rsid w:val="00081236"/>
    <w:rsid w:val="000823A1"/>
    <w:rsid w:val="000832D8"/>
    <w:rsid w:val="0008453A"/>
    <w:rsid w:val="00084863"/>
    <w:rsid w:val="0008596A"/>
    <w:rsid w:val="00086E8B"/>
    <w:rsid w:val="0009306F"/>
    <w:rsid w:val="00093864"/>
    <w:rsid w:val="000938F5"/>
    <w:rsid w:val="00094A5D"/>
    <w:rsid w:val="000953E5"/>
    <w:rsid w:val="00095663"/>
    <w:rsid w:val="0009672B"/>
    <w:rsid w:val="00096E55"/>
    <w:rsid w:val="00097553"/>
    <w:rsid w:val="0009783E"/>
    <w:rsid w:val="00097F52"/>
    <w:rsid w:val="000A13FB"/>
    <w:rsid w:val="000A3DDA"/>
    <w:rsid w:val="000A55DA"/>
    <w:rsid w:val="000A6ACE"/>
    <w:rsid w:val="000A72EB"/>
    <w:rsid w:val="000A7517"/>
    <w:rsid w:val="000A7993"/>
    <w:rsid w:val="000A7BD8"/>
    <w:rsid w:val="000B0A8D"/>
    <w:rsid w:val="000B0D04"/>
    <w:rsid w:val="000B1022"/>
    <w:rsid w:val="000B141C"/>
    <w:rsid w:val="000B21FF"/>
    <w:rsid w:val="000B601B"/>
    <w:rsid w:val="000B6460"/>
    <w:rsid w:val="000B6AFC"/>
    <w:rsid w:val="000B72A3"/>
    <w:rsid w:val="000C0393"/>
    <w:rsid w:val="000C0F46"/>
    <w:rsid w:val="000C2040"/>
    <w:rsid w:val="000C207E"/>
    <w:rsid w:val="000C322E"/>
    <w:rsid w:val="000C3297"/>
    <w:rsid w:val="000C49BA"/>
    <w:rsid w:val="000C7BC0"/>
    <w:rsid w:val="000D02DA"/>
    <w:rsid w:val="000D0747"/>
    <w:rsid w:val="000D18F5"/>
    <w:rsid w:val="000D1DEC"/>
    <w:rsid w:val="000D41E9"/>
    <w:rsid w:val="000D5199"/>
    <w:rsid w:val="000D5B63"/>
    <w:rsid w:val="000D60CD"/>
    <w:rsid w:val="000D6C99"/>
    <w:rsid w:val="000D763D"/>
    <w:rsid w:val="000E523E"/>
    <w:rsid w:val="000E52AC"/>
    <w:rsid w:val="000E665B"/>
    <w:rsid w:val="000E696D"/>
    <w:rsid w:val="000E74B5"/>
    <w:rsid w:val="000F0035"/>
    <w:rsid w:val="000F04E7"/>
    <w:rsid w:val="000F060A"/>
    <w:rsid w:val="000F420B"/>
    <w:rsid w:val="000F73FD"/>
    <w:rsid w:val="001047C6"/>
    <w:rsid w:val="00104FB0"/>
    <w:rsid w:val="00105273"/>
    <w:rsid w:val="001055A4"/>
    <w:rsid w:val="001057F2"/>
    <w:rsid w:val="00107115"/>
    <w:rsid w:val="00110116"/>
    <w:rsid w:val="00110639"/>
    <w:rsid w:val="0011156B"/>
    <w:rsid w:val="0011269F"/>
    <w:rsid w:val="00113A30"/>
    <w:rsid w:val="00120072"/>
    <w:rsid w:val="001204C6"/>
    <w:rsid w:val="00120538"/>
    <w:rsid w:val="001215CE"/>
    <w:rsid w:val="0012161C"/>
    <w:rsid w:val="00122B43"/>
    <w:rsid w:val="00126EB8"/>
    <w:rsid w:val="001274D4"/>
    <w:rsid w:val="00127A91"/>
    <w:rsid w:val="00133FC4"/>
    <w:rsid w:val="001347EA"/>
    <w:rsid w:val="00135768"/>
    <w:rsid w:val="00135B2C"/>
    <w:rsid w:val="00135EC6"/>
    <w:rsid w:val="001363AA"/>
    <w:rsid w:val="0013739A"/>
    <w:rsid w:val="0014152F"/>
    <w:rsid w:val="00142165"/>
    <w:rsid w:val="0014258B"/>
    <w:rsid w:val="00145ACF"/>
    <w:rsid w:val="001500D4"/>
    <w:rsid w:val="00151121"/>
    <w:rsid w:val="001521A2"/>
    <w:rsid w:val="00155B54"/>
    <w:rsid w:val="00156D80"/>
    <w:rsid w:val="001579D4"/>
    <w:rsid w:val="00160257"/>
    <w:rsid w:val="00162434"/>
    <w:rsid w:val="0016389F"/>
    <w:rsid w:val="001706A6"/>
    <w:rsid w:val="00171A6F"/>
    <w:rsid w:val="00172708"/>
    <w:rsid w:val="001753D6"/>
    <w:rsid w:val="00175523"/>
    <w:rsid w:val="00176BFF"/>
    <w:rsid w:val="001773C2"/>
    <w:rsid w:val="00183E82"/>
    <w:rsid w:val="00186FF3"/>
    <w:rsid w:val="001878BB"/>
    <w:rsid w:val="00187F28"/>
    <w:rsid w:val="00191AE0"/>
    <w:rsid w:val="0019293B"/>
    <w:rsid w:val="0019426B"/>
    <w:rsid w:val="00196382"/>
    <w:rsid w:val="00196605"/>
    <w:rsid w:val="00196A03"/>
    <w:rsid w:val="001A3EBC"/>
    <w:rsid w:val="001A50C8"/>
    <w:rsid w:val="001A6A4B"/>
    <w:rsid w:val="001B3287"/>
    <w:rsid w:val="001B6636"/>
    <w:rsid w:val="001B6C5A"/>
    <w:rsid w:val="001C0277"/>
    <w:rsid w:val="001C0865"/>
    <w:rsid w:val="001C0AED"/>
    <w:rsid w:val="001C0B88"/>
    <w:rsid w:val="001C0F8A"/>
    <w:rsid w:val="001C3ABA"/>
    <w:rsid w:val="001C4684"/>
    <w:rsid w:val="001C5111"/>
    <w:rsid w:val="001C53AE"/>
    <w:rsid w:val="001C75BC"/>
    <w:rsid w:val="001D2BCB"/>
    <w:rsid w:val="001D3494"/>
    <w:rsid w:val="001D3633"/>
    <w:rsid w:val="001D3A15"/>
    <w:rsid w:val="001D4FEF"/>
    <w:rsid w:val="001D5F96"/>
    <w:rsid w:val="001E0AF6"/>
    <w:rsid w:val="001E0ECC"/>
    <w:rsid w:val="001E134E"/>
    <w:rsid w:val="001E2D39"/>
    <w:rsid w:val="001E378F"/>
    <w:rsid w:val="001E5A12"/>
    <w:rsid w:val="001E7BE8"/>
    <w:rsid w:val="001F0248"/>
    <w:rsid w:val="001F3EB3"/>
    <w:rsid w:val="001F4577"/>
    <w:rsid w:val="001F4F86"/>
    <w:rsid w:val="00201BAE"/>
    <w:rsid w:val="00201E82"/>
    <w:rsid w:val="00202C2C"/>
    <w:rsid w:val="00203050"/>
    <w:rsid w:val="0020341F"/>
    <w:rsid w:val="00203944"/>
    <w:rsid w:val="00206FD1"/>
    <w:rsid w:val="002135AB"/>
    <w:rsid w:val="002136B2"/>
    <w:rsid w:val="002144BE"/>
    <w:rsid w:val="002158ED"/>
    <w:rsid w:val="00215E42"/>
    <w:rsid w:val="002169B9"/>
    <w:rsid w:val="00216C32"/>
    <w:rsid w:val="00217431"/>
    <w:rsid w:val="00222080"/>
    <w:rsid w:val="002231EB"/>
    <w:rsid w:val="002233DF"/>
    <w:rsid w:val="0022369C"/>
    <w:rsid w:val="002313A3"/>
    <w:rsid w:val="00232E0E"/>
    <w:rsid w:val="00237025"/>
    <w:rsid w:val="00237802"/>
    <w:rsid w:val="00242279"/>
    <w:rsid w:val="00242469"/>
    <w:rsid w:val="00243997"/>
    <w:rsid w:val="002445B3"/>
    <w:rsid w:val="0024486D"/>
    <w:rsid w:val="0024516C"/>
    <w:rsid w:val="00245C82"/>
    <w:rsid w:val="00245ED0"/>
    <w:rsid w:val="00246B74"/>
    <w:rsid w:val="00253D56"/>
    <w:rsid w:val="002558BE"/>
    <w:rsid w:val="00255B5E"/>
    <w:rsid w:val="00260249"/>
    <w:rsid w:val="00260297"/>
    <w:rsid w:val="00260C43"/>
    <w:rsid w:val="002638CC"/>
    <w:rsid w:val="002709EB"/>
    <w:rsid w:val="00270FD4"/>
    <w:rsid w:val="00271391"/>
    <w:rsid w:val="002724BA"/>
    <w:rsid w:val="00274885"/>
    <w:rsid w:val="00275C53"/>
    <w:rsid w:val="00276B2B"/>
    <w:rsid w:val="00277563"/>
    <w:rsid w:val="00281A90"/>
    <w:rsid w:val="00284320"/>
    <w:rsid w:val="0028557E"/>
    <w:rsid w:val="00285753"/>
    <w:rsid w:val="0028595E"/>
    <w:rsid w:val="00285A71"/>
    <w:rsid w:val="0028663E"/>
    <w:rsid w:val="00290D6A"/>
    <w:rsid w:val="00290F76"/>
    <w:rsid w:val="00291B40"/>
    <w:rsid w:val="00291E2A"/>
    <w:rsid w:val="0029208D"/>
    <w:rsid w:val="002922F6"/>
    <w:rsid w:val="00293F77"/>
    <w:rsid w:val="0029501E"/>
    <w:rsid w:val="00296832"/>
    <w:rsid w:val="00297145"/>
    <w:rsid w:val="002A08A2"/>
    <w:rsid w:val="002A2B40"/>
    <w:rsid w:val="002A5EDB"/>
    <w:rsid w:val="002A5F68"/>
    <w:rsid w:val="002A6B34"/>
    <w:rsid w:val="002A771B"/>
    <w:rsid w:val="002A7D67"/>
    <w:rsid w:val="002B4008"/>
    <w:rsid w:val="002B7A28"/>
    <w:rsid w:val="002C439F"/>
    <w:rsid w:val="002C5802"/>
    <w:rsid w:val="002C64CD"/>
    <w:rsid w:val="002C7A93"/>
    <w:rsid w:val="002D0C42"/>
    <w:rsid w:val="002D0E8E"/>
    <w:rsid w:val="002D1BF5"/>
    <w:rsid w:val="002D2EA2"/>
    <w:rsid w:val="002D6027"/>
    <w:rsid w:val="002E1978"/>
    <w:rsid w:val="002E3646"/>
    <w:rsid w:val="002E58AA"/>
    <w:rsid w:val="002F0958"/>
    <w:rsid w:val="002F0EC9"/>
    <w:rsid w:val="002F3343"/>
    <w:rsid w:val="002F4B4E"/>
    <w:rsid w:val="002F5545"/>
    <w:rsid w:val="002F658A"/>
    <w:rsid w:val="003005A2"/>
    <w:rsid w:val="00301189"/>
    <w:rsid w:val="0030167E"/>
    <w:rsid w:val="00301E4A"/>
    <w:rsid w:val="003031D6"/>
    <w:rsid w:val="00303BCB"/>
    <w:rsid w:val="003054F2"/>
    <w:rsid w:val="003057E3"/>
    <w:rsid w:val="00307077"/>
    <w:rsid w:val="00307BFD"/>
    <w:rsid w:val="0031089C"/>
    <w:rsid w:val="00312FE2"/>
    <w:rsid w:val="00313933"/>
    <w:rsid w:val="00313964"/>
    <w:rsid w:val="0031456B"/>
    <w:rsid w:val="00314D61"/>
    <w:rsid w:val="003168B8"/>
    <w:rsid w:val="0032000E"/>
    <w:rsid w:val="003200FB"/>
    <w:rsid w:val="00320B13"/>
    <w:rsid w:val="00322D64"/>
    <w:rsid w:val="00323E09"/>
    <w:rsid w:val="00326418"/>
    <w:rsid w:val="00326791"/>
    <w:rsid w:val="00330848"/>
    <w:rsid w:val="00330BD7"/>
    <w:rsid w:val="00332AFA"/>
    <w:rsid w:val="00333932"/>
    <w:rsid w:val="00334366"/>
    <w:rsid w:val="00334A70"/>
    <w:rsid w:val="00340A24"/>
    <w:rsid w:val="00343C7E"/>
    <w:rsid w:val="00344D0D"/>
    <w:rsid w:val="00347AEA"/>
    <w:rsid w:val="003518AA"/>
    <w:rsid w:val="00351965"/>
    <w:rsid w:val="00352165"/>
    <w:rsid w:val="00353182"/>
    <w:rsid w:val="00353DAB"/>
    <w:rsid w:val="00354C3B"/>
    <w:rsid w:val="003565D9"/>
    <w:rsid w:val="0035685C"/>
    <w:rsid w:val="00357F73"/>
    <w:rsid w:val="003602E1"/>
    <w:rsid w:val="003617F3"/>
    <w:rsid w:val="00361DED"/>
    <w:rsid w:val="0036236D"/>
    <w:rsid w:val="003638A3"/>
    <w:rsid w:val="00364BB3"/>
    <w:rsid w:val="00366B35"/>
    <w:rsid w:val="00367D3D"/>
    <w:rsid w:val="003700DF"/>
    <w:rsid w:val="0037026F"/>
    <w:rsid w:val="00370930"/>
    <w:rsid w:val="00370955"/>
    <w:rsid w:val="00371240"/>
    <w:rsid w:val="003720E3"/>
    <w:rsid w:val="00373CFC"/>
    <w:rsid w:val="00374731"/>
    <w:rsid w:val="003750E5"/>
    <w:rsid w:val="003767CE"/>
    <w:rsid w:val="00376E59"/>
    <w:rsid w:val="00377573"/>
    <w:rsid w:val="00377EC1"/>
    <w:rsid w:val="00380340"/>
    <w:rsid w:val="00383ED9"/>
    <w:rsid w:val="00386BEC"/>
    <w:rsid w:val="00387CE4"/>
    <w:rsid w:val="00387D5A"/>
    <w:rsid w:val="00391705"/>
    <w:rsid w:val="003919F9"/>
    <w:rsid w:val="003920CF"/>
    <w:rsid w:val="00393E46"/>
    <w:rsid w:val="003941F5"/>
    <w:rsid w:val="00394FF5"/>
    <w:rsid w:val="003960C4"/>
    <w:rsid w:val="00396776"/>
    <w:rsid w:val="00396F6A"/>
    <w:rsid w:val="003A09DA"/>
    <w:rsid w:val="003A2488"/>
    <w:rsid w:val="003A2A19"/>
    <w:rsid w:val="003A2FAA"/>
    <w:rsid w:val="003A5CA7"/>
    <w:rsid w:val="003B0300"/>
    <w:rsid w:val="003B1471"/>
    <w:rsid w:val="003B23C2"/>
    <w:rsid w:val="003B478C"/>
    <w:rsid w:val="003B56E1"/>
    <w:rsid w:val="003B7F2E"/>
    <w:rsid w:val="003C0102"/>
    <w:rsid w:val="003C059F"/>
    <w:rsid w:val="003C07B1"/>
    <w:rsid w:val="003C1B80"/>
    <w:rsid w:val="003C2230"/>
    <w:rsid w:val="003C38B5"/>
    <w:rsid w:val="003C5D99"/>
    <w:rsid w:val="003C785C"/>
    <w:rsid w:val="003C7979"/>
    <w:rsid w:val="003D1087"/>
    <w:rsid w:val="003E2F59"/>
    <w:rsid w:val="003E746B"/>
    <w:rsid w:val="003E7B78"/>
    <w:rsid w:val="003E7CFC"/>
    <w:rsid w:val="003F0718"/>
    <w:rsid w:val="003F0789"/>
    <w:rsid w:val="003F3B28"/>
    <w:rsid w:val="003F3C26"/>
    <w:rsid w:val="003F5F51"/>
    <w:rsid w:val="00401882"/>
    <w:rsid w:val="004020D5"/>
    <w:rsid w:val="00402937"/>
    <w:rsid w:val="00403284"/>
    <w:rsid w:val="00403BED"/>
    <w:rsid w:val="00403D51"/>
    <w:rsid w:val="00406B2B"/>
    <w:rsid w:val="004100C8"/>
    <w:rsid w:val="00410CAF"/>
    <w:rsid w:val="00411936"/>
    <w:rsid w:val="00411B1A"/>
    <w:rsid w:val="00411DBD"/>
    <w:rsid w:val="00412ACE"/>
    <w:rsid w:val="00413D33"/>
    <w:rsid w:val="004145D2"/>
    <w:rsid w:val="00415FFA"/>
    <w:rsid w:val="00416743"/>
    <w:rsid w:val="00420D72"/>
    <w:rsid w:val="0042611F"/>
    <w:rsid w:val="00426CB4"/>
    <w:rsid w:val="00430D5E"/>
    <w:rsid w:val="00431249"/>
    <w:rsid w:val="00434C19"/>
    <w:rsid w:val="00450810"/>
    <w:rsid w:val="00451DF5"/>
    <w:rsid w:val="004523D1"/>
    <w:rsid w:val="004534FA"/>
    <w:rsid w:val="0045359D"/>
    <w:rsid w:val="00454C6C"/>
    <w:rsid w:val="0045563E"/>
    <w:rsid w:val="004567EE"/>
    <w:rsid w:val="00462C59"/>
    <w:rsid w:val="00463271"/>
    <w:rsid w:val="004645A9"/>
    <w:rsid w:val="004645EC"/>
    <w:rsid w:val="0046492B"/>
    <w:rsid w:val="00470737"/>
    <w:rsid w:val="00474CC5"/>
    <w:rsid w:val="00477144"/>
    <w:rsid w:val="0047782B"/>
    <w:rsid w:val="00477DDD"/>
    <w:rsid w:val="00483524"/>
    <w:rsid w:val="00483E85"/>
    <w:rsid w:val="00483FFA"/>
    <w:rsid w:val="004841AF"/>
    <w:rsid w:val="00485B5D"/>
    <w:rsid w:val="00486386"/>
    <w:rsid w:val="00491380"/>
    <w:rsid w:val="00493745"/>
    <w:rsid w:val="0049374F"/>
    <w:rsid w:val="0049459F"/>
    <w:rsid w:val="004954EC"/>
    <w:rsid w:val="004A085F"/>
    <w:rsid w:val="004A1680"/>
    <w:rsid w:val="004A38DD"/>
    <w:rsid w:val="004A4DF1"/>
    <w:rsid w:val="004B2A55"/>
    <w:rsid w:val="004B43AE"/>
    <w:rsid w:val="004B446F"/>
    <w:rsid w:val="004B4ED4"/>
    <w:rsid w:val="004B6572"/>
    <w:rsid w:val="004B7FE4"/>
    <w:rsid w:val="004C07A2"/>
    <w:rsid w:val="004C30ED"/>
    <w:rsid w:val="004C42D2"/>
    <w:rsid w:val="004C574B"/>
    <w:rsid w:val="004D030A"/>
    <w:rsid w:val="004D259D"/>
    <w:rsid w:val="004D5675"/>
    <w:rsid w:val="004E09C4"/>
    <w:rsid w:val="004E20A8"/>
    <w:rsid w:val="004E2970"/>
    <w:rsid w:val="004E4852"/>
    <w:rsid w:val="004E4C5C"/>
    <w:rsid w:val="004E5F60"/>
    <w:rsid w:val="004F5437"/>
    <w:rsid w:val="004F6F35"/>
    <w:rsid w:val="00501234"/>
    <w:rsid w:val="005026BC"/>
    <w:rsid w:val="00503F92"/>
    <w:rsid w:val="00504242"/>
    <w:rsid w:val="005046F5"/>
    <w:rsid w:val="00504E81"/>
    <w:rsid w:val="005058C3"/>
    <w:rsid w:val="00505D49"/>
    <w:rsid w:val="0050687B"/>
    <w:rsid w:val="0051638E"/>
    <w:rsid w:val="0051667B"/>
    <w:rsid w:val="00516D5D"/>
    <w:rsid w:val="00517795"/>
    <w:rsid w:val="00520AED"/>
    <w:rsid w:val="005221D6"/>
    <w:rsid w:val="00522C7E"/>
    <w:rsid w:val="00523639"/>
    <w:rsid w:val="0052430A"/>
    <w:rsid w:val="00524AB0"/>
    <w:rsid w:val="00526D2D"/>
    <w:rsid w:val="00527715"/>
    <w:rsid w:val="00531FE5"/>
    <w:rsid w:val="00534370"/>
    <w:rsid w:val="005346C2"/>
    <w:rsid w:val="00534E8F"/>
    <w:rsid w:val="00534EA6"/>
    <w:rsid w:val="00535067"/>
    <w:rsid w:val="005367C4"/>
    <w:rsid w:val="005402FA"/>
    <w:rsid w:val="00542B63"/>
    <w:rsid w:val="005435CC"/>
    <w:rsid w:val="00547A32"/>
    <w:rsid w:val="00551460"/>
    <w:rsid w:val="005523EA"/>
    <w:rsid w:val="005531ED"/>
    <w:rsid w:val="00553563"/>
    <w:rsid w:val="00556B32"/>
    <w:rsid w:val="00556BF3"/>
    <w:rsid w:val="00557EC5"/>
    <w:rsid w:val="00561D6C"/>
    <w:rsid w:val="00562F00"/>
    <w:rsid w:val="00567753"/>
    <w:rsid w:val="005713DB"/>
    <w:rsid w:val="005729BD"/>
    <w:rsid w:val="00580154"/>
    <w:rsid w:val="00583C39"/>
    <w:rsid w:val="00586A90"/>
    <w:rsid w:val="00586CAB"/>
    <w:rsid w:val="00587F28"/>
    <w:rsid w:val="005909CF"/>
    <w:rsid w:val="00590C5D"/>
    <w:rsid w:val="00590E67"/>
    <w:rsid w:val="00591BB0"/>
    <w:rsid w:val="00591E71"/>
    <w:rsid w:val="005931DB"/>
    <w:rsid w:val="005940B5"/>
    <w:rsid w:val="00594676"/>
    <w:rsid w:val="00594B18"/>
    <w:rsid w:val="0059759B"/>
    <w:rsid w:val="005A030B"/>
    <w:rsid w:val="005A0D41"/>
    <w:rsid w:val="005A4E2D"/>
    <w:rsid w:val="005A537A"/>
    <w:rsid w:val="005A7A85"/>
    <w:rsid w:val="005B3936"/>
    <w:rsid w:val="005B4041"/>
    <w:rsid w:val="005B5A09"/>
    <w:rsid w:val="005B5FAE"/>
    <w:rsid w:val="005B6573"/>
    <w:rsid w:val="005C153A"/>
    <w:rsid w:val="005C24D2"/>
    <w:rsid w:val="005C655E"/>
    <w:rsid w:val="005D0F4D"/>
    <w:rsid w:val="005D1A29"/>
    <w:rsid w:val="005D329F"/>
    <w:rsid w:val="005D625E"/>
    <w:rsid w:val="005D649F"/>
    <w:rsid w:val="005D6D7C"/>
    <w:rsid w:val="005D717D"/>
    <w:rsid w:val="005D7E21"/>
    <w:rsid w:val="005E11EB"/>
    <w:rsid w:val="005E5A40"/>
    <w:rsid w:val="005E752F"/>
    <w:rsid w:val="005F009F"/>
    <w:rsid w:val="005F03A5"/>
    <w:rsid w:val="005F2006"/>
    <w:rsid w:val="005F391E"/>
    <w:rsid w:val="005F46FA"/>
    <w:rsid w:val="005F48ED"/>
    <w:rsid w:val="005F6B8E"/>
    <w:rsid w:val="006019BF"/>
    <w:rsid w:val="0060602D"/>
    <w:rsid w:val="00606A22"/>
    <w:rsid w:val="00606E78"/>
    <w:rsid w:val="00607331"/>
    <w:rsid w:val="00607721"/>
    <w:rsid w:val="00607BF1"/>
    <w:rsid w:val="00607E30"/>
    <w:rsid w:val="0061031D"/>
    <w:rsid w:val="00615000"/>
    <w:rsid w:val="00615DDF"/>
    <w:rsid w:val="00617653"/>
    <w:rsid w:val="006204F2"/>
    <w:rsid w:val="00621CCE"/>
    <w:rsid w:val="00623E79"/>
    <w:rsid w:val="00625303"/>
    <w:rsid w:val="0062540D"/>
    <w:rsid w:val="00630D4D"/>
    <w:rsid w:val="00631D8E"/>
    <w:rsid w:val="00632A74"/>
    <w:rsid w:val="00633577"/>
    <w:rsid w:val="00634492"/>
    <w:rsid w:val="00635B5D"/>
    <w:rsid w:val="00635DBD"/>
    <w:rsid w:val="006363AE"/>
    <w:rsid w:val="006407B8"/>
    <w:rsid w:val="00641E71"/>
    <w:rsid w:val="00643718"/>
    <w:rsid w:val="00643F8C"/>
    <w:rsid w:val="00653D4C"/>
    <w:rsid w:val="00654D42"/>
    <w:rsid w:val="006554A3"/>
    <w:rsid w:val="006600B4"/>
    <w:rsid w:val="00660D8C"/>
    <w:rsid w:val="006610B4"/>
    <w:rsid w:val="00661847"/>
    <w:rsid w:val="00662321"/>
    <w:rsid w:val="00662ACE"/>
    <w:rsid w:val="00662F68"/>
    <w:rsid w:val="0066575F"/>
    <w:rsid w:val="00666E02"/>
    <w:rsid w:val="00667D20"/>
    <w:rsid w:val="00670F47"/>
    <w:rsid w:val="00671A56"/>
    <w:rsid w:val="00675524"/>
    <w:rsid w:val="0067684D"/>
    <w:rsid w:val="00682EA7"/>
    <w:rsid w:val="006864AC"/>
    <w:rsid w:val="006865A1"/>
    <w:rsid w:val="00687069"/>
    <w:rsid w:val="00687D20"/>
    <w:rsid w:val="00690871"/>
    <w:rsid w:val="00690A7A"/>
    <w:rsid w:val="00691030"/>
    <w:rsid w:val="00691096"/>
    <w:rsid w:val="00691FA7"/>
    <w:rsid w:val="00694288"/>
    <w:rsid w:val="006948CD"/>
    <w:rsid w:val="0069631C"/>
    <w:rsid w:val="00697661"/>
    <w:rsid w:val="006A0E47"/>
    <w:rsid w:val="006A27C0"/>
    <w:rsid w:val="006A4655"/>
    <w:rsid w:val="006A53BD"/>
    <w:rsid w:val="006A5553"/>
    <w:rsid w:val="006A6D77"/>
    <w:rsid w:val="006A7B0A"/>
    <w:rsid w:val="006B0A16"/>
    <w:rsid w:val="006B2988"/>
    <w:rsid w:val="006B2B3C"/>
    <w:rsid w:val="006B4A21"/>
    <w:rsid w:val="006B5D8C"/>
    <w:rsid w:val="006B78AB"/>
    <w:rsid w:val="006B7B52"/>
    <w:rsid w:val="006C09A7"/>
    <w:rsid w:val="006C1D81"/>
    <w:rsid w:val="006C60D7"/>
    <w:rsid w:val="006C66F5"/>
    <w:rsid w:val="006C7038"/>
    <w:rsid w:val="006D03FA"/>
    <w:rsid w:val="006D1325"/>
    <w:rsid w:val="006D2F1E"/>
    <w:rsid w:val="006D33F2"/>
    <w:rsid w:val="006D59D4"/>
    <w:rsid w:val="006E5BCA"/>
    <w:rsid w:val="006E73EF"/>
    <w:rsid w:val="006F0AA3"/>
    <w:rsid w:val="006F1898"/>
    <w:rsid w:val="006F38ED"/>
    <w:rsid w:val="006F3C23"/>
    <w:rsid w:val="006F401A"/>
    <w:rsid w:val="006F6DA4"/>
    <w:rsid w:val="00702915"/>
    <w:rsid w:val="007051A9"/>
    <w:rsid w:val="00706D64"/>
    <w:rsid w:val="00706F28"/>
    <w:rsid w:val="007079C9"/>
    <w:rsid w:val="00712BE7"/>
    <w:rsid w:val="00714D4D"/>
    <w:rsid w:val="00720D75"/>
    <w:rsid w:val="00721D77"/>
    <w:rsid w:val="007221EA"/>
    <w:rsid w:val="00723027"/>
    <w:rsid w:val="007231F7"/>
    <w:rsid w:val="007236C5"/>
    <w:rsid w:val="007252B7"/>
    <w:rsid w:val="00725AFF"/>
    <w:rsid w:val="007266D3"/>
    <w:rsid w:val="00730BB6"/>
    <w:rsid w:val="00732029"/>
    <w:rsid w:val="007322FF"/>
    <w:rsid w:val="00732485"/>
    <w:rsid w:val="00736913"/>
    <w:rsid w:val="00737E7B"/>
    <w:rsid w:val="00743166"/>
    <w:rsid w:val="00743458"/>
    <w:rsid w:val="007505C2"/>
    <w:rsid w:val="00750B26"/>
    <w:rsid w:val="00751251"/>
    <w:rsid w:val="007543BF"/>
    <w:rsid w:val="007559AA"/>
    <w:rsid w:val="00756C95"/>
    <w:rsid w:val="007604BB"/>
    <w:rsid w:val="00763705"/>
    <w:rsid w:val="00764794"/>
    <w:rsid w:val="00772909"/>
    <w:rsid w:val="007736CB"/>
    <w:rsid w:val="0077502F"/>
    <w:rsid w:val="007779BA"/>
    <w:rsid w:val="00781F30"/>
    <w:rsid w:val="007824DF"/>
    <w:rsid w:val="00784414"/>
    <w:rsid w:val="00785232"/>
    <w:rsid w:val="0078523C"/>
    <w:rsid w:val="00787411"/>
    <w:rsid w:val="00790F18"/>
    <w:rsid w:val="00791148"/>
    <w:rsid w:val="0079154E"/>
    <w:rsid w:val="00792460"/>
    <w:rsid w:val="0079296F"/>
    <w:rsid w:val="00795F1D"/>
    <w:rsid w:val="0079691B"/>
    <w:rsid w:val="0079701E"/>
    <w:rsid w:val="00797133"/>
    <w:rsid w:val="00797DBC"/>
    <w:rsid w:val="007A1E9D"/>
    <w:rsid w:val="007A21EB"/>
    <w:rsid w:val="007A23FC"/>
    <w:rsid w:val="007A42F3"/>
    <w:rsid w:val="007A679A"/>
    <w:rsid w:val="007A7850"/>
    <w:rsid w:val="007B1A93"/>
    <w:rsid w:val="007B6324"/>
    <w:rsid w:val="007B6E55"/>
    <w:rsid w:val="007B72FD"/>
    <w:rsid w:val="007B76E3"/>
    <w:rsid w:val="007C05C8"/>
    <w:rsid w:val="007C0F34"/>
    <w:rsid w:val="007C36C9"/>
    <w:rsid w:val="007C467C"/>
    <w:rsid w:val="007C631F"/>
    <w:rsid w:val="007C6E04"/>
    <w:rsid w:val="007C7468"/>
    <w:rsid w:val="007D0F10"/>
    <w:rsid w:val="007D2BB6"/>
    <w:rsid w:val="007D3820"/>
    <w:rsid w:val="007D3B7B"/>
    <w:rsid w:val="007D6401"/>
    <w:rsid w:val="007D6AB3"/>
    <w:rsid w:val="007E01E4"/>
    <w:rsid w:val="007E0902"/>
    <w:rsid w:val="007E0E27"/>
    <w:rsid w:val="007E5407"/>
    <w:rsid w:val="007E718F"/>
    <w:rsid w:val="007E7A12"/>
    <w:rsid w:val="007F002E"/>
    <w:rsid w:val="007F0929"/>
    <w:rsid w:val="007F401B"/>
    <w:rsid w:val="007F42B1"/>
    <w:rsid w:val="007F7107"/>
    <w:rsid w:val="00800D4C"/>
    <w:rsid w:val="00801B37"/>
    <w:rsid w:val="008025F8"/>
    <w:rsid w:val="008026B7"/>
    <w:rsid w:val="008034AE"/>
    <w:rsid w:val="008039EC"/>
    <w:rsid w:val="0081030F"/>
    <w:rsid w:val="00810BF9"/>
    <w:rsid w:val="008118BD"/>
    <w:rsid w:val="00812F4A"/>
    <w:rsid w:val="00815D7E"/>
    <w:rsid w:val="0082087D"/>
    <w:rsid w:val="00823D95"/>
    <w:rsid w:val="00823EA2"/>
    <w:rsid w:val="008263C7"/>
    <w:rsid w:val="008273FD"/>
    <w:rsid w:val="008278E7"/>
    <w:rsid w:val="00827DA7"/>
    <w:rsid w:val="00831026"/>
    <w:rsid w:val="00833519"/>
    <w:rsid w:val="008335E8"/>
    <w:rsid w:val="00835771"/>
    <w:rsid w:val="008376CD"/>
    <w:rsid w:val="00837C74"/>
    <w:rsid w:val="0084131E"/>
    <w:rsid w:val="00842933"/>
    <w:rsid w:val="00842C7F"/>
    <w:rsid w:val="008430EF"/>
    <w:rsid w:val="00843B83"/>
    <w:rsid w:val="008447E5"/>
    <w:rsid w:val="00845F26"/>
    <w:rsid w:val="00846BDA"/>
    <w:rsid w:val="0084760B"/>
    <w:rsid w:val="008528DC"/>
    <w:rsid w:val="00853626"/>
    <w:rsid w:val="00856757"/>
    <w:rsid w:val="0086039A"/>
    <w:rsid w:val="0086082C"/>
    <w:rsid w:val="00861FF1"/>
    <w:rsid w:val="008633F8"/>
    <w:rsid w:val="00864ADC"/>
    <w:rsid w:val="00866DE9"/>
    <w:rsid w:val="00867D7E"/>
    <w:rsid w:val="00871193"/>
    <w:rsid w:val="00871D87"/>
    <w:rsid w:val="00872751"/>
    <w:rsid w:val="008740DD"/>
    <w:rsid w:val="00876E9F"/>
    <w:rsid w:val="00880153"/>
    <w:rsid w:val="00880F97"/>
    <w:rsid w:val="0088133A"/>
    <w:rsid w:val="00885EA9"/>
    <w:rsid w:val="00887056"/>
    <w:rsid w:val="008872BA"/>
    <w:rsid w:val="00887BEA"/>
    <w:rsid w:val="00887C29"/>
    <w:rsid w:val="00887EFF"/>
    <w:rsid w:val="00890400"/>
    <w:rsid w:val="0089053B"/>
    <w:rsid w:val="00891442"/>
    <w:rsid w:val="008923A3"/>
    <w:rsid w:val="00892622"/>
    <w:rsid w:val="0089285E"/>
    <w:rsid w:val="0089436C"/>
    <w:rsid w:val="008958D6"/>
    <w:rsid w:val="008A0917"/>
    <w:rsid w:val="008A3E53"/>
    <w:rsid w:val="008A62C1"/>
    <w:rsid w:val="008A649F"/>
    <w:rsid w:val="008B21BD"/>
    <w:rsid w:val="008B3CDA"/>
    <w:rsid w:val="008B6599"/>
    <w:rsid w:val="008C26FB"/>
    <w:rsid w:val="008C2D74"/>
    <w:rsid w:val="008C2E35"/>
    <w:rsid w:val="008C638C"/>
    <w:rsid w:val="008D14FF"/>
    <w:rsid w:val="008D365C"/>
    <w:rsid w:val="008D45FF"/>
    <w:rsid w:val="008D4D37"/>
    <w:rsid w:val="008D562B"/>
    <w:rsid w:val="008D58F8"/>
    <w:rsid w:val="008D7622"/>
    <w:rsid w:val="008D7C7C"/>
    <w:rsid w:val="008E0CC5"/>
    <w:rsid w:val="008E2591"/>
    <w:rsid w:val="008F1237"/>
    <w:rsid w:val="008F234C"/>
    <w:rsid w:val="00901273"/>
    <w:rsid w:val="009021A6"/>
    <w:rsid w:val="009030BF"/>
    <w:rsid w:val="00903B52"/>
    <w:rsid w:val="0090530F"/>
    <w:rsid w:val="00905CAA"/>
    <w:rsid w:val="00907D82"/>
    <w:rsid w:val="0091006D"/>
    <w:rsid w:val="0091032F"/>
    <w:rsid w:val="00910704"/>
    <w:rsid w:val="00911258"/>
    <w:rsid w:val="0091330B"/>
    <w:rsid w:val="0091391B"/>
    <w:rsid w:val="00914368"/>
    <w:rsid w:val="0091453F"/>
    <w:rsid w:val="00917372"/>
    <w:rsid w:val="0092117E"/>
    <w:rsid w:val="00923B89"/>
    <w:rsid w:val="0092531D"/>
    <w:rsid w:val="009253D8"/>
    <w:rsid w:val="0092611E"/>
    <w:rsid w:val="0092625C"/>
    <w:rsid w:val="0092693E"/>
    <w:rsid w:val="00926A74"/>
    <w:rsid w:val="00927115"/>
    <w:rsid w:val="00927ABE"/>
    <w:rsid w:val="00931076"/>
    <w:rsid w:val="009323D8"/>
    <w:rsid w:val="00932762"/>
    <w:rsid w:val="009345D9"/>
    <w:rsid w:val="00934B15"/>
    <w:rsid w:val="0093508B"/>
    <w:rsid w:val="009359C9"/>
    <w:rsid w:val="009369A6"/>
    <w:rsid w:val="00940C87"/>
    <w:rsid w:val="00941BD4"/>
    <w:rsid w:val="00942B62"/>
    <w:rsid w:val="00945571"/>
    <w:rsid w:val="00950F29"/>
    <w:rsid w:val="0095323B"/>
    <w:rsid w:val="00953FDD"/>
    <w:rsid w:val="00956A0C"/>
    <w:rsid w:val="00956B9A"/>
    <w:rsid w:val="00956BD9"/>
    <w:rsid w:val="0096060A"/>
    <w:rsid w:val="00962489"/>
    <w:rsid w:val="009636BA"/>
    <w:rsid w:val="00964647"/>
    <w:rsid w:val="00966359"/>
    <w:rsid w:val="00967CD3"/>
    <w:rsid w:val="009703AA"/>
    <w:rsid w:val="00971269"/>
    <w:rsid w:val="009725B7"/>
    <w:rsid w:val="009814EA"/>
    <w:rsid w:val="00981D1C"/>
    <w:rsid w:val="00981EFE"/>
    <w:rsid w:val="00981FDD"/>
    <w:rsid w:val="0098564E"/>
    <w:rsid w:val="00985BB7"/>
    <w:rsid w:val="0098618A"/>
    <w:rsid w:val="0098687B"/>
    <w:rsid w:val="00990C2C"/>
    <w:rsid w:val="00991CCD"/>
    <w:rsid w:val="00992508"/>
    <w:rsid w:val="00992A31"/>
    <w:rsid w:val="00993253"/>
    <w:rsid w:val="00993B3C"/>
    <w:rsid w:val="00993D7B"/>
    <w:rsid w:val="009960D8"/>
    <w:rsid w:val="009975C0"/>
    <w:rsid w:val="00997E4F"/>
    <w:rsid w:val="009A13BD"/>
    <w:rsid w:val="009A470B"/>
    <w:rsid w:val="009A5171"/>
    <w:rsid w:val="009A56E7"/>
    <w:rsid w:val="009A66FD"/>
    <w:rsid w:val="009A7DBD"/>
    <w:rsid w:val="009A7FB5"/>
    <w:rsid w:val="009B2A36"/>
    <w:rsid w:val="009B6E26"/>
    <w:rsid w:val="009C1F03"/>
    <w:rsid w:val="009C2E93"/>
    <w:rsid w:val="009C4A80"/>
    <w:rsid w:val="009C4DA0"/>
    <w:rsid w:val="009C5FE3"/>
    <w:rsid w:val="009C77B7"/>
    <w:rsid w:val="009D1E37"/>
    <w:rsid w:val="009D2A9B"/>
    <w:rsid w:val="009D44FB"/>
    <w:rsid w:val="009D4BFD"/>
    <w:rsid w:val="009D52DC"/>
    <w:rsid w:val="009D60EC"/>
    <w:rsid w:val="009D7477"/>
    <w:rsid w:val="009D77EA"/>
    <w:rsid w:val="009D7803"/>
    <w:rsid w:val="009E0EDB"/>
    <w:rsid w:val="009E1719"/>
    <w:rsid w:val="009E1844"/>
    <w:rsid w:val="009E2B35"/>
    <w:rsid w:val="009E4FC6"/>
    <w:rsid w:val="009E5C26"/>
    <w:rsid w:val="009E5E1D"/>
    <w:rsid w:val="009E70A3"/>
    <w:rsid w:val="009F0CC5"/>
    <w:rsid w:val="009F0D1B"/>
    <w:rsid w:val="009F0EDF"/>
    <w:rsid w:val="009F2FBE"/>
    <w:rsid w:val="009F3CAF"/>
    <w:rsid w:val="009F413A"/>
    <w:rsid w:val="009F5BBD"/>
    <w:rsid w:val="009F696D"/>
    <w:rsid w:val="009F6BC6"/>
    <w:rsid w:val="009F74EF"/>
    <w:rsid w:val="009F78D4"/>
    <w:rsid w:val="00A004A2"/>
    <w:rsid w:val="00A02826"/>
    <w:rsid w:val="00A06BD6"/>
    <w:rsid w:val="00A1173E"/>
    <w:rsid w:val="00A12B61"/>
    <w:rsid w:val="00A1353F"/>
    <w:rsid w:val="00A13F65"/>
    <w:rsid w:val="00A15D5A"/>
    <w:rsid w:val="00A17328"/>
    <w:rsid w:val="00A175F7"/>
    <w:rsid w:val="00A23A20"/>
    <w:rsid w:val="00A24443"/>
    <w:rsid w:val="00A26781"/>
    <w:rsid w:val="00A268B9"/>
    <w:rsid w:val="00A26FB5"/>
    <w:rsid w:val="00A2703A"/>
    <w:rsid w:val="00A315A7"/>
    <w:rsid w:val="00A31C90"/>
    <w:rsid w:val="00A3201F"/>
    <w:rsid w:val="00A33CED"/>
    <w:rsid w:val="00A33DFF"/>
    <w:rsid w:val="00A35115"/>
    <w:rsid w:val="00A36CA9"/>
    <w:rsid w:val="00A36D9A"/>
    <w:rsid w:val="00A40116"/>
    <w:rsid w:val="00A40152"/>
    <w:rsid w:val="00A4104B"/>
    <w:rsid w:val="00A42654"/>
    <w:rsid w:val="00A441F9"/>
    <w:rsid w:val="00A451DC"/>
    <w:rsid w:val="00A46B0B"/>
    <w:rsid w:val="00A50B71"/>
    <w:rsid w:val="00A50D94"/>
    <w:rsid w:val="00A5295D"/>
    <w:rsid w:val="00A53FE9"/>
    <w:rsid w:val="00A546E5"/>
    <w:rsid w:val="00A554AB"/>
    <w:rsid w:val="00A57062"/>
    <w:rsid w:val="00A60775"/>
    <w:rsid w:val="00A66AF8"/>
    <w:rsid w:val="00A67781"/>
    <w:rsid w:val="00A70B15"/>
    <w:rsid w:val="00A7583A"/>
    <w:rsid w:val="00A761F9"/>
    <w:rsid w:val="00A762EB"/>
    <w:rsid w:val="00A803D0"/>
    <w:rsid w:val="00A806C7"/>
    <w:rsid w:val="00A808EC"/>
    <w:rsid w:val="00A82B03"/>
    <w:rsid w:val="00A83152"/>
    <w:rsid w:val="00A86CD9"/>
    <w:rsid w:val="00A86F65"/>
    <w:rsid w:val="00A92083"/>
    <w:rsid w:val="00A92B53"/>
    <w:rsid w:val="00A94FA6"/>
    <w:rsid w:val="00A95038"/>
    <w:rsid w:val="00A96821"/>
    <w:rsid w:val="00AA0E9E"/>
    <w:rsid w:val="00AA126B"/>
    <w:rsid w:val="00AA1419"/>
    <w:rsid w:val="00AA1683"/>
    <w:rsid w:val="00AA1D7D"/>
    <w:rsid w:val="00AA49A0"/>
    <w:rsid w:val="00AA5883"/>
    <w:rsid w:val="00AA6710"/>
    <w:rsid w:val="00AA7EE2"/>
    <w:rsid w:val="00AB0681"/>
    <w:rsid w:val="00AB0F43"/>
    <w:rsid w:val="00AB2965"/>
    <w:rsid w:val="00AB329F"/>
    <w:rsid w:val="00AB439C"/>
    <w:rsid w:val="00AB4CF5"/>
    <w:rsid w:val="00AB4F31"/>
    <w:rsid w:val="00AB56DA"/>
    <w:rsid w:val="00AB5E53"/>
    <w:rsid w:val="00AB6233"/>
    <w:rsid w:val="00AB7A39"/>
    <w:rsid w:val="00AB7C91"/>
    <w:rsid w:val="00AC26A6"/>
    <w:rsid w:val="00AC3A0B"/>
    <w:rsid w:val="00AC3A15"/>
    <w:rsid w:val="00AC7689"/>
    <w:rsid w:val="00AD11A1"/>
    <w:rsid w:val="00AD1598"/>
    <w:rsid w:val="00AD31AC"/>
    <w:rsid w:val="00AD3CA5"/>
    <w:rsid w:val="00AD3DDF"/>
    <w:rsid w:val="00AD520B"/>
    <w:rsid w:val="00AE3BCC"/>
    <w:rsid w:val="00AF6E2A"/>
    <w:rsid w:val="00B00A7D"/>
    <w:rsid w:val="00B00E8E"/>
    <w:rsid w:val="00B015CE"/>
    <w:rsid w:val="00B0307F"/>
    <w:rsid w:val="00B0362D"/>
    <w:rsid w:val="00B03CE4"/>
    <w:rsid w:val="00B04923"/>
    <w:rsid w:val="00B06A44"/>
    <w:rsid w:val="00B10E64"/>
    <w:rsid w:val="00B11FDE"/>
    <w:rsid w:val="00B12D79"/>
    <w:rsid w:val="00B12E55"/>
    <w:rsid w:val="00B12E97"/>
    <w:rsid w:val="00B1350A"/>
    <w:rsid w:val="00B13C46"/>
    <w:rsid w:val="00B13FAE"/>
    <w:rsid w:val="00B21AFB"/>
    <w:rsid w:val="00B231A6"/>
    <w:rsid w:val="00B23E80"/>
    <w:rsid w:val="00B25B79"/>
    <w:rsid w:val="00B34C95"/>
    <w:rsid w:val="00B35DE7"/>
    <w:rsid w:val="00B4026C"/>
    <w:rsid w:val="00B418F9"/>
    <w:rsid w:val="00B425C3"/>
    <w:rsid w:val="00B440AD"/>
    <w:rsid w:val="00B444FE"/>
    <w:rsid w:val="00B47181"/>
    <w:rsid w:val="00B475B3"/>
    <w:rsid w:val="00B479BB"/>
    <w:rsid w:val="00B50308"/>
    <w:rsid w:val="00B5254B"/>
    <w:rsid w:val="00B53E7E"/>
    <w:rsid w:val="00B53ED9"/>
    <w:rsid w:val="00B541D6"/>
    <w:rsid w:val="00B5444A"/>
    <w:rsid w:val="00B5566D"/>
    <w:rsid w:val="00B55C75"/>
    <w:rsid w:val="00B60D51"/>
    <w:rsid w:val="00B61127"/>
    <w:rsid w:val="00B6342E"/>
    <w:rsid w:val="00B64284"/>
    <w:rsid w:val="00B6472D"/>
    <w:rsid w:val="00B66BB7"/>
    <w:rsid w:val="00B7105E"/>
    <w:rsid w:val="00B7113F"/>
    <w:rsid w:val="00B74BC6"/>
    <w:rsid w:val="00B7768D"/>
    <w:rsid w:val="00B77CE0"/>
    <w:rsid w:val="00B80F15"/>
    <w:rsid w:val="00B90DE8"/>
    <w:rsid w:val="00B91AFB"/>
    <w:rsid w:val="00B91EBF"/>
    <w:rsid w:val="00B92837"/>
    <w:rsid w:val="00B940F6"/>
    <w:rsid w:val="00B95E03"/>
    <w:rsid w:val="00B95E83"/>
    <w:rsid w:val="00B965C1"/>
    <w:rsid w:val="00B96BCA"/>
    <w:rsid w:val="00BA1D9E"/>
    <w:rsid w:val="00BA2BCF"/>
    <w:rsid w:val="00BA32EE"/>
    <w:rsid w:val="00BA3630"/>
    <w:rsid w:val="00BA3D71"/>
    <w:rsid w:val="00BA5818"/>
    <w:rsid w:val="00BA5B14"/>
    <w:rsid w:val="00BA66D7"/>
    <w:rsid w:val="00BA73B6"/>
    <w:rsid w:val="00BA7738"/>
    <w:rsid w:val="00BA7E27"/>
    <w:rsid w:val="00BB0056"/>
    <w:rsid w:val="00BB0D44"/>
    <w:rsid w:val="00BB2603"/>
    <w:rsid w:val="00BB3112"/>
    <w:rsid w:val="00BB3BC7"/>
    <w:rsid w:val="00BB4A98"/>
    <w:rsid w:val="00BB4FCD"/>
    <w:rsid w:val="00BB5196"/>
    <w:rsid w:val="00BB7FE0"/>
    <w:rsid w:val="00BC04E9"/>
    <w:rsid w:val="00BC4BD3"/>
    <w:rsid w:val="00BC6B2F"/>
    <w:rsid w:val="00BC6F75"/>
    <w:rsid w:val="00BD0D44"/>
    <w:rsid w:val="00BD13EA"/>
    <w:rsid w:val="00BD1BCE"/>
    <w:rsid w:val="00BD304B"/>
    <w:rsid w:val="00BD3054"/>
    <w:rsid w:val="00BD61A2"/>
    <w:rsid w:val="00BE098F"/>
    <w:rsid w:val="00BE1F61"/>
    <w:rsid w:val="00BE34BB"/>
    <w:rsid w:val="00BE3661"/>
    <w:rsid w:val="00BE3808"/>
    <w:rsid w:val="00BE614B"/>
    <w:rsid w:val="00BE62AD"/>
    <w:rsid w:val="00BE75ED"/>
    <w:rsid w:val="00BE7F2B"/>
    <w:rsid w:val="00BF0AE9"/>
    <w:rsid w:val="00BF5106"/>
    <w:rsid w:val="00BF5108"/>
    <w:rsid w:val="00BF54A5"/>
    <w:rsid w:val="00BF5F4C"/>
    <w:rsid w:val="00BF74DC"/>
    <w:rsid w:val="00C020F8"/>
    <w:rsid w:val="00C03B88"/>
    <w:rsid w:val="00C03EA1"/>
    <w:rsid w:val="00C03F9E"/>
    <w:rsid w:val="00C05FBD"/>
    <w:rsid w:val="00C062E9"/>
    <w:rsid w:val="00C06BCB"/>
    <w:rsid w:val="00C070D9"/>
    <w:rsid w:val="00C07493"/>
    <w:rsid w:val="00C07B64"/>
    <w:rsid w:val="00C10450"/>
    <w:rsid w:val="00C106BF"/>
    <w:rsid w:val="00C10B5A"/>
    <w:rsid w:val="00C11E37"/>
    <w:rsid w:val="00C12636"/>
    <w:rsid w:val="00C13721"/>
    <w:rsid w:val="00C14837"/>
    <w:rsid w:val="00C14FE4"/>
    <w:rsid w:val="00C15AAF"/>
    <w:rsid w:val="00C15B0A"/>
    <w:rsid w:val="00C16C49"/>
    <w:rsid w:val="00C16E2C"/>
    <w:rsid w:val="00C2257F"/>
    <w:rsid w:val="00C258CE"/>
    <w:rsid w:val="00C27E5B"/>
    <w:rsid w:val="00C30575"/>
    <w:rsid w:val="00C3066D"/>
    <w:rsid w:val="00C321EC"/>
    <w:rsid w:val="00C36404"/>
    <w:rsid w:val="00C3741E"/>
    <w:rsid w:val="00C37661"/>
    <w:rsid w:val="00C41C12"/>
    <w:rsid w:val="00C4398E"/>
    <w:rsid w:val="00C43E52"/>
    <w:rsid w:val="00C4618D"/>
    <w:rsid w:val="00C504D2"/>
    <w:rsid w:val="00C52416"/>
    <w:rsid w:val="00C543F4"/>
    <w:rsid w:val="00C54F5D"/>
    <w:rsid w:val="00C55AE8"/>
    <w:rsid w:val="00C55F9B"/>
    <w:rsid w:val="00C56B4A"/>
    <w:rsid w:val="00C6165E"/>
    <w:rsid w:val="00C6291C"/>
    <w:rsid w:val="00C633CB"/>
    <w:rsid w:val="00C664CD"/>
    <w:rsid w:val="00C666D4"/>
    <w:rsid w:val="00C67E77"/>
    <w:rsid w:val="00C714EA"/>
    <w:rsid w:val="00C719F1"/>
    <w:rsid w:val="00C72259"/>
    <w:rsid w:val="00C73487"/>
    <w:rsid w:val="00C736B7"/>
    <w:rsid w:val="00C743DF"/>
    <w:rsid w:val="00C7578E"/>
    <w:rsid w:val="00C7645B"/>
    <w:rsid w:val="00C7742F"/>
    <w:rsid w:val="00C81D4A"/>
    <w:rsid w:val="00C82FF8"/>
    <w:rsid w:val="00C85472"/>
    <w:rsid w:val="00C8762C"/>
    <w:rsid w:val="00C90422"/>
    <w:rsid w:val="00C919EE"/>
    <w:rsid w:val="00C9618A"/>
    <w:rsid w:val="00C96490"/>
    <w:rsid w:val="00CA00F9"/>
    <w:rsid w:val="00CA1D7D"/>
    <w:rsid w:val="00CA2652"/>
    <w:rsid w:val="00CA2961"/>
    <w:rsid w:val="00CA758B"/>
    <w:rsid w:val="00CB00B8"/>
    <w:rsid w:val="00CB0138"/>
    <w:rsid w:val="00CB50D7"/>
    <w:rsid w:val="00CB7177"/>
    <w:rsid w:val="00CB7CED"/>
    <w:rsid w:val="00CC0400"/>
    <w:rsid w:val="00CC070F"/>
    <w:rsid w:val="00CC1998"/>
    <w:rsid w:val="00CC1EC1"/>
    <w:rsid w:val="00CC44DC"/>
    <w:rsid w:val="00CC44E6"/>
    <w:rsid w:val="00CC4946"/>
    <w:rsid w:val="00CC518F"/>
    <w:rsid w:val="00CC6269"/>
    <w:rsid w:val="00CC62D4"/>
    <w:rsid w:val="00CC64A1"/>
    <w:rsid w:val="00CC6D50"/>
    <w:rsid w:val="00CC7087"/>
    <w:rsid w:val="00CC7A68"/>
    <w:rsid w:val="00CD3109"/>
    <w:rsid w:val="00CD65C7"/>
    <w:rsid w:val="00CD6FE5"/>
    <w:rsid w:val="00CE1869"/>
    <w:rsid w:val="00CE37F9"/>
    <w:rsid w:val="00CE6EBF"/>
    <w:rsid w:val="00CE72EA"/>
    <w:rsid w:val="00CF15CA"/>
    <w:rsid w:val="00CF3121"/>
    <w:rsid w:val="00CF3B11"/>
    <w:rsid w:val="00CF6299"/>
    <w:rsid w:val="00D02581"/>
    <w:rsid w:val="00D03C4C"/>
    <w:rsid w:val="00D06BF4"/>
    <w:rsid w:val="00D110AF"/>
    <w:rsid w:val="00D157F2"/>
    <w:rsid w:val="00D15A24"/>
    <w:rsid w:val="00D178F6"/>
    <w:rsid w:val="00D2031A"/>
    <w:rsid w:val="00D21FFE"/>
    <w:rsid w:val="00D2286B"/>
    <w:rsid w:val="00D24D3A"/>
    <w:rsid w:val="00D253E0"/>
    <w:rsid w:val="00D25547"/>
    <w:rsid w:val="00D26F8B"/>
    <w:rsid w:val="00D270A4"/>
    <w:rsid w:val="00D30E13"/>
    <w:rsid w:val="00D31337"/>
    <w:rsid w:val="00D31437"/>
    <w:rsid w:val="00D31FE9"/>
    <w:rsid w:val="00D34D38"/>
    <w:rsid w:val="00D34E1B"/>
    <w:rsid w:val="00D36A4E"/>
    <w:rsid w:val="00D376BA"/>
    <w:rsid w:val="00D4030C"/>
    <w:rsid w:val="00D40B4E"/>
    <w:rsid w:val="00D41CA5"/>
    <w:rsid w:val="00D434A0"/>
    <w:rsid w:val="00D45634"/>
    <w:rsid w:val="00D459D6"/>
    <w:rsid w:val="00D46A1A"/>
    <w:rsid w:val="00D504FC"/>
    <w:rsid w:val="00D5414D"/>
    <w:rsid w:val="00D54D05"/>
    <w:rsid w:val="00D54FFD"/>
    <w:rsid w:val="00D5568A"/>
    <w:rsid w:val="00D56C61"/>
    <w:rsid w:val="00D63D73"/>
    <w:rsid w:val="00D64452"/>
    <w:rsid w:val="00D66392"/>
    <w:rsid w:val="00D66E1E"/>
    <w:rsid w:val="00D70218"/>
    <w:rsid w:val="00D70696"/>
    <w:rsid w:val="00D719F8"/>
    <w:rsid w:val="00D71CB1"/>
    <w:rsid w:val="00D74260"/>
    <w:rsid w:val="00D747F8"/>
    <w:rsid w:val="00D74D52"/>
    <w:rsid w:val="00D75718"/>
    <w:rsid w:val="00D75722"/>
    <w:rsid w:val="00D76BBB"/>
    <w:rsid w:val="00D77EC1"/>
    <w:rsid w:val="00D80CF5"/>
    <w:rsid w:val="00D822E8"/>
    <w:rsid w:val="00D82424"/>
    <w:rsid w:val="00D8341D"/>
    <w:rsid w:val="00D83D03"/>
    <w:rsid w:val="00D857BA"/>
    <w:rsid w:val="00D87E4C"/>
    <w:rsid w:val="00D9069E"/>
    <w:rsid w:val="00D90871"/>
    <w:rsid w:val="00D90D06"/>
    <w:rsid w:val="00D932C1"/>
    <w:rsid w:val="00D93FB3"/>
    <w:rsid w:val="00D94114"/>
    <w:rsid w:val="00D95BCD"/>
    <w:rsid w:val="00D96091"/>
    <w:rsid w:val="00D97425"/>
    <w:rsid w:val="00D97C54"/>
    <w:rsid w:val="00D97E11"/>
    <w:rsid w:val="00DA04F5"/>
    <w:rsid w:val="00DA05F5"/>
    <w:rsid w:val="00DA3852"/>
    <w:rsid w:val="00DA44DB"/>
    <w:rsid w:val="00DA5BBA"/>
    <w:rsid w:val="00DA6408"/>
    <w:rsid w:val="00DA7AF3"/>
    <w:rsid w:val="00DB26D2"/>
    <w:rsid w:val="00DB30C5"/>
    <w:rsid w:val="00DB3366"/>
    <w:rsid w:val="00DB3636"/>
    <w:rsid w:val="00DB3B30"/>
    <w:rsid w:val="00DB595B"/>
    <w:rsid w:val="00DB6682"/>
    <w:rsid w:val="00DB67C9"/>
    <w:rsid w:val="00DC0C95"/>
    <w:rsid w:val="00DC1609"/>
    <w:rsid w:val="00DC2D98"/>
    <w:rsid w:val="00DC35E9"/>
    <w:rsid w:val="00DC3C5B"/>
    <w:rsid w:val="00DC44EB"/>
    <w:rsid w:val="00DC4BB0"/>
    <w:rsid w:val="00DC4F0B"/>
    <w:rsid w:val="00DC6F4D"/>
    <w:rsid w:val="00DC735D"/>
    <w:rsid w:val="00DD0D69"/>
    <w:rsid w:val="00DD0EF4"/>
    <w:rsid w:val="00DD1636"/>
    <w:rsid w:val="00DD1724"/>
    <w:rsid w:val="00DD3DD1"/>
    <w:rsid w:val="00DD6333"/>
    <w:rsid w:val="00DD6580"/>
    <w:rsid w:val="00DE665E"/>
    <w:rsid w:val="00DE7AA2"/>
    <w:rsid w:val="00DF2363"/>
    <w:rsid w:val="00DF658B"/>
    <w:rsid w:val="00DF6706"/>
    <w:rsid w:val="00E01D7F"/>
    <w:rsid w:val="00E02BAB"/>
    <w:rsid w:val="00E05C03"/>
    <w:rsid w:val="00E07AAB"/>
    <w:rsid w:val="00E07F02"/>
    <w:rsid w:val="00E11A99"/>
    <w:rsid w:val="00E11B02"/>
    <w:rsid w:val="00E143B4"/>
    <w:rsid w:val="00E14913"/>
    <w:rsid w:val="00E15EBE"/>
    <w:rsid w:val="00E16E13"/>
    <w:rsid w:val="00E17C72"/>
    <w:rsid w:val="00E21F1B"/>
    <w:rsid w:val="00E21FC6"/>
    <w:rsid w:val="00E22AC8"/>
    <w:rsid w:val="00E238AA"/>
    <w:rsid w:val="00E238EA"/>
    <w:rsid w:val="00E23AB1"/>
    <w:rsid w:val="00E2748A"/>
    <w:rsid w:val="00E30CA5"/>
    <w:rsid w:val="00E315D1"/>
    <w:rsid w:val="00E33C71"/>
    <w:rsid w:val="00E3450B"/>
    <w:rsid w:val="00E36AF8"/>
    <w:rsid w:val="00E37BF6"/>
    <w:rsid w:val="00E43170"/>
    <w:rsid w:val="00E431A9"/>
    <w:rsid w:val="00E4774E"/>
    <w:rsid w:val="00E543E2"/>
    <w:rsid w:val="00E55EB8"/>
    <w:rsid w:val="00E57734"/>
    <w:rsid w:val="00E609BC"/>
    <w:rsid w:val="00E632C0"/>
    <w:rsid w:val="00E643A3"/>
    <w:rsid w:val="00E663FB"/>
    <w:rsid w:val="00E669E2"/>
    <w:rsid w:val="00E66CB7"/>
    <w:rsid w:val="00E67C70"/>
    <w:rsid w:val="00E70DB4"/>
    <w:rsid w:val="00E76135"/>
    <w:rsid w:val="00E80333"/>
    <w:rsid w:val="00E82F4F"/>
    <w:rsid w:val="00E838AF"/>
    <w:rsid w:val="00E864DF"/>
    <w:rsid w:val="00E878CD"/>
    <w:rsid w:val="00E913FE"/>
    <w:rsid w:val="00E918CD"/>
    <w:rsid w:val="00E934BB"/>
    <w:rsid w:val="00E9404F"/>
    <w:rsid w:val="00E95F22"/>
    <w:rsid w:val="00E96C40"/>
    <w:rsid w:val="00E96DD9"/>
    <w:rsid w:val="00E9718F"/>
    <w:rsid w:val="00EA03C3"/>
    <w:rsid w:val="00EA1D61"/>
    <w:rsid w:val="00EA29DB"/>
    <w:rsid w:val="00EA4BCB"/>
    <w:rsid w:val="00EA5D30"/>
    <w:rsid w:val="00EA72A5"/>
    <w:rsid w:val="00EB0054"/>
    <w:rsid w:val="00EB2CC3"/>
    <w:rsid w:val="00EB2F00"/>
    <w:rsid w:val="00EB4E07"/>
    <w:rsid w:val="00EB508B"/>
    <w:rsid w:val="00EB7BE8"/>
    <w:rsid w:val="00EC11E0"/>
    <w:rsid w:val="00EC1230"/>
    <w:rsid w:val="00EC1A34"/>
    <w:rsid w:val="00EC2844"/>
    <w:rsid w:val="00EC3180"/>
    <w:rsid w:val="00EC318B"/>
    <w:rsid w:val="00EC362D"/>
    <w:rsid w:val="00EC5429"/>
    <w:rsid w:val="00EC5500"/>
    <w:rsid w:val="00EC5EA9"/>
    <w:rsid w:val="00EC6BAE"/>
    <w:rsid w:val="00ED022C"/>
    <w:rsid w:val="00ED18F8"/>
    <w:rsid w:val="00ED277D"/>
    <w:rsid w:val="00ED344B"/>
    <w:rsid w:val="00ED38F7"/>
    <w:rsid w:val="00ED3FDB"/>
    <w:rsid w:val="00EE2E74"/>
    <w:rsid w:val="00EE661D"/>
    <w:rsid w:val="00EE6EDA"/>
    <w:rsid w:val="00EE778E"/>
    <w:rsid w:val="00EF23FF"/>
    <w:rsid w:val="00EF53E4"/>
    <w:rsid w:val="00EF6719"/>
    <w:rsid w:val="00EF6C6C"/>
    <w:rsid w:val="00EF7643"/>
    <w:rsid w:val="00EF79EA"/>
    <w:rsid w:val="00F00C36"/>
    <w:rsid w:val="00F01F3A"/>
    <w:rsid w:val="00F026DB"/>
    <w:rsid w:val="00F030DC"/>
    <w:rsid w:val="00F056FC"/>
    <w:rsid w:val="00F0632F"/>
    <w:rsid w:val="00F06442"/>
    <w:rsid w:val="00F069AE"/>
    <w:rsid w:val="00F1000A"/>
    <w:rsid w:val="00F10476"/>
    <w:rsid w:val="00F12F78"/>
    <w:rsid w:val="00F135D8"/>
    <w:rsid w:val="00F137AB"/>
    <w:rsid w:val="00F1547D"/>
    <w:rsid w:val="00F17301"/>
    <w:rsid w:val="00F17C20"/>
    <w:rsid w:val="00F24797"/>
    <w:rsid w:val="00F2590F"/>
    <w:rsid w:val="00F2600B"/>
    <w:rsid w:val="00F30347"/>
    <w:rsid w:val="00F31299"/>
    <w:rsid w:val="00F328C2"/>
    <w:rsid w:val="00F3329D"/>
    <w:rsid w:val="00F33B02"/>
    <w:rsid w:val="00F34147"/>
    <w:rsid w:val="00F3534A"/>
    <w:rsid w:val="00F35BFB"/>
    <w:rsid w:val="00F36ACC"/>
    <w:rsid w:val="00F37C7D"/>
    <w:rsid w:val="00F408C1"/>
    <w:rsid w:val="00F4422E"/>
    <w:rsid w:val="00F4438B"/>
    <w:rsid w:val="00F44E0F"/>
    <w:rsid w:val="00F51609"/>
    <w:rsid w:val="00F53C0F"/>
    <w:rsid w:val="00F55C25"/>
    <w:rsid w:val="00F57849"/>
    <w:rsid w:val="00F641E7"/>
    <w:rsid w:val="00F642F1"/>
    <w:rsid w:val="00F64766"/>
    <w:rsid w:val="00F64C33"/>
    <w:rsid w:val="00F65B0A"/>
    <w:rsid w:val="00F723E1"/>
    <w:rsid w:val="00F72C38"/>
    <w:rsid w:val="00F73727"/>
    <w:rsid w:val="00F7591B"/>
    <w:rsid w:val="00F766A7"/>
    <w:rsid w:val="00F76DF3"/>
    <w:rsid w:val="00F81006"/>
    <w:rsid w:val="00F82351"/>
    <w:rsid w:val="00F82A83"/>
    <w:rsid w:val="00F83405"/>
    <w:rsid w:val="00F83F1B"/>
    <w:rsid w:val="00F83FDE"/>
    <w:rsid w:val="00F8521B"/>
    <w:rsid w:val="00F85325"/>
    <w:rsid w:val="00F863CA"/>
    <w:rsid w:val="00F9174C"/>
    <w:rsid w:val="00F9290A"/>
    <w:rsid w:val="00F9353E"/>
    <w:rsid w:val="00F9517A"/>
    <w:rsid w:val="00F97976"/>
    <w:rsid w:val="00F97D3D"/>
    <w:rsid w:val="00FA165F"/>
    <w:rsid w:val="00FA694F"/>
    <w:rsid w:val="00FA6D48"/>
    <w:rsid w:val="00FB04EE"/>
    <w:rsid w:val="00FB1D90"/>
    <w:rsid w:val="00FB239E"/>
    <w:rsid w:val="00FB375C"/>
    <w:rsid w:val="00FB3AC1"/>
    <w:rsid w:val="00FB54DE"/>
    <w:rsid w:val="00FB67B5"/>
    <w:rsid w:val="00FC1299"/>
    <w:rsid w:val="00FC2117"/>
    <w:rsid w:val="00FC3A05"/>
    <w:rsid w:val="00FC40EE"/>
    <w:rsid w:val="00FD22B1"/>
    <w:rsid w:val="00FD23A8"/>
    <w:rsid w:val="00FD33F1"/>
    <w:rsid w:val="00FD3566"/>
    <w:rsid w:val="00FD422B"/>
    <w:rsid w:val="00FD44A8"/>
    <w:rsid w:val="00FE0B08"/>
    <w:rsid w:val="00FE2326"/>
    <w:rsid w:val="00FE5397"/>
    <w:rsid w:val="00FE5F71"/>
    <w:rsid w:val="00FE62DD"/>
    <w:rsid w:val="00FE6B2B"/>
    <w:rsid w:val="00FE6D6F"/>
    <w:rsid w:val="00FE7309"/>
    <w:rsid w:val="00FF0AAE"/>
    <w:rsid w:val="00FF1387"/>
    <w:rsid w:val="00FF5A07"/>
    <w:rsid w:val="00FF5B12"/>
    <w:rsid w:val="00FF5C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ecimalSymbol w:val="."/>
  <w:listSeparator w:val=","/>
  <w14:docId w14:val="4F764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toc 1" w:uiPriority="39"/>
    <w:lsdException w:name="toc 2" w:uiPriority="39"/>
    <w:lsdException w:name="toc 3" w:uiPriority="39"/>
    <w:lsdException w:name="toc 4" w:uiPriority="39"/>
    <w:lsdException w:name="caption" w:qFormat="1"/>
    <w:lsdException w:name="List Bullet" w:qFormat="1"/>
    <w:lsdException w:name="Default Paragraph Font" w:uiPriority="1"/>
    <w:lsdException w:name="Body Text" w:qFormat="1"/>
    <w:lsdException w:name="Subtitle" w:qFormat="1"/>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4E5F60"/>
    <w:rPr>
      <w:sz w:val="24"/>
      <w:szCs w:val="24"/>
    </w:rPr>
  </w:style>
  <w:style w:type="paragraph" w:styleId="Heading1">
    <w:name w:val="heading 1"/>
    <w:basedOn w:val="Normal"/>
    <w:next w:val="BodyText"/>
    <w:link w:val="Heading1Char"/>
    <w:qFormat/>
    <w:rsid w:val="00FD22B1"/>
    <w:pPr>
      <w:keepNext/>
      <w:spacing w:before="160" w:after="1360" w:line="600" w:lineRule="exact"/>
      <w:ind w:left="907" w:hanging="907"/>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aliases w:val="3rd level heading,NCC 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aliases w:val="Minor heading,NCC 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link w:val="Heading6Char"/>
    <w:semiHidden/>
    <w:rsid w:val="00A17328"/>
    <w:pPr>
      <w:spacing w:after="60"/>
      <w:jc w:val="left"/>
      <w:outlineLvl w:val="5"/>
    </w:pPr>
    <w:rPr>
      <w:i/>
      <w:sz w:val="22"/>
    </w:rPr>
  </w:style>
  <w:style w:type="paragraph" w:styleId="Heading7">
    <w:name w:val="heading 7"/>
    <w:basedOn w:val="BodyText"/>
    <w:next w:val="BodyText"/>
    <w:link w:val="Heading7Char"/>
    <w:semiHidden/>
    <w:rsid w:val="00A17328"/>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A17328"/>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link w:val="HeaderChar"/>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qForma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link w:val="NoteChar"/>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qForma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rPr>
      <w:szCs w:val="20"/>
    </w:r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rsid w:val="00A17328"/>
    <w:rPr>
      <w:b/>
      <w:vanish/>
      <w:color w:val="FF00FF"/>
      <w:sz w:val="20"/>
    </w:rPr>
  </w:style>
  <w:style w:type="paragraph" w:styleId="CommentText">
    <w:name w:val="annotation text"/>
    <w:basedOn w:val="Normal"/>
    <w:link w:val="CommentTextChar"/>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aliases w:val="(NECG) Footnote Reference"/>
    <w:basedOn w:val="DefaultParagraphFont"/>
    <w:rsid w:val="00243997"/>
    <w:rPr>
      <w:rFonts w:ascii="Times New Roman" w:hAnsi="Times New Roman"/>
      <w:position w:val="6"/>
      <w:sz w:val="20"/>
      <w:vertAlign w:val="baseline"/>
    </w:rPr>
  </w:style>
  <w:style w:type="paragraph" w:styleId="FootnoteText">
    <w:name w:val="footnote text"/>
    <w:aliases w:val="Car,ALTS FOOTNOTE,(NECG) Footnote Text,AR Footnote Text,Footnote text,Char,NCC 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link w:val="ListBulletChar"/>
    <w:qForma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uiPriority w:val="39"/>
    <w:rsid w:val="00F73727"/>
    <w:pPr>
      <w:spacing w:before="60"/>
      <w:ind w:left="1190" w:hanging="680"/>
    </w:pPr>
  </w:style>
  <w:style w:type="paragraph" w:styleId="TableofFigures">
    <w:name w:val="table of figures"/>
    <w:basedOn w:val="TOC3"/>
    <w:next w:val="BodyText"/>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uiPriority w:val="39"/>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NoteChar">
    <w:name w:val="Note Char"/>
    <w:basedOn w:val="BodyTextChar"/>
    <w:link w:val="Note"/>
    <w:locked/>
    <w:rsid w:val="004E5F60"/>
    <w:rPr>
      <w:rFonts w:ascii="Arial" w:hAnsi="Arial"/>
      <w:sz w:val="18"/>
    </w:rPr>
  </w:style>
  <w:style w:type="paragraph" w:styleId="Revision">
    <w:name w:val="Revision"/>
    <w:hidden/>
    <w:uiPriority w:val="99"/>
    <w:semiHidden/>
    <w:rsid w:val="004E5F60"/>
    <w:rPr>
      <w:sz w:val="24"/>
      <w:szCs w:val="24"/>
    </w:rPr>
  </w:style>
  <w:style w:type="paragraph" w:styleId="CommentSubject">
    <w:name w:val="annotation subject"/>
    <w:basedOn w:val="CommentText"/>
    <w:next w:val="CommentText"/>
    <w:link w:val="CommentSubjectChar"/>
    <w:rsid w:val="004E5F60"/>
    <w:pPr>
      <w:spacing w:before="0" w:line="240" w:lineRule="auto"/>
      <w:ind w:left="0" w:firstLine="0"/>
    </w:pPr>
    <w:rPr>
      <w:b/>
      <w:bCs/>
      <w:szCs w:val="20"/>
    </w:rPr>
  </w:style>
  <w:style w:type="character" w:customStyle="1" w:styleId="CommentTextChar">
    <w:name w:val="Comment Text Char"/>
    <w:basedOn w:val="DefaultParagraphFont"/>
    <w:link w:val="CommentText"/>
    <w:rsid w:val="004E5F60"/>
    <w:rPr>
      <w:szCs w:val="24"/>
    </w:rPr>
  </w:style>
  <w:style w:type="character" w:customStyle="1" w:styleId="CommentSubjectChar">
    <w:name w:val="Comment Subject Char"/>
    <w:basedOn w:val="CommentTextChar"/>
    <w:link w:val="CommentSubject"/>
    <w:rsid w:val="004E5F60"/>
    <w:rPr>
      <w:b/>
      <w:bCs/>
      <w:szCs w:val="24"/>
    </w:rPr>
  </w:style>
  <w:style w:type="character" w:styleId="PlaceholderText">
    <w:name w:val="Placeholder Text"/>
    <w:basedOn w:val="DefaultParagraphFont"/>
    <w:uiPriority w:val="99"/>
    <w:semiHidden/>
    <w:rsid w:val="004E5F60"/>
    <w:rPr>
      <w:color w:val="808080"/>
    </w:rPr>
  </w:style>
  <w:style w:type="paragraph" w:styleId="NormalWeb">
    <w:name w:val="Normal (Web)"/>
    <w:basedOn w:val="Normal"/>
    <w:uiPriority w:val="99"/>
    <w:unhideWhenUsed/>
    <w:rsid w:val="004E5F60"/>
    <w:pPr>
      <w:spacing w:before="100" w:beforeAutospacing="1" w:after="100" w:afterAutospacing="1"/>
    </w:pPr>
    <w:rPr>
      <w:rFonts w:eastAsiaTheme="minorEastAsia"/>
    </w:rPr>
  </w:style>
  <w:style w:type="character" w:styleId="EndnoteReference">
    <w:name w:val="endnote reference"/>
    <w:basedOn w:val="DefaultParagraphFont"/>
    <w:rsid w:val="004E5F60"/>
    <w:rPr>
      <w:vertAlign w:val="superscript"/>
    </w:rPr>
  </w:style>
  <w:style w:type="paragraph" w:styleId="Bibliography">
    <w:name w:val="Bibliography"/>
    <w:basedOn w:val="Normal"/>
    <w:next w:val="Normal"/>
    <w:uiPriority w:val="37"/>
    <w:unhideWhenUsed/>
    <w:rsid w:val="004E5F60"/>
    <w:pPr>
      <w:spacing w:after="240"/>
      <w:ind w:left="720" w:hanging="720"/>
    </w:pPr>
  </w:style>
  <w:style w:type="paragraph" w:styleId="ListParagraph">
    <w:name w:val="List Paragraph"/>
    <w:basedOn w:val="Normal"/>
    <w:uiPriority w:val="34"/>
    <w:qFormat/>
    <w:rsid w:val="004E5F60"/>
    <w:pPr>
      <w:ind w:left="720"/>
    </w:pPr>
    <w:rPr>
      <w:rFonts w:ascii="Calibri" w:hAnsi="Calibri"/>
      <w:sz w:val="22"/>
      <w:szCs w:val="22"/>
      <w:lang w:eastAsia="en-US"/>
    </w:rPr>
  </w:style>
  <w:style w:type="paragraph" w:customStyle="1" w:styleId="Heading1NotTOC">
    <w:name w:val="Heading 1 Not TOC"/>
    <w:basedOn w:val="Heading1"/>
    <w:next w:val="BodyText"/>
    <w:rsid w:val="004E5F60"/>
    <w:rPr>
      <w:kern w:val="28"/>
      <w:szCs w:val="26"/>
      <w:lang w:eastAsia="en-US"/>
    </w:rPr>
  </w:style>
  <w:style w:type="character" w:customStyle="1" w:styleId="Heading1Char">
    <w:name w:val="Heading 1 Char"/>
    <w:basedOn w:val="DefaultParagraphFont"/>
    <w:link w:val="Heading1"/>
    <w:rsid w:val="004E5F60"/>
    <w:rPr>
      <w:sz w:val="52"/>
      <w:szCs w:val="24"/>
    </w:rPr>
  </w:style>
  <w:style w:type="character" w:customStyle="1" w:styleId="Heading2Char">
    <w:name w:val="Heading 2 Char"/>
    <w:basedOn w:val="DefaultParagraphFont"/>
    <w:link w:val="Heading2"/>
    <w:rsid w:val="004E5F60"/>
    <w:rPr>
      <w:rFonts w:ascii="Arial" w:hAnsi="Arial"/>
      <w:b/>
      <w:sz w:val="32"/>
    </w:rPr>
  </w:style>
  <w:style w:type="character" w:customStyle="1" w:styleId="Heading3Char">
    <w:name w:val="Heading 3 Char"/>
    <w:aliases w:val="3rd level heading Char,NCC Heading 3 Char"/>
    <w:basedOn w:val="DefaultParagraphFont"/>
    <w:link w:val="Heading3"/>
    <w:rsid w:val="004E5F60"/>
    <w:rPr>
      <w:rFonts w:ascii="Arial" w:hAnsi="Arial"/>
      <w:b/>
      <w:sz w:val="26"/>
    </w:rPr>
  </w:style>
  <w:style w:type="character" w:customStyle="1" w:styleId="Heading4Char">
    <w:name w:val="Heading 4 Char"/>
    <w:aliases w:val="Minor heading Char,NCC Heading 4 Char"/>
    <w:basedOn w:val="DefaultParagraphFont"/>
    <w:link w:val="Heading4"/>
    <w:rsid w:val="004E5F60"/>
    <w:rPr>
      <w:rFonts w:ascii="Arial" w:hAnsi="Arial"/>
      <w:sz w:val="24"/>
    </w:rPr>
  </w:style>
  <w:style w:type="character" w:customStyle="1" w:styleId="Heading6Char">
    <w:name w:val="Heading 6 Char"/>
    <w:basedOn w:val="DefaultParagraphFont"/>
    <w:link w:val="Heading6"/>
    <w:semiHidden/>
    <w:rsid w:val="004E5F60"/>
    <w:rPr>
      <w:i/>
      <w:sz w:val="22"/>
    </w:rPr>
  </w:style>
  <w:style w:type="character" w:customStyle="1" w:styleId="Heading7Char">
    <w:name w:val="Heading 7 Char"/>
    <w:basedOn w:val="DefaultParagraphFont"/>
    <w:link w:val="Heading7"/>
    <w:semiHidden/>
    <w:rsid w:val="004E5F60"/>
    <w:rPr>
      <w:rFonts w:ascii="Arial" w:hAnsi="Arial"/>
    </w:rPr>
  </w:style>
  <w:style w:type="character" w:customStyle="1" w:styleId="Heading8Char">
    <w:name w:val="Heading 8 Char"/>
    <w:basedOn w:val="DefaultParagraphFont"/>
    <w:link w:val="Heading8"/>
    <w:semiHidden/>
    <w:rsid w:val="004E5F60"/>
    <w:rPr>
      <w:rFonts w:ascii="Arial" w:hAnsi="Arial"/>
      <w:i/>
    </w:rPr>
  </w:style>
  <w:style w:type="character" w:customStyle="1" w:styleId="Heading9Char">
    <w:name w:val="Heading 9 Char"/>
    <w:basedOn w:val="DefaultParagraphFont"/>
    <w:link w:val="Heading9"/>
    <w:semiHidden/>
    <w:rsid w:val="004E5F60"/>
    <w:rPr>
      <w:rFonts w:ascii="Arial" w:hAnsi="Arial"/>
      <w:b/>
      <w:i/>
      <w:sz w:val="18"/>
    </w:rPr>
  </w:style>
  <w:style w:type="character" w:customStyle="1" w:styleId="HeaderChar">
    <w:name w:val="Header Char"/>
    <w:basedOn w:val="DefaultParagraphFont"/>
    <w:link w:val="Header"/>
    <w:rsid w:val="004E5F60"/>
    <w:rPr>
      <w:rFonts w:ascii="Arial" w:hAnsi="Arial"/>
      <w:caps/>
      <w:sz w:val="24"/>
    </w:rPr>
  </w:style>
  <w:style w:type="character" w:customStyle="1" w:styleId="FootnoteTextChar">
    <w:name w:val="Footnote Text Char"/>
    <w:aliases w:val="Car Char,ALTS FOOTNOTE Char,(NECG) Footnote Text Char,AR Footnote Text Char,Footnote text Char,Char Char,NCC Footnote Text Char"/>
    <w:basedOn w:val="DefaultParagraphFont"/>
    <w:link w:val="FootnoteText"/>
    <w:rsid w:val="004E5F60"/>
  </w:style>
  <w:style w:type="character" w:customStyle="1" w:styleId="QuoteChar">
    <w:name w:val="Quote Char"/>
    <w:basedOn w:val="DefaultParagraphFont"/>
    <w:link w:val="Quote"/>
    <w:rsid w:val="004E5F60"/>
    <w:rPr>
      <w:sz w:val="22"/>
    </w:rPr>
  </w:style>
  <w:style w:type="paragraph" w:customStyle="1" w:styleId="Default">
    <w:name w:val="Default"/>
    <w:rsid w:val="00DA3852"/>
    <w:pPr>
      <w:autoSpaceDE w:val="0"/>
      <w:autoSpaceDN w:val="0"/>
      <w:adjustRightInd w:val="0"/>
    </w:pPr>
    <w:rPr>
      <w:rFonts w:ascii="Univers LT Std 45 Light" w:hAnsi="Univers LT Std 45 Light" w:cs="Univers LT Std 45 Light"/>
      <w:color w:val="000000"/>
      <w:sz w:val="24"/>
      <w:szCs w:val="24"/>
    </w:rPr>
  </w:style>
  <w:style w:type="character" w:styleId="Hyperlink">
    <w:name w:val="Hyperlink"/>
    <w:basedOn w:val="DefaultParagraphFont"/>
    <w:rsid w:val="00DA3852"/>
    <w:rPr>
      <w:color w:val="78A22F" w:themeColor="hyperlink"/>
      <w:u w:val="single"/>
    </w:rPr>
  </w:style>
  <w:style w:type="character" w:styleId="FollowedHyperlink">
    <w:name w:val="FollowedHyperlink"/>
    <w:basedOn w:val="DefaultParagraphFont"/>
    <w:rsid w:val="00DA3852"/>
    <w:rPr>
      <w:color w:val="387DD2" w:themeColor="followedHyperlink"/>
      <w:u w:val="single"/>
    </w:rPr>
  </w:style>
  <w:style w:type="character" w:customStyle="1" w:styleId="apple-converted-space">
    <w:name w:val="apple-converted-space"/>
    <w:basedOn w:val="DefaultParagraphFont"/>
    <w:rsid w:val="00DA3852"/>
  </w:style>
  <w:style w:type="character" w:customStyle="1" w:styleId="Title1">
    <w:name w:val="Title1"/>
    <w:basedOn w:val="DefaultParagraphFont"/>
    <w:rsid w:val="00DA3852"/>
  </w:style>
  <w:style w:type="character" w:customStyle="1" w:styleId="ListBulletChar">
    <w:name w:val="List Bullet Char"/>
    <w:basedOn w:val="DefaultParagraphFont"/>
    <w:link w:val="ListBullet"/>
    <w:rsid w:val="00DA3852"/>
    <w:rPr>
      <w:sz w:val="24"/>
    </w:rPr>
  </w:style>
  <w:style w:type="character" w:customStyle="1" w:styleId="BoxChar">
    <w:name w:val="Box Char"/>
    <w:link w:val="Box"/>
    <w:locked/>
    <w:rsid w:val="00DA3852"/>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toc 1" w:uiPriority="39"/>
    <w:lsdException w:name="toc 2" w:uiPriority="39"/>
    <w:lsdException w:name="toc 3" w:uiPriority="39"/>
    <w:lsdException w:name="toc 4" w:uiPriority="39"/>
    <w:lsdException w:name="caption" w:qFormat="1"/>
    <w:lsdException w:name="List Bullet" w:qFormat="1"/>
    <w:lsdException w:name="Default Paragraph Font" w:uiPriority="1"/>
    <w:lsdException w:name="Body Text" w:qFormat="1"/>
    <w:lsdException w:name="Subtitle" w:qFormat="1"/>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4E5F60"/>
    <w:rPr>
      <w:sz w:val="24"/>
      <w:szCs w:val="24"/>
    </w:rPr>
  </w:style>
  <w:style w:type="paragraph" w:styleId="Heading1">
    <w:name w:val="heading 1"/>
    <w:basedOn w:val="Normal"/>
    <w:next w:val="BodyText"/>
    <w:link w:val="Heading1Char"/>
    <w:qFormat/>
    <w:rsid w:val="00FD22B1"/>
    <w:pPr>
      <w:keepNext/>
      <w:spacing w:before="160" w:after="1360" w:line="600" w:lineRule="exact"/>
      <w:ind w:left="907" w:hanging="907"/>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aliases w:val="3rd level heading,NCC 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aliases w:val="Minor heading,NCC 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link w:val="Heading6Char"/>
    <w:semiHidden/>
    <w:rsid w:val="00A17328"/>
    <w:pPr>
      <w:spacing w:after="60"/>
      <w:jc w:val="left"/>
      <w:outlineLvl w:val="5"/>
    </w:pPr>
    <w:rPr>
      <w:i/>
      <w:sz w:val="22"/>
    </w:rPr>
  </w:style>
  <w:style w:type="paragraph" w:styleId="Heading7">
    <w:name w:val="heading 7"/>
    <w:basedOn w:val="BodyText"/>
    <w:next w:val="BodyText"/>
    <w:link w:val="Heading7Char"/>
    <w:semiHidden/>
    <w:rsid w:val="00A17328"/>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A17328"/>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link w:val="HeaderChar"/>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qForma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link w:val="NoteChar"/>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qForma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rPr>
      <w:szCs w:val="20"/>
    </w:r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rsid w:val="00A17328"/>
    <w:rPr>
      <w:b/>
      <w:vanish/>
      <w:color w:val="FF00FF"/>
      <w:sz w:val="20"/>
    </w:rPr>
  </w:style>
  <w:style w:type="paragraph" w:styleId="CommentText">
    <w:name w:val="annotation text"/>
    <w:basedOn w:val="Normal"/>
    <w:link w:val="CommentTextChar"/>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aliases w:val="(NECG) Footnote Reference"/>
    <w:basedOn w:val="DefaultParagraphFont"/>
    <w:rsid w:val="00243997"/>
    <w:rPr>
      <w:rFonts w:ascii="Times New Roman" w:hAnsi="Times New Roman"/>
      <w:position w:val="6"/>
      <w:sz w:val="20"/>
      <w:vertAlign w:val="baseline"/>
    </w:rPr>
  </w:style>
  <w:style w:type="paragraph" w:styleId="FootnoteText">
    <w:name w:val="footnote text"/>
    <w:aliases w:val="Car,ALTS FOOTNOTE,(NECG) Footnote Text,AR Footnote Text,Footnote text,Char,NCC 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link w:val="ListBulletChar"/>
    <w:qForma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uiPriority w:val="39"/>
    <w:rsid w:val="00F73727"/>
    <w:pPr>
      <w:spacing w:before="60"/>
      <w:ind w:left="1190" w:hanging="680"/>
    </w:pPr>
  </w:style>
  <w:style w:type="paragraph" w:styleId="TableofFigures">
    <w:name w:val="table of figures"/>
    <w:basedOn w:val="TOC3"/>
    <w:next w:val="BodyText"/>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uiPriority w:val="39"/>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NoteChar">
    <w:name w:val="Note Char"/>
    <w:basedOn w:val="BodyTextChar"/>
    <w:link w:val="Note"/>
    <w:locked/>
    <w:rsid w:val="004E5F60"/>
    <w:rPr>
      <w:rFonts w:ascii="Arial" w:hAnsi="Arial"/>
      <w:sz w:val="18"/>
    </w:rPr>
  </w:style>
  <w:style w:type="paragraph" w:styleId="Revision">
    <w:name w:val="Revision"/>
    <w:hidden/>
    <w:uiPriority w:val="99"/>
    <w:semiHidden/>
    <w:rsid w:val="004E5F60"/>
    <w:rPr>
      <w:sz w:val="24"/>
      <w:szCs w:val="24"/>
    </w:rPr>
  </w:style>
  <w:style w:type="paragraph" w:styleId="CommentSubject">
    <w:name w:val="annotation subject"/>
    <w:basedOn w:val="CommentText"/>
    <w:next w:val="CommentText"/>
    <w:link w:val="CommentSubjectChar"/>
    <w:rsid w:val="004E5F60"/>
    <w:pPr>
      <w:spacing w:before="0" w:line="240" w:lineRule="auto"/>
      <w:ind w:left="0" w:firstLine="0"/>
    </w:pPr>
    <w:rPr>
      <w:b/>
      <w:bCs/>
      <w:szCs w:val="20"/>
    </w:rPr>
  </w:style>
  <w:style w:type="character" w:customStyle="1" w:styleId="CommentTextChar">
    <w:name w:val="Comment Text Char"/>
    <w:basedOn w:val="DefaultParagraphFont"/>
    <w:link w:val="CommentText"/>
    <w:rsid w:val="004E5F60"/>
    <w:rPr>
      <w:szCs w:val="24"/>
    </w:rPr>
  </w:style>
  <w:style w:type="character" w:customStyle="1" w:styleId="CommentSubjectChar">
    <w:name w:val="Comment Subject Char"/>
    <w:basedOn w:val="CommentTextChar"/>
    <w:link w:val="CommentSubject"/>
    <w:rsid w:val="004E5F60"/>
    <w:rPr>
      <w:b/>
      <w:bCs/>
      <w:szCs w:val="24"/>
    </w:rPr>
  </w:style>
  <w:style w:type="character" w:styleId="PlaceholderText">
    <w:name w:val="Placeholder Text"/>
    <w:basedOn w:val="DefaultParagraphFont"/>
    <w:uiPriority w:val="99"/>
    <w:semiHidden/>
    <w:rsid w:val="004E5F60"/>
    <w:rPr>
      <w:color w:val="808080"/>
    </w:rPr>
  </w:style>
  <w:style w:type="paragraph" w:styleId="NormalWeb">
    <w:name w:val="Normal (Web)"/>
    <w:basedOn w:val="Normal"/>
    <w:uiPriority w:val="99"/>
    <w:unhideWhenUsed/>
    <w:rsid w:val="004E5F60"/>
    <w:pPr>
      <w:spacing w:before="100" w:beforeAutospacing="1" w:after="100" w:afterAutospacing="1"/>
    </w:pPr>
    <w:rPr>
      <w:rFonts w:eastAsiaTheme="minorEastAsia"/>
    </w:rPr>
  </w:style>
  <w:style w:type="character" w:styleId="EndnoteReference">
    <w:name w:val="endnote reference"/>
    <w:basedOn w:val="DefaultParagraphFont"/>
    <w:rsid w:val="004E5F60"/>
    <w:rPr>
      <w:vertAlign w:val="superscript"/>
    </w:rPr>
  </w:style>
  <w:style w:type="paragraph" w:styleId="Bibliography">
    <w:name w:val="Bibliography"/>
    <w:basedOn w:val="Normal"/>
    <w:next w:val="Normal"/>
    <w:uiPriority w:val="37"/>
    <w:unhideWhenUsed/>
    <w:rsid w:val="004E5F60"/>
    <w:pPr>
      <w:spacing w:after="240"/>
      <w:ind w:left="720" w:hanging="720"/>
    </w:pPr>
  </w:style>
  <w:style w:type="paragraph" w:styleId="ListParagraph">
    <w:name w:val="List Paragraph"/>
    <w:basedOn w:val="Normal"/>
    <w:uiPriority w:val="34"/>
    <w:qFormat/>
    <w:rsid w:val="004E5F60"/>
    <w:pPr>
      <w:ind w:left="720"/>
    </w:pPr>
    <w:rPr>
      <w:rFonts w:ascii="Calibri" w:hAnsi="Calibri"/>
      <w:sz w:val="22"/>
      <w:szCs w:val="22"/>
      <w:lang w:eastAsia="en-US"/>
    </w:rPr>
  </w:style>
  <w:style w:type="paragraph" w:customStyle="1" w:styleId="Heading1NotTOC">
    <w:name w:val="Heading 1 Not TOC"/>
    <w:basedOn w:val="Heading1"/>
    <w:next w:val="BodyText"/>
    <w:rsid w:val="004E5F60"/>
    <w:rPr>
      <w:kern w:val="28"/>
      <w:szCs w:val="26"/>
      <w:lang w:eastAsia="en-US"/>
    </w:rPr>
  </w:style>
  <w:style w:type="character" w:customStyle="1" w:styleId="Heading1Char">
    <w:name w:val="Heading 1 Char"/>
    <w:basedOn w:val="DefaultParagraphFont"/>
    <w:link w:val="Heading1"/>
    <w:rsid w:val="004E5F60"/>
    <w:rPr>
      <w:sz w:val="52"/>
      <w:szCs w:val="24"/>
    </w:rPr>
  </w:style>
  <w:style w:type="character" w:customStyle="1" w:styleId="Heading2Char">
    <w:name w:val="Heading 2 Char"/>
    <w:basedOn w:val="DefaultParagraphFont"/>
    <w:link w:val="Heading2"/>
    <w:rsid w:val="004E5F60"/>
    <w:rPr>
      <w:rFonts w:ascii="Arial" w:hAnsi="Arial"/>
      <w:b/>
      <w:sz w:val="32"/>
    </w:rPr>
  </w:style>
  <w:style w:type="character" w:customStyle="1" w:styleId="Heading3Char">
    <w:name w:val="Heading 3 Char"/>
    <w:aliases w:val="3rd level heading Char,NCC Heading 3 Char"/>
    <w:basedOn w:val="DefaultParagraphFont"/>
    <w:link w:val="Heading3"/>
    <w:rsid w:val="004E5F60"/>
    <w:rPr>
      <w:rFonts w:ascii="Arial" w:hAnsi="Arial"/>
      <w:b/>
      <w:sz w:val="26"/>
    </w:rPr>
  </w:style>
  <w:style w:type="character" w:customStyle="1" w:styleId="Heading4Char">
    <w:name w:val="Heading 4 Char"/>
    <w:aliases w:val="Minor heading Char,NCC Heading 4 Char"/>
    <w:basedOn w:val="DefaultParagraphFont"/>
    <w:link w:val="Heading4"/>
    <w:rsid w:val="004E5F60"/>
    <w:rPr>
      <w:rFonts w:ascii="Arial" w:hAnsi="Arial"/>
      <w:sz w:val="24"/>
    </w:rPr>
  </w:style>
  <w:style w:type="character" w:customStyle="1" w:styleId="Heading6Char">
    <w:name w:val="Heading 6 Char"/>
    <w:basedOn w:val="DefaultParagraphFont"/>
    <w:link w:val="Heading6"/>
    <w:semiHidden/>
    <w:rsid w:val="004E5F60"/>
    <w:rPr>
      <w:i/>
      <w:sz w:val="22"/>
    </w:rPr>
  </w:style>
  <w:style w:type="character" w:customStyle="1" w:styleId="Heading7Char">
    <w:name w:val="Heading 7 Char"/>
    <w:basedOn w:val="DefaultParagraphFont"/>
    <w:link w:val="Heading7"/>
    <w:semiHidden/>
    <w:rsid w:val="004E5F60"/>
    <w:rPr>
      <w:rFonts w:ascii="Arial" w:hAnsi="Arial"/>
    </w:rPr>
  </w:style>
  <w:style w:type="character" w:customStyle="1" w:styleId="Heading8Char">
    <w:name w:val="Heading 8 Char"/>
    <w:basedOn w:val="DefaultParagraphFont"/>
    <w:link w:val="Heading8"/>
    <w:semiHidden/>
    <w:rsid w:val="004E5F60"/>
    <w:rPr>
      <w:rFonts w:ascii="Arial" w:hAnsi="Arial"/>
      <w:i/>
    </w:rPr>
  </w:style>
  <w:style w:type="character" w:customStyle="1" w:styleId="Heading9Char">
    <w:name w:val="Heading 9 Char"/>
    <w:basedOn w:val="DefaultParagraphFont"/>
    <w:link w:val="Heading9"/>
    <w:semiHidden/>
    <w:rsid w:val="004E5F60"/>
    <w:rPr>
      <w:rFonts w:ascii="Arial" w:hAnsi="Arial"/>
      <w:b/>
      <w:i/>
      <w:sz w:val="18"/>
    </w:rPr>
  </w:style>
  <w:style w:type="character" w:customStyle="1" w:styleId="HeaderChar">
    <w:name w:val="Header Char"/>
    <w:basedOn w:val="DefaultParagraphFont"/>
    <w:link w:val="Header"/>
    <w:rsid w:val="004E5F60"/>
    <w:rPr>
      <w:rFonts w:ascii="Arial" w:hAnsi="Arial"/>
      <w:caps/>
      <w:sz w:val="24"/>
    </w:rPr>
  </w:style>
  <w:style w:type="character" w:customStyle="1" w:styleId="FootnoteTextChar">
    <w:name w:val="Footnote Text Char"/>
    <w:aliases w:val="Car Char,ALTS FOOTNOTE Char,(NECG) Footnote Text Char,AR Footnote Text Char,Footnote text Char,Char Char,NCC Footnote Text Char"/>
    <w:basedOn w:val="DefaultParagraphFont"/>
    <w:link w:val="FootnoteText"/>
    <w:rsid w:val="004E5F60"/>
  </w:style>
  <w:style w:type="character" w:customStyle="1" w:styleId="QuoteChar">
    <w:name w:val="Quote Char"/>
    <w:basedOn w:val="DefaultParagraphFont"/>
    <w:link w:val="Quote"/>
    <w:rsid w:val="004E5F60"/>
    <w:rPr>
      <w:sz w:val="22"/>
    </w:rPr>
  </w:style>
  <w:style w:type="paragraph" w:customStyle="1" w:styleId="Default">
    <w:name w:val="Default"/>
    <w:rsid w:val="00DA3852"/>
    <w:pPr>
      <w:autoSpaceDE w:val="0"/>
      <w:autoSpaceDN w:val="0"/>
      <w:adjustRightInd w:val="0"/>
    </w:pPr>
    <w:rPr>
      <w:rFonts w:ascii="Univers LT Std 45 Light" w:hAnsi="Univers LT Std 45 Light" w:cs="Univers LT Std 45 Light"/>
      <w:color w:val="000000"/>
      <w:sz w:val="24"/>
      <w:szCs w:val="24"/>
    </w:rPr>
  </w:style>
  <w:style w:type="character" w:styleId="Hyperlink">
    <w:name w:val="Hyperlink"/>
    <w:basedOn w:val="DefaultParagraphFont"/>
    <w:rsid w:val="00DA3852"/>
    <w:rPr>
      <w:color w:val="78A22F" w:themeColor="hyperlink"/>
      <w:u w:val="single"/>
    </w:rPr>
  </w:style>
  <w:style w:type="character" w:styleId="FollowedHyperlink">
    <w:name w:val="FollowedHyperlink"/>
    <w:basedOn w:val="DefaultParagraphFont"/>
    <w:rsid w:val="00DA3852"/>
    <w:rPr>
      <w:color w:val="387DD2" w:themeColor="followedHyperlink"/>
      <w:u w:val="single"/>
    </w:rPr>
  </w:style>
  <w:style w:type="character" w:customStyle="1" w:styleId="apple-converted-space">
    <w:name w:val="apple-converted-space"/>
    <w:basedOn w:val="DefaultParagraphFont"/>
    <w:rsid w:val="00DA3852"/>
  </w:style>
  <w:style w:type="character" w:customStyle="1" w:styleId="Title1">
    <w:name w:val="Title1"/>
    <w:basedOn w:val="DefaultParagraphFont"/>
    <w:rsid w:val="00DA3852"/>
  </w:style>
  <w:style w:type="character" w:customStyle="1" w:styleId="ListBulletChar">
    <w:name w:val="List Bullet Char"/>
    <w:basedOn w:val="DefaultParagraphFont"/>
    <w:link w:val="ListBullet"/>
    <w:rsid w:val="00DA3852"/>
    <w:rPr>
      <w:sz w:val="24"/>
    </w:rPr>
  </w:style>
  <w:style w:type="character" w:customStyle="1" w:styleId="BoxChar">
    <w:name w:val="Box Char"/>
    <w:link w:val="Box"/>
    <w:locked/>
    <w:rsid w:val="00DA385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212907">
      <w:bodyDiv w:val="1"/>
      <w:marLeft w:val="0"/>
      <w:marRight w:val="0"/>
      <w:marTop w:val="0"/>
      <w:marBottom w:val="0"/>
      <w:divBdr>
        <w:top w:val="none" w:sz="0" w:space="0" w:color="auto"/>
        <w:left w:val="none" w:sz="0" w:space="0" w:color="auto"/>
        <w:bottom w:val="none" w:sz="0" w:space="0" w:color="auto"/>
        <w:right w:val="none" w:sz="0" w:space="0" w:color="auto"/>
      </w:divBdr>
    </w:div>
    <w:div w:id="813764813">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5.png"/><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emf"/><Relationship Id="rId22" Type="http://schemas.openxmlformats.org/officeDocument/2006/relationships/image" Target="media/image8.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http://pc/srp/gasmarkets/Research%20%20Analysis/Work/Josh/SD%20diagram%20for%20workshop%20repo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613657407407404E-2"/>
          <c:y val="7.4965277777777783E-2"/>
          <c:w val="0.92431898148148151"/>
          <c:h val="0.85447916666666668"/>
        </c:manualLayout>
      </c:layout>
      <c:scatterChart>
        <c:scatterStyle val="lineMarker"/>
        <c:varyColors val="0"/>
        <c:ser>
          <c:idx val="0"/>
          <c:order val="0"/>
          <c:spPr>
            <a:ln w="28575">
              <a:noFill/>
            </a:ln>
          </c:spPr>
          <c:marker>
            <c:symbol val="none"/>
          </c:marker>
          <c:errBars>
            <c:errDir val="y"/>
            <c:errBarType val="minus"/>
            <c:errValType val="cust"/>
            <c:noEndCap val="1"/>
            <c:plus>
              <c:numLit>
                <c:formatCode>General</c:formatCode>
                <c:ptCount val="1"/>
                <c:pt idx="0">
                  <c:v>1</c:v>
                </c:pt>
              </c:numLit>
            </c:plus>
            <c:minus>
              <c:numRef>
                <c:f>Sheet1!$D$4:$D$38</c:f>
                <c:numCache>
                  <c:formatCode>General</c:formatCode>
                  <c:ptCount val="35"/>
                  <c:pt idx="1">
                    <c:v>2</c:v>
                  </c:pt>
                  <c:pt idx="2">
                    <c:v>1</c:v>
                  </c:pt>
                  <c:pt idx="3">
                    <c:v>3</c:v>
                  </c:pt>
                  <c:pt idx="4">
                    <c:v>2</c:v>
                  </c:pt>
                </c:numCache>
              </c:numRef>
            </c:minus>
            <c:spPr>
              <a:ln w="19050"/>
            </c:spPr>
          </c:errBars>
          <c:errBars>
            <c:errDir val="x"/>
            <c:errBarType val="plus"/>
            <c:errValType val="cust"/>
            <c:noEndCap val="1"/>
            <c:plus>
              <c:numRef>
                <c:f>Sheet1!$E$4:$E$38</c:f>
                <c:numCache>
                  <c:formatCode>General</c:formatCode>
                  <c:ptCount val="35"/>
                  <c:pt idx="0">
                    <c:v>30</c:v>
                  </c:pt>
                  <c:pt idx="1">
                    <c:v>10</c:v>
                  </c:pt>
                  <c:pt idx="2">
                    <c:v>35</c:v>
                  </c:pt>
                  <c:pt idx="3">
                    <c:v>15</c:v>
                  </c:pt>
                </c:numCache>
              </c:numRef>
            </c:plus>
            <c:minus>
              <c:numLit>
                <c:formatCode>General</c:formatCode>
                <c:ptCount val="1"/>
                <c:pt idx="0">
                  <c:v>1</c:v>
                </c:pt>
              </c:numLit>
            </c:minus>
            <c:spPr>
              <a:ln w="19050"/>
            </c:spPr>
          </c:errBars>
          <c:xVal>
            <c:numRef>
              <c:f>Sheet1!$C$4:$C$8</c:f>
              <c:numCache>
                <c:formatCode>General</c:formatCode>
                <c:ptCount val="5"/>
                <c:pt idx="0">
                  <c:v>0</c:v>
                </c:pt>
                <c:pt idx="1">
                  <c:v>30</c:v>
                </c:pt>
                <c:pt idx="2">
                  <c:v>40</c:v>
                </c:pt>
                <c:pt idx="3">
                  <c:v>75</c:v>
                </c:pt>
                <c:pt idx="4">
                  <c:v>90</c:v>
                </c:pt>
              </c:numCache>
            </c:numRef>
          </c:xVal>
          <c:yVal>
            <c:numRef>
              <c:f>Sheet1!$B$4:$B$8</c:f>
              <c:numCache>
                <c:formatCode>General</c:formatCode>
                <c:ptCount val="5"/>
                <c:pt idx="0">
                  <c:v>1</c:v>
                </c:pt>
                <c:pt idx="1">
                  <c:v>3</c:v>
                </c:pt>
                <c:pt idx="2">
                  <c:v>4</c:v>
                </c:pt>
                <c:pt idx="3">
                  <c:v>7</c:v>
                </c:pt>
                <c:pt idx="4">
                  <c:v>9</c:v>
                </c:pt>
              </c:numCache>
            </c:numRef>
          </c:yVal>
          <c:smooth val="0"/>
        </c:ser>
        <c:ser>
          <c:idx val="1"/>
          <c:order val="1"/>
          <c:tx>
            <c:strRef>
              <c:f>Sheet1!$G$2</c:f>
              <c:strCache>
                <c:ptCount val="1"/>
                <c:pt idx="0">
                  <c:v>Demand curve</c:v>
                </c:pt>
              </c:strCache>
            </c:strRef>
          </c:tx>
          <c:spPr>
            <a:ln w="19050">
              <a:noFill/>
            </a:ln>
          </c:spPr>
          <c:marker>
            <c:symbol val="none"/>
          </c:marker>
          <c:errBars>
            <c:errDir val="y"/>
            <c:errBarType val="minus"/>
            <c:errValType val="cust"/>
            <c:noEndCap val="1"/>
            <c:plus>
              <c:numLit>
                <c:formatCode>General</c:formatCode>
                <c:ptCount val="1"/>
                <c:pt idx="0">
                  <c:v>1</c:v>
                </c:pt>
              </c:numLit>
            </c:plus>
            <c:minus>
              <c:numRef>
                <c:f>Sheet1!$L$4:$L$12</c:f>
                <c:numCache>
                  <c:formatCode>General</c:formatCode>
                  <c:ptCount val="9"/>
                  <c:pt idx="0">
                    <c:v>0</c:v>
                  </c:pt>
                  <c:pt idx="1">
                    <c:v>0</c:v>
                  </c:pt>
                  <c:pt idx="2">
                    <c:v>0</c:v>
                  </c:pt>
                  <c:pt idx="3">
                    <c:v>4.2</c:v>
                  </c:pt>
                  <c:pt idx="4">
                    <c:v>0</c:v>
                  </c:pt>
                  <c:pt idx="5">
                    <c:v>0</c:v>
                  </c:pt>
                  <c:pt idx="6">
                    <c:v>0</c:v>
                  </c:pt>
                  <c:pt idx="7">
                    <c:v>0</c:v>
                  </c:pt>
                  <c:pt idx="8">
                    <c:v>0</c:v>
                  </c:pt>
                </c:numCache>
              </c:numRef>
            </c:minus>
            <c:spPr>
              <a:ln>
                <a:prstDash val="dash"/>
              </a:ln>
            </c:spPr>
          </c:errBars>
          <c:errBars>
            <c:errDir val="x"/>
            <c:errBarType val="minus"/>
            <c:errValType val="cust"/>
            <c:noEndCap val="1"/>
            <c:plus>
              <c:numLit>
                <c:formatCode>General</c:formatCode>
                <c:ptCount val="1"/>
                <c:pt idx="0">
                  <c:v>1</c:v>
                </c:pt>
              </c:numLit>
            </c:plus>
            <c:minus>
              <c:numRef>
                <c:f>Sheet1!$K$4:$K$12</c:f>
                <c:numCache>
                  <c:formatCode>General</c:formatCode>
                  <c:ptCount val="9"/>
                  <c:pt idx="0">
                    <c:v>0</c:v>
                  </c:pt>
                  <c:pt idx="1">
                    <c:v>0</c:v>
                  </c:pt>
                  <c:pt idx="2">
                    <c:v>0</c:v>
                  </c:pt>
                  <c:pt idx="3">
                    <c:v>52</c:v>
                  </c:pt>
                  <c:pt idx="4">
                    <c:v>0</c:v>
                  </c:pt>
                  <c:pt idx="5">
                    <c:v>0</c:v>
                  </c:pt>
                  <c:pt idx="6">
                    <c:v>0</c:v>
                  </c:pt>
                  <c:pt idx="7">
                    <c:v>0</c:v>
                  </c:pt>
                  <c:pt idx="8">
                    <c:v>0</c:v>
                  </c:pt>
                </c:numCache>
              </c:numRef>
            </c:minus>
            <c:spPr>
              <a:ln>
                <a:prstDash val="dash"/>
              </a:ln>
            </c:spPr>
          </c:errBars>
          <c:xVal>
            <c:numRef>
              <c:f>Sheet1!$J$4:$J$13</c:f>
              <c:numCache>
                <c:formatCode>General</c:formatCode>
                <c:ptCount val="10"/>
                <c:pt idx="0">
                  <c:v>80</c:v>
                </c:pt>
                <c:pt idx="1">
                  <c:v>70</c:v>
                </c:pt>
                <c:pt idx="2">
                  <c:v>60</c:v>
                </c:pt>
                <c:pt idx="3">
                  <c:v>50</c:v>
                </c:pt>
                <c:pt idx="4">
                  <c:v>40</c:v>
                </c:pt>
                <c:pt idx="5">
                  <c:v>30</c:v>
                </c:pt>
                <c:pt idx="6">
                  <c:v>20</c:v>
                </c:pt>
                <c:pt idx="7">
                  <c:v>10</c:v>
                </c:pt>
                <c:pt idx="8">
                  <c:v>0</c:v>
                </c:pt>
              </c:numCache>
            </c:numRef>
          </c:xVal>
          <c:yVal>
            <c:numRef>
              <c:f>Sheet1!$I$4:$I$13</c:f>
              <c:numCache>
                <c:formatCode>General</c:formatCode>
                <c:ptCount val="10"/>
                <c:pt idx="0">
                  <c:v>1</c:v>
                </c:pt>
                <c:pt idx="1">
                  <c:v>2</c:v>
                </c:pt>
                <c:pt idx="2">
                  <c:v>3</c:v>
                </c:pt>
                <c:pt idx="3">
                  <c:v>4</c:v>
                </c:pt>
                <c:pt idx="4">
                  <c:v>5</c:v>
                </c:pt>
                <c:pt idx="5">
                  <c:v>6</c:v>
                </c:pt>
                <c:pt idx="6">
                  <c:v>7</c:v>
                </c:pt>
                <c:pt idx="7">
                  <c:v>8</c:v>
                </c:pt>
                <c:pt idx="8">
                  <c:v>9</c:v>
                </c:pt>
              </c:numCache>
            </c:numRef>
          </c:yVal>
          <c:smooth val="0"/>
        </c:ser>
        <c:ser>
          <c:idx val="2"/>
          <c:order val="2"/>
          <c:tx>
            <c:strRef>
              <c:f>Sheet1!$N$2</c:f>
              <c:strCache>
                <c:ptCount val="1"/>
                <c:pt idx="0">
                  <c:v>Linearised demand curve</c:v>
                </c:pt>
              </c:strCache>
            </c:strRef>
          </c:tx>
          <c:spPr>
            <a:ln w="28575">
              <a:noFill/>
            </a:ln>
          </c:spPr>
          <c:marker>
            <c:symbol val="none"/>
          </c:marker>
          <c:xVal>
            <c:numRef>
              <c:f>Sheet1!$N$4:$N$8</c:f>
              <c:numCache>
                <c:formatCode>General</c:formatCode>
                <c:ptCount val="5"/>
                <c:pt idx="0">
                  <c:v>9</c:v>
                </c:pt>
                <c:pt idx="1">
                  <c:v>7</c:v>
                </c:pt>
                <c:pt idx="2">
                  <c:v>6</c:v>
                </c:pt>
                <c:pt idx="3">
                  <c:v>3</c:v>
                </c:pt>
                <c:pt idx="4">
                  <c:v>1</c:v>
                </c:pt>
              </c:numCache>
            </c:numRef>
          </c:xVal>
          <c:yVal>
            <c:numRef>
              <c:f>Sheet1!$O$4:$O$8</c:f>
              <c:numCache>
                <c:formatCode>General</c:formatCode>
                <c:ptCount val="5"/>
                <c:pt idx="0">
                  <c:v>0</c:v>
                </c:pt>
                <c:pt idx="1">
                  <c:v>30</c:v>
                </c:pt>
                <c:pt idx="2">
                  <c:v>40</c:v>
                </c:pt>
                <c:pt idx="3">
                  <c:v>75</c:v>
                </c:pt>
                <c:pt idx="4">
                  <c:v>90</c:v>
                </c:pt>
              </c:numCache>
            </c:numRef>
          </c:yVal>
          <c:smooth val="0"/>
        </c:ser>
        <c:dLbls>
          <c:showLegendKey val="0"/>
          <c:showVal val="0"/>
          <c:showCatName val="0"/>
          <c:showSerName val="0"/>
          <c:showPercent val="0"/>
          <c:showBubbleSize val="0"/>
        </c:dLbls>
        <c:axId val="157633152"/>
        <c:axId val="157643520"/>
      </c:scatterChart>
      <c:valAx>
        <c:axId val="157633152"/>
        <c:scaling>
          <c:orientation val="minMax"/>
          <c:max val="100"/>
          <c:min val="0"/>
        </c:scaling>
        <c:delete val="0"/>
        <c:axPos val="b"/>
        <c:title>
          <c:tx>
            <c:rich>
              <a:bodyPr/>
              <a:lstStyle/>
              <a:p>
                <a:pPr>
                  <a:defRPr sz="900">
                    <a:latin typeface="Arial" panose="020B0604020202020204" pitchFamily="34" charset="0"/>
                    <a:cs typeface="Arial" panose="020B0604020202020204" pitchFamily="34" charset="0"/>
                  </a:defRPr>
                </a:pPr>
                <a:r>
                  <a:rPr lang="en-AU" sz="900" b="0">
                    <a:latin typeface="Arial" panose="020B0604020202020204" pitchFamily="34" charset="0"/>
                    <a:cs typeface="Arial" panose="020B0604020202020204" pitchFamily="34" charset="0"/>
                  </a:rPr>
                  <a:t>Quantity of gas</a:t>
                </a:r>
              </a:p>
            </c:rich>
          </c:tx>
          <c:layout>
            <c:manualLayout>
              <c:xMode val="edge"/>
              <c:yMode val="edge"/>
              <c:x val="0.41654652777777779"/>
              <c:y val="0.93385416666666665"/>
            </c:manualLayout>
          </c:layout>
          <c:overlay val="0"/>
        </c:title>
        <c:numFmt formatCode="General" sourceLinked="1"/>
        <c:majorTickMark val="none"/>
        <c:minorTickMark val="none"/>
        <c:tickLblPos val="none"/>
        <c:spPr>
          <a:ln>
            <a:solidFill>
              <a:schemeClr val="tx1"/>
            </a:solidFill>
          </a:ln>
        </c:spPr>
        <c:crossAx val="157643520"/>
        <c:crosses val="autoZero"/>
        <c:crossBetween val="midCat"/>
      </c:valAx>
      <c:valAx>
        <c:axId val="157643520"/>
        <c:scaling>
          <c:orientation val="minMax"/>
          <c:max val="10"/>
          <c:min val="0"/>
        </c:scaling>
        <c:delete val="0"/>
        <c:axPos val="l"/>
        <c:title>
          <c:tx>
            <c:rich>
              <a:bodyPr rot="-5400000" vert="horz"/>
              <a:lstStyle/>
              <a:p>
                <a:pPr>
                  <a:defRPr/>
                </a:pPr>
                <a:r>
                  <a:rPr lang="en-AU" sz="900" b="0">
                    <a:latin typeface="Arial" panose="020B0604020202020204" pitchFamily="34" charset="0"/>
                    <a:cs typeface="Arial" panose="020B0604020202020204" pitchFamily="34" charset="0"/>
                  </a:rPr>
                  <a:t>Price of gas</a:t>
                </a:r>
              </a:p>
            </c:rich>
          </c:tx>
          <c:layout>
            <c:manualLayout>
              <c:xMode val="edge"/>
              <c:yMode val="edge"/>
              <c:x val="6.2790076977701824E-3"/>
              <c:y val="0.4723951388888889"/>
            </c:manualLayout>
          </c:layout>
          <c:overlay val="0"/>
        </c:title>
        <c:numFmt formatCode="General" sourceLinked="1"/>
        <c:majorTickMark val="none"/>
        <c:minorTickMark val="none"/>
        <c:tickLblPos val="none"/>
        <c:spPr>
          <a:solidFill>
            <a:schemeClr val="tx1"/>
          </a:solidFill>
          <a:ln>
            <a:solidFill>
              <a:schemeClr val="tx1"/>
            </a:solidFill>
          </a:ln>
        </c:spPr>
        <c:crossAx val="157633152"/>
        <c:crosses val="autoZero"/>
        <c:crossBetween val="midCat"/>
      </c:valAx>
      <c:spPr>
        <a:noFill/>
      </c:spPr>
    </c:plotArea>
    <c:plotVisOnly val="1"/>
    <c:dispBlanksAs val="gap"/>
    <c:showDLblsOverMax val="0"/>
  </c:chart>
  <c:spPr>
    <a:noFill/>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0.13681</cdr:x>
      <cdr:y>0.06234</cdr:y>
    </cdr:from>
    <cdr:to>
      <cdr:x>0.8871</cdr:x>
      <cdr:y>0.83206</cdr:y>
    </cdr:to>
    <cdr:grpSp>
      <cdr:nvGrpSpPr>
        <cdr:cNvPr id="2" name="Group 1"/>
        <cdr:cNvGrpSpPr/>
      </cdr:nvGrpSpPr>
      <cdr:grpSpPr>
        <a:xfrm xmlns:a="http://schemas.openxmlformats.org/drawingml/2006/main">
          <a:off x="589116" y="179018"/>
          <a:ext cx="3230698" cy="2210220"/>
          <a:chOff x="0" y="0"/>
          <a:chExt cx="3236538" cy="2210220"/>
        </a:xfrm>
      </cdr:grpSpPr>
      <cdr:cxnSp macro="">
        <cdr:nvCxnSpPr>
          <cdr:cNvPr id="3" name="Straight Connector 2"/>
          <cdr:cNvCxnSpPr/>
        </cdr:nvCxnSpPr>
        <cdr:spPr>
          <a:xfrm xmlns:a="http://schemas.openxmlformats.org/drawingml/2006/main" flipV="1">
            <a:off x="1603931" y="1753894"/>
            <a:ext cx="539770" cy="2"/>
          </a:xfrm>
          <a:prstGeom xmlns:a="http://schemas.openxmlformats.org/drawingml/2006/main" prst="line">
            <a:avLst/>
          </a:prstGeom>
          <a:ln xmlns:a="http://schemas.openxmlformats.org/drawingml/2006/main" w="1270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cxnSp macro="">
        <cdr:nvCxnSpPr>
          <cdr:cNvPr id="4" name="Straight Connector 3"/>
          <cdr:cNvCxnSpPr/>
        </cdr:nvCxnSpPr>
        <cdr:spPr>
          <a:xfrm xmlns:a="http://schemas.openxmlformats.org/drawingml/2006/main" flipV="1">
            <a:off x="2153447" y="1978546"/>
            <a:ext cx="539770" cy="2"/>
          </a:xfrm>
          <a:prstGeom xmlns:a="http://schemas.openxmlformats.org/drawingml/2006/main" prst="line">
            <a:avLst/>
          </a:prstGeom>
          <a:ln xmlns:a="http://schemas.openxmlformats.org/drawingml/2006/main" w="1270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grpSp>
        <cdr:nvGrpSpPr>
          <cdr:cNvPr id="5" name="Group 4"/>
          <cdr:cNvGrpSpPr/>
        </cdr:nvGrpSpPr>
        <cdr:grpSpPr>
          <a:xfrm xmlns:a="http://schemas.openxmlformats.org/drawingml/2006/main">
            <a:off x="0" y="0"/>
            <a:ext cx="1618217" cy="1352164"/>
            <a:chOff x="0" y="0"/>
            <a:chExt cx="1615297" cy="1352164"/>
          </a:xfrm>
        </cdr:grpSpPr>
        <cdr:cxnSp macro="">
          <cdr:nvCxnSpPr>
            <cdr:cNvPr id="10" name="Straight Connector 9"/>
            <cdr:cNvCxnSpPr/>
          </cdr:nvCxnSpPr>
          <cdr:spPr>
            <a:xfrm xmlns:a="http://schemas.openxmlformats.org/drawingml/2006/main" flipV="1">
              <a:off x="0" y="318089"/>
              <a:ext cx="542317" cy="2"/>
            </a:xfrm>
            <a:prstGeom xmlns:a="http://schemas.openxmlformats.org/drawingml/2006/main" prst="line">
              <a:avLst/>
            </a:prstGeom>
            <a:ln xmlns:a="http://schemas.openxmlformats.org/drawingml/2006/main" w="1270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cxnSp macro="">
          <cdr:nvCxnSpPr>
            <cdr:cNvPr id="11" name="Straight Connector 10"/>
            <cdr:cNvCxnSpPr/>
          </cdr:nvCxnSpPr>
          <cdr:spPr>
            <a:xfrm xmlns:a="http://schemas.openxmlformats.org/drawingml/2006/main" flipV="1">
              <a:off x="537109" y="944855"/>
              <a:ext cx="545836" cy="2"/>
            </a:xfrm>
            <a:prstGeom xmlns:a="http://schemas.openxmlformats.org/drawingml/2006/main" prst="line">
              <a:avLst/>
            </a:prstGeom>
            <a:ln xmlns:a="http://schemas.openxmlformats.org/drawingml/2006/main" w="1270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cxnSp macro="">
          <cdr:nvCxnSpPr>
            <cdr:cNvPr id="12" name="Straight Connector 11"/>
            <cdr:cNvCxnSpPr/>
          </cdr:nvCxnSpPr>
          <cdr:spPr>
            <a:xfrm xmlns:a="http://schemas.openxmlformats.org/drawingml/2006/main" flipV="1">
              <a:off x="1076500" y="1347401"/>
              <a:ext cx="538797" cy="2"/>
            </a:xfrm>
            <a:prstGeom xmlns:a="http://schemas.openxmlformats.org/drawingml/2006/main" prst="line">
              <a:avLst/>
            </a:prstGeom>
            <a:ln xmlns:a="http://schemas.openxmlformats.org/drawingml/2006/main" w="1270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cxnSp macro="">
          <cdr:nvCxnSpPr>
            <cdr:cNvPr id="13" name="Straight Connector 12"/>
            <cdr:cNvCxnSpPr/>
          </cdr:nvCxnSpPr>
          <cdr:spPr>
            <a:xfrm xmlns:a="http://schemas.openxmlformats.org/drawingml/2006/main" flipV="1">
              <a:off x="6976" y="0"/>
              <a:ext cx="0" cy="319241"/>
            </a:xfrm>
            <a:prstGeom xmlns:a="http://schemas.openxmlformats.org/drawingml/2006/main" prst="line">
              <a:avLst/>
            </a:prstGeom>
            <a:ln xmlns:a="http://schemas.openxmlformats.org/drawingml/2006/main" w="1270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cxnSp macro="">
          <cdr:nvCxnSpPr>
            <cdr:cNvPr id="14" name="Straight Connector 13"/>
            <cdr:cNvCxnSpPr/>
          </cdr:nvCxnSpPr>
          <cdr:spPr>
            <a:xfrm xmlns:a="http://schemas.openxmlformats.org/drawingml/2006/main" flipV="1">
              <a:off x="539225" y="315437"/>
              <a:ext cx="3856" cy="628209"/>
            </a:xfrm>
            <a:prstGeom xmlns:a="http://schemas.openxmlformats.org/drawingml/2006/main" prst="line">
              <a:avLst/>
            </a:prstGeom>
            <a:ln xmlns:a="http://schemas.openxmlformats.org/drawingml/2006/main" w="1270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cxnSp macro="">
          <cdr:nvCxnSpPr>
            <cdr:cNvPr id="15" name="Straight Connector 14"/>
            <cdr:cNvCxnSpPr/>
          </cdr:nvCxnSpPr>
          <cdr:spPr>
            <a:xfrm xmlns:a="http://schemas.openxmlformats.org/drawingml/2006/main" flipV="1">
              <a:off x="1078422" y="942935"/>
              <a:ext cx="3856" cy="409229"/>
            </a:xfrm>
            <a:prstGeom xmlns:a="http://schemas.openxmlformats.org/drawingml/2006/main" prst="line">
              <a:avLst/>
            </a:prstGeom>
            <a:ln xmlns:a="http://schemas.openxmlformats.org/drawingml/2006/main" w="1270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grpSp>
      <cdr:cxnSp macro="">
        <cdr:nvCxnSpPr>
          <cdr:cNvPr id="6" name="Straight Connector 5"/>
          <cdr:cNvCxnSpPr/>
        </cdr:nvCxnSpPr>
        <cdr:spPr>
          <a:xfrm xmlns:a="http://schemas.openxmlformats.org/drawingml/2006/main" flipV="1">
            <a:off x="1612609" y="1345268"/>
            <a:ext cx="3863" cy="409229"/>
          </a:xfrm>
          <a:prstGeom xmlns:a="http://schemas.openxmlformats.org/drawingml/2006/main" prst="line">
            <a:avLst/>
          </a:prstGeom>
          <a:ln xmlns:a="http://schemas.openxmlformats.org/drawingml/2006/main" w="1270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cxnSp macro="">
        <cdr:nvCxnSpPr>
          <cdr:cNvPr id="7" name="Straight Connector 6"/>
          <cdr:cNvCxnSpPr/>
        </cdr:nvCxnSpPr>
        <cdr:spPr>
          <a:xfrm xmlns:a="http://schemas.openxmlformats.org/drawingml/2006/main" flipH="1" flipV="1">
            <a:off x="2150364" y="1747515"/>
            <a:ext cx="823" cy="237821"/>
          </a:xfrm>
          <a:prstGeom xmlns:a="http://schemas.openxmlformats.org/drawingml/2006/main" prst="line">
            <a:avLst/>
          </a:prstGeom>
          <a:ln xmlns:a="http://schemas.openxmlformats.org/drawingml/2006/main" w="1270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cxnSp macro="">
        <cdr:nvCxnSpPr>
          <cdr:cNvPr id="8" name="Straight Connector 7"/>
          <cdr:cNvCxnSpPr/>
        </cdr:nvCxnSpPr>
        <cdr:spPr>
          <a:xfrm xmlns:a="http://schemas.openxmlformats.org/drawingml/2006/main" flipH="1" flipV="1">
            <a:off x="2693689" y="1972399"/>
            <a:ext cx="823" cy="237821"/>
          </a:xfrm>
          <a:prstGeom xmlns:a="http://schemas.openxmlformats.org/drawingml/2006/main" prst="line">
            <a:avLst/>
          </a:prstGeom>
          <a:ln xmlns:a="http://schemas.openxmlformats.org/drawingml/2006/main" w="1270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cxnSp macro="">
        <cdr:nvCxnSpPr>
          <cdr:cNvPr id="9" name="Straight Connector 8"/>
          <cdr:cNvCxnSpPr/>
        </cdr:nvCxnSpPr>
        <cdr:spPr>
          <a:xfrm xmlns:a="http://schemas.openxmlformats.org/drawingml/2006/main" flipV="1">
            <a:off x="2696768" y="2207485"/>
            <a:ext cx="539770" cy="2"/>
          </a:xfrm>
          <a:prstGeom xmlns:a="http://schemas.openxmlformats.org/drawingml/2006/main" prst="line">
            <a:avLst/>
          </a:prstGeom>
          <a:ln xmlns:a="http://schemas.openxmlformats.org/drawingml/2006/main" w="1270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grpSp>
  </cdr:relSizeAnchor>
</c:userShape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Final Report" ma:contentTypeID="0x01010066EDC8E18BFE9C418F00295EA55D44EA00BC1898756A9F48459333297EB68257DD00D893E0118BE45C43A85193F785B6B353" ma:contentTypeVersion="0" ma:contentTypeDescription="" ma:contentTypeScope="" ma:versionID="072ac542be0e927197f8bd54dfbe1775">
  <xsd:schema xmlns:xsd="http://www.w3.org/2001/XMLSchema" xmlns:xs="http://www.w3.org/2001/XMLSchema" xmlns:p="http://schemas.microsoft.com/office/2006/metadata/properties" targetNamespace="http://schemas.microsoft.com/office/2006/metadata/properties" ma:root="true" ma:fieldsID="35d2ceaebb5480c207606bbce77fe67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F9A8A-095F-4068-BAE0-81FD182E5DDF}">
  <ds:schemaRefs>
    <ds:schemaRef ds:uri="http://schemas.microsoft.com/office/2006/metadata/customXsn"/>
  </ds:schemaRefs>
</ds:datastoreItem>
</file>

<file path=customXml/itemProps2.xml><?xml version="1.0" encoding="utf-8"?>
<ds:datastoreItem xmlns:ds="http://schemas.openxmlformats.org/officeDocument/2006/customXml" ds:itemID="{D5CC316B-38D5-485A-984C-F3D0E342F966}">
  <ds:schemaRefs>
    <ds:schemaRef ds:uri="http://schemas.microsoft.com/sharepoint/events"/>
  </ds:schemaRefs>
</ds:datastoreItem>
</file>

<file path=customXml/itemProps3.xml><?xml version="1.0" encoding="utf-8"?>
<ds:datastoreItem xmlns:ds="http://schemas.openxmlformats.org/officeDocument/2006/customXml" ds:itemID="{E78B8BB6-029F-4B6D-83F8-27E08D965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680651C-6F75-4EAE-AAB6-E060AAB26D51}">
  <ds:schemaRefs>
    <ds:schemaRef ds:uri="http://schemas.microsoft.com/office/2006/metadata/properties"/>
    <ds:schemaRef ds:uri="http://purl.org/dc/dcmitype/"/>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6F9E2027-543E-43F2-A345-D4413E488A01}">
  <ds:schemaRefs>
    <ds:schemaRef ds:uri="http://schemas.microsoft.com/sharepoint/v3/contenttype/forms"/>
  </ds:schemaRefs>
</ds:datastoreItem>
</file>

<file path=customXml/itemProps6.xml><?xml version="1.0" encoding="utf-8"?>
<ds:datastoreItem xmlns:ds="http://schemas.openxmlformats.org/officeDocument/2006/customXml" ds:itemID="{2C1B61D7-074B-4F0B-B37D-36CB04F65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0</TotalTime>
  <Pages>40</Pages>
  <Words>12440</Words>
  <Characters>66622</Characters>
  <Application>Microsoft Office Word</Application>
  <DocSecurity>0</DocSecurity>
  <Lines>555</Lines>
  <Paragraphs>157</Paragraphs>
  <ScaleCrop>false</ScaleCrop>
  <HeadingPairs>
    <vt:vector size="2" baseType="variant">
      <vt:variant>
        <vt:lpstr>Title</vt:lpstr>
      </vt:variant>
      <vt:variant>
        <vt:i4>1</vt:i4>
      </vt:variant>
    </vt:vector>
  </HeadingPairs>
  <TitlesOfParts>
    <vt:vector size="1" baseType="lpstr">
      <vt:lpstr>Eastern Australian gas market model</vt:lpstr>
    </vt:vector>
  </TitlesOfParts>
  <Company>Productivity Commission</Company>
  <LinksUpToDate>false</LinksUpToDate>
  <CharactersWithSpaces>78905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Eastern Australian gas market model</dc:title>
  <dc:subject>Impediments to efficient gas markets</dc:subject>
  <dc:creator>Productivity Commission</dc:creator>
  <dc:description>B.</dc:description>
  <cp:lastModifiedBy>Productivity Commission</cp:lastModifiedBy>
  <cp:revision>2</cp:revision>
  <cp:lastPrinted>2015-03-30T02:03:00Z</cp:lastPrinted>
  <dcterms:created xsi:type="dcterms:W3CDTF">2015-04-13T06:47:00Z</dcterms:created>
  <dcterms:modified xsi:type="dcterms:W3CDTF">2015-04-13T06:47:00Z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0x01010066EDC8E18BFE9C418F00295EA55D44EA00BC1898756A9F48459333297EB68257DD00D893E0118BE45C43A85193F785B6B353</vt:lpwstr>
  </property>
  <property fmtid="{D5CDD505-2E9C-101B-9397-08002B2CF9AE}" pid="3" name="RecordPoint_WorkflowType">
    <vt:lpwstr>ActiveSubmitStub</vt:lpwstr>
  </property>
  <property fmtid="{D5CDD505-2E9C-101B-9397-08002B2CF9AE}" pid="4" name="RecordPoint_ActiveItemSiteId">
    <vt:lpwstr>{5750d626-0aa0-474c-a55f-8063909d4906}</vt:lpwstr>
  </property>
  <property fmtid="{D5CDD505-2E9C-101B-9397-08002B2CF9AE}" pid="5" name="RecordPoint_ActiveItemListId">
    <vt:lpwstr>{48b085b3-39a2-4914-b617-b78d4560cce6}</vt:lpwstr>
  </property>
  <property fmtid="{D5CDD505-2E9C-101B-9397-08002B2CF9AE}" pid="6" name="RecordPoint_ActiveItemWebId">
    <vt:lpwstr>{b7c039af-f7f5-4da5-85d1-e8d35c7b40e5}</vt:lpwstr>
  </property>
  <property fmtid="{D5CDD505-2E9C-101B-9397-08002B2CF9AE}" pid="7" name="IconOverlay">
    <vt:lpwstr/>
  </property>
  <property fmtid="{D5CDD505-2E9C-101B-9397-08002B2CF9AE}" pid="8" name="ZOTERO_PREF_2">
    <vt:lpwstr>lue="true"/&gt;&lt;pref name="automaticJournalAbbreviations" value="true"/&gt;&lt;pref name="noteType" value="0"/&gt;&lt;/prefs&gt;&lt;/data&gt;</vt:lpwstr>
  </property>
  <property fmtid="{D5CDD505-2E9C-101B-9397-08002B2CF9AE}" pid="9" name="RecordPoint_SubmissionDate">
    <vt:lpwstr/>
  </property>
  <property fmtid="{D5CDD505-2E9C-101B-9397-08002B2CF9AE}" pid="10" name="RecordPoint_ActiveItemMoved">
    <vt:lpwstr/>
  </property>
  <property fmtid="{D5CDD505-2E9C-101B-9397-08002B2CF9AE}" pid="11" name="RecordPoint_RecordFormat">
    <vt:lpwstr/>
  </property>
  <property fmtid="{D5CDD505-2E9C-101B-9397-08002B2CF9AE}" pid="12" name="ZOTERO_PREF_1">
    <vt:lpwstr>&lt;data data-version="3" zotero-version="4.0.20"&gt;&lt;session id="GgRpy4PD"/&gt;&lt;style id="http://www.zotero.org/styles/unisa-harvard" hasBibliography="1" bibliographyStyleHasBeenSet="1"/&gt;&lt;prefs&gt;&lt;pref name="fieldType" value="Field"/&gt;&lt;pref name="storeReferences" va</vt:lpwstr>
  </property>
  <property fmtid="{D5CDD505-2E9C-101B-9397-08002B2CF9AE}" pid="13" name="RecordPoint_ActiveItemUniqueId">
    <vt:lpwstr>{88f4e69f-9b29-4234-96ef-92bf159fdd09}</vt:lpwstr>
  </property>
  <property fmtid="{D5CDD505-2E9C-101B-9397-08002B2CF9AE}" pid="14" name="RecordPoint_RecordNumberSubmitted">
    <vt:lpwstr>R0000011409</vt:lpwstr>
  </property>
  <property fmtid="{D5CDD505-2E9C-101B-9397-08002B2CF9AE}" pid="15" name="RecordPoint_SubmissionCompleted">
    <vt:lpwstr>2015-04-13T14:00:45.3551679+10:00</vt:lpwstr>
  </property>
</Properties>
</file>