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A46E4" w14:textId="4465B813" w:rsidR="00A33DFF" w:rsidRDefault="007A5FCF" w:rsidP="007A5FCF">
      <w:pPr>
        <w:pStyle w:val="Chapter"/>
        <w:ind w:left="907" w:hanging="907"/>
      </w:pPr>
      <w:bookmarkStart w:id="0" w:name="_AppendixNotByChapter"/>
      <w:bookmarkStart w:id="1" w:name="ChapterNumber"/>
      <w:bookmarkStart w:id="2" w:name="_GoBack"/>
      <w:bookmarkEnd w:id="0"/>
      <w:bookmarkEnd w:id="2"/>
      <w:r>
        <w:t>C</w:t>
      </w:r>
      <w:bookmarkEnd w:id="1"/>
      <w:r>
        <w:tab/>
      </w:r>
      <w:r w:rsidR="00B53006">
        <w:t>Gas market modelling results</w:t>
      </w:r>
    </w:p>
    <w:p w14:paraId="282E6E06" w14:textId="398868A7" w:rsidR="007A5FCF" w:rsidRDefault="007A5FCF" w:rsidP="007A5FCF">
      <w:pPr>
        <w:pStyle w:val="BodyText"/>
      </w:pPr>
      <w:bookmarkStart w:id="3" w:name="begin"/>
      <w:bookmarkEnd w:id="3"/>
      <w:r>
        <w:t xml:space="preserve">This appendix </w:t>
      </w:r>
      <w:r w:rsidR="00844833">
        <w:t>contains</w:t>
      </w:r>
      <w:r>
        <w:t xml:space="preserve"> </w:t>
      </w:r>
      <w:r w:rsidR="00D047F2">
        <w:t xml:space="preserve">illustrative </w:t>
      </w:r>
      <w:r>
        <w:t>modelling results from the gas market model</w:t>
      </w:r>
      <w:r w:rsidR="002F2CB5">
        <w:t xml:space="preserve"> developed for this project</w:t>
      </w:r>
      <w:r w:rsidR="00B371BC">
        <w:t>,</w:t>
      </w:r>
      <w:r>
        <w:t xml:space="preserve"> including sensitivity analysis of key parameters.</w:t>
      </w:r>
      <w:r w:rsidR="00D047F2">
        <w:t xml:space="preserve"> The model is a stylised representation of the eastern Australian gas market (as described in appendix B) and is not suitable for forecasting prices or evaluating potential investment proposals. Rather, the results presented below illustrate the economic mechanisms and broad orders of magnitude</w:t>
      </w:r>
      <w:r w:rsidR="001D0D97">
        <w:t xml:space="preserve"> of effects</w:t>
      </w:r>
      <w:r w:rsidR="00D047F2">
        <w:t xml:space="preserve"> associated with the application of selected policies to the eastern Australian gas market.</w:t>
      </w:r>
      <w:r>
        <w:t xml:space="preserve"> </w:t>
      </w:r>
    </w:p>
    <w:p w14:paraId="183FA3D0" w14:textId="02E6AD2A" w:rsidR="007A5FCF" w:rsidRDefault="002F2CB5" w:rsidP="007A5FCF">
      <w:pPr>
        <w:pStyle w:val="Heading2"/>
      </w:pPr>
      <w:r>
        <w:t>C.1</w:t>
      </w:r>
      <w:r>
        <w:tab/>
      </w:r>
      <w:r w:rsidR="007A5FCF">
        <w:t>Results</w:t>
      </w:r>
    </w:p>
    <w:p w14:paraId="10975F80" w14:textId="04C5EF04" w:rsidR="00B53006" w:rsidRPr="009B0662" w:rsidRDefault="00491D81" w:rsidP="00B53006">
      <w:pPr>
        <w:pStyle w:val="BodyText"/>
      </w:pPr>
      <w:r>
        <w:t>T</w:t>
      </w:r>
      <w:r w:rsidR="00A5531A">
        <w:t xml:space="preserve">hree </w:t>
      </w:r>
      <w:r w:rsidR="003728BD">
        <w:t>baseline</w:t>
      </w:r>
      <w:r w:rsidR="007A5FCF">
        <w:t xml:space="preserve"> scenarios</w:t>
      </w:r>
      <w:r w:rsidR="00FF73D5">
        <w:t xml:space="preserve"> have been modelled</w:t>
      </w:r>
      <w:r>
        <w:t xml:space="preserve"> to </w:t>
      </w:r>
      <w:r w:rsidR="00983EB4">
        <w:t>account for</w:t>
      </w:r>
      <w:r>
        <w:t xml:space="preserve"> the effects of considerable uncertainty in future liquefied natural gas (LNG) prices in the Asia–Pacific </w:t>
      </w:r>
      <w:r w:rsidR="00381620">
        <w:t>market</w:t>
      </w:r>
      <w:r>
        <w:t xml:space="preserve">: </w:t>
      </w:r>
      <w:r w:rsidR="00A5531A">
        <w:t>a ‘low LNG price’ scenario, a ‘central LNG price’ scenario and a ‘high LNG price’ scenario.</w:t>
      </w:r>
      <w:r w:rsidR="007A5FCF">
        <w:t xml:space="preserve"> </w:t>
      </w:r>
      <w:r w:rsidR="00B53006">
        <w:t xml:space="preserve">In the baseline scenarios, no investment in new </w:t>
      </w:r>
      <w:r w:rsidR="002F2CB5">
        <w:t>coal seam gas (</w:t>
      </w:r>
      <w:r w:rsidR="00B53006">
        <w:t>CSG</w:t>
      </w:r>
      <w:r w:rsidR="002F2CB5">
        <w:t>)</w:t>
      </w:r>
      <w:r w:rsidR="00B53006">
        <w:t xml:space="preserve"> production is allowed in </w:t>
      </w:r>
      <w:r w:rsidR="00127BE9">
        <w:t>New South Wales</w:t>
      </w:r>
      <w:r w:rsidR="00B53006">
        <w:t xml:space="preserve"> or Victoria before September 2015, reflecting current policy settings in those states (chapter</w:t>
      </w:r>
      <w:r w:rsidR="00232238">
        <w:t> </w:t>
      </w:r>
      <w:r w:rsidR="00B53006">
        <w:t>5)</w:t>
      </w:r>
      <w:r w:rsidR="002F2CB5">
        <w:t>.</w:t>
      </w:r>
    </w:p>
    <w:p w14:paraId="5D57A15E" w14:textId="796D37FE" w:rsidR="007A5FCF" w:rsidRDefault="002F2CB5" w:rsidP="00B53006">
      <w:pPr>
        <w:pStyle w:val="BodyText"/>
      </w:pPr>
      <w:r>
        <w:t xml:space="preserve">To investigate the effects of current and proposed gas market policies, </w:t>
      </w:r>
      <w:r w:rsidR="00DD757C">
        <w:t>as well as delays in transmission pipeline investment,</w:t>
      </w:r>
      <w:r>
        <w:t xml:space="preserve"> baseline simulation</w:t>
      </w:r>
      <w:r w:rsidR="00D047F2">
        <w:t>s</w:t>
      </w:r>
      <w:r>
        <w:t xml:space="preserve"> are compared against </w:t>
      </w:r>
      <w:r w:rsidR="007A5FCF">
        <w:t xml:space="preserve">three policy </w:t>
      </w:r>
      <w:r w:rsidR="003C0CDB">
        <w:t>simulations</w:t>
      </w:r>
      <w:r w:rsidR="0095116F">
        <w:t>.</w:t>
      </w:r>
    </w:p>
    <w:p w14:paraId="05D67948" w14:textId="1CF3D03C" w:rsidR="007A5FCF" w:rsidRDefault="007A5FCF" w:rsidP="007A5FCF">
      <w:pPr>
        <w:pStyle w:val="ListBullet"/>
      </w:pPr>
      <w:r w:rsidRPr="003234A6">
        <w:rPr>
          <w:i/>
        </w:rPr>
        <w:t>CSG moratoria</w:t>
      </w:r>
      <w:r>
        <w:t xml:space="preserve">: No investment in new CSG production is allowed in </w:t>
      </w:r>
      <w:r w:rsidR="00127BE9">
        <w:t>New South Wales</w:t>
      </w:r>
      <w:r>
        <w:t xml:space="preserve"> or Victoria</w:t>
      </w:r>
      <w:r w:rsidR="003C0CDB" w:rsidRPr="003C0CDB">
        <w:t xml:space="preserve"> </w:t>
      </w:r>
      <w:r w:rsidR="003C0CDB">
        <w:t>throughout the entire 40 year simulation period</w:t>
      </w:r>
      <w:r w:rsidR="002F2CB5">
        <w:t>.</w:t>
      </w:r>
    </w:p>
    <w:p w14:paraId="45ED65CC" w14:textId="5F557143" w:rsidR="007A5FCF" w:rsidRDefault="007A5FCF" w:rsidP="007A5FCF">
      <w:pPr>
        <w:pStyle w:val="ListBullet"/>
      </w:pPr>
      <w:r w:rsidRPr="003234A6">
        <w:rPr>
          <w:i/>
        </w:rPr>
        <w:t>Domestic gas reservation</w:t>
      </w:r>
      <w:r>
        <w:t xml:space="preserve">: Any fields not producing gas in the first model year are required to supply a specified proportion of their gas production to domestic users as they begin production (that is, </w:t>
      </w:r>
      <w:r w:rsidR="00F37551">
        <w:t xml:space="preserve">modelled </w:t>
      </w:r>
      <w:r>
        <w:t>fields that are already producing gas are not subject to reservation).</w:t>
      </w:r>
    </w:p>
    <w:p w14:paraId="3F670CC4" w14:textId="19DE027F" w:rsidR="007A5FCF" w:rsidRDefault="007A5FCF" w:rsidP="007A5FCF">
      <w:pPr>
        <w:pStyle w:val="ListBullet"/>
      </w:pPr>
      <w:r w:rsidRPr="003877B4">
        <w:rPr>
          <w:i/>
        </w:rPr>
        <w:t>Delays in transmission pipeline investment</w:t>
      </w:r>
      <w:r>
        <w:t>: Investment</w:t>
      </w:r>
      <w:r w:rsidR="005C0EFA">
        <w:t>s</w:t>
      </w:r>
      <w:r>
        <w:t xml:space="preserve"> in expansion or construction of transmission pipelines that are potentially subject to regulatory coverage are delayed by 5 years</w:t>
      </w:r>
      <w:r w:rsidR="00C715FF">
        <w:t xml:space="preserve"> </w:t>
      </w:r>
      <w:r w:rsidR="005C0EFA">
        <w:t xml:space="preserve">between investment and commissioning </w:t>
      </w:r>
      <w:r w:rsidR="00C715FF">
        <w:t>(in addition to the usual time taken to build and operationalise new transmission assets)</w:t>
      </w:r>
      <w:r>
        <w:t>.</w:t>
      </w:r>
    </w:p>
    <w:p w14:paraId="0B0D564A" w14:textId="0619B113" w:rsidR="007A5FCF" w:rsidRDefault="007A5FCF" w:rsidP="007A5FCF">
      <w:pPr>
        <w:pStyle w:val="Heading3"/>
      </w:pPr>
      <w:r>
        <w:t>Base</w:t>
      </w:r>
      <w:r w:rsidR="00A1087E">
        <w:t xml:space="preserve">line </w:t>
      </w:r>
      <w:r w:rsidR="00281308">
        <w:t>scenarios</w:t>
      </w:r>
    </w:p>
    <w:p w14:paraId="1F808D7B" w14:textId="7C6A9E5F" w:rsidR="00197C18" w:rsidRDefault="00197C18" w:rsidP="00197C18">
      <w:pPr>
        <w:pStyle w:val="BodyText"/>
      </w:pPr>
      <w:r>
        <w:t xml:space="preserve">The purpose of </w:t>
      </w:r>
      <w:r w:rsidR="00281308">
        <w:t xml:space="preserve">the </w:t>
      </w:r>
      <w:r>
        <w:t xml:space="preserve">baseline </w:t>
      </w:r>
      <w:r w:rsidR="00281308">
        <w:t xml:space="preserve">scenarios </w:t>
      </w:r>
      <w:r>
        <w:t>is t</w:t>
      </w:r>
      <w:r w:rsidR="00281308">
        <w:t>w</w:t>
      </w:r>
      <w:r>
        <w:t>o</w:t>
      </w:r>
      <w:r w:rsidR="00281308">
        <w:t xml:space="preserve">fold: to illustrate the effects of linking to </w:t>
      </w:r>
      <w:r w:rsidR="00381620">
        <w:t xml:space="preserve">the </w:t>
      </w:r>
      <w:proofErr w:type="gramStart"/>
      <w:r w:rsidR="00381620">
        <w:t>Asia</w:t>
      </w:r>
      <w:r w:rsidR="005C0EFA">
        <w:t>–</w:t>
      </w:r>
      <w:r w:rsidR="00381620">
        <w:t xml:space="preserve">Pacific </w:t>
      </w:r>
      <w:r w:rsidR="00281308">
        <w:t xml:space="preserve">gas market through development of LNG export capacity </w:t>
      </w:r>
      <w:r w:rsidR="00770158">
        <w:t>(</w:t>
      </w:r>
      <w:r w:rsidR="00281308">
        <w:t xml:space="preserve">including </w:t>
      </w:r>
      <w:r w:rsidR="00281308">
        <w:lastRenderedPageBreak/>
        <w:t>relationships between different gas prices</w:t>
      </w:r>
      <w:r w:rsidR="00770158">
        <w:t>)</w:t>
      </w:r>
      <w:r w:rsidR="00281308">
        <w:t>; and to</w:t>
      </w:r>
      <w:r>
        <w:t xml:space="preserve"> </w:t>
      </w:r>
      <w:r w:rsidR="00281308">
        <w:t xml:space="preserve">provide a </w:t>
      </w:r>
      <w:r w:rsidR="00983EB4">
        <w:t xml:space="preserve">baseline against which </w:t>
      </w:r>
      <w:r w:rsidR="00281308">
        <w:t>to</w:t>
      </w:r>
      <w:r>
        <w:t xml:space="preserve"> investigate the effects of policy options.</w:t>
      </w:r>
      <w:proofErr w:type="gramEnd"/>
      <w:r>
        <w:t xml:space="preserve"> Baseline </w:t>
      </w:r>
      <w:r w:rsidR="00281308">
        <w:t xml:space="preserve">scenarios </w:t>
      </w:r>
      <w:r>
        <w:t>should not be interpreted as price forecasts</w:t>
      </w:r>
      <w:r w:rsidR="00AC23AC">
        <w:t>,</w:t>
      </w:r>
      <w:r w:rsidR="00770158">
        <w:t xml:space="preserve"> </w:t>
      </w:r>
      <w:r w:rsidR="00281308">
        <w:t xml:space="preserve">as the model does not contain detail on </w:t>
      </w:r>
      <w:r w:rsidR="00983EB4">
        <w:t xml:space="preserve">domestic </w:t>
      </w:r>
      <w:r w:rsidR="00770158">
        <w:t xml:space="preserve">gas supply </w:t>
      </w:r>
      <w:r w:rsidR="00281308">
        <w:t>contracts</w:t>
      </w:r>
      <w:r w:rsidR="00AC23AC">
        <w:t xml:space="preserve"> </w:t>
      </w:r>
      <w:r w:rsidR="0095116F">
        <w:t>and there is substantial uncertainty</w:t>
      </w:r>
      <w:r w:rsidR="00770158">
        <w:t xml:space="preserve"> associated with well deliverability constraints</w:t>
      </w:r>
      <w:r w:rsidR="00D57E8C">
        <w:t xml:space="preserve">, both of which are important </w:t>
      </w:r>
      <w:r w:rsidR="00FF73D5">
        <w:t>for</w:t>
      </w:r>
      <w:r w:rsidR="00D57E8C">
        <w:t xml:space="preserve"> forecasting</w:t>
      </w:r>
      <w:r w:rsidR="00AC23AC">
        <w:t xml:space="preserve"> short-term</w:t>
      </w:r>
      <w:r w:rsidR="00D57E8C">
        <w:t xml:space="preserve"> prices</w:t>
      </w:r>
      <w:r>
        <w:t xml:space="preserve">. </w:t>
      </w:r>
    </w:p>
    <w:p w14:paraId="75668743" w14:textId="6A15295D" w:rsidR="00976A0B" w:rsidRDefault="00B04A1A" w:rsidP="00B04A1A">
      <w:pPr>
        <w:pStyle w:val="BodyText"/>
      </w:pPr>
      <w:r>
        <w:t xml:space="preserve">All baseline </w:t>
      </w:r>
      <w:r w:rsidR="00D57E8C">
        <w:t>scenarios</w:t>
      </w:r>
      <w:r>
        <w:t xml:space="preserve"> include </w:t>
      </w:r>
      <w:r w:rsidR="00E722E8">
        <w:t xml:space="preserve">existing </w:t>
      </w:r>
      <w:r w:rsidR="00983EB4">
        <w:t xml:space="preserve">LNG </w:t>
      </w:r>
      <w:r w:rsidR="00E722E8">
        <w:t xml:space="preserve">contracts associated with </w:t>
      </w:r>
      <w:r>
        <w:t xml:space="preserve">the three LNG export projects at Gladstone. Baseline </w:t>
      </w:r>
      <w:r w:rsidR="00844833">
        <w:t>results</w:t>
      </w:r>
      <w:r>
        <w:t xml:space="preserve"> suggest that although eastern Australian gas market prices will move with LNG prices, this link would be weaker if LNG prices are low. </w:t>
      </w:r>
    </w:p>
    <w:p w14:paraId="1C4E8C53" w14:textId="2C8FAA57" w:rsidR="00976A0B" w:rsidRDefault="00976A0B" w:rsidP="00B04A1A">
      <w:pPr>
        <w:pStyle w:val="BodyText"/>
      </w:pPr>
      <w:r>
        <w:t xml:space="preserve">In the central and high LNG price scenarios, LNG prices are sufficiently high to </w:t>
      </w:r>
      <w:r w:rsidR="00DD1D52">
        <w:t>trigger</w:t>
      </w:r>
      <w:r>
        <w:t xml:space="preserve"> investment to expand LNG </w:t>
      </w:r>
      <w:r w:rsidR="00AC23AC">
        <w:t xml:space="preserve">export </w:t>
      </w:r>
      <w:r>
        <w:t>plants.</w:t>
      </w:r>
      <w:r w:rsidDel="00AC23AC">
        <w:t xml:space="preserve"> </w:t>
      </w:r>
      <w:r w:rsidR="00AC23AC">
        <w:t xml:space="preserve">Modelling results indicate that </w:t>
      </w:r>
      <w:r>
        <w:t>prices</w:t>
      </w:r>
      <w:r w:rsidR="00983EB4">
        <w:t xml:space="preserve"> in the eastern Australian gas market</w:t>
      </w:r>
      <w:r>
        <w:t xml:space="preserve"> </w:t>
      </w:r>
      <w:r w:rsidR="00AC23AC">
        <w:t xml:space="preserve">will </w:t>
      </w:r>
      <w:r>
        <w:t>converge to netback prices (</w:t>
      </w:r>
      <w:r w:rsidRPr="00976A0B">
        <w:t>the export price of LNG less the costs of transport and liquefaction</w:t>
      </w:r>
      <w:r>
        <w:t>)</w:t>
      </w:r>
      <w:r w:rsidR="00955ED0">
        <w:t xml:space="preserve"> (figure </w:t>
      </w:r>
      <w:r w:rsidR="00955ED0" w:rsidRPr="00955ED0">
        <w:t>C.2)</w:t>
      </w:r>
      <w:r>
        <w:t xml:space="preserve">. Where there are no constraints on transmission investment, prices across different locations within Australia do not diverge by more than the </w:t>
      </w:r>
      <w:r w:rsidR="00983EB4">
        <w:t xml:space="preserve">variable </w:t>
      </w:r>
      <w:r>
        <w:t xml:space="preserve">costs of transmission (appendix B). </w:t>
      </w:r>
    </w:p>
    <w:p w14:paraId="6608E061" w14:textId="664E3D40" w:rsidR="00B04A1A" w:rsidRDefault="00976A0B" w:rsidP="00B04A1A">
      <w:pPr>
        <w:pStyle w:val="BodyText"/>
      </w:pPr>
      <w:r>
        <w:t xml:space="preserve">In the low LNG price scenario, LNG prices are too low to make </w:t>
      </w:r>
      <w:r w:rsidR="00983EB4">
        <w:t xml:space="preserve">the </w:t>
      </w:r>
      <w:r w:rsidR="00844833">
        <w:t xml:space="preserve">expansion of LNG </w:t>
      </w:r>
      <w:r w:rsidR="00983EB4">
        <w:t>export plants</w:t>
      </w:r>
      <w:r>
        <w:t xml:space="preserve"> viable. Existing export </w:t>
      </w:r>
      <w:r w:rsidR="00F70790">
        <w:t xml:space="preserve">commitments </w:t>
      </w:r>
      <w:r>
        <w:t>must still be met</w:t>
      </w:r>
      <w:r w:rsidR="00B04A1A">
        <w:t>,</w:t>
      </w:r>
      <w:r w:rsidR="0095116F">
        <w:t xml:space="preserve"> however,</w:t>
      </w:r>
      <w:r w:rsidR="00B04A1A">
        <w:t xml:space="preserve"> </w:t>
      </w:r>
      <w:r>
        <w:t>so</w:t>
      </w:r>
      <w:r w:rsidR="00B04A1A">
        <w:t xml:space="preserve"> there is limited scope to shift supply to the eastern Australian gas market in response to a decline in the LNG price. </w:t>
      </w:r>
      <w:r>
        <w:t xml:space="preserve">This leads to </w:t>
      </w:r>
      <w:r w:rsidR="00F70790">
        <w:t xml:space="preserve">modelled </w:t>
      </w:r>
      <w:r>
        <w:t xml:space="preserve">prices </w:t>
      </w:r>
      <w:r w:rsidR="00F70790">
        <w:t xml:space="preserve">for users </w:t>
      </w:r>
      <w:r>
        <w:t xml:space="preserve">in </w:t>
      </w:r>
      <w:r w:rsidR="00B04A1A">
        <w:t xml:space="preserve">the eastern market </w:t>
      </w:r>
      <w:r>
        <w:t>that</w:t>
      </w:r>
      <w:r w:rsidR="00B04A1A">
        <w:t xml:space="preserve"> temporarily exceed LNG netback price</w:t>
      </w:r>
      <w:r w:rsidR="00D57E8C">
        <w:t>s</w:t>
      </w:r>
      <w:r w:rsidR="00B04A1A">
        <w:t>.</w:t>
      </w:r>
    </w:p>
    <w:p w14:paraId="6E675986" w14:textId="2DA256DF" w:rsidR="008B4AE7" w:rsidRDefault="00983EB4">
      <w:pPr>
        <w:pStyle w:val="BodyText"/>
      </w:pPr>
      <w:r>
        <w:t>For modelling results i</w:t>
      </w:r>
      <w:r w:rsidR="00E1798E">
        <w:t xml:space="preserve">n each </w:t>
      </w:r>
      <w:r w:rsidR="00533542">
        <w:t>LNG price</w:t>
      </w:r>
      <w:r w:rsidR="00E1798E">
        <w:t xml:space="preserve"> scenario, supply </w:t>
      </w:r>
      <w:r w:rsidR="00844833">
        <w:t>comes</w:t>
      </w:r>
      <w:r w:rsidR="00E1798E">
        <w:t xml:space="preserve"> predominantly from the Surat</w:t>
      </w:r>
      <w:r w:rsidR="003C2B23">
        <w:t>–</w:t>
      </w:r>
      <w:r w:rsidR="00E1798E">
        <w:t xml:space="preserve">Bowen </w:t>
      </w:r>
      <w:r w:rsidR="00844833">
        <w:t>b</w:t>
      </w:r>
      <w:r w:rsidR="00E1798E">
        <w:t>asin</w:t>
      </w:r>
      <w:r w:rsidR="00491D81">
        <w:t>s</w:t>
      </w:r>
      <w:r w:rsidR="00E1798E">
        <w:t xml:space="preserve"> as these basins have the largest reserves</w:t>
      </w:r>
      <w:r w:rsidR="00742F7E">
        <w:t xml:space="preserve"> and provide the majority of gas for LNG exports</w:t>
      </w:r>
      <w:r w:rsidR="00491D81">
        <w:t xml:space="preserve">. </w:t>
      </w:r>
      <w:r w:rsidR="00742F7E">
        <w:t>The</w:t>
      </w:r>
      <w:r w:rsidR="00E1798E">
        <w:t xml:space="preserve"> Gippsland </w:t>
      </w:r>
      <w:r w:rsidR="00844833">
        <w:t>b</w:t>
      </w:r>
      <w:r w:rsidR="00742F7E">
        <w:t xml:space="preserve">asin </w:t>
      </w:r>
      <w:r w:rsidR="00F70790">
        <w:t>supplies the second largest quantity of</w:t>
      </w:r>
      <w:r w:rsidR="00742F7E">
        <w:t xml:space="preserve"> gas</w:t>
      </w:r>
      <w:r w:rsidR="00E1798E">
        <w:t xml:space="preserve">. </w:t>
      </w:r>
      <w:r w:rsidR="00533542">
        <w:t xml:space="preserve">While </w:t>
      </w:r>
      <w:r w:rsidR="00491D81">
        <w:t>other</w:t>
      </w:r>
      <w:r w:rsidR="00533542">
        <w:t xml:space="preserve"> basins make up a small</w:t>
      </w:r>
      <w:r w:rsidR="00491D81">
        <w:t>er</w:t>
      </w:r>
      <w:r w:rsidR="00533542">
        <w:t xml:space="preserve"> share of production, total production is much higher in some of these </w:t>
      </w:r>
      <w:r>
        <w:t>basins</w:t>
      </w:r>
      <w:r w:rsidR="00533542">
        <w:t xml:space="preserve"> under the high LNG </w:t>
      </w:r>
      <w:r w:rsidR="00A501E6">
        <w:t xml:space="preserve">price </w:t>
      </w:r>
      <w:r w:rsidR="00533542">
        <w:t>scenario</w:t>
      </w:r>
      <w:r w:rsidR="00491D81">
        <w:t xml:space="preserve">, as prices increase sufficiently to bring on gas fields </w:t>
      </w:r>
      <w:r>
        <w:t>at these basins</w:t>
      </w:r>
      <w:r w:rsidR="00491D81">
        <w:t xml:space="preserve"> that would otherwise be uneconomic</w:t>
      </w:r>
      <w:r w:rsidR="00533542">
        <w:t xml:space="preserve">. For example, production in the Bass </w:t>
      </w:r>
      <w:r w:rsidR="00844833">
        <w:t>b</w:t>
      </w:r>
      <w:r w:rsidR="00533542">
        <w:t xml:space="preserve">asin is three times higher in the high LNG </w:t>
      </w:r>
      <w:r>
        <w:t xml:space="preserve">price </w:t>
      </w:r>
      <w:r w:rsidR="00533542">
        <w:t xml:space="preserve">scenario than the low LNG </w:t>
      </w:r>
      <w:r>
        <w:t xml:space="preserve">price </w:t>
      </w:r>
      <w:r w:rsidR="00533542">
        <w:t>scenario</w:t>
      </w:r>
      <w:r w:rsidR="00D249E4">
        <w:t xml:space="preserve"> (figure C.1)</w:t>
      </w:r>
      <w:r w:rsidR="00533542">
        <w:t xml:space="preserve">. </w:t>
      </w:r>
    </w:p>
    <w:p w14:paraId="664F454B" w14:textId="163E3A53"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6E108546" w14:textId="77777777" w:rsidTr="00464C37">
        <w:tc>
          <w:tcPr>
            <w:tcW w:w="8771" w:type="dxa"/>
            <w:tcBorders>
              <w:top w:val="single" w:sz="6" w:space="0" w:color="78A22F"/>
              <w:left w:val="nil"/>
              <w:bottom w:val="nil"/>
              <w:right w:val="nil"/>
            </w:tcBorders>
            <w:shd w:val="clear" w:color="auto" w:fill="auto"/>
          </w:tcPr>
          <w:p w14:paraId="0A223247" w14:textId="3DC6E860" w:rsidR="007A5FCF" w:rsidRDefault="007A5FCF" w:rsidP="00464C37">
            <w:pPr>
              <w:pStyle w:val="FigureTitle"/>
            </w:pPr>
            <w:r w:rsidRPr="00784A05">
              <w:rPr>
                <w:b w:val="0"/>
              </w:rPr>
              <w:t xml:space="preserve">Figure </w:t>
            </w:r>
            <w:bookmarkStart w:id="4" w:name="OLE_LINK10"/>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1</w:t>
            </w:r>
            <w:r w:rsidRPr="00784A05">
              <w:rPr>
                <w:b w:val="0"/>
              </w:rPr>
              <w:fldChar w:fldCharType="end"/>
            </w:r>
            <w:bookmarkEnd w:id="4"/>
            <w:r w:rsidR="003223A1">
              <w:tab/>
              <w:t>Demand and supply (</w:t>
            </w:r>
            <w:proofErr w:type="spellStart"/>
            <w:r w:rsidR="003223A1">
              <w:t>P</w:t>
            </w:r>
            <w:r w:rsidR="00A501E6">
              <w:t>etajoules</w:t>
            </w:r>
            <w:proofErr w:type="spellEnd"/>
            <w:r w:rsidR="007B3B7C">
              <w:t xml:space="preserve"> (PJ) per </w:t>
            </w:r>
            <w:r w:rsidR="003223A1">
              <w:t>year</w:t>
            </w:r>
            <w:r w:rsidR="00905495">
              <w:t>)</w:t>
            </w:r>
          </w:p>
          <w:p w14:paraId="5CEF9413" w14:textId="77777777" w:rsidR="007A5FCF" w:rsidRPr="00176D3F" w:rsidRDefault="007A5FCF" w:rsidP="00464C37">
            <w:pPr>
              <w:pStyle w:val="Subtitle"/>
            </w:pPr>
            <w:r>
              <w:t>Three LNG price scenarios, by source of demand and supply basin</w:t>
            </w:r>
          </w:p>
        </w:tc>
      </w:tr>
      <w:tr w:rsidR="007A5FCF" w14:paraId="74DACC76"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9D32C2" w14:paraId="24F63D45" w14:textId="77777777" w:rsidTr="009D32C2">
              <w:trPr>
                <w:trHeight w:val="145"/>
                <w:jc w:val="center"/>
              </w:trPr>
              <w:tc>
                <w:tcPr>
                  <w:tcW w:w="4252" w:type="dxa"/>
                  <w:tcBorders>
                    <w:top w:val="nil"/>
                    <w:bottom w:val="nil"/>
                  </w:tcBorders>
                </w:tcPr>
                <w:p w14:paraId="73F7D1EE" w14:textId="0089CB81" w:rsidR="009D32C2" w:rsidRDefault="009D32C2" w:rsidP="00464C37">
                  <w:pPr>
                    <w:pStyle w:val="Figure"/>
                    <w:spacing w:before="60" w:after="60"/>
                  </w:pPr>
                  <w:r>
                    <w:rPr>
                      <w:noProof/>
                    </w:rPr>
                    <w:drawing>
                      <wp:inline distT="0" distB="0" distL="0" distR="0" wp14:anchorId="044B999C" wp14:editId="556C4400">
                        <wp:extent cx="2700655" cy="2158365"/>
                        <wp:effectExtent l="0" t="0" r="4445" b="0"/>
                        <wp:docPr id="12" name="Picture 12"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655" cy="2158365"/>
                                </a:xfrm>
                                <a:prstGeom prst="rect">
                                  <a:avLst/>
                                </a:prstGeom>
                                <a:noFill/>
                              </pic:spPr>
                            </pic:pic>
                          </a:graphicData>
                        </a:graphic>
                      </wp:inline>
                    </w:drawing>
                  </w:r>
                </w:p>
              </w:tc>
              <w:tc>
                <w:tcPr>
                  <w:tcW w:w="4252" w:type="dxa"/>
                  <w:tcBorders>
                    <w:top w:val="nil"/>
                    <w:bottom w:val="nil"/>
                  </w:tcBorders>
                </w:tcPr>
                <w:p w14:paraId="053D8A7B" w14:textId="531F3C8D" w:rsidR="009D32C2" w:rsidRDefault="009D32C2" w:rsidP="00464C37">
                  <w:pPr>
                    <w:pStyle w:val="Figure"/>
                    <w:spacing w:before="60" w:after="60"/>
                    <w:rPr>
                      <w:noProof/>
                    </w:rPr>
                  </w:pPr>
                  <w:r>
                    <w:rPr>
                      <w:noProof/>
                    </w:rPr>
                    <w:drawing>
                      <wp:inline distT="0" distB="0" distL="0" distR="0" wp14:anchorId="39C199A1" wp14:editId="3579A478">
                        <wp:extent cx="2517775" cy="2158365"/>
                        <wp:effectExtent l="0" t="0" r="0" b="0"/>
                        <wp:docPr id="54" name="Picture 54"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7775" cy="2158365"/>
                                </a:xfrm>
                                <a:prstGeom prst="rect">
                                  <a:avLst/>
                                </a:prstGeom>
                                <a:noFill/>
                              </pic:spPr>
                            </pic:pic>
                          </a:graphicData>
                        </a:graphic>
                      </wp:inline>
                    </w:drawing>
                  </w:r>
                </w:p>
              </w:tc>
            </w:tr>
            <w:tr w:rsidR="007A5FCF" w14:paraId="2A589EC4" w14:textId="77777777" w:rsidTr="00677DE5">
              <w:trPr>
                <w:trHeight w:val="145"/>
                <w:jc w:val="center"/>
              </w:trPr>
              <w:tc>
                <w:tcPr>
                  <w:tcW w:w="4252" w:type="dxa"/>
                  <w:tcBorders>
                    <w:top w:val="nil"/>
                    <w:bottom w:val="nil"/>
                  </w:tcBorders>
                </w:tcPr>
                <w:p w14:paraId="282EE767" w14:textId="552A4F98" w:rsidR="007A5FCF" w:rsidRDefault="009D32C2" w:rsidP="00464C37">
                  <w:pPr>
                    <w:pStyle w:val="Figure"/>
                    <w:spacing w:before="60" w:after="60"/>
                  </w:pPr>
                  <w:r>
                    <w:rPr>
                      <w:noProof/>
                    </w:rPr>
                    <w:drawing>
                      <wp:inline distT="0" distB="0" distL="0" distR="0" wp14:anchorId="1355CB53" wp14:editId="38989609">
                        <wp:extent cx="2700655" cy="2164080"/>
                        <wp:effectExtent l="0" t="0" r="4445" b="7620"/>
                        <wp:docPr id="26" name="Picture 26"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655" cy="2164080"/>
                                </a:xfrm>
                                <a:prstGeom prst="rect">
                                  <a:avLst/>
                                </a:prstGeom>
                                <a:noFill/>
                              </pic:spPr>
                            </pic:pic>
                          </a:graphicData>
                        </a:graphic>
                      </wp:inline>
                    </w:drawing>
                  </w:r>
                </w:p>
              </w:tc>
              <w:tc>
                <w:tcPr>
                  <w:tcW w:w="4252" w:type="dxa"/>
                  <w:tcBorders>
                    <w:top w:val="nil"/>
                    <w:bottom w:val="nil"/>
                  </w:tcBorders>
                </w:tcPr>
                <w:p w14:paraId="2A701EC1" w14:textId="533C6ECE" w:rsidR="007A5FCF" w:rsidRDefault="009D32C2" w:rsidP="00464C37">
                  <w:pPr>
                    <w:pStyle w:val="Figure"/>
                    <w:spacing w:before="60" w:after="60"/>
                  </w:pPr>
                  <w:r>
                    <w:rPr>
                      <w:noProof/>
                    </w:rPr>
                    <w:drawing>
                      <wp:inline distT="0" distB="0" distL="0" distR="0" wp14:anchorId="421ADA21" wp14:editId="50C0ADA9">
                        <wp:extent cx="2524125" cy="2164080"/>
                        <wp:effectExtent l="0" t="0" r="9525" b="7620"/>
                        <wp:docPr id="57" name="Picture 57"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4125" cy="2164080"/>
                                </a:xfrm>
                                <a:prstGeom prst="rect">
                                  <a:avLst/>
                                </a:prstGeom>
                                <a:noFill/>
                              </pic:spPr>
                            </pic:pic>
                          </a:graphicData>
                        </a:graphic>
                      </wp:inline>
                    </w:drawing>
                  </w:r>
                </w:p>
              </w:tc>
            </w:tr>
            <w:tr w:rsidR="007A5FCF" w14:paraId="55E413AE" w14:textId="77777777" w:rsidTr="00677DE5">
              <w:trPr>
                <w:trHeight w:val="145"/>
                <w:jc w:val="center"/>
              </w:trPr>
              <w:tc>
                <w:tcPr>
                  <w:tcW w:w="4252" w:type="dxa"/>
                  <w:tcBorders>
                    <w:top w:val="nil"/>
                    <w:bottom w:val="nil"/>
                  </w:tcBorders>
                </w:tcPr>
                <w:p w14:paraId="24CF9813" w14:textId="5073C6F3" w:rsidR="007A5FCF" w:rsidRDefault="009D32C2" w:rsidP="00464C37">
                  <w:pPr>
                    <w:pStyle w:val="Figure"/>
                    <w:spacing w:before="60" w:after="60"/>
                  </w:pPr>
                  <w:r>
                    <w:rPr>
                      <w:noProof/>
                    </w:rPr>
                    <w:drawing>
                      <wp:inline distT="0" distB="0" distL="0" distR="0" wp14:anchorId="3BA62F47" wp14:editId="0AD316CC">
                        <wp:extent cx="2700655" cy="2164080"/>
                        <wp:effectExtent l="0" t="0" r="4445" b="7620"/>
                        <wp:docPr id="39" name="Picture 39"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0655" cy="2164080"/>
                                </a:xfrm>
                                <a:prstGeom prst="rect">
                                  <a:avLst/>
                                </a:prstGeom>
                                <a:noFill/>
                              </pic:spPr>
                            </pic:pic>
                          </a:graphicData>
                        </a:graphic>
                      </wp:inline>
                    </w:drawing>
                  </w:r>
                </w:p>
              </w:tc>
              <w:tc>
                <w:tcPr>
                  <w:tcW w:w="4252" w:type="dxa"/>
                  <w:tcBorders>
                    <w:top w:val="nil"/>
                    <w:bottom w:val="nil"/>
                  </w:tcBorders>
                </w:tcPr>
                <w:p w14:paraId="4B09E6B2" w14:textId="04A44A9F" w:rsidR="007A5FCF" w:rsidRDefault="009D32C2" w:rsidP="00464C37">
                  <w:pPr>
                    <w:pStyle w:val="Figure"/>
                    <w:spacing w:before="60" w:after="60"/>
                  </w:pPr>
                  <w:r>
                    <w:rPr>
                      <w:noProof/>
                    </w:rPr>
                    <w:drawing>
                      <wp:inline distT="0" distB="0" distL="0" distR="0" wp14:anchorId="5B798D35" wp14:editId="5F1E40E3">
                        <wp:extent cx="2517775" cy="2164080"/>
                        <wp:effectExtent l="0" t="0" r="0" b="7620"/>
                        <wp:docPr id="53" name="Picture 53" descr="This is one of six charts in figure B.1. These six charts show that in each LNG price scenario, LNG exports account for the vast majority of modelled demand. With low LNG prices, modelled LNG export demand is limited to existing LNG contracts — about 1400 petajoules per year from 2018. With central LNG prices, modelled LNG export demand is higher because of new contracts of 810 petajoules per year from 2019. With high LNG prices, modelled LNG export demand is higher because of new contracts of 810 petajoules per year from 2019 to 2022 and new contracts of about 1300 petajoules per year from 2023.   &#10;Modelled domestic demand is higher with lower LNG prices.&#10;• With low LNG prices modelled demand in the eastern Australian gas market increases from about 610 petajoules in 2013 to about 740 petajoules in 2032.&#10;• With central LNG prices, modelled demand in the eastern Australian gas market increases from about 580 petajoules in 2013 to over 610 petajoules in 2032. &#10;• With high LNG prices, modelled demand in the eastern Australian gas market is flat from 2013 to 2032 (at about 540 petajoules per year).  &#10;In each LNG price scenario, modelled supply is slightly higher than modelled demand. System use of gas accounts for this difference. In each LNG scenario the Surat-Bowen basins account for the vast majority of modelled supp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7775" cy="2164080"/>
                                </a:xfrm>
                                <a:prstGeom prst="rect">
                                  <a:avLst/>
                                </a:prstGeom>
                                <a:noFill/>
                              </pic:spPr>
                            </pic:pic>
                          </a:graphicData>
                        </a:graphic>
                      </wp:inline>
                    </w:drawing>
                  </w:r>
                </w:p>
              </w:tc>
            </w:tr>
            <w:tr w:rsidR="007A5FCF" w14:paraId="01B1F7E5" w14:textId="77777777" w:rsidTr="00464C37">
              <w:trPr>
                <w:trHeight w:val="145"/>
                <w:jc w:val="center"/>
              </w:trPr>
              <w:tc>
                <w:tcPr>
                  <w:tcW w:w="4252" w:type="dxa"/>
                  <w:tcBorders>
                    <w:top w:val="nil"/>
                    <w:bottom w:val="nil"/>
                  </w:tcBorders>
                </w:tcPr>
                <w:p w14:paraId="29D3CBF6" w14:textId="2DCF7048" w:rsidR="007A5FCF" w:rsidRDefault="00DA3495" w:rsidP="00464C37">
                  <w:pPr>
                    <w:pStyle w:val="Figure"/>
                    <w:spacing w:before="60" w:after="60"/>
                    <w:rPr>
                      <w:noProof/>
                    </w:rPr>
                  </w:pPr>
                  <w:r>
                    <w:rPr>
                      <w:noProof/>
                    </w:rPr>
                    <w:drawing>
                      <wp:inline distT="0" distB="0" distL="0" distR="0" wp14:anchorId="5E5F9632" wp14:editId="75EB59EE">
                        <wp:extent cx="1714500" cy="657225"/>
                        <wp:effectExtent l="0" t="0" r="0" b="9525"/>
                        <wp:docPr id="82" name="Picture 82" descr="This is the legend for usage charts above. Modelled demand is comprised of existing LNG contracts, new LNG contracts and domestic dem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714500" cy="657225"/>
                                </a:xfrm>
                                <a:prstGeom prst="rect">
                                  <a:avLst/>
                                </a:prstGeom>
                              </pic:spPr>
                            </pic:pic>
                          </a:graphicData>
                        </a:graphic>
                      </wp:inline>
                    </w:drawing>
                  </w:r>
                </w:p>
              </w:tc>
              <w:tc>
                <w:tcPr>
                  <w:tcW w:w="4252" w:type="dxa"/>
                  <w:tcBorders>
                    <w:top w:val="nil"/>
                    <w:bottom w:val="nil"/>
                  </w:tcBorders>
                </w:tcPr>
                <w:p w14:paraId="575AD713" w14:textId="1A9B52CF" w:rsidR="00477361" w:rsidRDefault="00872E65" w:rsidP="00A501E6">
                  <w:pPr>
                    <w:pStyle w:val="Figure"/>
                    <w:spacing w:before="60" w:after="60"/>
                    <w:jc w:val="left"/>
                    <w:rPr>
                      <w:noProof/>
                    </w:rPr>
                  </w:pPr>
                  <w:r>
                    <w:rPr>
                      <w:noProof/>
                    </w:rPr>
                    <w:drawing>
                      <wp:inline distT="0" distB="0" distL="0" distR="0" wp14:anchorId="53C48140" wp14:editId="349F5AFA">
                        <wp:extent cx="2428875" cy="304800"/>
                        <wp:effectExtent l="0" t="0" r="9525" b="0"/>
                        <wp:docPr id="35" name="Picture 35" descr="This is the legend for supply charts above. Supply from the Bass, Cooper, Gippsland and Surat-Bowen basins are shown on the chart as well as other basins, which includes the Clarence-Morton, Gunnedah, Otway and Sydney bas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428875" cy="304800"/>
                                </a:xfrm>
                                <a:prstGeom prst="rect">
                                  <a:avLst/>
                                </a:prstGeom>
                              </pic:spPr>
                            </pic:pic>
                          </a:graphicData>
                        </a:graphic>
                      </wp:inline>
                    </w:drawing>
                  </w:r>
                </w:p>
                <w:p w14:paraId="3D44565D" w14:textId="1DC325AF" w:rsidR="007A5FCF" w:rsidRDefault="00872E65" w:rsidP="00A501E6">
                  <w:pPr>
                    <w:pStyle w:val="Figure"/>
                    <w:spacing w:before="60" w:after="60"/>
                    <w:jc w:val="left"/>
                    <w:rPr>
                      <w:noProof/>
                    </w:rPr>
                  </w:pPr>
                  <w:r>
                    <w:rPr>
                      <w:noProof/>
                    </w:rPr>
                    <w:drawing>
                      <wp:inline distT="0" distB="0" distL="0" distR="0" wp14:anchorId="6289677D" wp14:editId="4C541A19">
                        <wp:extent cx="2143125" cy="342900"/>
                        <wp:effectExtent l="0" t="0" r="9525" b="0"/>
                        <wp:docPr id="11" name="Picture 11" descr="This is the legend for supply charts above. Supply from the Bass, Cooper, Gippsland and Surat-Bowen basins are shown on the chart as well as other basins, which includes the Clarence-Morton, Gunnedah, Otway and Sydney bas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43125" cy="342900"/>
                                </a:xfrm>
                                <a:prstGeom prst="rect">
                                  <a:avLst/>
                                </a:prstGeom>
                              </pic:spPr>
                            </pic:pic>
                          </a:graphicData>
                        </a:graphic>
                      </wp:inline>
                    </w:drawing>
                  </w:r>
                </w:p>
              </w:tc>
            </w:tr>
          </w:tbl>
          <w:p w14:paraId="237FB1F5" w14:textId="77777777" w:rsidR="007A5FCF" w:rsidRDefault="007A5FCF" w:rsidP="00464C37">
            <w:pPr>
              <w:pStyle w:val="Figure"/>
            </w:pPr>
          </w:p>
        </w:tc>
      </w:tr>
      <w:tr w:rsidR="007A5FCF" w:rsidRPr="00176D3F" w14:paraId="7B3FB534" w14:textId="77777777" w:rsidTr="00464C37">
        <w:tc>
          <w:tcPr>
            <w:tcW w:w="8771" w:type="dxa"/>
            <w:tcBorders>
              <w:top w:val="nil"/>
              <w:left w:val="nil"/>
              <w:bottom w:val="nil"/>
              <w:right w:val="nil"/>
            </w:tcBorders>
            <w:shd w:val="clear" w:color="auto" w:fill="auto"/>
          </w:tcPr>
          <w:p w14:paraId="08E2AE27" w14:textId="401B802E" w:rsidR="007A5FCF" w:rsidRPr="00176D3F" w:rsidRDefault="008E4AB1" w:rsidP="00232238">
            <w:pPr>
              <w:pStyle w:val="Source"/>
            </w:pPr>
            <w:r>
              <w:rPr>
                <w:i/>
              </w:rPr>
              <w:t>Source</w:t>
            </w:r>
            <w:r w:rsidRPr="00624D3F">
              <w:t>:</w:t>
            </w:r>
            <w:r>
              <w:rPr>
                <w:i/>
              </w:rPr>
              <w:t xml:space="preserve"> </w:t>
            </w:r>
            <w:r w:rsidR="00232238">
              <w:t xml:space="preserve">Commission </w:t>
            </w:r>
            <w:r w:rsidR="007A5FCF">
              <w:t xml:space="preserve">estimates. </w:t>
            </w:r>
          </w:p>
        </w:tc>
      </w:tr>
      <w:tr w:rsidR="007A5FCF" w14:paraId="5E4CBE93" w14:textId="77777777" w:rsidTr="00464C37">
        <w:tc>
          <w:tcPr>
            <w:tcW w:w="8771" w:type="dxa"/>
            <w:tcBorders>
              <w:top w:val="nil"/>
              <w:left w:val="nil"/>
              <w:bottom w:val="single" w:sz="6" w:space="0" w:color="78A22F"/>
              <w:right w:val="nil"/>
            </w:tcBorders>
            <w:shd w:val="clear" w:color="auto" w:fill="auto"/>
          </w:tcPr>
          <w:p w14:paraId="56177E15" w14:textId="77777777" w:rsidR="007A5FCF" w:rsidRDefault="007A5FCF" w:rsidP="00464C37">
            <w:pPr>
              <w:pStyle w:val="Figurespace"/>
            </w:pPr>
          </w:p>
        </w:tc>
      </w:tr>
      <w:tr w:rsidR="007A5FCF" w:rsidRPr="000863A5" w14:paraId="191F2227" w14:textId="77777777" w:rsidTr="00464C37">
        <w:tc>
          <w:tcPr>
            <w:tcW w:w="8771" w:type="dxa"/>
            <w:tcBorders>
              <w:top w:val="single" w:sz="6" w:space="0" w:color="78A22F"/>
              <w:left w:val="nil"/>
              <w:bottom w:val="nil"/>
              <w:right w:val="nil"/>
            </w:tcBorders>
          </w:tcPr>
          <w:p w14:paraId="4137EA2A" w14:textId="6C504356" w:rsidR="007A5FCF" w:rsidRPr="00626D32" w:rsidRDefault="007A5FCF" w:rsidP="00464C37">
            <w:pPr>
              <w:pStyle w:val="BoxSpaceBelow"/>
            </w:pPr>
          </w:p>
        </w:tc>
      </w:tr>
    </w:tbl>
    <w:p w14:paraId="7C7A248F" w14:textId="5E343B7E"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23FCD" w14:paraId="2976EDD5" w14:textId="77777777" w:rsidTr="008803FB">
        <w:tc>
          <w:tcPr>
            <w:tcW w:w="8771" w:type="dxa"/>
            <w:tcBorders>
              <w:top w:val="single" w:sz="6" w:space="0" w:color="78A22F"/>
              <w:left w:val="nil"/>
              <w:bottom w:val="nil"/>
              <w:right w:val="nil"/>
            </w:tcBorders>
            <w:shd w:val="clear" w:color="auto" w:fill="auto"/>
          </w:tcPr>
          <w:p w14:paraId="01F2A327" w14:textId="2E2154C1" w:rsidR="00923FCD" w:rsidRDefault="00923FCD" w:rsidP="00923FCD">
            <w:pPr>
              <w:pStyle w:val="FigureTitle"/>
            </w:pPr>
            <w:r w:rsidRPr="00784A05">
              <w:rPr>
                <w:b w:val="0"/>
              </w:rPr>
              <w:t xml:space="preserve">Figure </w:t>
            </w:r>
            <w:bookmarkStart w:id="5" w:name="OLE_LINK16"/>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2</w:t>
            </w:r>
            <w:r w:rsidRPr="00784A05">
              <w:rPr>
                <w:b w:val="0"/>
              </w:rPr>
              <w:fldChar w:fldCharType="end"/>
            </w:r>
            <w:bookmarkEnd w:id="5"/>
            <w:r>
              <w:tab/>
              <w:t>Capital city and LNG prices</w:t>
            </w:r>
          </w:p>
          <w:p w14:paraId="563AD129" w14:textId="663B1E8D" w:rsidR="00923FCD" w:rsidRPr="00176D3F" w:rsidRDefault="00DD757C" w:rsidP="00923FCD">
            <w:pPr>
              <w:pStyle w:val="Subtitle"/>
            </w:pPr>
            <w:r>
              <w:t>T</w:t>
            </w:r>
            <w:r w:rsidR="00923FCD">
              <w:t>hree LNG price scenarios</w:t>
            </w:r>
            <w:r w:rsidR="00491D81">
              <w:t xml:space="preserve"> ($ per </w:t>
            </w:r>
            <w:r w:rsidR="00955ED0">
              <w:t>gigajoule</w:t>
            </w:r>
            <w:r w:rsidR="00491D81">
              <w:t>)</w:t>
            </w:r>
          </w:p>
        </w:tc>
      </w:tr>
      <w:tr w:rsidR="00923FCD" w14:paraId="025AF585" w14:textId="77777777" w:rsidTr="008803F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923FCD" w14:paraId="4D35046C" w14:textId="77777777" w:rsidTr="00923FCD">
              <w:trPr>
                <w:trHeight w:val="218"/>
                <w:jc w:val="center"/>
              </w:trPr>
              <w:tc>
                <w:tcPr>
                  <w:tcW w:w="4252" w:type="dxa"/>
                  <w:tcBorders>
                    <w:top w:val="nil"/>
                    <w:bottom w:val="nil"/>
                  </w:tcBorders>
                </w:tcPr>
                <w:p w14:paraId="3EEBB323" w14:textId="21BE187E" w:rsidR="00923FCD" w:rsidRDefault="00DA3495" w:rsidP="008803FB">
                  <w:pPr>
                    <w:pStyle w:val="Figure"/>
                    <w:spacing w:before="60" w:after="60"/>
                  </w:pPr>
                  <w:r>
                    <w:rPr>
                      <w:noProof/>
                    </w:rPr>
                    <w:drawing>
                      <wp:inline distT="0" distB="0" distL="0" distR="0" wp14:anchorId="2EA78304" wp14:editId="1DA3EBA1">
                        <wp:extent cx="2517775" cy="2877820"/>
                        <wp:effectExtent l="0" t="0" r="0" b="0"/>
                        <wp:docPr id="79" name="Picture 79" descr="This is one of three charts in figure C.2. This figure displays modelled capital city prices in each LNG price scenario, as well as the LNG price. &#10;In the low LNG price scenario, modelled prices are very similar in Adelaide, Brisbane, Melbourne and Sydney from 2013 to 2032. Prices are flat in each city over this period (about $6 per gigajoule in 2014-15 dollars). &#10;In the central LNG price scenario, modelled prices are very similar in Adelaide, Brisbane, Melbourne and Sydney from 2013 to 2032. Prices increase gradually from about $6.50 per gigajoule to about $9.50 per gigajoule.&#10;In the high LNG price scenario, modelled prices are slightly higher in Brisbane than Adelaide, Melbourne and Sydney from 2013 to 2032. Prices increase gradually from about $6 per gigajoule to about $14.50 per gigajoule in Brisbane and to about $13.00 per gigajoule in other capital c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7775" cy="2877820"/>
                                </a:xfrm>
                                <a:prstGeom prst="rect">
                                  <a:avLst/>
                                </a:prstGeom>
                                <a:noFill/>
                              </pic:spPr>
                            </pic:pic>
                          </a:graphicData>
                        </a:graphic>
                      </wp:inline>
                    </w:drawing>
                  </w:r>
                </w:p>
              </w:tc>
              <w:tc>
                <w:tcPr>
                  <w:tcW w:w="4252" w:type="dxa"/>
                  <w:vMerge w:val="restart"/>
                  <w:tcBorders>
                    <w:top w:val="nil"/>
                    <w:bottom w:val="nil"/>
                  </w:tcBorders>
                </w:tcPr>
                <w:p w14:paraId="726E13F9" w14:textId="672FD92F" w:rsidR="00955ED0" w:rsidRDefault="00AF1ACF" w:rsidP="008803FB">
                  <w:pPr>
                    <w:pStyle w:val="Figure"/>
                    <w:spacing w:before="60" w:after="60"/>
                  </w:pPr>
                  <w:r>
                    <w:rPr>
                      <w:noProof/>
                    </w:rPr>
                    <w:drawing>
                      <wp:inline distT="0" distB="0" distL="0" distR="0" wp14:anchorId="444C9D06" wp14:editId="289C3535">
                        <wp:extent cx="2517775" cy="3602990"/>
                        <wp:effectExtent l="0" t="0" r="0" b="0"/>
                        <wp:docPr id="55" name="Picture 55" descr="This is one of three charts in figure C.2. This figure displays modelled capital city prices in each LNG price scenario, as well as the LNG price. &#10;In the low LNG price scenario, modelled prices are very similar in Adelaide, Brisbane, Melbourne and Sydney from 2013 to 2032. Prices are flat in each city over this period (about $6 per gigajoule in 2014-15 dollars). &#10;In the central LNG price scenario, modelled prices are very similar in Adelaide, Brisbane, Melbourne and Sydney from 2013 to 2032. Prices increase gradually from about $6.50 per gigajoule to about $9.50 per gigajoule.&#10;In the high LNG price scenario, modelled prices are slightly higher in Brisbane than Adelaide, Melbourne and Sydney from 2013 to 2032. Prices increase gradually from about $6 per gigajoule to about $14.50 per gigajoule in Brisbane and to about $13.00 per gigajoule in other capital c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7775" cy="3602990"/>
                                </a:xfrm>
                                <a:prstGeom prst="rect">
                                  <a:avLst/>
                                </a:prstGeom>
                                <a:noFill/>
                              </pic:spPr>
                            </pic:pic>
                          </a:graphicData>
                        </a:graphic>
                      </wp:inline>
                    </w:drawing>
                  </w:r>
                </w:p>
                <w:p w14:paraId="528ED959" w14:textId="58EC70AC" w:rsidR="00923FCD" w:rsidRDefault="00923FCD" w:rsidP="008803FB">
                  <w:pPr>
                    <w:pStyle w:val="Figure"/>
                    <w:spacing w:before="60" w:after="60"/>
                  </w:pPr>
                </w:p>
              </w:tc>
            </w:tr>
            <w:tr w:rsidR="00923FCD" w14:paraId="28872DAC" w14:textId="77777777" w:rsidTr="00923FCD">
              <w:trPr>
                <w:trHeight w:val="217"/>
                <w:jc w:val="center"/>
              </w:trPr>
              <w:tc>
                <w:tcPr>
                  <w:tcW w:w="4252" w:type="dxa"/>
                  <w:tcBorders>
                    <w:top w:val="nil"/>
                    <w:bottom w:val="nil"/>
                  </w:tcBorders>
                </w:tcPr>
                <w:p w14:paraId="09A0638A" w14:textId="24E56DB9" w:rsidR="00923FCD" w:rsidRDefault="00DA3495" w:rsidP="008803FB">
                  <w:pPr>
                    <w:pStyle w:val="Figure"/>
                    <w:spacing w:before="60" w:after="60"/>
                  </w:pPr>
                  <w:r>
                    <w:rPr>
                      <w:noProof/>
                    </w:rPr>
                    <w:t xml:space="preserve"> </w:t>
                  </w:r>
                  <w:r>
                    <w:rPr>
                      <w:noProof/>
                    </w:rPr>
                    <w:drawing>
                      <wp:inline distT="0" distB="0" distL="0" distR="0" wp14:anchorId="4310D922" wp14:editId="0E8FB9F9">
                        <wp:extent cx="2517775" cy="2877820"/>
                        <wp:effectExtent l="0" t="0" r="0" b="0"/>
                        <wp:docPr id="56" name="Picture 56" descr="This is one of three charts in figure C.2. This figure displays modelled capital city prices in each LNG price scenario, as well as the LNG price. &#10;In the low LNG price scenario, modelled prices are very similar in Adelaide, Brisbane, Melbourne and Sydney from 2013 to 2032. Prices are flat in each city over this period (about $6 per gigajoule in 2014-15 dollars). &#10;In the central LNG price scenario, modelled prices are very similar in Adelaide, Brisbane, Melbourne and Sydney from 2013 to 2032. Prices increase gradually from about $6.50 per gigajoule to about $9.50 per gigajoule.&#10;In the high LNG price scenario, modelled prices are slightly higher in Brisbane than Adelaide, Melbourne and Sydney from 2013 to 2032. Prices increase gradually from about $6 per gigajoule to about $14.50 per gigajoule in Brisbane and to about $13.00 per gigajoule in other capital c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7775" cy="2877820"/>
                                </a:xfrm>
                                <a:prstGeom prst="rect">
                                  <a:avLst/>
                                </a:prstGeom>
                                <a:noFill/>
                              </pic:spPr>
                            </pic:pic>
                          </a:graphicData>
                        </a:graphic>
                      </wp:inline>
                    </w:drawing>
                  </w:r>
                </w:p>
              </w:tc>
              <w:tc>
                <w:tcPr>
                  <w:tcW w:w="4252" w:type="dxa"/>
                  <w:vMerge/>
                  <w:tcBorders>
                    <w:top w:val="nil"/>
                    <w:bottom w:val="nil"/>
                  </w:tcBorders>
                </w:tcPr>
                <w:p w14:paraId="22CCDEAC" w14:textId="6DDF2D07" w:rsidR="00923FCD" w:rsidRDefault="00923FCD" w:rsidP="008803FB">
                  <w:pPr>
                    <w:pStyle w:val="Figure"/>
                    <w:spacing w:before="60" w:after="60"/>
                  </w:pPr>
                </w:p>
              </w:tc>
            </w:tr>
          </w:tbl>
          <w:p w14:paraId="05F77BF4" w14:textId="77777777" w:rsidR="00923FCD" w:rsidRDefault="00923FCD" w:rsidP="008803FB">
            <w:pPr>
              <w:pStyle w:val="Figure"/>
            </w:pPr>
          </w:p>
        </w:tc>
      </w:tr>
      <w:tr w:rsidR="00923FCD" w:rsidRPr="00176D3F" w14:paraId="3EB3404C" w14:textId="77777777" w:rsidTr="008803FB">
        <w:tc>
          <w:tcPr>
            <w:tcW w:w="8771" w:type="dxa"/>
            <w:tcBorders>
              <w:top w:val="nil"/>
              <w:left w:val="nil"/>
              <w:bottom w:val="nil"/>
              <w:right w:val="nil"/>
            </w:tcBorders>
            <w:shd w:val="clear" w:color="auto" w:fill="auto"/>
          </w:tcPr>
          <w:p w14:paraId="232788AE" w14:textId="614E64C7" w:rsidR="00923FCD" w:rsidRPr="00176D3F" w:rsidRDefault="008E4AB1" w:rsidP="008803FB">
            <w:pPr>
              <w:pStyle w:val="Source"/>
            </w:pPr>
            <w:r>
              <w:rPr>
                <w:i/>
              </w:rPr>
              <w:t>Source</w:t>
            </w:r>
            <w:r w:rsidRPr="00624D3F">
              <w:t>:</w:t>
            </w:r>
            <w:r>
              <w:rPr>
                <w:i/>
              </w:rPr>
              <w:t xml:space="preserve"> </w:t>
            </w:r>
            <w:r>
              <w:t>Commission estimates</w:t>
            </w:r>
            <w:r w:rsidR="00923FCD">
              <w:t>.</w:t>
            </w:r>
          </w:p>
        </w:tc>
      </w:tr>
      <w:tr w:rsidR="00923FCD" w14:paraId="59EF595E" w14:textId="77777777" w:rsidTr="008803FB">
        <w:tc>
          <w:tcPr>
            <w:tcW w:w="8771" w:type="dxa"/>
            <w:tcBorders>
              <w:top w:val="nil"/>
              <w:left w:val="nil"/>
              <w:bottom w:val="single" w:sz="6" w:space="0" w:color="78A22F"/>
              <w:right w:val="nil"/>
            </w:tcBorders>
            <w:shd w:val="clear" w:color="auto" w:fill="auto"/>
          </w:tcPr>
          <w:p w14:paraId="7DB66937" w14:textId="77777777" w:rsidR="00923FCD" w:rsidRDefault="00923FCD" w:rsidP="008803FB">
            <w:pPr>
              <w:pStyle w:val="Figurespace"/>
            </w:pPr>
          </w:p>
        </w:tc>
      </w:tr>
      <w:tr w:rsidR="00923FCD" w:rsidRPr="000863A5" w14:paraId="2C0BF01A" w14:textId="77777777" w:rsidTr="008803FB">
        <w:tc>
          <w:tcPr>
            <w:tcW w:w="8771" w:type="dxa"/>
            <w:tcBorders>
              <w:top w:val="single" w:sz="6" w:space="0" w:color="78A22F"/>
              <w:left w:val="nil"/>
              <w:bottom w:val="nil"/>
              <w:right w:val="nil"/>
            </w:tcBorders>
          </w:tcPr>
          <w:p w14:paraId="4E4444B0" w14:textId="14DB375A" w:rsidR="00923FCD" w:rsidRPr="00626D32" w:rsidRDefault="00923FCD" w:rsidP="008803FB">
            <w:pPr>
              <w:pStyle w:val="BoxSpaceBelow"/>
            </w:pPr>
          </w:p>
        </w:tc>
      </w:tr>
    </w:tbl>
    <w:p w14:paraId="5CC7A176" w14:textId="347EB8D5" w:rsidR="00E91181" w:rsidRDefault="00760E4A">
      <w:pPr>
        <w:pStyle w:val="BodyText"/>
      </w:pPr>
      <w:r>
        <w:t xml:space="preserve">Investment in production, transmission and LNG </w:t>
      </w:r>
      <w:r w:rsidR="00983EB4">
        <w:t>export plants</w:t>
      </w:r>
      <w:r>
        <w:t xml:space="preserve"> occur</w:t>
      </w:r>
      <w:r w:rsidR="00472A64">
        <w:t>s</w:t>
      </w:r>
      <w:r>
        <w:t xml:space="preserve"> where the benefits </w:t>
      </w:r>
      <w:r w:rsidR="00E91181">
        <w:t xml:space="preserve">from </w:t>
      </w:r>
      <w:r>
        <w:t>invest</w:t>
      </w:r>
      <w:r w:rsidR="00E91181">
        <w:t>ing</w:t>
      </w:r>
      <w:r>
        <w:t xml:space="preserve"> outweigh the costs</w:t>
      </w:r>
      <w:r w:rsidR="00844833">
        <w:t xml:space="preserve"> and investor</w:t>
      </w:r>
      <w:r w:rsidR="0095116F">
        <w:t>s</w:t>
      </w:r>
      <w:r w:rsidR="00844833">
        <w:t xml:space="preserve"> </w:t>
      </w:r>
      <w:r w:rsidR="0095116F">
        <w:t xml:space="preserve">are </w:t>
      </w:r>
      <w:r w:rsidR="00844833">
        <w:t>able to recoup their investment costs</w:t>
      </w:r>
      <w:r>
        <w:t xml:space="preserve"> </w:t>
      </w:r>
      <w:r w:rsidR="00A831F7">
        <w:t>(</w:t>
      </w:r>
      <w:r w:rsidR="00DF7A37">
        <w:t>including a</w:t>
      </w:r>
      <w:r w:rsidR="00A831F7">
        <w:t xml:space="preserve"> rate of return on capital investment</w:t>
      </w:r>
      <w:r w:rsidR="00DF7A37">
        <w:t xml:space="preserve"> that reflects risks associated with investment —</w:t>
      </w:r>
      <w:r w:rsidDel="00DF7A37">
        <w:t xml:space="preserve"> </w:t>
      </w:r>
      <w:r w:rsidR="00DF7A37">
        <w:t>appendix </w:t>
      </w:r>
      <w:r>
        <w:t xml:space="preserve">B). </w:t>
      </w:r>
      <w:r w:rsidR="00844833">
        <w:t xml:space="preserve">As noted above, LNG </w:t>
      </w:r>
      <w:r w:rsidR="00983EB4">
        <w:t>export plants</w:t>
      </w:r>
      <w:r w:rsidR="00844833">
        <w:t xml:space="preserve"> </w:t>
      </w:r>
      <w:r w:rsidR="002235F6">
        <w:t>are</w:t>
      </w:r>
      <w:r w:rsidR="00844833">
        <w:t xml:space="preserve"> </w:t>
      </w:r>
      <w:r w:rsidR="00A831F7">
        <w:t xml:space="preserve">modelled to </w:t>
      </w:r>
      <w:r w:rsidR="00844833">
        <w:t>expand under central and high LNG price scenarios, with commensurate increases in LNG export</w:t>
      </w:r>
      <w:r w:rsidR="002235F6">
        <w:t xml:space="preserve"> plant</w:t>
      </w:r>
      <w:r w:rsidR="00844833">
        <w:t xml:space="preserve">s. Some of the increase in LNG </w:t>
      </w:r>
      <w:r w:rsidR="002235F6">
        <w:t>export</w:t>
      </w:r>
      <w:r w:rsidR="00844833">
        <w:t xml:space="preserve"> capacity under the high LNG price scenario </w:t>
      </w:r>
      <w:r w:rsidR="00844833">
        <w:lastRenderedPageBreak/>
        <w:t>comes from building a new LNG plant, as the limit on expansion of the three existing plants is met</w:t>
      </w:r>
      <w:r w:rsidR="00D249E4">
        <w:t xml:space="preserve"> (table C.1)</w:t>
      </w:r>
      <w:r w:rsidR="00844833">
        <w:t>.</w:t>
      </w:r>
    </w:p>
    <w:p w14:paraId="1BB93194" w14:textId="0CF81172" w:rsidR="00760E4A" w:rsidRDefault="00617F65">
      <w:pPr>
        <w:pStyle w:val="BodyText"/>
      </w:pPr>
      <w:r>
        <w:t>A</w:t>
      </w:r>
      <w:r w:rsidR="00E91181">
        <w:t xml:space="preserve">dditional investment </w:t>
      </w:r>
      <w:r w:rsidR="00B04A1A" w:rsidRPr="00B04A1A">
        <w:t xml:space="preserve">in </w:t>
      </w:r>
      <w:r w:rsidR="003E632F">
        <w:t>production</w:t>
      </w:r>
      <w:r w:rsidR="008829D8">
        <w:t xml:space="preserve"> capacity</w:t>
      </w:r>
      <w:r>
        <w:t xml:space="preserve"> is required under the central and high LNG price scenarios in order to serve greater export demand</w:t>
      </w:r>
      <w:r w:rsidR="00E91181">
        <w:t xml:space="preserve">. </w:t>
      </w:r>
      <w:r w:rsidR="00DF7A37">
        <w:t>This investment is modelled to</w:t>
      </w:r>
      <w:r w:rsidR="00E91181">
        <w:t xml:space="preserve"> occur</w:t>
      </w:r>
      <w:r w:rsidR="003E632F">
        <w:t xml:space="preserve"> predominantly </w:t>
      </w:r>
      <w:r w:rsidR="00472A64">
        <w:t>in</w:t>
      </w:r>
      <w:r w:rsidR="003E632F">
        <w:t xml:space="preserve"> the Surat</w:t>
      </w:r>
      <w:r w:rsidR="003C2B23">
        <w:t>–</w:t>
      </w:r>
      <w:r w:rsidR="003E632F">
        <w:t xml:space="preserve">Bowen </w:t>
      </w:r>
      <w:r w:rsidR="0084476F">
        <w:t>basins</w:t>
      </w:r>
      <w:r w:rsidR="003E632F">
        <w:t xml:space="preserve">. </w:t>
      </w:r>
    </w:p>
    <w:p w14:paraId="24AF10B1" w14:textId="4D9D197C" w:rsidR="00B04A1A" w:rsidRDefault="00DF7A37">
      <w:pPr>
        <w:pStyle w:val="BodyText"/>
      </w:pPr>
      <w:r>
        <w:t>Modelled in</w:t>
      </w:r>
      <w:r w:rsidRPr="00B04A1A">
        <w:t xml:space="preserve">vestment </w:t>
      </w:r>
      <w:r w:rsidR="00B04A1A" w:rsidRPr="00B04A1A">
        <w:t xml:space="preserve">in transmission pipelines is </w:t>
      </w:r>
      <w:r w:rsidR="00617F65">
        <w:t xml:space="preserve">also </w:t>
      </w:r>
      <w:r w:rsidR="00B04A1A" w:rsidRPr="00B04A1A">
        <w:t xml:space="preserve">substantially higher under a high LNG price scenario. </w:t>
      </w:r>
      <w:r w:rsidR="00E1798E">
        <w:t xml:space="preserve">Baseline </w:t>
      </w:r>
      <w:r w:rsidR="00617F65">
        <w:t>simulations</w:t>
      </w:r>
      <w:r w:rsidR="00B04A1A" w:rsidRPr="00B04A1A">
        <w:t xml:space="preserve"> indicate that under a high LNG price scenario, an efficient response to the growth in Queensland LNG exports will require ex</w:t>
      </w:r>
      <w:r w:rsidR="00D55213">
        <w:t>isting pipelines to be expanded</w:t>
      </w:r>
      <w:r w:rsidR="00B04A1A" w:rsidRPr="00B04A1A">
        <w:t xml:space="preserve">. Investment will be needed throughout the eastern Australian gas market. </w:t>
      </w:r>
      <w:r w:rsidR="00C8232C">
        <w:t>T</w:t>
      </w:r>
      <w:r w:rsidR="00B04A1A" w:rsidRPr="00B04A1A">
        <w:t xml:space="preserve">he majority of investment </w:t>
      </w:r>
      <w:r w:rsidR="005C0EFA">
        <w:t xml:space="preserve">is estimated to </w:t>
      </w:r>
      <w:r w:rsidR="00B04A1A" w:rsidRPr="00B04A1A">
        <w:t xml:space="preserve">occur </w:t>
      </w:r>
      <w:r w:rsidR="00C8232C">
        <w:t>on the Surat</w:t>
      </w:r>
      <w:r w:rsidR="003C2B23">
        <w:t>–</w:t>
      </w:r>
      <w:r w:rsidR="00C8232C">
        <w:t xml:space="preserve">Bowen to Gladstone route, </w:t>
      </w:r>
      <w:r w:rsidR="00B04A1A" w:rsidRPr="00B04A1A">
        <w:t>serving LNG ex</w:t>
      </w:r>
      <w:r w:rsidR="00C8232C">
        <w:t xml:space="preserve">port facilities in Queensland. </w:t>
      </w:r>
      <w:r w:rsidR="00B04A1A" w:rsidRPr="00B04A1A">
        <w:t>Under the low LNG price scenario</w:t>
      </w:r>
      <w:r w:rsidR="00617F65">
        <w:t>,</w:t>
      </w:r>
      <w:r w:rsidR="00B04A1A" w:rsidRPr="00B04A1A">
        <w:t xml:space="preserve"> most pipeline investment occurs in pipelines serving domestic markets</w:t>
      </w:r>
      <w:r w:rsidR="00D249E4">
        <w:t xml:space="preserve"> (table</w:t>
      </w:r>
      <w:r w:rsidR="00943A62">
        <w:t> </w:t>
      </w:r>
      <w:r w:rsidR="00D249E4">
        <w:t>C.1)</w:t>
      </w:r>
      <w:r w:rsidR="00B04A1A" w:rsidRPr="00B04A1A">
        <w:t>.</w:t>
      </w:r>
    </w:p>
    <w:p w14:paraId="10C8DC03" w14:textId="38E744B9" w:rsidR="007A5FCF" w:rsidRDefault="007A5FCF" w:rsidP="002E3EE9">
      <w:pPr>
        <w:pStyle w:val="BodyText"/>
        <w:keepNext/>
        <w:keepLines/>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7A5FCF" w14:paraId="42121413" w14:textId="77777777" w:rsidTr="00464C37">
        <w:tc>
          <w:tcPr>
            <w:tcW w:w="8771" w:type="dxa"/>
            <w:tcBorders>
              <w:top w:val="single" w:sz="6" w:space="0" w:color="78A22F"/>
              <w:left w:val="nil"/>
              <w:bottom w:val="nil"/>
              <w:right w:val="nil"/>
            </w:tcBorders>
            <w:shd w:val="clear" w:color="auto" w:fill="auto"/>
          </w:tcPr>
          <w:p w14:paraId="04AD2168" w14:textId="041D96CC" w:rsidR="007A5FCF" w:rsidRDefault="007A5FCF" w:rsidP="002E3EE9">
            <w:pPr>
              <w:pStyle w:val="TableTitle"/>
            </w:pPr>
            <w:r>
              <w:rPr>
                <w:b w:val="0"/>
              </w:rPr>
              <w:t xml:space="preserve">Table </w:t>
            </w:r>
            <w:bookmarkStart w:id="6" w:name="OLE_LINK9"/>
            <w:r>
              <w:rPr>
                <w:b w:val="0"/>
              </w:rPr>
              <w:fldChar w:fldCharType="begin"/>
            </w:r>
            <w:r>
              <w:rPr>
                <w:b w:val="0"/>
              </w:rPr>
              <w:instrText xml:space="preserve"> COMMENTS  \* MERGEFORMAT </w:instrText>
            </w:r>
            <w:r>
              <w:rPr>
                <w:b w:val="0"/>
              </w:rPr>
              <w:fldChar w:fldCharType="separate"/>
            </w:r>
            <w:r>
              <w:rPr>
                <w:b w:val="0"/>
              </w:rPr>
              <w:t>C.</w:t>
            </w:r>
            <w:r>
              <w:rPr>
                <w:b w:val="0"/>
              </w:rPr>
              <w:fldChar w:fldCharType="end"/>
            </w:r>
            <w:r>
              <w:rPr>
                <w:b w:val="0"/>
              </w:rPr>
              <w:fldChar w:fldCharType="begin"/>
            </w:r>
            <w:r>
              <w:rPr>
                <w:b w:val="0"/>
              </w:rPr>
              <w:instrText xml:space="preserve"> SEQ Table \* ARABIC </w:instrText>
            </w:r>
            <w:r>
              <w:rPr>
                <w:b w:val="0"/>
              </w:rPr>
              <w:fldChar w:fldCharType="separate"/>
            </w:r>
            <w:r w:rsidR="00872E65">
              <w:rPr>
                <w:b w:val="0"/>
                <w:noProof/>
              </w:rPr>
              <w:t>1</w:t>
            </w:r>
            <w:r>
              <w:rPr>
                <w:b w:val="0"/>
              </w:rPr>
              <w:fldChar w:fldCharType="end"/>
            </w:r>
            <w:bookmarkEnd w:id="6"/>
            <w:r>
              <w:tab/>
            </w:r>
            <w:r w:rsidR="00D372A1">
              <w:t>Model estimates of new</w:t>
            </w:r>
            <w:r w:rsidR="00DF7A37">
              <w:t xml:space="preserve"> </w:t>
            </w:r>
            <w:r>
              <w:t>investment</w:t>
            </w:r>
            <w:r w:rsidR="00DF7A37">
              <w:t xml:space="preserve"> in baseline simulations</w:t>
            </w:r>
            <w:r>
              <w:t xml:space="preserve"> </w:t>
            </w:r>
          </w:p>
          <w:p w14:paraId="00E73CBF" w14:textId="7E2EC1A2" w:rsidR="007A5FCF" w:rsidRPr="00784A05" w:rsidRDefault="007A5FCF" w:rsidP="002E3EE9">
            <w:pPr>
              <w:pStyle w:val="Subtitle"/>
            </w:pPr>
            <w:r>
              <w:t>Three LNG price scenarios</w:t>
            </w:r>
            <w:r w:rsidR="00A17905">
              <w:t>, 2013</w:t>
            </w:r>
            <w:r w:rsidR="00E67058">
              <w:t xml:space="preserve"> to </w:t>
            </w:r>
            <w:r w:rsidR="00A17905">
              <w:t xml:space="preserve">2032 </w:t>
            </w:r>
            <w:r w:rsidR="00D372A1">
              <w:t>(</w:t>
            </w:r>
            <w:proofErr w:type="spellStart"/>
            <w:r w:rsidR="00D372A1">
              <w:t>petajoules</w:t>
            </w:r>
            <w:proofErr w:type="spellEnd"/>
            <w:r w:rsidR="00D372A1">
              <w:t xml:space="preserve"> per year of capacity)</w:t>
            </w:r>
          </w:p>
        </w:tc>
      </w:tr>
      <w:tr w:rsidR="007A5FCF" w14:paraId="6BF3BA3E" w14:textId="77777777" w:rsidTr="00464C37">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8"/>
              <w:gridCol w:w="1857"/>
              <w:gridCol w:w="2122"/>
              <w:gridCol w:w="2120"/>
            </w:tblGrid>
            <w:tr w:rsidR="007A5FCF" w14:paraId="2D192019" w14:textId="77777777" w:rsidTr="007A0DF7">
              <w:tc>
                <w:tcPr>
                  <w:tcW w:w="1407" w:type="pct"/>
                  <w:tcBorders>
                    <w:top w:val="single" w:sz="6" w:space="0" w:color="BFBFBF"/>
                    <w:bottom w:val="single" w:sz="6" w:space="0" w:color="BFBFBF"/>
                  </w:tcBorders>
                  <w:shd w:val="clear" w:color="auto" w:fill="auto"/>
                  <w:tcMar>
                    <w:top w:w="28" w:type="dxa"/>
                  </w:tcMar>
                </w:tcPr>
                <w:p w14:paraId="4A98E895" w14:textId="77777777" w:rsidR="007A5FCF" w:rsidRDefault="007A5FCF" w:rsidP="002E3EE9">
                  <w:pPr>
                    <w:pStyle w:val="TableColumnHeading"/>
                    <w:jc w:val="left"/>
                  </w:pPr>
                </w:p>
              </w:tc>
              <w:tc>
                <w:tcPr>
                  <w:tcW w:w="1094" w:type="pct"/>
                  <w:tcBorders>
                    <w:top w:val="single" w:sz="6" w:space="0" w:color="BFBFBF"/>
                    <w:bottom w:val="single" w:sz="6" w:space="0" w:color="BFBFBF"/>
                  </w:tcBorders>
                  <w:shd w:val="clear" w:color="auto" w:fill="auto"/>
                  <w:tcMar>
                    <w:top w:w="28" w:type="dxa"/>
                  </w:tcMar>
                </w:tcPr>
                <w:p w14:paraId="671F6C9A" w14:textId="236C1197" w:rsidR="007A5FCF" w:rsidRDefault="007A5FCF" w:rsidP="002E3EE9">
                  <w:pPr>
                    <w:pStyle w:val="TableColumnHeading"/>
                  </w:pPr>
                  <w:r>
                    <w:t>Low</w:t>
                  </w:r>
                  <w:r w:rsidR="002B6764">
                    <w:t xml:space="preserve"> LNG prices</w:t>
                  </w:r>
                </w:p>
              </w:tc>
              <w:tc>
                <w:tcPr>
                  <w:tcW w:w="1250" w:type="pct"/>
                  <w:tcBorders>
                    <w:top w:val="single" w:sz="6" w:space="0" w:color="BFBFBF"/>
                    <w:bottom w:val="single" w:sz="6" w:space="0" w:color="BFBFBF"/>
                  </w:tcBorders>
                </w:tcPr>
                <w:p w14:paraId="3B962CEF" w14:textId="42D82D94" w:rsidR="007A5FCF" w:rsidRDefault="007A5FCF" w:rsidP="002E3EE9">
                  <w:pPr>
                    <w:pStyle w:val="TableColumnHeading"/>
                    <w:ind w:right="28"/>
                  </w:pPr>
                  <w:r>
                    <w:t>Central</w:t>
                  </w:r>
                  <w:r w:rsidR="002B6764">
                    <w:t xml:space="preserve"> LNG price</w:t>
                  </w:r>
                </w:p>
              </w:tc>
              <w:tc>
                <w:tcPr>
                  <w:tcW w:w="1249" w:type="pct"/>
                  <w:tcBorders>
                    <w:top w:val="single" w:sz="6" w:space="0" w:color="BFBFBF"/>
                    <w:bottom w:val="single" w:sz="6" w:space="0" w:color="BFBFBF"/>
                  </w:tcBorders>
                  <w:shd w:val="clear" w:color="auto" w:fill="auto"/>
                  <w:tcMar>
                    <w:top w:w="28" w:type="dxa"/>
                  </w:tcMar>
                </w:tcPr>
                <w:p w14:paraId="0B469043" w14:textId="74E78612" w:rsidR="007A5FCF" w:rsidRDefault="007A5FCF" w:rsidP="002E3EE9">
                  <w:pPr>
                    <w:pStyle w:val="TableColumnHeading"/>
                    <w:ind w:right="28"/>
                  </w:pPr>
                  <w:r>
                    <w:t>High</w:t>
                  </w:r>
                  <w:r w:rsidR="002B6764">
                    <w:t xml:space="preserve"> LNG prices</w:t>
                  </w:r>
                </w:p>
              </w:tc>
            </w:tr>
            <w:tr w:rsidR="007A5FCF" w14:paraId="7A3900A9" w14:textId="77777777" w:rsidTr="007A0DF7">
              <w:tc>
                <w:tcPr>
                  <w:tcW w:w="1407" w:type="pct"/>
                  <w:tcBorders>
                    <w:top w:val="single" w:sz="6" w:space="0" w:color="BFBFBF"/>
                  </w:tcBorders>
                </w:tcPr>
                <w:p w14:paraId="37F13D0B" w14:textId="5A3580D9" w:rsidR="007A5FCF" w:rsidRDefault="00B53006" w:rsidP="002E3EE9">
                  <w:pPr>
                    <w:pStyle w:val="TableUnitsRow"/>
                    <w:jc w:val="left"/>
                  </w:pPr>
                  <w:r>
                    <w:t>Production</w:t>
                  </w:r>
                </w:p>
              </w:tc>
              <w:tc>
                <w:tcPr>
                  <w:tcW w:w="1094" w:type="pct"/>
                  <w:tcBorders>
                    <w:top w:val="single" w:sz="6" w:space="0" w:color="BFBFBF"/>
                  </w:tcBorders>
                </w:tcPr>
                <w:p w14:paraId="3CBFA04B" w14:textId="24EBB143" w:rsidR="007A5FCF" w:rsidRDefault="007A5FCF" w:rsidP="002E3EE9">
                  <w:pPr>
                    <w:pStyle w:val="TableUnitsRow"/>
                  </w:pPr>
                  <w:r>
                    <w:rPr>
                      <w:rFonts w:cs="Arial"/>
                      <w:color w:val="000000"/>
                      <w:szCs w:val="18"/>
                    </w:rPr>
                    <w:t xml:space="preserve"> 2 3</w:t>
                  </w:r>
                  <w:r w:rsidR="007A0DF7">
                    <w:rPr>
                      <w:rFonts w:cs="Arial"/>
                      <w:color w:val="000000"/>
                      <w:szCs w:val="18"/>
                    </w:rPr>
                    <w:t>3</w:t>
                  </w:r>
                  <w:r>
                    <w:rPr>
                      <w:rFonts w:cs="Arial"/>
                      <w:color w:val="000000"/>
                      <w:szCs w:val="18"/>
                    </w:rPr>
                    <w:t>5</w:t>
                  </w:r>
                </w:p>
              </w:tc>
              <w:tc>
                <w:tcPr>
                  <w:tcW w:w="1250" w:type="pct"/>
                  <w:tcBorders>
                    <w:top w:val="single" w:sz="6" w:space="0" w:color="BFBFBF"/>
                  </w:tcBorders>
                </w:tcPr>
                <w:p w14:paraId="1E753A29" w14:textId="6926FB78" w:rsidR="007A5FCF" w:rsidRPr="00B1531D" w:rsidRDefault="007A5FCF" w:rsidP="002E3EE9">
                  <w:pPr>
                    <w:pStyle w:val="TableUnitsRow"/>
                    <w:rPr>
                      <w:rFonts w:cs="Arial"/>
                      <w:color w:val="000000"/>
                      <w:szCs w:val="18"/>
                    </w:rPr>
                  </w:pPr>
                  <w:r>
                    <w:rPr>
                      <w:rFonts w:cs="Arial"/>
                      <w:color w:val="000000"/>
                      <w:szCs w:val="18"/>
                    </w:rPr>
                    <w:t xml:space="preserve"> </w:t>
                  </w:r>
                  <w:r w:rsidR="007A0DF7">
                    <w:rPr>
                      <w:rFonts w:cs="Arial"/>
                      <w:color w:val="000000"/>
                      <w:szCs w:val="18"/>
                    </w:rPr>
                    <w:t>2</w:t>
                  </w:r>
                  <w:r>
                    <w:rPr>
                      <w:rFonts w:cs="Arial"/>
                      <w:color w:val="000000"/>
                      <w:szCs w:val="18"/>
                    </w:rPr>
                    <w:t> </w:t>
                  </w:r>
                  <w:r w:rsidR="007A0DF7">
                    <w:rPr>
                      <w:rFonts w:cs="Arial"/>
                      <w:color w:val="000000"/>
                      <w:szCs w:val="18"/>
                    </w:rPr>
                    <w:t>938</w:t>
                  </w:r>
                </w:p>
              </w:tc>
              <w:tc>
                <w:tcPr>
                  <w:tcW w:w="1249" w:type="pct"/>
                  <w:tcBorders>
                    <w:top w:val="single" w:sz="6" w:space="0" w:color="BFBFBF"/>
                  </w:tcBorders>
                </w:tcPr>
                <w:p w14:paraId="1244F35D" w14:textId="7826F178" w:rsidR="007A5FCF" w:rsidRDefault="007A5FCF" w:rsidP="002E3EE9">
                  <w:pPr>
                    <w:pStyle w:val="TableUnitsRow"/>
                    <w:ind w:right="28"/>
                  </w:pPr>
                  <w:r>
                    <w:rPr>
                      <w:rFonts w:cs="Arial"/>
                      <w:color w:val="000000"/>
                      <w:szCs w:val="18"/>
                    </w:rPr>
                    <w:t xml:space="preserve"> 3 </w:t>
                  </w:r>
                  <w:r w:rsidR="007A0DF7">
                    <w:rPr>
                      <w:rFonts w:cs="Arial"/>
                      <w:color w:val="000000"/>
                      <w:szCs w:val="18"/>
                    </w:rPr>
                    <w:t>302</w:t>
                  </w:r>
                  <w:r>
                    <w:rPr>
                      <w:rFonts w:cs="Arial"/>
                      <w:color w:val="000000"/>
                      <w:szCs w:val="18"/>
                    </w:rPr>
                    <w:t xml:space="preserve"> </w:t>
                  </w:r>
                </w:p>
              </w:tc>
            </w:tr>
            <w:tr w:rsidR="007A5FCF" w14:paraId="0DA2E828" w14:textId="77777777" w:rsidTr="007A0DF7">
              <w:tc>
                <w:tcPr>
                  <w:tcW w:w="1407" w:type="pct"/>
                </w:tcPr>
                <w:p w14:paraId="77DB5757" w14:textId="135CDA1D" w:rsidR="007A5FCF" w:rsidRDefault="007A5FCF" w:rsidP="003C2B23">
                  <w:pPr>
                    <w:pStyle w:val="TableBodyText"/>
                    <w:jc w:val="left"/>
                  </w:pPr>
                  <w:r>
                    <w:t xml:space="preserve"> Surat</w:t>
                  </w:r>
                  <w:r w:rsidR="003C2B23">
                    <w:t>–</w:t>
                  </w:r>
                  <w:r>
                    <w:t xml:space="preserve">Bowen </w:t>
                  </w:r>
                  <w:r w:rsidR="00F60F4B">
                    <w:t>basins</w:t>
                  </w:r>
                </w:p>
              </w:tc>
              <w:tc>
                <w:tcPr>
                  <w:tcW w:w="1094" w:type="pct"/>
                </w:tcPr>
                <w:p w14:paraId="34B29FDD" w14:textId="17A1169B" w:rsidR="007A5FCF" w:rsidRDefault="007A5FCF" w:rsidP="002E3EE9">
                  <w:pPr>
                    <w:pStyle w:val="TableBodyText"/>
                  </w:pPr>
                  <w:r>
                    <w:rPr>
                      <w:rFonts w:cs="Arial"/>
                      <w:color w:val="000000"/>
                      <w:szCs w:val="18"/>
                    </w:rPr>
                    <w:t xml:space="preserve"> 1 </w:t>
                  </w:r>
                  <w:r w:rsidR="007A0DF7">
                    <w:rPr>
                      <w:rFonts w:cs="Arial"/>
                      <w:color w:val="000000"/>
                      <w:szCs w:val="18"/>
                    </w:rPr>
                    <w:t>655</w:t>
                  </w:r>
                </w:p>
              </w:tc>
              <w:tc>
                <w:tcPr>
                  <w:tcW w:w="1250" w:type="pct"/>
                </w:tcPr>
                <w:p w14:paraId="43ABB37B" w14:textId="52B25751" w:rsidR="007A5FCF" w:rsidRPr="00B1531D" w:rsidRDefault="007A5FCF" w:rsidP="002E3EE9">
                  <w:pPr>
                    <w:pStyle w:val="TableUnitsRow"/>
                    <w:rPr>
                      <w:rFonts w:cs="Arial"/>
                      <w:color w:val="000000"/>
                      <w:szCs w:val="18"/>
                    </w:rPr>
                  </w:pPr>
                  <w:r>
                    <w:rPr>
                      <w:rFonts w:cs="Arial"/>
                      <w:color w:val="000000"/>
                      <w:szCs w:val="18"/>
                    </w:rPr>
                    <w:t xml:space="preserve"> 2 </w:t>
                  </w:r>
                  <w:r w:rsidR="007A0DF7">
                    <w:rPr>
                      <w:rFonts w:cs="Arial"/>
                      <w:color w:val="000000"/>
                      <w:szCs w:val="18"/>
                    </w:rPr>
                    <w:t>200</w:t>
                  </w:r>
                </w:p>
              </w:tc>
              <w:tc>
                <w:tcPr>
                  <w:tcW w:w="1249" w:type="pct"/>
                </w:tcPr>
                <w:p w14:paraId="2D11597D" w14:textId="6F9E0B49" w:rsidR="007A5FCF" w:rsidRDefault="007A5FCF" w:rsidP="002E3EE9">
                  <w:pPr>
                    <w:pStyle w:val="TableBodyText"/>
                    <w:ind w:right="28"/>
                  </w:pPr>
                  <w:r>
                    <w:rPr>
                      <w:rFonts w:cs="Arial"/>
                      <w:color w:val="000000"/>
                      <w:szCs w:val="18"/>
                    </w:rPr>
                    <w:t xml:space="preserve"> 2 </w:t>
                  </w:r>
                  <w:r w:rsidR="007A0DF7">
                    <w:rPr>
                      <w:rFonts w:cs="Arial"/>
                      <w:color w:val="000000"/>
                      <w:szCs w:val="18"/>
                    </w:rPr>
                    <w:t>527</w:t>
                  </w:r>
                </w:p>
              </w:tc>
            </w:tr>
            <w:tr w:rsidR="007A5FCF" w14:paraId="7403C1D7" w14:textId="77777777" w:rsidTr="007A0DF7">
              <w:tc>
                <w:tcPr>
                  <w:tcW w:w="1407" w:type="pct"/>
                </w:tcPr>
                <w:p w14:paraId="190989B8" w14:textId="16B51A7E" w:rsidR="007A5FCF" w:rsidRDefault="007A5FCF" w:rsidP="00DF7A37">
                  <w:pPr>
                    <w:pStyle w:val="TableBodyText"/>
                    <w:jc w:val="left"/>
                  </w:pPr>
                  <w:r>
                    <w:t xml:space="preserve">Transmission </w:t>
                  </w:r>
                </w:p>
              </w:tc>
              <w:tc>
                <w:tcPr>
                  <w:tcW w:w="1094" w:type="pct"/>
                </w:tcPr>
                <w:p w14:paraId="1DF5221A" w14:textId="3987C565" w:rsidR="007A5FCF" w:rsidRDefault="00CD41FC" w:rsidP="00D87CCD">
                  <w:pPr>
                    <w:pStyle w:val="TableBodyText"/>
                    <w:spacing w:before="60"/>
                    <w:rPr>
                      <w:i/>
                    </w:rPr>
                  </w:pPr>
                  <w:r>
                    <w:rPr>
                      <w:rFonts w:cs="Arial"/>
                      <w:color w:val="000000"/>
                      <w:szCs w:val="18"/>
                    </w:rPr>
                    <w:t xml:space="preserve"> </w:t>
                  </w:r>
                  <w:r w:rsidR="007A0DF7">
                    <w:rPr>
                      <w:rFonts w:cs="Arial"/>
                      <w:color w:val="000000"/>
                      <w:szCs w:val="18"/>
                    </w:rPr>
                    <w:t>183</w:t>
                  </w:r>
                </w:p>
              </w:tc>
              <w:tc>
                <w:tcPr>
                  <w:tcW w:w="1250" w:type="pct"/>
                </w:tcPr>
                <w:p w14:paraId="6029F325" w14:textId="79E2579F" w:rsidR="007A5FCF" w:rsidRPr="00B1531D" w:rsidRDefault="007A5FCF" w:rsidP="00D87CCD">
                  <w:pPr>
                    <w:pStyle w:val="TableUnitsRow"/>
                    <w:spacing w:before="60"/>
                    <w:rPr>
                      <w:i/>
                      <w:color w:val="000000"/>
                    </w:rPr>
                  </w:pPr>
                  <w:r>
                    <w:rPr>
                      <w:rFonts w:cs="Arial"/>
                      <w:color w:val="000000"/>
                      <w:szCs w:val="18"/>
                    </w:rPr>
                    <w:t xml:space="preserve"> 1 </w:t>
                  </w:r>
                  <w:r w:rsidR="007A0DF7">
                    <w:rPr>
                      <w:rFonts w:cs="Arial"/>
                      <w:color w:val="000000"/>
                      <w:szCs w:val="18"/>
                    </w:rPr>
                    <w:t>170</w:t>
                  </w:r>
                </w:p>
              </w:tc>
              <w:tc>
                <w:tcPr>
                  <w:tcW w:w="1249" w:type="pct"/>
                </w:tcPr>
                <w:p w14:paraId="4461B905" w14:textId="5E14CDB9" w:rsidR="007A5FCF" w:rsidRDefault="007A5FCF" w:rsidP="00D87CCD">
                  <w:pPr>
                    <w:pStyle w:val="TableBodyText"/>
                    <w:spacing w:before="60"/>
                    <w:ind w:right="28"/>
                    <w:rPr>
                      <w:i/>
                    </w:rPr>
                  </w:pPr>
                  <w:r>
                    <w:rPr>
                      <w:rFonts w:cs="Arial"/>
                      <w:color w:val="000000"/>
                      <w:szCs w:val="18"/>
                    </w:rPr>
                    <w:t xml:space="preserve"> </w:t>
                  </w:r>
                  <w:r w:rsidR="007A0DF7">
                    <w:rPr>
                      <w:rFonts w:cs="Arial"/>
                      <w:color w:val="000000"/>
                      <w:szCs w:val="18"/>
                    </w:rPr>
                    <w:t>1 894</w:t>
                  </w:r>
                </w:p>
              </w:tc>
            </w:tr>
            <w:tr w:rsidR="00E1798E" w14:paraId="2B8AB19A" w14:textId="77777777" w:rsidTr="00EB5FCC">
              <w:tc>
                <w:tcPr>
                  <w:tcW w:w="1407" w:type="pct"/>
                  <w:shd w:val="clear" w:color="auto" w:fill="auto"/>
                </w:tcPr>
                <w:p w14:paraId="38337907" w14:textId="36F813EC" w:rsidR="00E1798E" w:rsidRDefault="00E1798E" w:rsidP="002E3EE9">
                  <w:pPr>
                    <w:pStyle w:val="TableBodyText"/>
                    <w:jc w:val="left"/>
                  </w:pPr>
                  <w:r>
                    <w:t xml:space="preserve">   Cooper to Mt Isa</w:t>
                  </w:r>
                </w:p>
              </w:tc>
              <w:tc>
                <w:tcPr>
                  <w:tcW w:w="1094" w:type="pct"/>
                  <w:shd w:val="clear" w:color="auto" w:fill="auto"/>
                </w:tcPr>
                <w:p w14:paraId="29B6C2A8" w14:textId="779BC3B8" w:rsidR="00E1798E" w:rsidRDefault="00E1798E" w:rsidP="002E3EE9">
                  <w:pPr>
                    <w:pStyle w:val="TableBodyText"/>
                    <w:rPr>
                      <w:rFonts w:cs="Arial"/>
                      <w:color w:val="000000"/>
                      <w:szCs w:val="18"/>
                    </w:rPr>
                  </w:pPr>
                  <w:r w:rsidRPr="00CF1088">
                    <w:t>11</w:t>
                  </w:r>
                </w:p>
              </w:tc>
              <w:tc>
                <w:tcPr>
                  <w:tcW w:w="1250" w:type="pct"/>
                </w:tcPr>
                <w:p w14:paraId="63567AF3" w14:textId="5367628D" w:rsidR="00E1798E" w:rsidRDefault="00A94908" w:rsidP="002E3EE9">
                  <w:pPr>
                    <w:pStyle w:val="TableUnitsRow"/>
                    <w:rPr>
                      <w:rFonts w:cs="Arial"/>
                      <w:color w:val="000000"/>
                      <w:szCs w:val="18"/>
                    </w:rPr>
                  </w:pPr>
                  <w:r>
                    <w:t>–</w:t>
                  </w:r>
                </w:p>
              </w:tc>
              <w:tc>
                <w:tcPr>
                  <w:tcW w:w="1249" w:type="pct"/>
                  <w:shd w:val="clear" w:color="auto" w:fill="auto"/>
                </w:tcPr>
                <w:p w14:paraId="07B7A6E7" w14:textId="036A82DD" w:rsidR="00E1798E" w:rsidRDefault="00415F09" w:rsidP="002E3EE9">
                  <w:pPr>
                    <w:pStyle w:val="TableBodyText"/>
                    <w:ind w:right="28"/>
                    <w:rPr>
                      <w:rFonts w:cs="Arial"/>
                      <w:color w:val="000000"/>
                      <w:szCs w:val="18"/>
                    </w:rPr>
                  </w:pPr>
                  <w:r>
                    <w:t>–</w:t>
                  </w:r>
                </w:p>
              </w:tc>
            </w:tr>
            <w:tr w:rsidR="00E1798E" w14:paraId="017F1DA3" w14:textId="77777777" w:rsidTr="00EB5FCC">
              <w:tc>
                <w:tcPr>
                  <w:tcW w:w="1407" w:type="pct"/>
                  <w:shd w:val="clear" w:color="auto" w:fill="auto"/>
                </w:tcPr>
                <w:p w14:paraId="0B54B14C" w14:textId="1B69FBB6" w:rsidR="00E1798E" w:rsidRDefault="00E1798E" w:rsidP="002E3EE9">
                  <w:pPr>
                    <w:pStyle w:val="TableBodyText"/>
                    <w:jc w:val="left"/>
                  </w:pPr>
                  <w:r>
                    <w:t xml:space="preserve">   Cooper to Surat</w:t>
                  </w:r>
                  <w:r w:rsidR="003C2B23">
                    <w:t>–</w:t>
                  </w:r>
                  <w:r>
                    <w:t>Bowen</w:t>
                  </w:r>
                </w:p>
              </w:tc>
              <w:tc>
                <w:tcPr>
                  <w:tcW w:w="1094" w:type="pct"/>
                  <w:shd w:val="clear" w:color="auto" w:fill="auto"/>
                </w:tcPr>
                <w:p w14:paraId="4B225759" w14:textId="57A0933E" w:rsidR="00E1798E" w:rsidRDefault="00E1798E" w:rsidP="002E3EE9">
                  <w:pPr>
                    <w:pStyle w:val="TableBodyText"/>
                    <w:rPr>
                      <w:rFonts w:cs="Arial"/>
                      <w:color w:val="000000"/>
                      <w:szCs w:val="18"/>
                    </w:rPr>
                  </w:pPr>
                  <w:r w:rsidRPr="00CF1088">
                    <w:t>44</w:t>
                  </w:r>
                </w:p>
              </w:tc>
              <w:tc>
                <w:tcPr>
                  <w:tcW w:w="1250" w:type="pct"/>
                </w:tcPr>
                <w:p w14:paraId="7F7DC7A5" w14:textId="6B4A9179" w:rsidR="00E1798E" w:rsidRDefault="00A94908" w:rsidP="002E3EE9">
                  <w:pPr>
                    <w:pStyle w:val="TableUnitsRow"/>
                    <w:rPr>
                      <w:rFonts w:cs="Arial"/>
                      <w:color w:val="000000"/>
                      <w:szCs w:val="18"/>
                    </w:rPr>
                  </w:pPr>
                  <w:r w:rsidRPr="00A762E8">
                    <w:t>151</w:t>
                  </w:r>
                </w:p>
              </w:tc>
              <w:tc>
                <w:tcPr>
                  <w:tcW w:w="1249" w:type="pct"/>
                  <w:shd w:val="clear" w:color="auto" w:fill="auto"/>
                </w:tcPr>
                <w:p w14:paraId="17610EBD" w14:textId="7D21FD6B" w:rsidR="00E1798E" w:rsidRDefault="00E1798E" w:rsidP="002E3EE9">
                  <w:pPr>
                    <w:pStyle w:val="TableBodyText"/>
                    <w:ind w:right="28"/>
                    <w:rPr>
                      <w:rFonts w:cs="Arial"/>
                      <w:color w:val="000000"/>
                      <w:szCs w:val="18"/>
                    </w:rPr>
                  </w:pPr>
                  <w:r w:rsidRPr="0044341B">
                    <w:t>265</w:t>
                  </w:r>
                </w:p>
              </w:tc>
            </w:tr>
            <w:tr w:rsidR="00E1798E" w14:paraId="6162E3F5" w14:textId="77777777" w:rsidTr="00EB5FCC">
              <w:tc>
                <w:tcPr>
                  <w:tcW w:w="1407" w:type="pct"/>
                  <w:shd w:val="clear" w:color="auto" w:fill="auto"/>
                </w:tcPr>
                <w:p w14:paraId="41EBCBBF" w14:textId="022FF2D1" w:rsidR="00E1798E" w:rsidRDefault="00E1798E" w:rsidP="00E1798E">
                  <w:pPr>
                    <w:pStyle w:val="TableBodyText"/>
                    <w:jc w:val="left"/>
                  </w:pPr>
                  <w:r>
                    <w:t xml:space="preserve">   Cooper to Young</w:t>
                  </w:r>
                </w:p>
              </w:tc>
              <w:tc>
                <w:tcPr>
                  <w:tcW w:w="1094" w:type="pct"/>
                  <w:shd w:val="clear" w:color="auto" w:fill="auto"/>
                </w:tcPr>
                <w:p w14:paraId="0DF42C17" w14:textId="101571C0" w:rsidR="00E1798E" w:rsidRDefault="00E1798E" w:rsidP="002E3EE9">
                  <w:pPr>
                    <w:pStyle w:val="TableBodyText"/>
                    <w:rPr>
                      <w:rFonts w:cs="Arial"/>
                      <w:color w:val="000000"/>
                      <w:szCs w:val="18"/>
                    </w:rPr>
                  </w:pPr>
                  <w:r>
                    <w:t>–</w:t>
                  </w:r>
                </w:p>
              </w:tc>
              <w:tc>
                <w:tcPr>
                  <w:tcW w:w="1250" w:type="pct"/>
                </w:tcPr>
                <w:p w14:paraId="6B4C2FB1" w14:textId="2A4B0001" w:rsidR="00E1798E" w:rsidRDefault="00A94908" w:rsidP="002E3EE9">
                  <w:pPr>
                    <w:pStyle w:val="TableUnitsRow"/>
                    <w:rPr>
                      <w:rFonts w:cs="Arial"/>
                      <w:color w:val="000000"/>
                      <w:szCs w:val="18"/>
                    </w:rPr>
                  </w:pPr>
                  <w:r>
                    <w:t>–</w:t>
                  </w:r>
                </w:p>
              </w:tc>
              <w:tc>
                <w:tcPr>
                  <w:tcW w:w="1249" w:type="pct"/>
                  <w:shd w:val="clear" w:color="auto" w:fill="auto"/>
                </w:tcPr>
                <w:p w14:paraId="64CE8220" w14:textId="6DCB2F0D" w:rsidR="00E1798E" w:rsidRDefault="00E1798E" w:rsidP="002E3EE9">
                  <w:pPr>
                    <w:pStyle w:val="TableBodyText"/>
                    <w:ind w:right="28"/>
                    <w:rPr>
                      <w:rFonts w:cs="Arial"/>
                      <w:color w:val="000000"/>
                      <w:szCs w:val="18"/>
                    </w:rPr>
                  </w:pPr>
                  <w:r w:rsidRPr="0044341B">
                    <w:t>70</w:t>
                  </w:r>
                </w:p>
              </w:tc>
            </w:tr>
            <w:tr w:rsidR="00E1798E" w14:paraId="5DEB5F8E" w14:textId="77777777" w:rsidTr="00EB5FCC">
              <w:tc>
                <w:tcPr>
                  <w:tcW w:w="1407" w:type="pct"/>
                  <w:shd w:val="clear" w:color="auto" w:fill="auto"/>
                </w:tcPr>
                <w:p w14:paraId="7BB40658" w14:textId="1FE9A2AF" w:rsidR="00E1798E" w:rsidRDefault="00E1798E" w:rsidP="002E3EE9">
                  <w:pPr>
                    <w:pStyle w:val="TableBodyText"/>
                    <w:jc w:val="left"/>
                  </w:pPr>
                  <w:r>
                    <w:t xml:space="preserve">   Gippsland to Sydney</w:t>
                  </w:r>
                </w:p>
              </w:tc>
              <w:tc>
                <w:tcPr>
                  <w:tcW w:w="1094" w:type="pct"/>
                  <w:shd w:val="clear" w:color="auto" w:fill="auto"/>
                </w:tcPr>
                <w:p w14:paraId="44645388" w14:textId="1109DA80" w:rsidR="00E1798E" w:rsidRDefault="00E1798E" w:rsidP="002E3EE9">
                  <w:pPr>
                    <w:pStyle w:val="TableBodyText"/>
                    <w:rPr>
                      <w:rFonts w:cs="Arial"/>
                      <w:color w:val="000000"/>
                      <w:szCs w:val="18"/>
                    </w:rPr>
                  </w:pPr>
                  <w:r w:rsidRPr="00CF1088">
                    <w:t>21</w:t>
                  </w:r>
                </w:p>
              </w:tc>
              <w:tc>
                <w:tcPr>
                  <w:tcW w:w="1250" w:type="pct"/>
                </w:tcPr>
                <w:p w14:paraId="57E56218" w14:textId="2562DD2A" w:rsidR="00E1798E" w:rsidRDefault="00A94908" w:rsidP="002E3EE9">
                  <w:pPr>
                    <w:pStyle w:val="TableUnitsRow"/>
                    <w:rPr>
                      <w:rFonts w:cs="Arial"/>
                      <w:color w:val="000000"/>
                      <w:szCs w:val="18"/>
                    </w:rPr>
                  </w:pPr>
                  <w:r>
                    <w:t>–</w:t>
                  </w:r>
                </w:p>
              </w:tc>
              <w:tc>
                <w:tcPr>
                  <w:tcW w:w="1249" w:type="pct"/>
                  <w:shd w:val="clear" w:color="auto" w:fill="auto"/>
                </w:tcPr>
                <w:p w14:paraId="15F11CD2" w14:textId="32C64C8F" w:rsidR="00E1798E" w:rsidRDefault="00415F09" w:rsidP="002E3EE9">
                  <w:pPr>
                    <w:pStyle w:val="TableBodyText"/>
                    <w:ind w:right="28"/>
                    <w:rPr>
                      <w:rFonts w:cs="Arial"/>
                      <w:color w:val="000000"/>
                      <w:szCs w:val="18"/>
                    </w:rPr>
                  </w:pPr>
                  <w:r>
                    <w:t>–</w:t>
                  </w:r>
                </w:p>
              </w:tc>
            </w:tr>
            <w:tr w:rsidR="00A94908" w14:paraId="2C3CF005" w14:textId="77777777" w:rsidTr="00EB5FCC">
              <w:tc>
                <w:tcPr>
                  <w:tcW w:w="1407" w:type="pct"/>
                  <w:shd w:val="clear" w:color="auto" w:fill="auto"/>
                </w:tcPr>
                <w:p w14:paraId="24325F76" w14:textId="2A563A60" w:rsidR="00A94908" w:rsidRDefault="00A94908" w:rsidP="002E3EE9">
                  <w:pPr>
                    <w:pStyle w:val="TableBodyText"/>
                    <w:jc w:val="left"/>
                  </w:pPr>
                  <w:r>
                    <w:t xml:space="preserve">   Gunnedah to Young</w:t>
                  </w:r>
                </w:p>
              </w:tc>
              <w:tc>
                <w:tcPr>
                  <w:tcW w:w="1094" w:type="pct"/>
                  <w:shd w:val="clear" w:color="auto" w:fill="auto"/>
                </w:tcPr>
                <w:p w14:paraId="3B850676" w14:textId="6847EA34" w:rsidR="00A94908" w:rsidRDefault="00A94908" w:rsidP="00A94908">
                  <w:pPr>
                    <w:pStyle w:val="TableBodyText"/>
                    <w:rPr>
                      <w:rFonts w:cs="Arial"/>
                      <w:color w:val="000000"/>
                      <w:szCs w:val="18"/>
                    </w:rPr>
                  </w:pPr>
                  <w:r>
                    <w:t>–</w:t>
                  </w:r>
                </w:p>
              </w:tc>
              <w:tc>
                <w:tcPr>
                  <w:tcW w:w="1250" w:type="pct"/>
                </w:tcPr>
                <w:p w14:paraId="7955B97A" w14:textId="4D9FC8E8" w:rsidR="00A94908" w:rsidRDefault="00A94908" w:rsidP="00A94908">
                  <w:pPr>
                    <w:pStyle w:val="TableUnitsRow"/>
                    <w:rPr>
                      <w:rFonts w:cs="Arial"/>
                      <w:color w:val="000000"/>
                      <w:szCs w:val="18"/>
                    </w:rPr>
                  </w:pPr>
                  <w:r>
                    <w:t>–</w:t>
                  </w:r>
                </w:p>
              </w:tc>
              <w:tc>
                <w:tcPr>
                  <w:tcW w:w="1249" w:type="pct"/>
                  <w:shd w:val="clear" w:color="auto" w:fill="auto"/>
                </w:tcPr>
                <w:p w14:paraId="68B96AA3" w14:textId="2ECBCE30" w:rsidR="00A94908" w:rsidRDefault="00A94908" w:rsidP="00A94908">
                  <w:pPr>
                    <w:pStyle w:val="TableBodyText"/>
                    <w:ind w:right="28"/>
                    <w:rPr>
                      <w:rFonts w:cs="Arial"/>
                      <w:color w:val="000000"/>
                      <w:szCs w:val="18"/>
                    </w:rPr>
                  </w:pPr>
                  <w:r>
                    <w:t>–</w:t>
                  </w:r>
                </w:p>
              </w:tc>
            </w:tr>
            <w:tr w:rsidR="00E1798E" w14:paraId="7168465E" w14:textId="77777777" w:rsidTr="00EB5FCC">
              <w:tc>
                <w:tcPr>
                  <w:tcW w:w="1407" w:type="pct"/>
                  <w:shd w:val="clear" w:color="auto" w:fill="auto"/>
                </w:tcPr>
                <w:p w14:paraId="23E5D481" w14:textId="0B2A8469" w:rsidR="00E1798E" w:rsidRDefault="00E1798E" w:rsidP="002E3EE9">
                  <w:pPr>
                    <w:pStyle w:val="TableBodyText"/>
                    <w:jc w:val="left"/>
                  </w:pPr>
                  <w:r>
                    <w:t xml:space="preserve">   Melbourne to Otway</w:t>
                  </w:r>
                </w:p>
              </w:tc>
              <w:tc>
                <w:tcPr>
                  <w:tcW w:w="1094" w:type="pct"/>
                  <w:shd w:val="clear" w:color="auto" w:fill="auto"/>
                </w:tcPr>
                <w:p w14:paraId="43160E36" w14:textId="61067DF3" w:rsidR="00E1798E" w:rsidRDefault="00E1798E" w:rsidP="002E3EE9">
                  <w:pPr>
                    <w:pStyle w:val="TableBodyText"/>
                    <w:rPr>
                      <w:rFonts w:cs="Arial"/>
                      <w:color w:val="000000"/>
                      <w:szCs w:val="18"/>
                    </w:rPr>
                  </w:pPr>
                  <w:r w:rsidRPr="00CF1088">
                    <w:t>108</w:t>
                  </w:r>
                </w:p>
              </w:tc>
              <w:tc>
                <w:tcPr>
                  <w:tcW w:w="1250" w:type="pct"/>
                </w:tcPr>
                <w:p w14:paraId="402C140B" w14:textId="4E0990B3" w:rsidR="00E1798E" w:rsidRDefault="00A94908" w:rsidP="002E3EE9">
                  <w:pPr>
                    <w:pStyle w:val="TableUnitsRow"/>
                    <w:rPr>
                      <w:rFonts w:cs="Arial"/>
                      <w:color w:val="000000"/>
                      <w:szCs w:val="18"/>
                    </w:rPr>
                  </w:pPr>
                  <w:r w:rsidRPr="00A762E8">
                    <w:t>93</w:t>
                  </w:r>
                </w:p>
              </w:tc>
              <w:tc>
                <w:tcPr>
                  <w:tcW w:w="1249" w:type="pct"/>
                  <w:shd w:val="clear" w:color="auto" w:fill="auto"/>
                </w:tcPr>
                <w:p w14:paraId="7609CF72" w14:textId="077BF6A7" w:rsidR="00E1798E" w:rsidRDefault="00415F09" w:rsidP="002E3EE9">
                  <w:pPr>
                    <w:pStyle w:val="TableBodyText"/>
                    <w:ind w:right="28"/>
                    <w:rPr>
                      <w:rFonts w:cs="Arial"/>
                      <w:color w:val="000000"/>
                      <w:szCs w:val="18"/>
                    </w:rPr>
                  </w:pPr>
                  <w:r w:rsidRPr="0044341B">
                    <w:t>90</w:t>
                  </w:r>
                </w:p>
              </w:tc>
            </w:tr>
            <w:tr w:rsidR="00E1798E" w14:paraId="1620EB88" w14:textId="77777777" w:rsidTr="00EB5FCC">
              <w:tc>
                <w:tcPr>
                  <w:tcW w:w="1407" w:type="pct"/>
                  <w:shd w:val="clear" w:color="auto" w:fill="auto"/>
                </w:tcPr>
                <w:p w14:paraId="159C597A" w14:textId="10B52C1B" w:rsidR="00E1798E" w:rsidRDefault="00E1798E" w:rsidP="002E3EE9">
                  <w:pPr>
                    <w:pStyle w:val="TableBodyText"/>
                    <w:jc w:val="left"/>
                  </w:pPr>
                  <w:r>
                    <w:t xml:space="preserve">   Melbourne to Young</w:t>
                  </w:r>
                </w:p>
              </w:tc>
              <w:tc>
                <w:tcPr>
                  <w:tcW w:w="1094" w:type="pct"/>
                  <w:shd w:val="clear" w:color="auto" w:fill="auto"/>
                </w:tcPr>
                <w:p w14:paraId="2A214F4D" w14:textId="5EBEF1DE" w:rsidR="00E1798E" w:rsidRDefault="00E1798E" w:rsidP="002E3EE9">
                  <w:pPr>
                    <w:pStyle w:val="TableBodyText"/>
                    <w:rPr>
                      <w:rFonts w:cs="Arial"/>
                      <w:color w:val="000000"/>
                      <w:szCs w:val="18"/>
                    </w:rPr>
                  </w:pPr>
                  <w:r>
                    <w:t>–</w:t>
                  </w:r>
                </w:p>
              </w:tc>
              <w:tc>
                <w:tcPr>
                  <w:tcW w:w="1250" w:type="pct"/>
                </w:tcPr>
                <w:p w14:paraId="5AEBF65E" w14:textId="60011045" w:rsidR="00E1798E" w:rsidRDefault="00A94908" w:rsidP="002E3EE9">
                  <w:pPr>
                    <w:pStyle w:val="TableUnitsRow"/>
                    <w:rPr>
                      <w:rFonts w:cs="Arial"/>
                      <w:color w:val="000000"/>
                      <w:szCs w:val="18"/>
                    </w:rPr>
                  </w:pPr>
                  <w:r w:rsidRPr="00A762E8">
                    <w:t>35</w:t>
                  </w:r>
                </w:p>
              </w:tc>
              <w:tc>
                <w:tcPr>
                  <w:tcW w:w="1249" w:type="pct"/>
                  <w:shd w:val="clear" w:color="auto" w:fill="auto"/>
                </w:tcPr>
                <w:p w14:paraId="2957533C" w14:textId="6F0C0C4E" w:rsidR="00E1798E" w:rsidRDefault="00415F09" w:rsidP="002E3EE9">
                  <w:pPr>
                    <w:pStyle w:val="TableBodyText"/>
                    <w:ind w:right="28"/>
                    <w:rPr>
                      <w:rFonts w:cs="Arial"/>
                      <w:color w:val="000000"/>
                      <w:szCs w:val="18"/>
                    </w:rPr>
                  </w:pPr>
                  <w:r w:rsidRPr="0044341B">
                    <w:t>67</w:t>
                  </w:r>
                </w:p>
              </w:tc>
            </w:tr>
            <w:tr w:rsidR="00A94908" w14:paraId="6720FBDE" w14:textId="77777777" w:rsidTr="00EB5FCC">
              <w:tc>
                <w:tcPr>
                  <w:tcW w:w="1407" w:type="pct"/>
                  <w:shd w:val="clear" w:color="auto" w:fill="auto"/>
                </w:tcPr>
                <w:p w14:paraId="0A83BFF6" w14:textId="2A7A6A11" w:rsidR="00A94908" w:rsidRDefault="00A94908" w:rsidP="003C2B23">
                  <w:pPr>
                    <w:pStyle w:val="TableBodyText"/>
                    <w:jc w:val="left"/>
                  </w:pPr>
                  <w:r>
                    <w:t xml:space="preserve">   Surat</w:t>
                  </w:r>
                  <w:r w:rsidR="003C2B23">
                    <w:t>–</w:t>
                  </w:r>
                  <w:r>
                    <w:t xml:space="preserve">Bowen to </w:t>
                  </w:r>
                  <w:r>
                    <w:br/>
                    <w:t>   Gladstone</w:t>
                  </w:r>
                </w:p>
              </w:tc>
              <w:tc>
                <w:tcPr>
                  <w:tcW w:w="1094" w:type="pct"/>
                  <w:shd w:val="clear" w:color="auto" w:fill="auto"/>
                </w:tcPr>
                <w:p w14:paraId="7B67F8B6" w14:textId="4A71944C" w:rsidR="00A94908" w:rsidRDefault="00A94908" w:rsidP="00A94908">
                  <w:pPr>
                    <w:pStyle w:val="TableBodyText"/>
                    <w:rPr>
                      <w:rFonts w:cs="Arial"/>
                      <w:color w:val="000000"/>
                      <w:szCs w:val="18"/>
                    </w:rPr>
                  </w:pPr>
                  <w:r>
                    <w:t>–</w:t>
                  </w:r>
                </w:p>
              </w:tc>
              <w:tc>
                <w:tcPr>
                  <w:tcW w:w="1250" w:type="pct"/>
                </w:tcPr>
                <w:p w14:paraId="5EBD4EBC" w14:textId="23DA20D4" w:rsidR="00A94908" w:rsidRDefault="00A94908" w:rsidP="002E3EE9">
                  <w:pPr>
                    <w:pStyle w:val="TableUnitsRow"/>
                    <w:rPr>
                      <w:rFonts w:cs="Arial"/>
                      <w:color w:val="000000"/>
                      <w:szCs w:val="18"/>
                    </w:rPr>
                  </w:pPr>
                  <w:r w:rsidRPr="00A762E8">
                    <w:t>891</w:t>
                  </w:r>
                </w:p>
              </w:tc>
              <w:tc>
                <w:tcPr>
                  <w:tcW w:w="1249" w:type="pct"/>
                  <w:shd w:val="clear" w:color="auto" w:fill="auto"/>
                </w:tcPr>
                <w:p w14:paraId="1F825C70" w14:textId="234D2641" w:rsidR="00A94908" w:rsidRDefault="00A94908" w:rsidP="002E3EE9">
                  <w:pPr>
                    <w:pStyle w:val="TableBodyText"/>
                    <w:ind w:right="28"/>
                    <w:rPr>
                      <w:rFonts w:cs="Arial"/>
                      <w:color w:val="000000"/>
                      <w:szCs w:val="18"/>
                    </w:rPr>
                  </w:pPr>
                  <w:r w:rsidRPr="0044341B">
                    <w:t>1</w:t>
                  </w:r>
                  <w:r w:rsidR="00CD41FC">
                    <w:t> </w:t>
                  </w:r>
                  <w:r w:rsidRPr="0044341B">
                    <w:t>402</w:t>
                  </w:r>
                </w:p>
              </w:tc>
            </w:tr>
            <w:tr w:rsidR="00E1798E" w14:paraId="10343B80" w14:textId="77777777" w:rsidTr="00EB5FCC">
              <w:tc>
                <w:tcPr>
                  <w:tcW w:w="1407" w:type="pct"/>
                  <w:shd w:val="clear" w:color="auto" w:fill="auto"/>
                </w:tcPr>
                <w:p w14:paraId="186836C3" w14:textId="390312BB" w:rsidR="00E1798E" w:rsidRDefault="00760E4A" w:rsidP="002E3EE9">
                  <w:pPr>
                    <w:pStyle w:val="TableBodyText"/>
                    <w:jc w:val="left"/>
                  </w:pPr>
                  <w:r>
                    <w:t xml:space="preserve">LNG </w:t>
                  </w:r>
                  <w:r w:rsidR="002235F6">
                    <w:t xml:space="preserve">exports </w:t>
                  </w:r>
                  <w:r>
                    <w:t>plants</w:t>
                  </w:r>
                </w:p>
              </w:tc>
              <w:tc>
                <w:tcPr>
                  <w:tcW w:w="1094" w:type="pct"/>
                  <w:shd w:val="clear" w:color="auto" w:fill="auto"/>
                </w:tcPr>
                <w:p w14:paraId="7109860B" w14:textId="77777777" w:rsidR="00E1798E" w:rsidRDefault="00E1798E" w:rsidP="002E3EE9">
                  <w:pPr>
                    <w:pStyle w:val="TableBodyText"/>
                    <w:rPr>
                      <w:rFonts w:cs="Arial"/>
                      <w:color w:val="000000"/>
                      <w:szCs w:val="18"/>
                    </w:rPr>
                  </w:pPr>
                </w:p>
              </w:tc>
              <w:tc>
                <w:tcPr>
                  <w:tcW w:w="1250" w:type="pct"/>
                </w:tcPr>
                <w:p w14:paraId="15683E79" w14:textId="77777777" w:rsidR="00E1798E" w:rsidRDefault="00E1798E" w:rsidP="002E3EE9">
                  <w:pPr>
                    <w:pStyle w:val="TableUnitsRow"/>
                    <w:rPr>
                      <w:rFonts w:cs="Arial"/>
                      <w:color w:val="000000"/>
                      <w:szCs w:val="18"/>
                    </w:rPr>
                  </w:pPr>
                </w:p>
              </w:tc>
              <w:tc>
                <w:tcPr>
                  <w:tcW w:w="1249" w:type="pct"/>
                  <w:shd w:val="clear" w:color="auto" w:fill="auto"/>
                </w:tcPr>
                <w:p w14:paraId="5B315FC7" w14:textId="77777777" w:rsidR="00E1798E" w:rsidRDefault="00E1798E" w:rsidP="002E3EE9">
                  <w:pPr>
                    <w:pStyle w:val="TableBodyText"/>
                    <w:ind w:right="28"/>
                    <w:rPr>
                      <w:rFonts w:cs="Arial"/>
                      <w:color w:val="000000"/>
                      <w:szCs w:val="18"/>
                    </w:rPr>
                  </w:pPr>
                </w:p>
              </w:tc>
            </w:tr>
            <w:tr w:rsidR="00EB5FCC" w14:paraId="0982C8B4" w14:textId="77777777" w:rsidTr="00EB5FCC">
              <w:tc>
                <w:tcPr>
                  <w:tcW w:w="1407" w:type="pct"/>
                  <w:shd w:val="clear" w:color="auto" w:fill="auto"/>
                </w:tcPr>
                <w:p w14:paraId="0A4F0205" w14:textId="3CC61842" w:rsidR="00EB5FCC" w:rsidRDefault="00760E4A" w:rsidP="00472A64">
                  <w:pPr>
                    <w:pStyle w:val="TableBodyText"/>
                    <w:jc w:val="left"/>
                  </w:pPr>
                  <w:r>
                    <w:t xml:space="preserve">   </w:t>
                  </w:r>
                  <w:r w:rsidR="002235F6">
                    <w:t>E</w:t>
                  </w:r>
                  <w:r w:rsidR="00472A64">
                    <w:t>xpansion</w:t>
                  </w:r>
                </w:p>
              </w:tc>
              <w:tc>
                <w:tcPr>
                  <w:tcW w:w="1094" w:type="pct"/>
                  <w:shd w:val="clear" w:color="auto" w:fill="auto"/>
                </w:tcPr>
                <w:p w14:paraId="140D2E45" w14:textId="7881CE67" w:rsidR="00EB5FCC" w:rsidRDefault="00EB5FCC" w:rsidP="002E3EE9">
                  <w:pPr>
                    <w:pStyle w:val="TableBodyText"/>
                    <w:rPr>
                      <w:rFonts w:cs="Arial"/>
                      <w:color w:val="000000"/>
                      <w:szCs w:val="18"/>
                    </w:rPr>
                  </w:pPr>
                  <w:r>
                    <w:rPr>
                      <w:rFonts w:cs="Arial"/>
                      <w:color w:val="000000"/>
                      <w:szCs w:val="18"/>
                    </w:rPr>
                    <w:t>–</w:t>
                  </w:r>
                </w:p>
              </w:tc>
              <w:tc>
                <w:tcPr>
                  <w:tcW w:w="1250" w:type="pct"/>
                </w:tcPr>
                <w:p w14:paraId="58B4C63C" w14:textId="3BD2D8BC" w:rsidR="00EB5FCC" w:rsidRDefault="00EB5FCC" w:rsidP="002E3EE9">
                  <w:pPr>
                    <w:pStyle w:val="TableUnitsRow"/>
                    <w:rPr>
                      <w:rFonts w:cs="Arial"/>
                      <w:color w:val="000000"/>
                      <w:szCs w:val="18"/>
                    </w:rPr>
                  </w:pPr>
                  <w:r>
                    <w:rPr>
                      <w:rFonts w:cs="Arial"/>
                      <w:color w:val="000000"/>
                      <w:szCs w:val="18"/>
                    </w:rPr>
                    <w:t>810</w:t>
                  </w:r>
                </w:p>
              </w:tc>
              <w:tc>
                <w:tcPr>
                  <w:tcW w:w="1249" w:type="pct"/>
                  <w:shd w:val="clear" w:color="auto" w:fill="auto"/>
                </w:tcPr>
                <w:p w14:paraId="2A25DC57" w14:textId="628D0DD0" w:rsidR="00EB5FCC" w:rsidRDefault="00EB5FCC" w:rsidP="002E3EE9">
                  <w:pPr>
                    <w:pStyle w:val="TableBodyText"/>
                    <w:ind w:right="28"/>
                    <w:rPr>
                      <w:rFonts w:cs="Arial"/>
                      <w:color w:val="000000"/>
                      <w:szCs w:val="18"/>
                    </w:rPr>
                  </w:pPr>
                  <w:r>
                    <w:rPr>
                      <w:rFonts w:cs="Arial"/>
                      <w:color w:val="000000"/>
                      <w:szCs w:val="18"/>
                    </w:rPr>
                    <w:t>810</w:t>
                  </w:r>
                </w:p>
              </w:tc>
            </w:tr>
            <w:tr w:rsidR="00EB5FCC" w14:paraId="192993D8" w14:textId="77777777" w:rsidTr="007A0DF7">
              <w:tc>
                <w:tcPr>
                  <w:tcW w:w="1407" w:type="pct"/>
                  <w:tcBorders>
                    <w:bottom w:val="single" w:sz="6" w:space="0" w:color="BFBFBF"/>
                  </w:tcBorders>
                  <w:shd w:val="clear" w:color="auto" w:fill="auto"/>
                </w:tcPr>
                <w:p w14:paraId="2A4C7C67" w14:textId="169D7691" w:rsidR="00EB5FCC" w:rsidRDefault="00760E4A" w:rsidP="00472A64">
                  <w:pPr>
                    <w:pStyle w:val="TableBodyText"/>
                    <w:jc w:val="left"/>
                  </w:pPr>
                  <w:r>
                    <w:t xml:space="preserve">   </w:t>
                  </w:r>
                  <w:r w:rsidR="002235F6">
                    <w:t>N</w:t>
                  </w:r>
                  <w:r w:rsidR="00472A64">
                    <w:t>ew plants</w:t>
                  </w:r>
                </w:p>
              </w:tc>
              <w:tc>
                <w:tcPr>
                  <w:tcW w:w="1094" w:type="pct"/>
                  <w:tcBorders>
                    <w:bottom w:val="single" w:sz="6" w:space="0" w:color="BFBFBF"/>
                  </w:tcBorders>
                  <w:shd w:val="clear" w:color="auto" w:fill="auto"/>
                </w:tcPr>
                <w:p w14:paraId="534D4E96" w14:textId="32763DCE" w:rsidR="00EB5FCC" w:rsidRDefault="00EB5FCC" w:rsidP="002E3EE9">
                  <w:pPr>
                    <w:pStyle w:val="TableBodyText"/>
                    <w:rPr>
                      <w:rFonts w:cs="Arial"/>
                      <w:color w:val="000000"/>
                      <w:szCs w:val="18"/>
                    </w:rPr>
                  </w:pPr>
                  <w:r>
                    <w:rPr>
                      <w:rFonts w:cs="Arial"/>
                      <w:color w:val="000000"/>
                      <w:szCs w:val="18"/>
                    </w:rPr>
                    <w:t>–</w:t>
                  </w:r>
                </w:p>
              </w:tc>
              <w:tc>
                <w:tcPr>
                  <w:tcW w:w="1250" w:type="pct"/>
                  <w:tcBorders>
                    <w:bottom w:val="single" w:sz="6" w:space="0" w:color="BFBFBF"/>
                  </w:tcBorders>
                </w:tcPr>
                <w:p w14:paraId="57CCC228" w14:textId="6B91BC4A" w:rsidR="00EB5FCC" w:rsidRDefault="00EB5FCC" w:rsidP="002E3EE9">
                  <w:pPr>
                    <w:pStyle w:val="TableUnitsRow"/>
                    <w:rPr>
                      <w:rFonts w:cs="Arial"/>
                      <w:color w:val="000000"/>
                      <w:szCs w:val="18"/>
                    </w:rPr>
                  </w:pPr>
                  <w:r>
                    <w:rPr>
                      <w:rFonts w:cs="Arial"/>
                      <w:color w:val="000000"/>
                      <w:szCs w:val="18"/>
                    </w:rPr>
                    <w:t>–</w:t>
                  </w:r>
                </w:p>
              </w:tc>
              <w:tc>
                <w:tcPr>
                  <w:tcW w:w="1249" w:type="pct"/>
                  <w:tcBorders>
                    <w:bottom w:val="single" w:sz="6" w:space="0" w:color="BFBFBF"/>
                  </w:tcBorders>
                  <w:shd w:val="clear" w:color="auto" w:fill="auto"/>
                </w:tcPr>
                <w:p w14:paraId="6541676C" w14:textId="55BC2A0A" w:rsidR="00EB5FCC" w:rsidRDefault="00EB5FCC" w:rsidP="002E3EE9">
                  <w:pPr>
                    <w:pStyle w:val="TableBodyText"/>
                    <w:ind w:right="28"/>
                    <w:rPr>
                      <w:rFonts w:cs="Arial"/>
                      <w:color w:val="000000"/>
                      <w:szCs w:val="18"/>
                    </w:rPr>
                  </w:pPr>
                  <w:r>
                    <w:rPr>
                      <w:rFonts w:cs="Arial"/>
                      <w:color w:val="000000"/>
                      <w:szCs w:val="18"/>
                    </w:rPr>
                    <w:t>468</w:t>
                  </w:r>
                </w:p>
              </w:tc>
            </w:tr>
          </w:tbl>
          <w:p w14:paraId="2527339C" w14:textId="77777777" w:rsidR="007A5FCF" w:rsidRDefault="007A5FCF" w:rsidP="002E3EE9">
            <w:pPr>
              <w:pStyle w:val="Box"/>
              <w:keepLines/>
            </w:pPr>
          </w:p>
        </w:tc>
      </w:tr>
      <w:tr w:rsidR="007A5FCF" w14:paraId="7A65DD21" w14:textId="77777777" w:rsidTr="00464C37">
        <w:trPr>
          <w:cantSplit/>
        </w:trPr>
        <w:tc>
          <w:tcPr>
            <w:tcW w:w="8771" w:type="dxa"/>
            <w:tcBorders>
              <w:top w:val="nil"/>
              <w:left w:val="nil"/>
              <w:bottom w:val="nil"/>
              <w:right w:val="nil"/>
            </w:tcBorders>
            <w:shd w:val="clear" w:color="auto" w:fill="auto"/>
          </w:tcPr>
          <w:p w14:paraId="442FD75D" w14:textId="74F2BB39" w:rsidR="007A5FCF" w:rsidRDefault="00B20991" w:rsidP="002E3EE9">
            <w:pPr>
              <w:pStyle w:val="Source"/>
              <w:keepNext/>
            </w:pPr>
            <w:r>
              <w:t>– Nil or rounded to zero.</w:t>
            </w:r>
          </w:p>
        </w:tc>
      </w:tr>
      <w:tr w:rsidR="00B20991" w14:paraId="28E18601" w14:textId="77777777" w:rsidTr="00464C37">
        <w:trPr>
          <w:cantSplit/>
        </w:trPr>
        <w:tc>
          <w:tcPr>
            <w:tcW w:w="8771" w:type="dxa"/>
            <w:tcBorders>
              <w:top w:val="nil"/>
              <w:left w:val="nil"/>
              <w:bottom w:val="nil"/>
              <w:right w:val="nil"/>
            </w:tcBorders>
            <w:shd w:val="clear" w:color="auto" w:fill="auto"/>
          </w:tcPr>
          <w:p w14:paraId="522D2497" w14:textId="5E030D80" w:rsidR="00B20991" w:rsidRDefault="00B20991" w:rsidP="002E3EE9">
            <w:pPr>
              <w:pStyle w:val="Source"/>
              <w:keepNext/>
              <w:rPr>
                <w:i/>
              </w:rPr>
            </w:pPr>
            <w:r>
              <w:rPr>
                <w:i/>
              </w:rPr>
              <w:t>Source</w:t>
            </w:r>
            <w:r w:rsidRPr="00624D3F">
              <w:t>:</w:t>
            </w:r>
            <w:r>
              <w:rPr>
                <w:i/>
              </w:rPr>
              <w:t xml:space="preserve"> </w:t>
            </w:r>
            <w:r>
              <w:t>Commission estimates.</w:t>
            </w:r>
          </w:p>
        </w:tc>
      </w:tr>
      <w:tr w:rsidR="007A5FCF" w14:paraId="497DD16F" w14:textId="77777777" w:rsidTr="00464C37">
        <w:trPr>
          <w:cantSplit/>
        </w:trPr>
        <w:tc>
          <w:tcPr>
            <w:tcW w:w="8771" w:type="dxa"/>
            <w:tcBorders>
              <w:top w:val="nil"/>
              <w:left w:val="nil"/>
              <w:bottom w:val="single" w:sz="6" w:space="0" w:color="78A22F"/>
              <w:right w:val="nil"/>
            </w:tcBorders>
            <w:shd w:val="clear" w:color="auto" w:fill="auto"/>
          </w:tcPr>
          <w:p w14:paraId="30E12CBB" w14:textId="77777777" w:rsidR="007A5FCF" w:rsidRDefault="007A5FCF" w:rsidP="002E3EE9">
            <w:pPr>
              <w:pStyle w:val="Box"/>
              <w:keepLines/>
              <w:spacing w:before="0" w:line="120" w:lineRule="exact"/>
            </w:pPr>
          </w:p>
        </w:tc>
      </w:tr>
      <w:tr w:rsidR="007A5FCF" w:rsidRPr="000863A5" w14:paraId="59AC346C" w14:textId="77777777" w:rsidTr="00464C37">
        <w:tc>
          <w:tcPr>
            <w:tcW w:w="8771" w:type="dxa"/>
            <w:tcBorders>
              <w:top w:val="single" w:sz="6" w:space="0" w:color="78A22F"/>
              <w:left w:val="nil"/>
              <w:bottom w:val="nil"/>
              <w:right w:val="nil"/>
            </w:tcBorders>
          </w:tcPr>
          <w:p w14:paraId="7AD85E72" w14:textId="1B443C8F" w:rsidR="007A5FCF" w:rsidRPr="00626D32" w:rsidRDefault="007A5FCF" w:rsidP="002E3EE9">
            <w:pPr>
              <w:pStyle w:val="BoxSpaceBelow"/>
              <w:keepNext/>
              <w:keepLines/>
            </w:pPr>
          </w:p>
        </w:tc>
      </w:tr>
    </w:tbl>
    <w:p w14:paraId="7E5BFE3E" w14:textId="77777777" w:rsidR="00C05D50" w:rsidRDefault="00C05D50" w:rsidP="00C05D50">
      <w:pPr>
        <w:pStyle w:val="BodyText"/>
        <w:rPr>
          <w:rFonts w:ascii="Arial" w:hAnsi="Arial"/>
          <w:sz w:val="26"/>
        </w:rPr>
      </w:pPr>
      <w:r>
        <w:br w:type="page"/>
      </w:r>
    </w:p>
    <w:p w14:paraId="1C902C4C" w14:textId="6ACC9B84" w:rsidR="007A5FCF" w:rsidRDefault="00F60F4B" w:rsidP="007A5FCF">
      <w:pPr>
        <w:pStyle w:val="Heading3"/>
      </w:pPr>
      <w:r>
        <w:lastRenderedPageBreak/>
        <w:t xml:space="preserve">Coal seam gas </w:t>
      </w:r>
      <w:r w:rsidR="007A5FCF">
        <w:t xml:space="preserve">moratoria </w:t>
      </w:r>
    </w:p>
    <w:p w14:paraId="5E9611EB" w14:textId="39DD96E2" w:rsidR="003C0CDB" w:rsidRDefault="001D0D97" w:rsidP="00E35A6D">
      <w:pPr>
        <w:pStyle w:val="BodyText"/>
      </w:pPr>
      <w:r>
        <w:t>To illustrate the broad effects of CSG moratoria</w:t>
      </w:r>
      <w:r w:rsidR="003C0CDB">
        <w:t>, no investment in new CSG production is allowed in New South Wales or Victoria</w:t>
      </w:r>
      <w:r w:rsidR="003C0CDB" w:rsidRPr="003C0CDB">
        <w:t xml:space="preserve"> </w:t>
      </w:r>
      <w:r w:rsidR="003C0CDB">
        <w:t>throughout the entire 40 year simulation period</w:t>
      </w:r>
      <w:r w:rsidR="00752756">
        <w:t>.</w:t>
      </w:r>
      <w:r w:rsidR="003C0CDB">
        <w:t xml:space="preserve"> This simulation is compared against baseline scenarios in which CSG moratoria are in place until September 2015.</w:t>
      </w:r>
    </w:p>
    <w:p w14:paraId="7A0F845F" w14:textId="31304515" w:rsidR="00A1087E" w:rsidRDefault="00A1087E" w:rsidP="00E35A6D">
      <w:pPr>
        <w:pStyle w:val="BodyText"/>
      </w:pPr>
      <w:r>
        <w:t>Moratoria</w:t>
      </w:r>
      <w:r w:rsidRPr="00E50745">
        <w:t xml:space="preserve"> on CSG production in New South Wales</w:t>
      </w:r>
      <w:r>
        <w:t xml:space="preserve"> and Victoria impose a constraint on the supply of gas in the eastern Australian gas market. </w:t>
      </w:r>
      <w:r w:rsidR="00746655">
        <w:t>New production in the Gunnedah</w:t>
      </w:r>
      <w:r w:rsidR="0095545C">
        <w:t xml:space="preserve">, </w:t>
      </w:r>
      <w:r w:rsidR="00746655">
        <w:t xml:space="preserve">Gloucester </w:t>
      </w:r>
      <w:r w:rsidR="0095545C">
        <w:t>and Sydney</w:t>
      </w:r>
      <w:r w:rsidR="00746655">
        <w:t xml:space="preserve"> </w:t>
      </w:r>
      <w:r w:rsidR="00844833">
        <w:t>b</w:t>
      </w:r>
      <w:r w:rsidR="00746655">
        <w:t xml:space="preserve">asins in </w:t>
      </w:r>
      <w:r w:rsidR="00127BE9">
        <w:t>New South Wales</w:t>
      </w:r>
      <w:r w:rsidR="00746655">
        <w:t xml:space="preserve"> is </w:t>
      </w:r>
      <w:r w:rsidR="00A17905">
        <w:t>un</w:t>
      </w:r>
      <w:r w:rsidR="00746655">
        <w:t>able to proceed and</w:t>
      </w:r>
      <w:r>
        <w:t xml:space="preserve"> is replaced by </w:t>
      </w:r>
      <w:r w:rsidRPr="00E50745">
        <w:t>more expensive sources of supply</w:t>
      </w:r>
      <w:r w:rsidR="000F1C6E">
        <w:t xml:space="preserve">. </w:t>
      </w:r>
      <w:r w:rsidR="005C0EFA">
        <w:t>Modelling results suggest that the</w:t>
      </w:r>
      <w:r w:rsidR="0095545C">
        <w:t xml:space="preserve">se </w:t>
      </w:r>
      <w:r w:rsidR="005C0EFA">
        <w:t>alternate</w:t>
      </w:r>
      <w:r w:rsidR="0095545C">
        <w:t xml:space="preserve"> supply</w:t>
      </w:r>
      <w:r w:rsidR="00A17905">
        <w:t xml:space="preserve"> sources</w:t>
      </w:r>
      <w:r w:rsidR="0095545C">
        <w:t xml:space="preserve"> are</w:t>
      </w:r>
      <w:r w:rsidR="000F1C6E">
        <w:t xml:space="preserve"> primarily </w:t>
      </w:r>
      <w:r w:rsidR="0095545C">
        <w:t>CSG</w:t>
      </w:r>
      <w:r w:rsidR="000F1C6E">
        <w:t xml:space="preserve"> from the Surat</w:t>
      </w:r>
      <w:r w:rsidR="003C2B23">
        <w:t>–</w:t>
      </w:r>
      <w:r w:rsidR="000F1C6E">
        <w:t>Bowen</w:t>
      </w:r>
      <w:r w:rsidR="0095545C">
        <w:t xml:space="preserve"> </w:t>
      </w:r>
      <w:r w:rsidR="00844833">
        <w:t>b</w:t>
      </w:r>
      <w:r w:rsidR="0095545C">
        <w:t>asins and shale</w:t>
      </w:r>
      <w:r w:rsidR="000F1C6E">
        <w:t xml:space="preserve"> gas from the Cooper </w:t>
      </w:r>
      <w:r w:rsidR="00844833">
        <w:t>b</w:t>
      </w:r>
      <w:r w:rsidR="000F1C6E">
        <w:t xml:space="preserve">asin, but also conventional gas from the Bass and Gippsland </w:t>
      </w:r>
      <w:r w:rsidR="00844833">
        <w:t>b</w:t>
      </w:r>
      <w:r w:rsidR="000F1C6E">
        <w:t>asins in Victoria</w:t>
      </w:r>
      <w:r w:rsidRPr="00E50745">
        <w:t xml:space="preserve">. </w:t>
      </w:r>
    </w:p>
    <w:p w14:paraId="055B9B8D" w14:textId="22CD0F96" w:rsidR="00BD0F3E" w:rsidRDefault="00BD0F3E" w:rsidP="00E35A6D">
      <w:pPr>
        <w:pStyle w:val="BodyText"/>
      </w:pPr>
      <w:r>
        <w:t>The costs of CSG moratoria will be influenced by many factors, including: LNG prices in the Asia–Pacific market; characteristics of the domestic demand for gas on the east coast of Australia; the costs of gas production from the supply sources affected by the moratoria; and the costs of alternative sources of supply on the east coast</w:t>
      </w:r>
      <w:r w:rsidR="00440F8A">
        <w:t xml:space="preserve"> (chapter 5)</w:t>
      </w:r>
      <w:r>
        <w:t xml:space="preserve">. </w:t>
      </w:r>
    </w:p>
    <w:p w14:paraId="295811CE" w14:textId="4496ADD6" w:rsidR="00A1087E" w:rsidRDefault="00D372A1" w:rsidP="00E35A6D">
      <w:pPr>
        <w:pStyle w:val="BodyText"/>
      </w:pPr>
      <w:r>
        <w:t xml:space="preserve">Modelling results </w:t>
      </w:r>
      <w:r w:rsidR="00BD0F3E">
        <w:t>give some indication of the</w:t>
      </w:r>
      <w:r>
        <w:t xml:space="preserve"> </w:t>
      </w:r>
      <w:r w:rsidR="00A1087E">
        <w:t xml:space="preserve">extent to which </w:t>
      </w:r>
      <w:r w:rsidR="00BD0F3E">
        <w:t xml:space="preserve">future LNG prices can affect the magnitude of costs imposed on gas market participants by </w:t>
      </w:r>
      <w:r w:rsidR="00A1087E">
        <w:t xml:space="preserve">CSG moratoria </w:t>
      </w:r>
      <w:r w:rsidR="00D249E4">
        <w:t>(figure C.3)</w:t>
      </w:r>
      <w:r w:rsidR="00F0521F">
        <w:t>. The c</w:t>
      </w:r>
      <w:r w:rsidR="00A1087E">
        <w:t xml:space="preserve">osts of moratoria </w:t>
      </w:r>
      <w:r w:rsidR="00F60F4B">
        <w:t>are</w:t>
      </w:r>
      <w:r w:rsidR="00A1087E">
        <w:t xml:space="preserve"> </w:t>
      </w:r>
      <w:r w:rsidR="00BD0F3E">
        <w:t xml:space="preserve">estimated to be </w:t>
      </w:r>
      <w:r w:rsidR="00A1087E">
        <w:t xml:space="preserve">greater </w:t>
      </w:r>
      <w:r w:rsidR="00F60F4B">
        <w:t xml:space="preserve">where </w:t>
      </w:r>
      <w:r w:rsidR="00A1087E">
        <w:t xml:space="preserve">LNG prices are sufficiently high to create the incentive for a significant increase in production </w:t>
      </w:r>
      <w:r w:rsidR="0095545C">
        <w:t>in</w:t>
      </w:r>
      <w:r w:rsidR="00A1087E">
        <w:t xml:space="preserve"> the </w:t>
      </w:r>
      <w:r w:rsidR="0095545C">
        <w:t>eastern Australian gas market</w:t>
      </w:r>
      <w:r w:rsidR="00A1087E">
        <w:t xml:space="preserve">, but </w:t>
      </w:r>
      <w:r w:rsidR="00F60F4B">
        <w:t xml:space="preserve">where </w:t>
      </w:r>
      <w:r w:rsidR="00A1087E">
        <w:t>gas producers are prevented from doing so by the moratoria.</w:t>
      </w:r>
    </w:p>
    <w:p w14:paraId="3F6F1D83" w14:textId="098A052F" w:rsidR="00A1087E" w:rsidRDefault="00F0521F" w:rsidP="00E35A6D">
      <w:pPr>
        <w:pStyle w:val="BodyText"/>
      </w:pPr>
      <w:r>
        <w:t xml:space="preserve">Future LNG prices will also determine the distribution of the costs of CSG moratoria. </w:t>
      </w:r>
      <w:r w:rsidR="00A1087E" w:rsidRPr="00B575FF">
        <w:t>Where moratoria reduce gas production</w:t>
      </w:r>
      <w:r w:rsidR="00BD0F3E">
        <w:t xml:space="preserve"> relative to a situation without moratoria,</w:t>
      </w:r>
      <w:r w:rsidR="00A1087E" w:rsidRPr="00B575FF">
        <w:t xml:space="preserve"> but do not affect the quantity of gas exported (for example, where all export</w:t>
      </w:r>
      <w:r w:rsidR="00CE0CE3">
        <w:t>s</w:t>
      </w:r>
      <w:r w:rsidR="00A1087E" w:rsidRPr="00B575FF">
        <w:t xml:space="preserve"> are already locked</w:t>
      </w:r>
      <w:r w:rsidR="00CD41FC">
        <w:noBreakHyphen/>
      </w:r>
      <w:r w:rsidR="00A1087E" w:rsidRPr="00B575FF">
        <w:t>in through long</w:t>
      </w:r>
      <w:r w:rsidR="00CD41FC">
        <w:noBreakHyphen/>
      </w:r>
      <w:r w:rsidR="00A1087E" w:rsidRPr="00B575FF">
        <w:t xml:space="preserve">term contracts) the effect will be largely felt by gas users within the eastern Australian gas market through higher </w:t>
      </w:r>
      <w:r w:rsidR="00893C05">
        <w:t>prices</w:t>
      </w:r>
      <w:r w:rsidR="00B53006">
        <w:t xml:space="preserve">. </w:t>
      </w:r>
      <w:r w:rsidR="00BD0F3E">
        <w:t xml:space="preserve">Model results show no change in the quantity of gas exported over </w:t>
      </w:r>
      <w:r>
        <w:t>the next 20 years under the low and central LNG price scenarios.</w:t>
      </w:r>
    </w:p>
    <w:p w14:paraId="77FBB36E" w14:textId="005204E2" w:rsidR="002C6D9F" w:rsidRPr="002C6D9F" w:rsidRDefault="00A1087E" w:rsidP="002C6D9F">
      <w:pPr>
        <w:pStyle w:val="BodyText"/>
      </w:pPr>
      <w:r w:rsidRPr="00B575FF">
        <w:t>In the longer term</w:t>
      </w:r>
      <w:r>
        <w:t xml:space="preserve"> —</w:t>
      </w:r>
      <w:r w:rsidR="00A17905">
        <w:t xml:space="preserve"> </w:t>
      </w:r>
      <w:r>
        <w:t xml:space="preserve">in particular if LNG prices </w:t>
      </w:r>
      <w:r w:rsidR="00EB7787">
        <w:t>increase over time</w:t>
      </w:r>
      <w:r>
        <w:t xml:space="preserve"> — </w:t>
      </w:r>
      <w:r w:rsidR="007473A3">
        <w:t>decreases</w:t>
      </w:r>
      <w:r>
        <w:t xml:space="preserve"> in production resulting from the moratoria could </w:t>
      </w:r>
      <w:r w:rsidR="00176AEE">
        <w:t xml:space="preserve">lead to </w:t>
      </w:r>
      <w:r>
        <w:t>lower gas supply (including for export) and, as a consequence, reduced royalty and taxation revenue.</w:t>
      </w:r>
      <w:r w:rsidR="00EE183E" w:rsidRPr="00130380">
        <w:rPr>
          <w:rStyle w:val="FootnoteReference"/>
        </w:rPr>
        <w:footnoteReference w:id="2"/>
      </w:r>
      <w:r w:rsidR="00F0521F">
        <w:t xml:space="preserve"> </w:t>
      </w:r>
      <w:r w:rsidR="00EB7787">
        <w:t xml:space="preserve">Modelling results </w:t>
      </w:r>
      <w:r w:rsidR="00167BF2">
        <w:t>indicate that</w:t>
      </w:r>
      <w:r w:rsidR="00EB7787">
        <w:t xml:space="preserve"> this will </w:t>
      </w:r>
      <w:r w:rsidR="00F0521F">
        <w:t>occur un</w:t>
      </w:r>
      <w:r w:rsidR="001115A3">
        <w:t>der the high LNG price scenario</w:t>
      </w:r>
      <w:r w:rsidR="003C7B5C">
        <w:t xml:space="preserve">. </w:t>
      </w:r>
      <w:r w:rsidR="00EB7787">
        <w:t xml:space="preserve">Modelled price </w:t>
      </w:r>
      <w:r w:rsidR="00E72F29">
        <w:t>increases due to CSG moratoria in the high LNG price scenario are concentrated in the southern states</w:t>
      </w:r>
      <w:r w:rsidR="005C0EFA">
        <w:t>, as</w:t>
      </w:r>
      <w:r w:rsidR="00E72F29">
        <w:t xml:space="preserve"> </w:t>
      </w:r>
      <w:r w:rsidR="00EE183E">
        <w:t>gas</w:t>
      </w:r>
      <w:r w:rsidR="00E72F29">
        <w:t xml:space="preserve"> supply </w:t>
      </w:r>
      <w:r w:rsidR="00EE183E">
        <w:t xml:space="preserve">from </w:t>
      </w:r>
      <w:r w:rsidR="00E72F29">
        <w:t xml:space="preserve">those states </w:t>
      </w:r>
      <w:r w:rsidR="00EE183E">
        <w:t>declines relative to the baseline</w:t>
      </w:r>
      <w:r w:rsidR="003C7B5C">
        <w:t>.</w:t>
      </w:r>
    </w:p>
    <w:p w14:paraId="62002C1C" w14:textId="1656489B"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5FC96EC1" w14:textId="77777777" w:rsidTr="00464C37">
        <w:tc>
          <w:tcPr>
            <w:tcW w:w="8771" w:type="dxa"/>
            <w:tcBorders>
              <w:top w:val="single" w:sz="6" w:space="0" w:color="78A22F"/>
              <w:left w:val="nil"/>
              <w:bottom w:val="nil"/>
              <w:right w:val="nil"/>
            </w:tcBorders>
            <w:shd w:val="clear" w:color="auto" w:fill="auto"/>
          </w:tcPr>
          <w:p w14:paraId="3BA91978" w14:textId="65920700" w:rsidR="007A5FCF" w:rsidRDefault="007A5FCF" w:rsidP="00464C37">
            <w:pPr>
              <w:pStyle w:val="FigureTitle"/>
            </w:pPr>
            <w:r w:rsidRPr="00784A05">
              <w:rPr>
                <w:b w:val="0"/>
              </w:rPr>
              <w:t xml:space="preserve">Figure </w:t>
            </w:r>
            <w:bookmarkStart w:id="7" w:name="OLE_LINK11"/>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3</w:t>
            </w:r>
            <w:r w:rsidRPr="00784A05">
              <w:rPr>
                <w:b w:val="0"/>
              </w:rPr>
              <w:fldChar w:fldCharType="end"/>
            </w:r>
            <w:bookmarkEnd w:id="7"/>
            <w:r>
              <w:tab/>
            </w:r>
            <w:r w:rsidR="00D372A1">
              <w:t xml:space="preserve">Modelled effects </w:t>
            </w:r>
            <w:r>
              <w:t xml:space="preserve">of coal seam gas moratoria </w:t>
            </w:r>
          </w:p>
          <w:p w14:paraId="6142EEA1" w14:textId="4F28CC36" w:rsidR="007A5FCF" w:rsidRPr="00176D3F" w:rsidRDefault="00BE706B" w:rsidP="00BE706B">
            <w:pPr>
              <w:pStyle w:val="Subtitle"/>
            </w:pPr>
            <w:proofErr w:type="gramStart"/>
            <w:r>
              <w:t xml:space="preserve">Three </w:t>
            </w:r>
            <w:r w:rsidR="007A5FCF">
              <w:t xml:space="preserve">LNG </w:t>
            </w:r>
            <w:r w:rsidR="003223A1">
              <w:t xml:space="preserve">price </w:t>
            </w:r>
            <w:r>
              <w:t>scenario</w:t>
            </w:r>
            <w:r w:rsidR="00725B4A">
              <w:t>s</w:t>
            </w:r>
            <w:r w:rsidR="000A00AC">
              <w:t>.</w:t>
            </w:r>
            <w:proofErr w:type="gramEnd"/>
            <w:r w:rsidR="000A00AC">
              <w:t xml:space="preserve"> Effects relative to baselines with CSG moratoria until September 2015</w:t>
            </w:r>
          </w:p>
        </w:tc>
      </w:tr>
      <w:tr w:rsidR="007A5FCF" w14:paraId="0CE5E72E"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7A5FCF" w14:paraId="628BCC29" w14:textId="77777777" w:rsidTr="00D83541">
              <w:trPr>
                <w:trHeight w:val="176"/>
                <w:jc w:val="center"/>
              </w:trPr>
              <w:tc>
                <w:tcPr>
                  <w:tcW w:w="4252" w:type="dxa"/>
                  <w:tcBorders>
                    <w:top w:val="nil"/>
                    <w:bottom w:val="nil"/>
                  </w:tcBorders>
                </w:tcPr>
                <w:p w14:paraId="5C166F7F" w14:textId="05DC61EC" w:rsidR="007A5FCF" w:rsidRPr="00AD723F" w:rsidRDefault="004A1B74" w:rsidP="00AD723F">
                  <w:pPr>
                    <w:pStyle w:val="Figure"/>
                    <w:spacing w:before="0" w:after="0"/>
                    <w:rPr>
                      <w:rFonts w:ascii="Arial" w:hAnsi="Arial"/>
                      <w:b/>
                    </w:rPr>
                  </w:pPr>
                  <w:r w:rsidRPr="00AD723F">
                    <w:rPr>
                      <w:rFonts w:ascii="Arial" w:hAnsi="Arial" w:cs="Arial"/>
                      <w:b/>
                      <w:noProof/>
                      <w:szCs w:val="24"/>
                    </w:rPr>
                    <w:t xml:space="preserve">Changes in </w:t>
                  </w:r>
                  <w:r w:rsidR="00163C8E" w:rsidRPr="00AD723F">
                    <w:rPr>
                      <w:rFonts w:ascii="Arial" w:hAnsi="Arial" w:cs="Arial"/>
                      <w:b/>
                      <w:noProof/>
                      <w:szCs w:val="24"/>
                    </w:rPr>
                    <w:t>quantities</w:t>
                  </w:r>
                </w:p>
              </w:tc>
              <w:tc>
                <w:tcPr>
                  <w:tcW w:w="4252" w:type="dxa"/>
                </w:tcPr>
                <w:p w14:paraId="63C047B5" w14:textId="0B3B4129" w:rsidR="007A5FCF" w:rsidRPr="00263AF0" w:rsidRDefault="004A1B74" w:rsidP="00AD723F">
                  <w:pPr>
                    <w:pStyle w:val="Figure"/>
                    <w:spacing w:before="0" w:after="0"/>
                    <w:rPr>
                      <w:rFonts w:ascii="Arial" w:hAnsi="Arial" w:cs="Arial"/>
                      <w:noProof/>
                    </w:rPr>
                  </w:pPr>
                  <w:r w:rsidRPr="00AD723F">
                    <w:rPr>
                      <w:rFonts w:ascii="Arial" w:hAnsi="Arial"/>
                      <w:b/>
                    </w:rPr>
                    <w:t>Changes in d</w:t>
                  </w:r>
                  <w:r w:rsidR="002B6EDE" w:rsidRPr="00AD723F">
                    <w:rPr>
                      <w:rFonts w:ascii="Arial" w:hAnsi="Arial"/>
                      <w:b/>
                    </w:rPr>
                    <w:t>omestic prices</w:t>
                  </w:r>
                </w:p>
              </w:tc>
            </w:tr>
            <w:tr w:rsidR="002B6EDE" w14:paraId="202FA3B4" w14:textId="77777777" w:rsidTr="00D83541">
              <w:trPr>
                <w:trHeight w:val="176"/>
                <w:jc w:val="center"/>
              </w:trPr>
              <w:tc>
                <w:tcPr>
                  <w:tcW w:w="4252" w:type="dxa"/>
                  <w:tcBorders>
                    <w:top w:val="nil"/>
                    <w:bottom w:val="nil"/>
                  </w:tcBorders>
                </w:tcPr>
                <w:p w14:paraId="5ECC6B74" w14:textId="5BD9D79A" w:rsidR="002B6EDE" w:rsidRDefault="00323CA0" w:rsidP="00464C37">
                  <w:pPr>
                    <w:pStyle w:val="Figure"/>
                    <w:spacing w:before="60" w:after="60"/>
                    <w:rPr>
                      <w:noProof/>
                    </w:rPr>
                  </w:pPr>
                  <w:r>
                    <w:rPr>
                      <w:noProof/>
                    </w:rPr>
                    <w:drawing>
                      <wp:inline distT="0" distB="0" distL="0" distR="0" wp14:anchorId="0E1BE944" wp14:editId="7A62CE0D">
                        <wp:extent cx="2477688" cy="2124000"/>
                        <wp:effectExtent l="0" t="0" r="0" b="0"/>
                        <wp:docPr id="58" name="Picture 58"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7688" cy="2124000"/>
                                </a:xfrm>
                                <a:prstGeom prst="rect">
                                  <a:avLst/>
                                </a:prstGeom>
                                <a:noFill/>
                              </pic:spPr>
                            </pic:pic>
                          </a:graphicData>
                        </a:graphic>
                      </wp:inline>
                    </w:drawing>
                  </w:r>
                </w:p>
              </w:tc>
              <w:tc>
                <w:tcPr>
                  <w:tcW w:w="4252" w:type="dxa"/>
                </w:tcPr>
                <w:p w14:paraId="63431954" w14:textId="2991FD04" w:rsidR="002B6EDE" w:rsidRDefault="00323CA0" w:rsidP="00464C37">
                  <w:pPr>
                    <w:pStyle w:val="Figure"/>
                    <w:spacing w:before="60" w:after="60"/>
                    <w:rPr>
                      <w:noProof/>
                    </w:rPr>
                  </w:pPr>
                  <w:r>
                    <w:rPr>
                      <w:noProof/>
                    </w:rPr>
                    <w:drawing>
                      <wp:inline distT="0" distB="0" distL="0" distR="0" wp14:anchorId="4E411B5A" wp14:editId="07EB1E85">
                        <wp:extent cx="2471144" cy="2124000"/>
                        <wp:effectExtent l="0" t="0" r="5715" b="0"/>
                        <wp:docPr id="59" name="Picture 59"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1144" cy="2124000"/>
                                </a:xfrm>
                                <a:prstGeom prst="rect">
                                  <a:avLst/>
                                </a:prstGeom>
                                <a:noFill/>
                              </pic:spPr>
                            </pic:pic>
                          </a:graphicData>
                        </a:graphic>
                      </wp:inline>
                    </w:drawing>
                  </w:r>
                </w:p>
              </w:tc>
            </w:tr>
            <w:tr w:rsidR="007D5B29" w14:paraId="33BBCA92" w14:textId="77777777" w:rsidTr="0006636C">
              <w:trPr>
                <w:trHeight w:val="176"/>
                <w:jc w:val="center"/>
              </w:trPr>
              <w:tc>
                <w:tcPr>
                  <w:tcW w:w="4252" w:type="dxa"/>
                  <w:tcBorders>
                    <w:top w:val="nil"/>
                    <w:bottom w:val="nil"/>
                  </w:tcBorders>
                </w:tcPr>
                <w:p w14:paraId="36F9486D" w14:textId="1C757AEC" w:rsidR="007D5B29" w:rsidRDefault="00323CA0" w:rsidP="00464C37">
                  <w:pPr>
                    <w:pStyle w:val="Figure"/>
                    <w:spacing w:before="60" w:after="60"/>
                    <w:rPr>
                      <w:noProof/>
                    </w:rPr>
                  </w:pPr>
                  <w:r>
                    <w:rPr>
                      <w:noProof/>
                    </w:rPr>
                    <w:drawing>
                      <wp:inline distT="0" distB="0" distL="0" distR="0" wp14:anchorId="67648D9E" wp14:editId="3970341A">
                        <wp:extent cx="2477688" cy="2124000"/>
                        <wp:effectExtent l="0" t="0" r="0" b="0"/>
                        <wp:docPr id="87" name="Picture 87"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7688" cy="2124000"/>
                                </a:xfrm>
                                <a:prstGeom prst="rect">
                                  <a:avLst/>
                                </a:prstGeom>
                                <a:noFill/>
                              </pic:spPr>
                            </pic:pic>
                          </a:graphicData>
                        </a:graphic>
                      </wp:inline>
                    </w:drawing>
                  </w:r>
                </w:p>
              </w:tc>
              <w:tc>
                <w:tcPr>
                  <w:tcW w:w="4252" w:type="dxa"/>
                </w:tcPr>
                <w:p w14:paraId="145C4B27" w14:textId="61F962C2" w:rsidR="007D5B29" w:rsidRDefault="00323CA0" w:rsidP="00464C37">
                  <w:pPr>
                    <w:pStyle w:val="Figure"/>
                    <w:spacing w:before="60" w:after="60"/>
                    <w:rPr>
                      <w:noProof/>
                    </w:rPr>
                  </w:pPr>
                  <w:r>
                    <w:rPr>
                      <w:noProof/>
                    </w:rPr>
                    <w:drawing>
                      <wp:inline distT="0" distB="0" distL="0" distR="0" wp14:anchorId="7F431A8F" wp14:editId="5B20FEA9">
                        <wp:extent cx="2477377" cy="2124000"/>
                        <wp:effectExtent l="0" t="0" r="0" b="0"/>
                        <wp:docPr id="60" name="Picture 60"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7377" cy="2124000"/>
                                </a:xfrm>
                                <a:prstGeom prst="rect">
                                  <a:avLst/>
                                </a:prstGeom>
                                <a:noFill/>
                              </pic:spPr>
                            </pic:pic>
                          </a:graphicData>
                        </a:graphic>
                      </wp:inline>
                    </w:drawing>
                  </w:r>
                  <w:r w:rsidR="009E232A" w:rsidDel="009E232A">
                    <w:rPr>
                      <w:noProof/>
                    </w:rPr>
                    <w:t xml:space="preserve"> </w:t>
                  </w:r>
                </w:p>
              </w:tc>
            </w:tr>
            <w:tr w:rsidR="007D5B29" w14:paraId="3C1CE06C" w14:textId="77777777" w:rsidTr="0006636C">
              <w:trPr>
                <w:trHeight w:val="176"/>
                <w:jc w:val="center"/>
              </w:trPr>
              <w:tc>
                <w:tcPr>
                  <w:tcW w:w="4252" w:type="dxa"/>
                  <w:tcBorders>
                    <w:top w:val="nil"/>
                    <w:bottom w:val="nil"/>
                  </w:tcBorders>
                </w:tcPr>
                <w:p w14:paraId="7FFAD0B4" w14:textId="5E85D4ED" w:rsidR="007D5B29" w:rsidRDefault="00323CA0" w:rsidP="00464C37">
                  <w:pPr>
                    <w:pStyle w:val="Figure"/>
                    <w:spacing w:before="60" w:after="60"/>
                    <w:rPr>
                      <w:noProof/>
                    </w:rPr>
                  </w:pPr>
                  <w:r>
                    <w:rPr>
                      <w:noProof/>
                    </w:rPr>
                    <w:drawing>
                      <wp:inline distT="0" distB="0" distL="0" distR="0" wp14:anchorId="067B9120" wp14:editId="1E3C1054">
                        <wp:extent cx="2489835" cy="2736000"/>
                        <wp:effectExtent l="0" t="0" r="5715" b="7620"/>
                        <wp:docPr id="89" name="Picture 89"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89835" cy="2736000"/>
                                </a:xfrm>
                                <a:prstGeom prst="rect">
                                  <a:avLst/>
                                </a:prstGeom>
                                <a:noFill/>
                              </pic:spPr>
                            </pic:pic>
                          </a:graphicData>
                        </a:graphic>
                      </wp:inline>
                    </w:drawing>
                  </w:r>
                </w:p>
              </w:tc>
              <w:tc>
                <w:tcPr>
                  <w:tcW w:w="4252" w:type="dxa"/>
                </w:tcPr>
                <w:p w14:paraId="54257596" w14:textId="5DD3FB91" w:rsidR="007D5B29" w:rsidRDefault="006162B3" w:rsidP="00464C37">
                  <w:pPr>
                    <w:pStyle w:val="Figure"/>
                    <w:spacing w:before="60" w:after="60"/>
                    <w:rPr>
                      <w:noProof/>
                    </w:rPr>
                  </w:pPr>
                  <w:r>
                    <w:rPr>
                      <w:noProof/>
                    </w:rPr>
                    <w:drawing>
                      <wp:inline distT="0" distB="0" distL="0" distR="0" wp14:anchorId="740479CA" wp14:editId="5B0DF5DD">
                        <wp:extent cx="2488699" cy="2736000"/>
                        <wp:effectExtent l="0" t="0" r="6985" b="7620"/>
                        <wp:docPr id="61" name="Picture 61" descr="This is one of six charts in figure C.3. This figure shows that there are small modelled changes in supply and demand from 2019 with a coal seam gas moratoria relative to a baseline with moratoria until September 2015. Modelled changes are most pronounced with higher LNG prices. Modelled supply from coal seam gas fields in Victoria and NSW falls which is partially substituted by supply from other gas fields. &#10;There are modelled increases in prices in Adelaide, Brisbane, Melbourne and Sydney with central LNG prices. There are modelled increases in prices in Adelaide, Melbourne and Sydney with high LNG pr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8699" cy="2736000"/>
                                </a:xfrm>
                                <a:prstGeom prst="rect">
                                  <a:avLst/>
                                </a:prstGeom>
                                <a:noFill/>
                              </pic:spPr>
                            </pic:pic>
                          </a:graphicData>
                        </a:graphic>
                      </wp:inline>
                    </w:drawing>
                  </w:r>
                </w:p>
              </w:tc>
            </w:tr>
          </w:tbl>
          <w:p w14:paraId="28241FD5" w14:textId="77777777" w:rsidR="007A5FCF" w:rsidRDefault="007A5FCF" w:rsidP="00464C37">
            <w:pPr>
              <w:pStyle w:val="Figure"/>
            </w:pPr>
          </w:p>
        </w:tc>
      </w:tr>
      <w:tr w:rsidR="007A5FCF" w:rsidRPr="00176D3F" w14:paraId="2D5C8AB1" w14:textId="77777777" w:rsidTr="00464C37">
        <w:tc>
          <w:tcPr>
            <w:tcW w:w="8771" w:type="dxa"/>
            <w:tcBorders>
              <w:top w:val="nil"/>
              <w:left w:val="nil"/>
              <w:bottom w:val="nil"/>
              <w:right w:val="nil"/>
            </w:tcBorders>
            <w:shd w:val="clear" w:color="auto" w:fill="auto"/>
          </w:tcPr>
          <w:p w14:paraId="04C8FB47" w14:textId="28503C20" w:rsidR="007A5FCF" w:rsidRPr="00176D3F" w:rsidRDefault="008E4AB1" w:rsidP="00464C37">
            <w:pPr>
              <w:pStyle w:val="Source"/>
            </w:pPr>
            <w:r>
              <w:rPr>
                <w:i/>
              </w:rPr>
              <w:t>Source</w:t>
            </w:r>
            <w:r w:rsidRPr="00624D3F">
              <w:t>:</w:t>
            </w:r>
            <w:r>
              <w:rPr>
                <w:i/>
              </w:rPr>
              <w:t xml:space="preserve"> </w:t>
            </w:r>
            <w:r>
              <w:t>Commission estimates</w:t>
            </w:r>
            <w:r w:rsidR="00232238">
              <w:t>.</w:t>
            </w:r>
          </w:p>
        </w:tc>
      </w:tr>
      <w:tr w:rsidR="007A5FCF" w14:paraId="3350519A" w14:textId="77777777" w:rsidTr="00464C37">
        <w:tc>
          <w:tcPr>
            <w:tcW w:w="8771" w:type="dxa"/>
            <w:tcBorders>
              <w:top w:val="nil"/>
              <w:left w:val="nil"/>
              <w:bottom w:val="single" w:sz="6" w:space="0" w:color="78A22F"/>
              <w:right w:val="nil"/>
            </w:tcBorders>
            <w:shd w:val="clear" w:color="auto" w:fill="auto"/>
          </w:tcPr>
          <w:p w14:paraId="52416F1B" w14:textId="77777777" w:rsidR="007A5FCF" w:rsidRDefault="007A5FCF" w:rsidP="00464C37">
            <w:pPr>
              <w:pStyle w:val="Figurespace"/>
            </w:pPr>
          </w:p>
        </w:tc>
      </w:tr>
      <w:tr w:rsidR="007A5FCF" w:rsidRPr="000863A5" w14:paraId="4D1552CD" w14:textId="77777777" w:rsidTr="00464C37">
        <w:tc>
          <w:tcPr>
            <w:tcW w:w="8771" w:type="dxa"/>
            <w:tcBorders>
              <w:top w:val="single" w:sz="6" w:space="0" w:color="78A22F"/>
              <w:left w:val="nil"/>
              <w:bottom w:val="nil"/>
              <w:right w:val="nil"/>
            </w:tcBorders>
          </w:tcPr>
          <w:p w14:paraId="2B573EEA" w14:textId="072C2273" w:rsidR="007A5FCF" w:rsidRPr="00626D32" w:rsidRDefault="007A5FCF" w:rsidP="00464C37">
            <w:pPr>
              <w:pStyle w:val="BoxSpaceBelow"/>
            </w:pPr>
          </w:p>
        </w:tc>
      </w:tr>
    </w:tbl>
    <w:p w14:paraId="7AD18034" w14:textId="5020A0B4" w:rsidR="00F0521F" w:rsidRDefault="0095545C" w:rsidP="00F0521F">
      <w:pPr>
        <w:pStyle w:val="BodyText"/>
      </w:pPr>
      <w:r>
        <w:lastRenderedPageBreak/>
        <w:t>R</w:t>
      </w:r>
      <w:r w:rsidR="00F0521F">
        <w:t>esults</w:t>
      </w:r>
      <w:r>
        <w:t xml:space="preserve"> from </w:t>
      </w:r>
      <w:r w:rsidR="00DF5213">
        <w:t>the</w:t>
      </w:r>
      <w:r>
        <w:t xml:space="preserve"> model</w:t>
      </w:r>
      <w:r w:rsidR="00F0521F">
        <w:t xml:space="preserve"> can be used to </w:t>
      </w:r>
      <w:r w:rsidR="000F300B">
        <w:t>indicate the broad magnitude of</w:t>
      </w:r>
      <w:r w:rsidR="00F0521F">
        <w:t xml:space="preserve"> </w:t>
      </w:r>
      <w:r w:rsidR="00551DB2">
        <w:t xml:space="preserve">economic </w:t>
      </w:r>
      <w:r w:rsidR="00F0521F">
        <w:t xml:space="preserve">welfare effects of CSG moratoria for gas market participants. This analysis is not a cost–benefit assessment of CSG moratoria, in particular because the modelling does not include environmental effects associated with replacing CSG production in </w:t>
      </w:r>
      <w:r w:rsidR="00127BE9">
        <w:t>New South Wales</w:t>
      </w:r>
      <w:r w:rsidR="00F0521F">
        <w:t xml:space="preserve"> and Victoria with other sources of gas. </w:t>
      </w:r>
      <w:r w:rsidR="00E41FFA">
        <w:t xml:space="preserve">Nevertheless, estimated </w:t>
      </w:r>
      <w:r w:rsidR="00810312">
        <w:t xml:space="preserve">economic </w:t>
      </w:r>
      <w:r w:rsidR="00E41FFA">
        <w:t>welfare effects provide a</w:t>
      </w:r>
      <w:r w:rsidR="000F300B">
        <w:t>n indication</w:t>
      </w:r>
      <w:r w:rsidR="00E41FFA">
        <w:t xml:space="preserve"> of the efficiency costs of CSG moratoria and </w:t>
      </w:r>
      <w:r>
        <w:t>demonstrate that</w:t>
      </w:r>
      <w:r w:rsidR="00E41FFA">
        <w:t xml:space="preserve"> </w:t>
      </w:r>
      <w:r>
        <w:t>efficiency costs</w:t>
      </w:r>
      <w:r w:rsidR="00E41FFA">
        <w:t xml:space="preserve"> are likely to increase with future LNG prices</w:t>
      </w:r>
      <w:r w:rsidR="00D249E4">
        <w:t xml:space="preserve"> (table C.2)</w:t>
      </w:r>
      <w:r w:rsidR="00E41FFA">
        <w:t>.</w:t>
      </w:r>
    </w:p>
    <w:p w14:paraId="1E61DD8F" w14:textId="3BFA3CB3" w:rsidR="000F300B" w:rsidRDefault="004903F4" w:rsidP="00F0521F">
      <w:pPr>
        <w:pStyle w:val="BodyText"/>
      </w:pPr>
      <w:r>
        <w:t xml:space="preserve">The size and distribution of the </w:t>
      </w:r>
      <w:r w:rsidR="002235F6">
        <w:t xml:space="preserve">modelled </w:t>
      </w:r>
      <w:r>
        <w:t xml:space="preserve">costs of CSG moratoria </w:t>
      </w:r>
      <w:r w:rsidR="00F0521F">
        <w:t>are heavily dependent on relative supply costs between CSG in N</w:t>
      </w:r>
      <w:r w:rsidR="0095545C">
        <w:t xml:space="preserve">ew </w:t>
      </w:r>
      <w:r w:rsidR="00F0521F">
        <w:t>S</w:t>
      </w:r>
      <w:r w:rsidR="0095545C">
        <w:t xml:space="preserve">outh </w:t>
      </w:r>
      <w:r w:rsidR="00F0521F">
        <w:t>W</w:t>
      </w:r>
      <w:r w:rsidR="0095545C">
        <w:t>ales</w:t>
      </w:r>
      <w:r w:rsidR="00F0521F">
        <w:t xml:space="preserve"> </w:t>
      </w:r>
      <w:r w:rsidR="00810312">
        <w:t xml:space="preserve">and Victoria </w:t>
      </w:r>
      <w:r w:rsidR="00F0521F" w:rsidDel="00810312">
        <w:t xml:space="preserve">and </w:t>
      </w:r>
      <w:r w:rsidR="00F0521F">
        <w:t>alternative sources of gas</w:t>
      </w:r>
      <w:r w:rsidR="00646308">
        <w:t>. The effects of relative supply costs</w:t>
      </w:r>
      <w:r w:rsidR="00F0521F">
        <w:t xml:space="preserve"> are explored as part of sensitivity testing</w:t>
      </w:r>
      <w:r w:rsidR="00E41FFA">
        <w:t xml:space="preserve"> below</w:t>
      </w:r>
      <w:r w:rsidR="00F0521F">
        <w:t>. There</w:t>
      </w:r>
      <w:r w:rsidR="00F0521F" w:rsidDel="00163C8E">
        <w:t xml:space="preserve"> </w:t>
      </w:r>
      <w:r w:rsidR="00163C8E">
        <w:t xml:space="preserve">is </w:t>
      </w:r>
      <w:r w:rsidR="00F0521F">
        <w:t xml:space="preserve">substantial uncertainty regarding the costs of producing </w:t>
      </w:r>
      <w:r w:rsidR="00646308">
        <w:t>CSG</w:t>
      </w:r>
      <w:r w:rsidR="00F0521F">
        <w:t xml:space="preserve"> in </w:t>
      </w:r>
      <w:r w:rsidR="00127BE9">
        <w:t>New South Wales</w:t>
      </w:r>
      <w:r w:rsidR="00F0521F">
        <w:t xml:space="preserve"> and Victoria, in part because moratoria </w:t>
      </w:r>
      <w:r w:rsidR="00F0521F" w:rsidRPr="00893C05">
        <w:t>are preventing exploration activity that could provide a measure of the size and commercial viability of affected gas reserves</w:t>
      </w:r>
      <w:r w:rsidR="00F0521F">
        <w:t>.</w:t>
      </w:r>
      <w:r w:rsidR="009179C0">
        <w:t xml:space="preserve"> </w:t>
      </w:r>
    </w:p>
    <w:p w14:paraId="20FA3243" w14:textId="09F77E57" w:rsidR="00F0521F" w:rsidRDefault="009179C0" w:rsidP="00F0521F">
      <w:pPr>
        <w:pStyle w:val="BodyText"/>
      </w:pPr>
      <w:r>
        <w:t>Similarly, the</w:t>
      </w:r>
      <w:r w:rsidR="002235F6">
        <w:t xml:space="preserve"> modelled</w:t>
      </w:r>
      <w:r>
        <w:t xml:space="preserve"> costs of CSG moratoria </w:t>
      </w:r>
      <w:r w:rsidR="001115A3">
        <w:t>w</w:t>
      </w:r>
      <w:r>
        <w:t xml:space="preserve">ould </w:t>
      </w:r>
      <w:r w:rsidR="001115A3">
        <w:t>increase over time</w:t>
      </w:r>
      <w:r>
        <w:t xml:space="preserve"> if</w:t>
      </w:r>
      <w:r w:rsidR="001115A3">
        <w:t xml:space="preserve"> </w:t>
      </w:r>
      <w:r w:rsidR="00163C8E">
        <w:t xml:space="preserve">CSG in New South Wales and Victoria becomes relatively less costly compared with alternative sources of supply. In particular, this might happen if </w:t>
      </w:r>
      <w:r w:rsidR="001115A3">
        <w:t>production cost</w:t>
      </w:r>
      <w:r w:rsidR="000F300B">
        <w:t>s</w:t>
      </w:r>
      <w:r w:rsidR="001115A3">
        <w:t xml:space="preserve"> </w:t>
      </w:r>
      <w:r w:rsidR="000F300B">
        <w:t xml:space="preserve">in alternative gas </w:t>
      </w:r>
      <w:proofErr w:type="gramStart"/>
      <w:r w:rsidR="000F300B">
        <w:t>fields</w:t>
      </w:r>
      <w:proofErr w:type="gramEnd"/>
      <w:r w:rsidR="000F300B">
        <w:t xml:space="preserve"> increase as production moves to more marginal deposits. Due to a lack of robust data, the results presented in this appendix are based on constant costs of production in each gas field over time (including for any additional reserves built up through exploration)</w:t>
      </w:r>
      <w:r w:rsidR="001115A3">
        <w:t xml:space="preserve">. </w:t>
      </w:r>
      <w:r w:rsidR="000F300B">
        <w:t xml:space="preserve">If costs increase over time for alternative sources of gas, the opportunity costs of CSG that remains undeveloped in New South Wales and Victoria will become greater. </w:t>
      </w:r>
    </w:p>
    <w:p w14:paraId="35CDECB1" w14:textId="43325BD6" w:rsidR="006F5006" w:rsidRDefault="006F5006" w:rsidP="003728B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F5006" w14:paraId="751D9D48" w14:textId="77777777" w:rsidTr="003728BD">
        <w:tc>
          <w:tcPr>
            <w:tcW w:w="8771" w:type="dxa"/>
            <w:tcBorders>
              <w:top w:val="single" w:sz="6" w:space="0" w:color="78A22F"/>
              <w:left w:val="nil"/>
              <w:bottom w:val="nil"/>
              <w:right w:val="nil"/>
            </w:tcBorders>
            <w:shd w:val="clear" w:color="auto" w:fill="auto"/>
          </w:tcPr>
          <w:p w14:paraId="37FE061D" w14:textId="76B684E0" w:rsidR="006F5006" w:rsidRDefault="006F5006" w:rsidP="003728BD">
            <w:pPr>
              <w:pStyle w:val="TableTitle"/>
            </w:pPr>
            <w:r>
              <w:rPr>
                <w:b w:val="0"/>
              </w:rPr>
              <w:t xml:space="preserve">Table </w:t>
            </w:r>
            <w:bookmarkStart w:id="8" w:name="OLE_LINK12"/>
            <w:r>
              <w:rPr>
                <w:b w:val="0"/>
              </w:rPr>
              <w:fldChar w:fldCharType="begin"/>
            </w:r>
            <w:r>
              <w:rPr>
                <w:b w:val="0"/>
              </w:rPr>
              <w:instrText xml:space="preserve"> COMMENTS  \* MERGEFORMAT </w:instrText>
            </w:r>
            <w:r>
              <w:rPr>
                <w:b w:val="0"/>
              </w:rPr>
              <w:fldChar w:fldCharType="separate"/>
            </w:r>
            <w:r>
              <w:rPr>
                <w:b w:val="0"/>
              </w:rPr>
              <w:t>C.</w:t>
            </w:r>
            <w:r>
              <w:rPr>
                <w:b w:val="0"/>
              </w:rPr>
              <w:fldChar w:fldCharType="end"/>
            </w:r>
            <w:r>
              <w:rPr>
                <w:b w:val="0"/>
              </w:rPr>
              <w:fldChar w:fldCharType="begin"/>
            </w:r>
            <w:r>
              <w:rPr>
                <w:b w:val="0"/>
              </w:rPr>
              <w:instrText xml:space="preserve"> SEQ Table \* ARABIC </w:instrText>
            </w:r>
            <w:r>
              <w:rPr>
                <w:b w:val="0"/>
              </w:rPr>
              <w:fldChar w:fldCharType="separate"/>
            </w:r>
            <w:r w:rsidR="00872E65">
              <w:rPr>
                <w:b w:val="0"/>
                <w:noProof/>
              </w:rPr>
              <w:t>2</w:t>
            </w:r>
            <w:r>
              <w:rPr>
                <w:b w:val="0"/>
              </w:rPr>
              <w:fldChar w:fldCharType="end"/>
            </w:r>
            <w:bookmarkEnd w:id="8"/>
            <w:r w:rsidR="001F71B2">
              <w:tab/>
            </w:r>
            <w:r w:rsidR="00551DB2">
              <w:t>E</w:t>
            </w:r>
            <w:r w:rsidR="00163C8E">
              <w:t>stimated e</w:t>
            </w:r>
            <w:r w:rsidR="00551DB2">
              <w:t xml:space="preserve">conomic welfare </w:t>
            </w:r>
            <w:r w:rsidR="001F71B2">
              <w:t>effects of CSG moratoria</w:t>
            </w:r>
          </w:p>
          <w:p w14:paraId="273D48C6" w14:textId="04E106F9" w:rsidR="006F5006" w:rsidRPr="00784A05" w:rsidRDefault="00A71E5F" w:rsidP="00A71E5F">
            <w:pPr>
              <w:pStyle w:val="Subtitle"/>
            </w:pPr>
            <w:r>
              <w:t>Net present value 2013 to 2032, r</w:t>
            </w:r>
            <w:r w:rsidR="001F71B2">
              <w:t xml:space="preserve">elative to </w:t>
            </w:r>
            <w:r w:rsidR="00646308">
              <w:t>baseline</w:t>
            </w:r>
            <w:r>
              <w:t xml:space="preserve"> with CSG moratoria until September 2015</w:t>
            </w:r>
            <w:r w:rsidR="00D372A1">
              <w:t xml:space="preserve"> ($ million)</w:t>
            </w:r>
          </w:p>
        </w:tc>
      </w:tr>
      <w:tr w:rsidR="006F5006" w14:paraId="0D4D8D05" w14:textId="77777777" w:rsidTr="003728BD">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805"/>
              <w:gridCol w:w="1560"/>
              <w:gridCol w:w="1701"/>
              <w:gridCol w:w="1421"/>
            </w:tblGrid>
            <w:tr w:rsidR="00ED617C" w14:paraId="0F605A5B" w14:textId="77777777" w:rsidTr="0079252E">
              <w:tc>
                <w:tcPr>
                  <w:tcW w:w="2242" w:type="pct"/>
                  <w:tcBorders>
                    <w:top w:val="single" w:sz="6" w:space="0" w:color="BFBFBF"/>
                    <w:bottom w:val="single" w:sz="6" w:space="0" w:color="BFBFBF"/>
                  </w:tcBorders>
                  <w:shd w:val="clear" w:color="auto" w:fill="auto"/>
                  <w:tcMar>
                    <w:top w:w="28" w:type="dxa"/>
                  </w:tcMar>
                </w:tcPr>
                <w:p w14:paraId="0C27CCB2" w14:textId="77777777" w:rsidR="00ED617C" w:rsidRDefault="00ED617C" w:rsidP="003728BD">
                  <w:pPr>
                    <w:pStyle w:val="TableColumnHeading"/>
                    <w:jc w:val="left"/>
                  </w:pPr>
                </w:p>
              </w:tc>
              <w:tc>
                <w:tcPr>
                  <w:tcW w:w="919" w:type="pct"/>
                  <w:tcBorders>
                    <w:top w:val="single" w:sz="6" w:space="0" w:color="BFBFBF"/>
                    <w:bottom w:val="single" w:sz="6" w:space="0" w:color="BFBFBF"/>
                  </w:tcBorders>
                </w:tcPr>
                <w:p w14:paraId="5DD80B79" w14:textId="2EBA16AB" w:rsidR="00ED617C" w:rsidRDefault="00ED617C" w:rsidP="003728BD">
                  <w:pPr>
                    <w:pStyle w:val="TableColumnHeading"/>
                  </w:pPr>
                  <w:r>
                    <w:t>Low LNG prices</w:t>
                  </w:r>
                </w:p>
              </w:tc>
              <w:tc>
                <w:tcPr>
                  <w:tcW w:w="1002" w:type="pct"/>
                  <w:tcBorders>
                    <w:top w:val="single" w:sz="6" w:space="0" w:color="BFBFBF"/>
                    <w:bottom w:val="single" w:sz="6" w:space="0" w:color="BFBFBF"/>
                  </w:tcBorders>
                  <w:shd w:val="clear" w:color="auto" w:fill="auto"/>
                  <w:tcMar>
                    <w:top w:w="28" w:type="dxa"/>
                  </w:tcMar>
                </w:tcPr>
                <w:p w14:paraId="6DE46D9A" w14:textId="5919D755" w:rsidR="00ED617C" w:rsidRDefault="00ED617C" w:rsidP="003728BD">
                  <w:pPr>
                    <w:pStyle w:val="TableColumnHeading"/>
                  </w:pPr>
                  <w:r>
                    <w:t>Central LNG prices</w:t>
                  </w:r>
                </w:p>
              </w:tc>
              <w:tc>
                <w:tcPr>
                  <w:tcW w:w="837" w:type="pct"/>
                  <w:tcBorders>
                    <w:top w:val="single" w:sz="6" w:space="0" w:color="BFBFBF"/>
                    <w:bottom w:val="single" w:sz="6" w:space="0" w:color="BFBFBF"/>
                  </w:tcBorders>
                  <w:shd w:val="clear" w:color="auto" w:fill="auto"/>
                  <w:tcMar>
                    <w:top w:w="28" w:type="dxa"/>
                  </w:tcMar>
                </w:tcPr>
                <w:p w14:paraId="6F4D9BD6" w14:textId="4F66CE31" w:rsidR="00ED617C" w:rsidRDefault="00ED617C" w:rsidP="003728BD">
                  <w:pPr>
                    <w:pStyle w:val="TableColumnHeading"/>
                    <w:ind w:right="28"/>
                  </w:pPr>
                  <w:r>
                    <w:t>High LNG prices</w:t>
                  </w:r>
                </w:p>
              </w:tc>
            </w:tr>
            <w:tr w:rsidR="00646308" w14:paraId="1586302D" w14:textId="77777777" w:rsidTr="0079252E">
              <w:tc>
                <w:tcPr>
                  <w:tcW w:w="2242" w:type="pct"/>
                </w:tcPr>
                <w:p w14:paraId="04F1A150" w14:textId="256AA2D3" w:rsidR="00646308" w:rsidRDefault="00646308" w:rsidP="00ED617C">
                  <w:pPr>
                    <w:pStyle w:val="TableBodyText"/>
                    <w:spacing w:before="80"/>
                    <w:jc w:val="left"/>
                  </w:pPr>
                  <w:r>
                    <w:t>Consumer surplus</w:t>
                  </w:r>
                  <w:r w:rsidR="00E72F29" w:rsidRPr="00ED617C">
                    <w:rPr>
                      <w:rStyle w:val="NoteLabel"/>
                    </w:rPr>
                    <w:t>a</w:t>
                  </w:r>
                </w:p>
              </w:tc>
              <w:tc>
                <w:tcPr>
                  <w:tcW w:w="919" w:type="pct"/>
                </w:tcPr>
                <w:p w14:paraId="354ACDFB" w14:textId="1B906ABC" w:rsidR="00646308" w:rsidRDefault="00646308" w:rsidP="00ED617C">
                  <w:pPr>
                    <w:pStyle w:val="TableBodyText"/>
                    <w:spacing w:before="80"/>
                  </w:pPr>
                  <w:r w:rsidRPr="0002400C">
                    <w:t>-185</w:t>
                  </w:r>
                </w:p>
              </w:tc>
              <w:tc>
                <w:tcPr>
                  <w:tcW w:w="1002" w:type="pct"/>
                </w:tcPr>
                <w:p w14:paraId="44C63E06" w14:textId="3C470DC8" w:rsidR="00646308" w:rsidRDefault="00646308" w:rsidP="00ED617C">
                  <w:pPr>
                    <w:pStyle w:val="TableBodyText"/>
                    <w:spacing w:before="80"/>
                  </w:pPr>
                  <w:r w:rsidRPr="006F5AD2">
                    <w:t>-953</w:t>
                  </w:r>
                </w:p>
              </w:tc>
              <w:tc>
                <w:tcPr>
                  <w:tcW w:w="837" w:type="pct"/>
                </w:tcPr>
                <w:p w14:paraId="04463C5B" w14:textId="1AC48156" w:rsidR="00646308" w:rsidRDefault="00646308" w:rsidP="00ED617C">
                  <w:pPr>
                    <w:pStyle w:val="TableBodyText"/>
                    <w:spacing w:before="80"/>
                    <w:ind w:right="28"/>
                  </w:pPr>
                  <w:r w:rsidRPr="006F7AF7">
                    <w:t>-623</w:t>
                  </w:r>
                </w:p>
              </w:tc>
            </w:tr>
            <w:tr w:rsidR="00646308" w14:paraId="64EC9859" w14:textId="77777777" w:rsidTr="0079252E">
              <w:tc>
                <w:tcPr>
                  <w:tcW w:w="2242" w:type="pct"/>
                </w:tcPr>
                <w:p w14:paraId="4779F509" w14:textId="34426C49" w:rsidR="00646308" w:rsidRDefault="00646308" w:rsidP="00ED617C">
                  <w:pPr>
                    <w:pStyle w:val="TableBodyText"/>
                    <w:jc w:val="left"/>
                  </w:pPr>
                  <w:r>
                    <w:t>Royalties</w:t>
                  </w:r>
                </w:p>
              </w:tc>
              <w:tc>
                <w:tcPr>
                  <w:tcW w:w="919" w:type="pct"/>
                </w:tcPr>
                <w:p w14:paraId="44C8D1F7" w14:textId="671E086C" w:rsidR="00646308" w:rsidRDefault="00646308" w:rsidP="00094DF1">
                  <w:pPr>
                    <w:pStyle w:val="TableBodyText"/>
                  </w:pPr>
                  <w:r w:rsidRPr="0002400C">
                    <w:t>1</w:t>
                  </w:r>
                </w:p>
              </w:tc>
              <w:tc>
                <w:tcPr>
                  <w:tcW w:w="1002" w:type="pct"/>
                </w:tcPr>
                <w:p w14:paraId="2CBA3F6D" w14:textId="0CE896D0" w:rsidR="00646308" w:rsidRDefault="00646308" w:rsidP="00094DF1">
                  <w:pPr>
                    <w:pStyle w:val="TableBodyText"/>
                  </w:pPr>
                  <w:r w:rsidRPr="006F5AD2">
                    <w:t>385</w:t>
                  </w:r>
                </w:p>
              </w:tc>
              <w:tc>
                <w:tcPr>
                  <w:tcW w:w="837" w:type="pct"/>
                </w:tcPr>
                <w:p w14:paraId="001FF452" w14:textId="7FA27BBC" w:rsidR="00646308" w:rsidRDefault="00646308" w:rsidP="001F71B2">
                  <w:pPr>
                    <w:pStyle w:val="TableBodyText"/>
                    <w:ind w:right="28"/>
                  </w:pPr>
                  <w:r w:rsidRPr="006F7AF7">
                    <w:t>18</w:t>
                  </w:r>
                </w:p>
              </w:tc>
            </w:tr>
            <w:tr w:rsidR="00646308" w14:paraId="765848CE" w14:textId="77777777" w:rsidTr="0079252E">
              <w:tc>
                <w:tcPr>
                  <w:tcW w:w="2242" w:type="pct"/>
                </w:tcPr>
                <w:p w14:paraId="3F2CFDC9" w14:textId="7566D4F5" w:rsidR="00646308" w:rsidRDefault="00646308" w:rsidP="007568EE">
                  <w:pPr>
                    <w:pStyle w:val="TableBodyText"/>
                    <w:jc w:val="left"/>
                  </w:pPr>
                  <w:r>
                    <w:t xml:space="preserve">Terminal value of </w:t>
                  </w:r>
                  <w:r w:rsidR="007568EE">
                    <w:t>reserves and assets</w:t>
                  </w:r>
                  <w:r w:rsidR="00E72F29">
                    <w:rPr>
                      <w:rStyle w:val="NoteLabel"/>
                    </w:rPr>
                    <w:t>b</w:t>
                  </w:r>
                </w:p>
              </w:tc>
              <w:tc>
                <w:tcPr>
                  <w:tcW w:w="919" w:type="pct"/>
                </w:tcPr>
                <w:p w14:paraId="4A0AEEAA" w14:textId="60346324" w:rsidR="00646308" w:rsidRDefault="00646308" w:rsidP="00ED617C">
                  <w:pPr>
                    <w:pStyle w:val="TableBodyText"/>
                    <w:spacing w:before="60"/>
                  </w:pPr>
                  <w:r w:rsidRPr="0002400C">
                    <w:t>-554</w:t>
                  </w:r>
                </w:p>
              </w:tc>
              <w:tc>
                <w:tcPr>
                  <w:tcW w:w="1002" w:type="pct"/>
                </w:tcPr>
                <w:p w14:paraId="3C10DC3D" w14:textId="51EE6548" w:rsidR="00646308" w:rsidRDefault="00646308" w:rsidP="00ED617C">
                  <w:pPr>
                    <w:pStyle w:val="TableBodyText"/>
                    <w:spacing w:before="60"/>
                  </w:pPr>
                  <w:r w:rsidRPr="006F5AD2">
                    <w:t>-838</w:t>
                  </w:r>
                </w:p>
              </w:tc>
              <w:tc>
                <w:tcPr>
                  <w:tcW w:w="837" w:type="pct"/>
                </w:tcPr>
                <w:p w14:paraId="6DDDF04A" w14:textId="1771C92F" w:rsidR="00646308" w:rsidRDefault="00646308" w:rsidP="00ED617C">
                  <w:pPr>
                    <w:pStyle w:val="TableBodyText"/>
                    <w:spacing w:before="60"/>
                    <w:ind w:right="28"/>
                  </w:pPr>
                  <w:r>
                    <w:t>-4 499</w:t>
                  </w:r>
                </w:p>
              </w:tc>
            </w:tr>
            <w:tr w:rsidR="00646308" w14:paraId="39592FA8" w14:textId="77777777" w:rsidTr="0079252E">
              <w:tc>
                <w:tcPr>
                  <w:tcW w:w="2242" w:type="pct"/>
                </w:tcPr>
                <w:p w14:paraId="61FC370E" w14:textId="51B66A34" w:rsidR="00646308" w:rsidRDefault="00646308" w:rsidP="00E72F29">
                  <w:pPr>
                    <w:pStyle w:val="TableBodyText"/>
                    <w:jc w:val="left"/>
                  </w:pPr>
                  <w:r>
                    <w:t>Producer surplus</w:t>
                  </w:r>
                  <w:r w:rsidR="00DE2804">
                    <w:rPr>
                      <w:rStyle w:val="NoteLabel"/>
                    </w:rPr>
                    <w:t>c</w:t>
                  </w:r>
                </w:p>
              </w:tc>
              <w:tc>
                <w:tcPr>
                  <w:tcW w:w="919" w:type="pct"/>
                </w:tcPr>
                <w:p w14:paraId="2F2A7EED" w14:textId="73E98854" w:rsidR="00646308" w:rsidRPr="00ED617C" w:rsidRDefault="00646308" w:rsidP="00ED617C">
                  <w:pPr>
                    <w:pStyle w:val="TableBodyText"/>
                    <w:spacing w:before="60"/>
                    <w:rPr>
                      <w:rStyle w:val="NoteLabel"/>
                      <w:b w:val="0"/>
                    </w:rPr>
                  </w:pPr>
                </w:p>
              </w:tc>
              <w:tc>
                <w:tcPr>
                  <w:tcW w:w="1002" w:type="pct"/>
                </w:tcPr>
                <w:p w14:paraId="23D90202" w14:textId="6D6FC51B" w:rsidR="00646308" w:rsidRPr="00ED617C" w:rsidRDefault="00646308" w:rsidP="00ED617C">
                  <w:pPr>
                    <w:pStyle w:val="TableBodyText"/>
                    <w:spacing w:before="60"/>
                    <w:rPr>
                      <w:rStyle w:val="NoteLabel"/>
                      <w:b w:val="0"/>
                    </w:rPr>
                  </w:pPr>
                </w:p>
              </w:tc>
              <w:tc>
                <w:tcPr>
                  <w:tcW w:w="837" w:type="pct"/>
                </w:tcPr>
                <w:p w14:paraId="572ECC1C" w14:textId="55308D0B" w:rsidR="00646308" w:rsidRPr="00ED617C" w:rsidRDefault="00646308" w:rsidP="00ED617C">
                  <w:pPr>
                    <w:pStyle w:val="TableBodyText"/>
                    <w:spacing w:before="60"/>
                    <w:ind w:right="28"/>
                    <w:rPr>
                      <w:rStyle w:val="NoteLabel"/>
                      <w:b w:val="0"/>
                    </w:rPr>
                  </w:pPr>
                </w:p>
              </w:tc>
            </w:tr>
            <w:tr w:rsidR="00646308" w14:paraId="589E3218" w14:textId="77777777" w:rsidTr="0079252E">
              <w:tc>
                <w:tcPr>
                  <w:tcW w:w="2242" w:type="pct"/>
                </w:tcPr>
                <w:p w14:paraId="1A70F581" w14:textId="35967EF1" w:rsidR="00646308" w:rsidRDefault="00646308" w:rsidP="00ED617C">
                  <w:pPr>
                    <w:pStyle w:val="TableBodyText"/>
                    <w:jc w:val="left"/>
                  </w:pPr>
                  <w:r>
                    <w:t xml:space="preserve">   Export revenue</w:t>
                  </w:r>
                </w:p>
              </w:tc>
              <w:tc>
                <w:tcPr>
                  <w:tcW w:w="919" w:type="pct"/>
                </w:tcPr>
                <w:p w14:paraId="7EA864B9" w14:textId="046DAA8D" w:rsidR="00646308" w:rsidRDefault="00B20991" w:rsidP="00B20991">
                  <w:pPr>
                    <w:pStyle w:val="TableBodyText"/>
                  </w:pPr>
                  <w:r>
                    <w:t>–</w:t>
                  </w:r>
                </w:p>
              </w:tc>
              <w:tc>
                <w:tcPr>
                  <w:tcW w:w="1002" w:type="pct"/>
                </w:tcPr>
                <w:p w14:paraId="7A8713AD" w14:textId="525038B8" w:rsidR="00646308" w:rsidRDefault="00B20991" w:rsidP="00B20991">
                  <w:pPr>
                    <w:pStyle w:val="TableBodyText"/>
                  </w:pPr>
                  <w:r>
                    <w:t>–</w:t>
                  </w:r>
                </w:p>
              </w:tc>
              <w:tc>
                <w:tcPr>
                  <w:tcW w:w="837" w:type="pct"/>
                </w:tcPr>
                <w:p w14:paraId="2B0ACE6F" w14:textId="3F85D22C" w:rsidR="00646308" w:rsidRDefault="00646308" w:rsidP="003728BD">
                  <w:pPr>
                    <w:pStyle w:val="TableBodyText"/>
                    <w:ind w:right="28"/>
                  </w:pPr>
                  <w:r>
                    <w:t>-2 </w:t>
                  </w:r>
                  <w:r w:rsidRPr="006F7AF7">
                    <w:t>050</w:t>
                  </w:r>
                </w:p>
              </w:tc>
            </w:tr>
            <w:tr w:rsidR="00646308" w14:paraId="65958673" w14:textId="77777777" w:rsidTr="0079252E">
              <w:tc>
                <w:tcPr>
                  <w:tcW w:w="2242" w:type="pct"/>
                  <w:shd w:val="clear" w:color="auto" w:fill="auto"/>
                </w:tcPr>
                <w:p w14:paraId="73BE4700" w14:textId="0346B3E2" w:rsidR="00646308" w:rsidRDefault="00646308" w:rsidP="00ED617C">
                  <w:pPr>
                    <w:pStyle w:val="TableBodyText"/>
                    <w:jc w:val="left"/>
                  </w:pPr>
                  <w:r>
                    <w:t xml:space="preserve">   Domestic revenue</w:t>
                  </w:r>
                </w:p>
              </w:tc>
              <w:tc>
                <w:tcPr>
                  <w:tcW w:w="919" w:type="pct"/>
                </w:tcPr>
                <w:p w14:paraId="52E8B32A" w14:textId="064DEC78" w:rsidR="00646308" w:rsidRDefault="00646308" w:rsidP="003728BD">
                  <w:pPr>
                    <w:pStyle w:val="TableBodyText"/>
                  </w:pPr>
                  <w:r w:rsidRPr="00EF7992">
                    <w:t>44</w:t>
                  </w:r>
                </w:p>
              </w:tc>
              <w:tc>
                <w:tcPr>
                  <w:tcW w:w="1002" w:type="pct"/>
                  <w:shd w:val="clear" w:color="auto" w:fill="auto"/>
                </w:tcPr>
                <w:p w14:paraId="65B6CF65" w14:textId="3A8D531A" w:rsidR="00646308" w:rsidRDefault="00646308" w:rsidP="003728BD">
                  <w:pPr>
                    <w:pStyle w:val="TableBodyText"/>
                  </w:pPr>
                  <w:r w:rsidRPr="006F5AD2">
                    <w:t>358</w:t>
                  </w:r>
                </w:p>
              </w:tc>
              <w:tc>
                <w:tcPr>
                  <w:tcW w:w="837" w:type="pct"/>
                  <w:shd w:val="clear" w:color="auto" w:fill="auto"/>
                </w:tcPr>
                <w:p w14:paraId="313F5465" w14:textId="2D553F62" w:rsidR="00646308" w:rsidRDefault="00646308" w:rsidP="003728BD">
                  <w:pPr>
                    <w:pStyle w:val="TableBodyText"/>
                    <w:ind w:right="28"/>
                  </w:pPr>
                  <w:r w:rsidRPr="006F7AF7">
                    <w:t>180</w:t>
                  </w:r>
                </w:p>
              </w:tc>
            </w:tr>
            <w:tr w:rsidR="00646308" w14:paraId="482B5A80" w14:textId="77777777" w:rsidTr="0079252E">
              <w:tc>
                <w:tcPr>
                  <w:tcW w:w="2242" w:type="pct"/>
                  <w:shd w:val="clear" w:color="auto" w:fill="auto"/>
                </w:tcPr>
                <w:p w14:paraId="4F493E36" w14:textId="31BBF546" w:rsidR="00646308" w:rsidRDefault="00646308" w:rsidP="00ED617C">
                  <w:pPr>
                    <w:pStyle w:val="TableBodyText"/>
                    <w:jc w:val="left"/>
                  </w:pPr>
                  <w:r>
                    <w:t xml:space="preserve">   </w:t>
                  </w:r>
                  <w:r w:rsidRPr="00D915B5">
                    <w:rPr>
                      <w:i/>
                    </w:rPr>
                    <w:t>less</w:t>
                  </w:r>
                  <w:r>
                    <w:t xml:space="preserve"> Investment costs</w:t>
                  </w:r>
                </w:p>
              </w:tc>
              <w:tc>
                <w:tcPr>
                  <w:tcW w:w="919" w:type="pct"/>
                </w:tcPr>
                <w:p w14:paraId="5B8E787A" w14:textId="1323317F" w:rsidR="00646308" w:rsidRDefault="00646308" w:rsidP="003728BD">
                  <w:pPr>
                    <w:pStyle w:val="TableBodyText"/>
                  </w:pPr>
                  <w:r w:rsidRPr="00EF7992">
                    <w:t>-74</w:t>
                  </w:r>
                </w:p>
              </w:tc>
              <w:tc>
                <w:tcPr>
                  <w:tcW w:w="1002" w:type="pct"/>
                  <w:shd w:val="clear" w:color="auto" w:fill="auto"/>
                </w:tcPr>
                <w:p w14:paraId="47E47223" w14:textId="5AB9D473" w:rsidR="00646308" w:rsidRDefault="00646308" w:rsidP="003728BD">
                  <w:pPr>
                    <w:pStyle w:val="TableBodyText"/>
                  </w:pPr>
                  <w:r w:rsidRPr="006F5AD2">
                    <w:t>-168</w:t>
                  </w:r>
                </w:p>
              </w:tc>
              <w:tc>
                <w:tcPr>
                  <w:tcW w:w="837" w:type="pct"/>
                  <w:shd w:val="clear" w:color="auto" w:fill="auto"/>
                </w:tcPr>
                <w:p w14:paraId="21FB7E5C" w14:textId="3A6D507E" w:rsidR="00646308" w:rsidRDefault="00646308" w:rsidP="001F71B2">
                  <w:pPr>
                    <w:pStyle w:val="TableBodyText"/>
                    <w:ind w:right="28"/>
                  </w:pPr>
                  <w:r w:rsidRPr="006F7AF7">
                    <w:t>-881</w:t>
                  </w:r>
                </w:p>
              </w:tc>
            </w:tr>
            <w:tr w:rsidR="00646308" w14:paraId="567A8874" w14:textId="77777777" w:rsidTr="0079252E">
              <w:tc>
                <w:tcPr>
                  <w:tcW w:w="2242" w:type="pct"/>
                  <w:shd w:val="clear" w:color="auto" w:fill="auto"/>
                </w:tcPr>
                <w:p w14:paraId="74507A70" w14:textId="53B33E71" w:rsidR="00646308" w:rsidRDefault="00646308" w:rsidP="00ED617C">
                  <w:pPr>
                    <w:pStyle w:val="TableBodyText"/>
                    <w:jc w:val="left"/>
                  </w:pPr>
                  <w:r>
                    <w:t xml:space="preserve">   </w:t>
                  </w:r>
                  <w:r w:rsidRPr="00D915B5">
                    <w:rPr>
                      <w:i/>
                    </w:rPr>
                    <w:t>less</w:t>
                  </w:r>
                  <w:r>
                    <w:t xml:space="preserve"> Operating costs</w:t>
                  </w:r>
                </w:p>
              </w:tc>
              <w:tc>
                <w:tcPr>
                  <w:tcW w:w="919" w:type="pct"/>
                </w:tcPr>
                <w:p w14:paraId="6BB1A801" w14:textId="3DCE2E9A" w:rsidR="00646308" w:rsidRPr="00755301" w:rsidRDefault="00646308" w:rsidP="00094DF1">
                  <w:pPr>
                    <w:pStyle w:val="TableBodyText"/>
                  </w:pPr>
                  <w:r w:rsidRPr="00EF7992">
                    <w:t>-455</w:t>
                  </w:r>
                </w:p>
              </w:tc>
              <w:tc>
                <w:tcPr>
                  <w:tcW w:w="1002" w:type="pct"/>
                  <w:shd w:val="clear" w:color="auto" w:fill="auto"/>
                </w:tcPr>
                <w:p w14:paraId="4E75FF17" w14:textId="26182EF9" w:rsidR="00646308" w:rsidRPr="00755301" w:rsidRDefault="00646308" w:rsidP="00094DF1">
                  <w:pPr>
                    <w:pStyle w:val="TableBodyText"/>
                  </w:pPr>
                  <w:r w:rsidRPr="006F5AD2">
                    <w:t>-684</w:t>
                  </w:r>
                </w:p>
              </w:tc>
              <w:tc>
                <w:tcPr>
                  <w:tcW w:w="837" w:type="pct"/>
                  <w:shd w:val="clear" w:color="auto" w:fill="auto"/>
                </w:tcPr>
                <w:p w14:paraId="1FC7FE7B" w14:textId="0EB5CCF7" w:rsidR="00646308" w:rsidRPr="00B934AC" w:rsidRDefault="00646308" w:rsidP="00E72F29">
                  <w:pPr>
                    <w:pStyle w:val="TableBodyText"/>
                    <w:ind w:right="28"/>
                  </w:pPr>
                  <w:r w:rsidRPr="002A2672">
                    <w:t>-</w:t>
                  </w:r>
                  <w:r w:rsidR="00E72F29">
                    <w:t>4</w:t>
                  </w:r>
                  <w:r w:rsidRPr="002A2672">
                    <w:t> </w:t>
                  </w:r>
                  <w:r w:rsidR="00E72F29">
                    <w:t>794</w:t>
                  </w:r>
                </w:p>
              </w:tc>
            </w:tr>
            <w:tr w:rsidR="00646308" w14:paraId="6002C4D4" w14:textId="77777777" w:rsidTr="0079252E">
              <w:tc>
                <w:tcPr>
                  <w:tcW w:w="2242" w:type="pct"/>
                  <w:shd w:val="clear" w:color="auto" w:fill="auto"/>
                </w:tcPr>
                <w:p w14:paraId="149E916D" w14:textId="01B2C76C" w:rsidR="00646308" w:rsidRDefault="00646308" w:rsidP="00ED617C">
                  <w:pPr>
                    <w:pStyle w:val="TableBodyText"/>
                    <w:jc w:val="left"/>
                  </w:pPr>
                  <w:r>
                    <w:t>Total producer surplus</w:t>
                  </w:r>
                </w:p>
              </w:tc>
              <w:tc>
                <w:tcPr>
                  <w:tcW w:w="919" w:type="pct"/>
                </w:tcPr>
                <w:p w14:paraId="223DBD0B" w14:textId="075A07B4" w:rsidR="00646308" w:rsidRPr="00EF7992" w:rsidRDefault="00646308" w:rsidP="00094DF1">
                  <w:pPr>
                    <w:pStyle w:val="TableBodyText"/>
                  </w:pPr>
                  <w:r w:rsidRPr="002A2672">
                    <w:t>574</w:t>
                  </w:r>
                </w:p>
              </w:tc>
              <w:tc>
                <w:tcPr>
                  <w:tcW w:w="1002" w:type="pct"/>
                  <w:shd w:val="clear" w:color="auto" w:fill="auto"/>
                </w:tcPr>
                <w:p w14:paraId="358A1C8C" w14:textId="23E63D1D" w:rsidR="00646308" w:rsidRPr="006F5AD2" w:rsidRDefault="00646308" w:rsidP="00094DF1">
                  <w:pPr>
                    <w:pStyle w:val="TableBodyText"/>
                  </w:pPr>
                  <w:r w:rsidRPr="002A2672">
                    <w:t>1 210</w:t>
                  </w:r>
                </w:p>
              </w:tc>
              <w:tc>
                <w:tcPr>
                  <w:tcW w:w="837" w:type="pct"/>
                  <w:shd w:val="clear" w:color="auto" w:fill="auto"/>
                </w:tcPr>
                <w:p w14:paraId="0E7600A0" w14:textId="6F84D560" w:rsidR="00646308" w:rsidRPr="006F7AF7" w:rsidRDefault="00E72F29" w:rsidP="00E72F29">
                  <w:pPr>
                    <w:pStyle w:val="TableBodyText"/>
                    <w:ind w:right="28"/>
                  </w:pPr>
                  <w:r>
                    <w:t>3 806</w:t>
                  </w:r>
                </w:p>
              </w:tc>
            </w:tr>
            <w:tr w:rsidR="00646308" w14:paraId="6ABE3752" w14:textId="77777777" w:rsidTr="0079252E">
              <w:tc>
                <w:tcPr>
                  <w:tcW w:w="2242" w:type="pct"/>
                  <w:tcBorders>
                    <w:bottom w:val="single" w:sz="6" w:space="0" w:color="BFBFBF"/>
                  </w:tcBorders>
                  <w:shd w:val="clear" w:color="auto" w:fill="auto"/>
                </w:tcPr>
                <w:p w14:paraId="49716DA6" w14:textId="4A16CCB9" w:rsidR="00646308" w:rsidRPr="00ED617C" w:rsidRDefault="00646308" w:rsidP="00624D3F">
                  <w:pPr>
                    <w:pStyle w:val="TableBodyText"/>
                    <w:jc w:val="left"/>
                    <w:rPr>
                      <w:b/>
                    </w:rPr>
                  </w:pPr>
                  <w:r w:rsidRPr="00ED617C">
                    <w:rPr>
                      <w:b/>
                    </w:rPr>
                    <w:t xml:space="preserve">Total </w:t>
                  </w:r>
                  <w:r w:rsidR="00551DB2">
                    <w:rPr>
                      <w:b/>
                    </w:rPr>
                    <w:t xml:space="preserve">economic </w:t>
                  </w:r>
                  <w:r w:rsidRPr="00ED617C">
                    <w:rPr>
                      <w:b/>
                    </w:rPr>
                    <w:t>welfare</w:t>
                  </w:r>
                </w:p>
              </w:tc>
              <w:tc>
                <w:tcPr>
                  <w:tcW w:w="919" w:type="pct"/>
                  <w:tcBorders>
                    <w:bottom w:val="single" w:sz="6" w:space="0" w:color="BFBFBF"/>
                  </w:tcBorders>
                </w:tcPr>
                <w:p w14:paraId="0509243C" w14:textId="084619FA" w:rsidR="00646308" w:rsidRPr="00ED617C" w:rsidRDefault="00646308" w:rsidP="00624D3F">
                  <w:pPr>
                    <w:pStyle w:val="TableBodyText"/>
                    <w:rPr>
                      <w:b/>
                    </w:rPr>
                  </w:pPr>
                  <w:r w:rsidRPr="00ED617C">
                    <w:rPr>
                      <w:b/>
                    </w:rPr>
                    <w:t>-164</w:t>
                  </w:r>
                </w:p>
              </w:tc>
              <w:tc>
                <w:tcPr>
                  <w:tcW w:w="1002" w:type="pct"/>
                  <w:tcBorders>
                    <w:bottom w:val="single" w:sz="6" w:space="0" w:color="BFBFBF"/>
                  </w:tcBorders>
                  <w:shd w:val="clear" w:color="auto" w:fill="auto"/>
                </w:tcPr>
                <w:p w14:paraId="1F886401" w14:textId="5D5ACBC2" w:rsidR="00646308" w:rsidRPr="00ED617C" w:rsidRDefault="00646308" w:rsidP="00624D3F">
                  <w:pPr>
                    <w:pStyle w:val="TableBodyText"/>
                    <w:rPr>
                      <w:b/>
                    </w:rPr>
                  </w:pPr>
                  <w:r w:rsidRPr="00ED617C">
                    <w:rPr>
                      <w:b/>
                    </w:rPr>
                    <w:t>-196</w:t>
                  </w:r>
                </w:p>
              </w:tc>
              <w:tc>
                <w:tcPr>
                  <w:tcW w:w="837" w:type="pct"/>
                  <w:tcBorders>
                    <w:bottom w:val="single" w:sz="6" w:space="0" w:color="BFBFBF"/>
                  </w:tcBorders>
                  <w:shd w:val="clear" w:color="auto" w:fill="auto"/>
                </w:tcPr>
                <w:p w14:paraId="4E714704" w14:textId="55FAC62D" w:rsidR="00646308" w:rsidRPr="00ED617C" w:rsidRDefault="00646308" w:rsidP="00624D3F">
                  <w:pPr>
                    <w:pStyle w:val="TableBodyText"/>
                    <w:ind w:right="28"/>
                    <w:rPr>
                      <w:b/>
                    </w:rPr>
                  </w:pPr>
                  <w:r w:rsidRPr="00646308">
                    <w:rPr>
                      <w:b/>
                    </w:rPr>
                    <w:t>-1 299</w:t>
                  </w:r>
                </w:p>
              </w:tc>
            </w:tr>
          </w:tbl>
          <w:p w14:paraId="3453C8DD" w14:textId="77777777" w:rsidR="006F5006" w:rsidRDefault="006F5006" w:rsidP="003728BD">
            <w:pPr>
              <w:pStyle w:val="Box"/>
            </w:pPr>
          </w:p>
        </w:tc>
      </w:tr>
      <w:tr w:rsidR="006F5006" w14:paraId="56BB6BE1" w14:textId="77777777" w:rsidTr="003728BD">
        <w:trPr>
          <w:cantSplit/>
        </w:trPr>
        <w:tc>
          <w:tcPr>
            <w:tcW w:w="8771" w:type="dxa"/>
            <w:tcBorders>
              <w:top w:val="nil"/>
              <w:left w:val="nil"/>
              <w:bottom w:val="nil"/>
              <w:right w:val="nil"/>
            </w:tcBorders>
            <w:shd w:val="clear" w:color="auto" w:fill="auto"/>
          </w:tcPr>
          <w:p w14:paraId="7327BE46" w14:textId="7609B927" w:rsidR="006F5006" w:rsidRDefault="00E72F29" w:rsidP="00DE2804">
            <w:pPr>
              <w:pStyle w:val="Note"/>
              <w:rPr>
                <w:i/>
              </w:rPr>
            </w:pPr>
            <w:proofErr w:type="gramStart"/>
            <w:r w:rsidRPr="008E77FE">
              <w:rPr>
                <w:rStyle w:val="NoteLabel"/>
              </w:rPr>
              <w:t>a</w:t>
            </w:r>
            <w:proofErr w:type="gramEnd"/>
            <w:r>
              <w:t xml:space="preserve"> Consumer surplus for gas users within </w:t>
            </w:r>
            <w:r w:rsidR="00DF5213">
              <w:t>the eastern Australian gas market.</w:t>
            </w:r>
            <w:r>
              <w:t xml:space="preserve"> </w:t>
            </w:r>
            <w:proofErr w:type="gramStart"/>
            <w:r>
              <w:rPr>
                <w:rStyle w:val="NoteLabel"/>
              </w:rPr>
              <w:t>b</w:t>
            </w:r>
            <w:proofErr w:type="gramEnd"/>
            <w:r w:rsidR="006F5006">
              <w:t xml:space="preserve"> </w:t>
            </w:r>
            <w:r w:rsidR="001D0D97">
              <w:t>The terminal value of reserves and assets is the value of remaining gas reserves and gas supply assets at the end of 2032, including the value of gas production and use between 2033 and 2052.</w:t>
            </w:r>
            <w:r w:rsidR="006F5006">
              <w:t xml:space="preserve"> </w:t>
            </w:r>
            <w:proofErr w:type="gramStart"/>
            <w:r w:rsidR="00DE2804">
              <w:rPr>
                <w:rStyle w:val="NoteLabel"/>
              </w:rPr>
              <w:t>c</w:t>
            </w:r>
            <w:proofErr w:type="gramEnd"/>
            <w:r w:rsidR="00DE2804">
              <w:t xml:space="preserve"> Producer surplus </w:t>
            </w:r>
            <w:r w:rsidR="00D812FF">
              <w:t>is</w:t>
            </w:r>
            <w:r w:rsidR="00DF5213">
              <w:t xml:space="preserve"> calculated </w:t>
            </w:r>
            <w:r w:rsidR="00DE2804">
              <w:t xml:space="preserve">as the change in revenue less </w:t>
            </w:r>
            <w:r w:rsidR="00943A62">
              <w:t>the change</w:t>
            </w:r>
            <w:r w:rsidR="00DE2804">
              <w:t xml:space="preserve"> in costs in a </w:t>
            </w:r>
            <w:r w:rsidR="00FB6D97">
              <w:t xml:space="preserve">competitive </w:t>
            </w:r>
            <w:r w:rsidR="00DE2804">
              <w:t xml:space="preserve">market equilibrium </w:t>
            </w:r>
            <w:r w:rsidR="00440F8A">
              <w:t>(that is, in the absence of any market power)</w:t>
            </w:r>
            <w:r w:rsidR="00DE2804">
              <w:t>.</w:t>
            </w:r>
            <w:r w:rsidR="00B20991">
              <w:t xml:space="preserve"> – Nil or rounded to zero.</w:t>
            </w:r>
          </w:p>
        </w:tc>
      </w:tr>
      <w:tr w:rsidR="006F5006" w14:paraId="31EA61BB" w14:textId="77777777" w:rsidTr="003728BD">
        <w:trPr>
          <w:cantSplit/>
        </w:trPr>
        <w:tc>
          <w:tcPr>
            <w:tcW w:w="8771" w:type="dxa"/>
            <w:tcBorders>
              <w:top w:val="nil"/>
              <w:left w:val="nil"/>
              <w:bottom w:val="nil"/>
              <w:right w:val="nil"/>
            </w:tcBorders>
            <w:shd w:val="clear" w:color="auto" w:fill="auto"/>
          </w:tcPr>
          <w:p w14:paraId="6F267884" w14:textId="7E52F956" w:rsidR="006F5006" w:rsidRDefault="008E4AB1" w:rsidP="001F71B2">
            <w:pPr>
              <w:pStyle w:val="Source"/>
            </w:pPr>
            <w:r>
              <w:rPr>
                <w:i/>
              </w:rPr>
              <w:t>Source</w:t>
            </w:r>
            <w:r w:rsidRPr="00624D3F">
              <w:t>:</w:t>
            </w:r>
            <w:r>
              <w:rPr>
                <w:i/>
              </w:rPr>
              <w:t xml:space="preserve"> </w:t>
            </w:r>
            <w:r>
              <w:t>Commission estimates</w:t>
            </w:r>
            <w:r w:rsidR="00232238">
              <w:t>.</w:t>
            </w:r>
          </w:p>
        </w:tc>
      </w:tr>
      <w:tr w:rsidR="006F5006" w14:paraId="217643FC" w14:textId="77777777" w:rsidTr="003728BD">
        <w:trPr>
          <w:cantSplit/>
        </w:trPr>
        <w:tc>
          <w:tcPr>
            <w:tcW w:w="8771" w:type="dxa"/>
            <w:tcBorders>
              <w:top w:val="nil"/>
              <w:left w:val="nil"/>
              <w:bottom w:val="single" w:sz="6" w:space="0" w:color="78A22F"/>
              <w:right w:val="nil"/>
            </w:tcBorders>
            <w:shd w:val="clear" w:color="auto" w:fill="auto"/>
          </w:tcPr>
          <w:p w14:paraId="07B40D7E" w14:textId="77777777" w:rsidR="006F5006" w:rsidRDefault="006F5006" w:rsidP="003728BD">
            <w:pPr>
              <w:pStyle w:val="Box"/>
              <w:spacing w:before="0" w:line="120" w:lineRule="exact"/>
            </w:pPr>
          </w:p>
        </w:tc>
      </w:tr>
      <w:tr w:rsidR="006F5006" w:rsidRPr="000863A5" w14:paraId="118E921B" w14:textId="77777777" w:rsidTr="003728BD">
        <w:tc>
          <w:tcPr>
            <w:tcW w:w="8771" w:type="dxa"/>
            <w:tcBorders>
              <w:top w:val="single" w:sz="6" w:space="0" w:color="78A22F"/>
              <w:left w:val="nil"/>
              <w:bottom w:val="nil"/>
              <w:right w:val="nil"/>
            </w:tcBorders>
          </w:tcPr>
          <w:p w14:paraId="511AF0A4" w14:textId="7DF9F435" w:rsidR="006F5006" w:rsidRPr="00626D32" w:rsidRDefault="006F5006" w:rsidP="003728BD">
            <w:pPr>
              <w:pStyle w:val="BoxSpaceBelow"/>
            </w:pPr>
          </w:p>
        </w:tc>
      </w:tr>
    </w:tbl>
    <w:p w14:paraId="2610758C" w14:textId="0991A448" w:rsidR="007A5FCF" w:rsidRDefault="007A5FCF" w:rsidP="007A5FCF">
      <w:pPr>
        <w:pStyle w:val="Heading3"/>
      </w:pPr>
      <w:r>
        <w:lastRenderedPageBreak/>
        <w:t>Domestic gas reservation</w:t>
      </w:r>
    </w:p>
    <w:p w14:paraId="0A0AE988" w14:textId="391DB963" w:rsidR="00AB3F7A" w:rsidRDefault="009934F6" w:rsidP="00476D84">
      <w:pPr>
        <w:pStyle w:val="BodyText"/>
      </w:pPr>
      <w:r>
        <w:t>The proportion of gas that would need to be reserved for domestic users in order to change market outcomes will depend on a number of factors</w:t>
      </w:r>
      <w:r w:rsidR="00AA171F">
        <w:t>.</w:t>
      </w:r>
    </w:p>
    <w:p w14:paraId="420379B0" w14:textId="6926EFD6" w:rsidR="009934F6" w:rsidRDefault="009934F6" w:rsidP="009934F6">
      <w:pPr>
        <w:pStyle w:val="ListBullet"/>
      </w:pPr>
      <w:r w:rsidRPr="00297448">
        <w:rPr>
          <w:i/>
        </w:rPr>
        <w:t xml:space="preserve">The share of gas </w:t>
      </w:r>
      <w:r w:rsidR="00961F5A">
        <w:rPr>
          <w:i/>
        </w:rPr>
        <w:t>production</w:t>
      </w:r>
      <w:r w:rsidR="00961F5A" w:rsidRPr="00297448">
        <w:rPr>
          <w:i/>
        </w:rPr>
        <w:t xml:space="preserve"> </w:t>
      </w:r>
      <w:r w:rsidRPr="00297448">
        <w:rPr>
          <w:i/>
        </w:rPr>
        <w:t>subject to gas reservation</w:t>
      </w:r>
      <w:r w:rsidR="006C3C17">
        <w:t xml:space="preserve">: </w:t>
      </w:r>
      <w:r>
        <w:t xml:space="preserve">If reservation applied to a smaller share of </w:t>
      </w:r>
      <w:r w:rsidR="00961F5A">
        <w:t xml:space="preserve">production </w:t>
      </w:r>
      <w:r>
        <w:t xml:space="preserve">(for example, </w:t>
      </w:r>
      <w:r w:rsidR="00B746F0">
        <w:t>if it excluded</w:t>
      </w:r>
      <w:r>
        <w:t xml:space="preserve"> projects that </w:t>
      </w:r>
      <w:r w:rsidR="00961F5A">
        <w:t>have already received development approval</w:t>
      </w:r>
      <w:r w:rsidR="00335F0F">
        <w:t xml:space="preserve"> from governments</w:t>
      </w:r>
      <w:r>
        <w:t xml:space="preserve">) then a higher proportion of gas would need to be reserved to achieve the same </w:t>
      </w:r>
      <w:r w:rsidR="00961F5A">
        <w:t>effect on supply to the domestic market</w:t>
      </w:r>
      <w:r w:rsidR="00AA171F">
        <w:t>.</w:t>
      </w:r>
    </w:p>
    <w:p w14:paraId="06A19588" w14:textId="4A1249F9" w:rsidR="009934F6" w:rsidRDefault="009934F6" w:rsidP="009934F6">
      <w:pPr>
        <w:pStyle w:val="ListBullet"/>
      </w:pPr>
      <w:r w:rsidRPr="00297448">
        <w:rPr>
          <w:i/>
        </w:rPr>
        <w:t>Future gas demand in the eastern Australian gas market</w:t>
      </w:r>
      <w:r w:rsidR="006C3C17">
        <w:t xml:space="preserve">: </w:t>
      </w:r>
      <w:r>
        <w:t>If future demand for gas in the eastern Australian gas market</w:t>
      </w:r>
      <w:r w:rsidR="006C3C17">
        <w:t xml:space="preserve"> </w:t>
      </w:r>
      <w:r w:rsidR="00961F5A">
        <w:t xml:space="preserve">were </w:t>
      </w:r>
      <w:r w:rsidR="006C3C17">
        <w:t>higher</w:t>
      </w:r>
      <w:r>
        <w:t xml:space="preserve">, then a higher proportion of gas would need to be reserved to </w:t>
      </w:r>
      <w:r w:rsidR="00FB6D97">
        <w:t>achieve the same effect on supply to the</w:t>
      </w:r>
      <w:r>
        <w:t xml:space="preserve"> domestic </w:t>
      </w:r>
      <w:r w:rsidR="00FB6D97">
        <w:t>market</w:t>
      </w:r>
      <w:r w:rsidR="00AA171F">
        <w:t>.</w:t>
      </w:r>
      <w:r>
        <w:t xml:space="preserve"> </w:t>
      </w:r>
    </w:p>
    <w:p w14:paraId="25891369" w14:textId="7C4CF070" w:rsidR="006C3C17" w:rsidRDefault="006C3C17" w:rsidP="006C3C17">
      <w:pPr>
        <w:pStyle w:val="ListBullet"/>
      </w:pPr>
      <w:r w:rsidRPr="00297448">
        <w:rPr>
          <w:i/>
        </w:rPr>
        <w:t xml:space="preserve">Existing contracts to supply the </w:t>
      </w:r>
      <w:r w:rsidR="00B20991">
        <w:rPr>
          <w:i/>
        </w:rPr>
        <w:t>eastern Australian gas market</w:t>
      </w:r>
      <w:r>
        <w:t xml:space="preserve">: If a substantial proportion of domestic demand is covered by existing contracts, then a smaller proportion of </w:t>
      </w:r>
      <w:r w:rsidR="00297448">
        <w:t xml:space="preserve">additional gas would need to be reserved to </w:t>
      </w:r>
      <w:r w:rsidR="00FB6D97">
        <w:t xml:space="preserve">have </w:t>
      </w:r>
      <w:r w:rsidR="005C0EFA">
        <w:t xml:space="preserve">the </w:t>
      </w:r>
      <w:r w:rsidR="00FB6D97">
        <w:t>same effect on supply to other</w:t>
      </w:r>
      <w:r w:rsidR="00A3286B">
        <w:t xml:space="preserve"> </w:t>
      </w:r>
      <w:r w:rsidR="00297448">
        <w:t xml:space="preserve">domestic </w:t>
      </w:r>
      <w:r w:rsidR="00FB6D97">
        <w:t>users</w:t>
      </w:r>
      <w:r w:rsidR="00297448">
        <w:t xml:space="preserve">. This effect will reduce over time as contracts expire. Gas supply contracts </w:t>
      </w:r>
      <w:r w:rsidR="00335F0F">
        <w:t>were</w:t>
      </w:r>
      <w:r w:rsidR="00297448">
        <w:t xml:space="preserve"> not included in the </w:t>
      </w:r>
      <w:r w:rsidR="00A3286B">
        <w:t>modelling for this report</w:t>
      </w:r>
      <w:r w:rsidR="00297448">
        <w:t xml:space="preserve"> (appendix B).</w:t>
      </w:r>
    </w:p>
    <w:p w14:paraId="42EA4E06" w14:textId="0F4D0C61" w:rsidR="009934F6" w:rsidRDefault="009934F6" w:rsidP="009934F6">
      <w:pPr>
        <w:pStyle w:val="ListBullet"/>
      </w:pPr>
      <w:r w:rsidRPr="00297448">
        <w:rPr>
          <w:i/>
        </w:rPr>
        <w:t>Future LNG prices in the Asia</w:t>
      </w:r>
      <w:r w:rsidR="00AA171F">
        <w:rPr>
          <w:i/>
        </w:rPr>
        <w:t>–</w:t>
      </w:r>
      <w:r w:rsidRPr="00297448">
        <w:rPr>
          <w:i/>
        </w:rPr>
        <w:t xml:space="preserve">Pacific </w:t>
      </w:r>
      <w:r w:rsidR="00DF5213">
        <w:rPr>
          <w:i/>
        </w:rPr>
        <w:t>market</w:t>
      </w:r>
      <w:r w:rsidR="006C3C17">
        <w:t xml:space="preserve">: </w:t>
      </w:r>
      <w:r w:rsidR="006219B1">
        <w:t>A</w:t>
      </w:r>
      <w:r w:rsidR="006219B1" w:rsidRPr="009934F6">
        <w:t xml:space="preserve"> </w:t>
      </w:r>
      <w:r w:rsidRPr="009934F6">
        <w:t xml:space="preserve">higher proportion of gas would </w:t>
      </w:r>
      <w:r w:rsidR="00335F0F">
        <w:t xml:space="preserve">likely </w:t>
      </w:r>
      <w:r w:rsidRPr="009934F6">
        <w:t>need to be reserved to have an effect on prices in the eastern Australian</w:t>
      </w:r>
      <w:r w:rsidR="00AA171F">
        <w:t xml:space="preserve"> gas</w:t>
      </w:r>
      <w:r w:rsidRPr="009934F6">
        <w:t xml:space="preserve"> market if future LNG prices are lower, as there would likely be less gas </w:t>
      </w:r>
      <w:r w:rsidR="00335F0F">
        <w:t>produced and</w:t>
      </w:r>
      <w:r w:rsidRPr="009934F6">
        <w:t xml:space="preserve"> exported</w:t>
      </w:r>
      <w:r w:rsidR="00AA171F">
        <w:t>.</w:t>
      </w:r>
    </w:p>
    <w:p w14:paraId="272E95ED" w14:textId="5DAFB56E" w:rsidR="009934F6" w:rsidRDefault="00297448" w:rsidP="00297448">
      <w:pPr>
        <w:pStyle w:val="BodyText"/>
      </w:pPr>
      <w:r>
        <w:t>T</w:t>
      </w:r>
      <w:r w:rsidR="009934F6">
        <w:t xml:space="preserve">o give an indication of the mechanisms through which </w:t>
      </w:r>
      <w:r w:rsidR="00AA171F">
        <w:t xml:space="preserve">domestic gas reservation </w:t>
      </w:r>
      <w:r w:rsidR="009934F6">
        <w:t>would affect market outcomes in the eastern Australian gas market and the potential magnitude of effects</w:t>
      </w:r>
      <w:r w:rsidR="00094DF1">
        <w:t xml:space="preserve">, a </w:t>
      </w:r>
      <w:r w:rsidR="00AA171F">
        <w:t xml:space="preserve">domestic gas reservation </w:t>
      </w:r>
      <w:r w:rsidR="00094DF1">
        <w:t>policy applying to all gas fields that were not producing gas in 2013 was modelled. This means that</w:t>
      </w:r>
      <w:r w:rsidR="00094DF1" w:rsidRPr="00094DF1">
        <w:t xml:space="preserve"> the policy applies to new production to supply LNG projects at Gladstone, but excludes existing gas fields such as those in Gippsland, the Cooper </w:t>
      </w:r>
      <w:r w:rsidR="00844833">
        <w:t>b</w:t>
      </w:r>
      <w:r w:rsidR="00094DF1" w:rsidRPr="00094DF1">
        <w:t>asin and pre-existing fields in Queensland</w:t>
      </w:r>
      <w:r w:rsidR="00094DF1">
        <w:t>.</w:t>
      </w:r>
    </w:p>
    <w:p w14:paraId="4A06C9BA" w14:textId="4BA77681" w:rsidR="0089399C" w:rsidRDefault="00BD1BFF" w:rsidP="00297448">
      <w:pPr>
        <w:pStyle w:val="BodyText"/>
      </w:pPr>
      <w:r>
        <w:t xml:space="preserve">Modelling results indicate that under a central LNG price scenario, at least </w:t>
      </w:r>
      <w:r w:rsidR="004F04B5">
        <w:t xml:space="preserve">25 per cent </w:t>
      </w:r>
      <w:r w:rsidR="004F04B5" w:rsidRPr="004F04B5">
        <w:t xml:space="preserve">of gas produced from new gas fields in the eastern Australian gas market would need to be reserved to </w:t>
      </w:r>
      <w:r>
        <w:t>hold down prices</w:t>
      </w:r>
      <w:r w:rsidR="004F04B5">
        <w:t xml:space="preserve">. </w:t>
      </w:r>
      <w:r w:rsidR="001E7A0E" w:rsidRPr="00B87E19">
        <w:t xml:space="preserve">A </w:t>
      </w:r>
      <w:r w:rsidR="001E7A0E">
        <w:t xml:space="preserve">lower reservation </w:t>
      </w:r>
      <w:r w:rsidR="001E7A0E" w:rsidRPr="00B87E19">
        <w:t>requirement</w:t>
      </w:r>
      <w:r w:rsidR="001E7A0E">
        <w:t xml:space="preserve">, for example, 15 per cent or 20 per cent, results in little or no additional gas being supplied to domestic users (and therefore imposes costs for little or no </w:t>
      </w:r>
      <w:r w:rsidR="0045149F">
        <w:t>reduction in long-term gas prices</w:t>
      </w:r>
      <w:r w:rsidR="001E7A0E">
        <w:t>)</w:t>
      </w:r>
      <w:r w:rsidR="00297448">
        <w:t>.</w:t>
      </w:r>
      <w:r w:rsidR="004F04B5">
        <w:t xml:space="preserve"> </w:t>
      </w:r>
    </w:p>
    <w:p w14:paraId="0CDA4B0C" w14:textId="4318E52F" w:rsidR="004F04B5" w:rsidRDefault="001E7A0E" w:rsidP="00297448">
      <w:pPr>
        <w:pStyle w:val="BodyText"/>
      </w:pPr>
      <w:r>
        <w:t xml:space="preserve">Even with 25 per cent of gas from new gas fields reserved for domestic consumption, </w:t>
      </w:r>
      <w:r w:rsidR="00BD1BFF">
        <w:t xml:space="preserve">modelling of domestic gas reservation suggest </w:t>
      </w:r>
      <w:r>
        <w:t xml:space="preserve">there </w:t>
      </w:r>
      <w:r w:rsidR="00BD1BFF">
        <w:t>would be</w:t>
      </w:r>
      <w:r>
        <w:t xml:space="preserve"> </w:t>
      </w:r>
      <w:r w:rsidRPr="001E7A0E">
        <w:t>little additional gas supply or price declines for domestic users</w:t>
      </w:r>
      <w:r>
        <w:t xml:space="preserve"> (figure </w:t>
      </w:r>
      <w:r w:rsidR="00632E76">
        <w:t>C.4</w:t>
      </w:r>
      <w:r>
        <w:t xml:space="preserve">). </w:t>
      </w:r>
      <w:r w:rsidRPr="002628EB">
        <w:t>The policy</w:t>
      </w:r>
      <w:r w:rsidRPr="002628EB" w:rsidDel="00BD1BFF">
        <w:t xml:space="preserve"> </w:t>
      </w:r>
      <w:r w:rsidR="00BD1BFF">
        <w:t>is estimated to reduce economic</w:t>
      </w:r>
      <w:r w:rsidR="00BD1BFF" w:rsidRPr="002628EB">
        <w:t xml:space="preserve"> </w:t>
      </w:r>
      <w:r w:rsidRPr="002628EB">
        <w:t>welfare because</w:t>
      </w:r>
      <w:r>
        <w:t xml:space="preserve"> it diverts the supply of gas from its highest value use, reflected in the higher prices prevailing </w:t>
      </w:r>
      <w:r w:rsidR="00A3286B">
        <w:t xml:space="preserve">for LNG </w:t>
      </w:r>
      <w:r>
        <w:t xml:space="preserve">in the Asia–Pacific (table </w:t>
      </w:r>
      <w:r w:rsidR="00D249E4">
        <w:t>C.3</w:t>
      </w:r>
      <w:r>
        <w:t>).</w:t>
      </w:r>
      <w:r w:rsidR="00F86AE8">
        <w:t xml:space="preserve"> </w:t>
      </w:r>
    </w:p>
    <w:p w14:paraId="30F59A45" w14:textId="431B62B8" w:rsidR="0048481E" w:rsidRDefault="005E7AC0" w:rsidP="0048481E">
      <w:pPr>
        <w:pStyle w:val="BodyText"/>
      </w:pPr>
      <w:r>
        <w:t xml:space="preserve">The effects of a 25 per cent </w:t>
      </w:r>
      <w:r w:rsidR="00AA171F">
        <w:t xml:space="preserve">domestic gas reservation </w:t>
      </w:r>
      <w:r>
        <w:t>policy were also tested under low and high LNG price scenarios.</w:t>
      </w:r>
      <w:r w:rsidR="00297448">
        <w:t xml:space="preserve"> </w:t>
      </w:r>
      <w:r>
        <w:t>Under low LNG prices</w:t>
      </w:r>
      <w:r w:rsidR="0048481E">
        <w:t xml:space="preserve">, a 25 per cent domestic gas reservation policy is not binding — that is, it has no effect on </w:t>
      </w:r>
      <w:r w:rsidR="00BD1BFF">
        <w:t xml:space="preserve">modelled </w:t>
      </w:r>
      <w:r w:rsidR="0048481E">
        <w:t>market outcomes</w:t>
      </w:r>
      <w:r w:rsidR="00AA171F">
        <w:t>, because domestic demand is already greater than 25 per cent of production from new fields</w:t>
      </w:r>
      <w:r w:rsidR="002033E3">
        <w:t xml:space="preserve"> (</w:t>
      </w:r>
      <w:r w:rsidR="002033E3" w:rsidDel="00BD1BFF">
        <w:t>figure</w:t>
      </w:r>
      <w:r w:rsidR="00BD1BFF">
        <w:t> </w:t>
      </w:r>
      <w:r w:rsidR="002033E3">
        <w:t>C.4)</w:t>
      </w:r>
      <w:r w:rsidR="0048481E">
        <w:t xml:space="preserve">. </w:t>
      </w:r>
    </w:p>
    <w:p w14:paraId="1C135688" w14:textId="791AA2CA"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5FD75F80" w14:textId="77777777" w:rsidTr="00464C37">
        <w:tc>
          <w:tcPr>
            <w:tcW w:w="8771" w:type="dxa"/>
            <w:tcBorders>
              <w:top w:val="single" w:sz="6" w:space="0" w:color="78A22F"/>
              <w:left w:val="nil"/>
              <w:bottom w:val="nil"/>
              <w:right w:val="nil"/>
            </w:tcBorders>
            <w:shd w:val="clear" w:color="auto" w:fill="auto"/>
          </w:tcPr>
          <w:p w14:paraId="2CEB63E4" w14:textId="0D846630" w:rsidR="007A5FCF" w:rsidRDefault="007A5FCF" w:rsidP="00464C37">
            <w:pPr>
              <w:pStyle w:val="FigureTitle"/>
            </w:pPr>
            <w:r w:rsidRPr="00784A05">
              <w:rPr>
                <w:b w:val="0"/>
              </w:rPr>
              <w:t xml:space="preserve">Figure </w:t>
            </w:r>
            <w:bookmarkStart w:id="9" w:name="OLE_LINK2"/>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4</w:t>
            </w:r>
            <w:r w:rsidRPr="00784A05">
              <w:rPr>
                <w:b w:val="0"/>
              </w:rPr>
              <w:fldChar w:fldCharType="end"/>
            </w:r>
            <w:bookmarkEnd w:id="9"/>
            <w:r>
              <w:tab/>
            </w:r>
            <w:r w:rsidR="00163C8E">
              <w:t xml:space="preserve">Modelled effects </w:t>
            </w:r>
            <w:r>
              <w:t>of 25 per cent domestic gas reservation policy</w:t>
            </w:r>
          </w:p>
          <w:p w14:paraId="5D63FC6A" w14:textId="1A5006CC" w:rsidR="007A5FCF" w:rsidRPr="00176D3F" w:rsidRDefault="00A71ACC" w:rsidP="00A71ACC">
            <w:pPr>
              <w:pStyle w:val="Subtitle"/>
            </w:pPr>
            <w:proofErr w:type="gramStart"/>
            <w:r>
              <w:t>C</w:t>
            </w:r>
            <w:r w:rsidR="007A5FCF">
              <w:t>entral</w:t>
            </w:r>
            <w:r>
              <w:t xml:space="preserve"> and high </w:t>
            </w:r>
            <w:r w:rsidR="007A5FCF">
              <w:t>LNG price scenario</w:t>
            </w:r>
            <w:r>
              <w:t>s</w:t>
            </w:r>
            <w:r w:rsidR="000A00AC">
              <w:t>.</w:t>
            </w:r>
            <w:proofErr w:type="gramEnd"/>
            <w:r w:rsidR="000A00AC">
              <w:t xml:space="preserve"> Effects relative baselines with no domestic gas reservation policy </w:t>
            </w:r>
          </w:p>
        </w:tc>
      </w:tr>
      <w:tr w:rsidR="007A5FCF" w14:paraId="01CD01F8"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4A1B74" w14:paraId="59B80D7D" w14:textId="77777777" w:rsidTr="00AC45A5">
              <w:trPr>
                <w:jc w:val="center"/>
              </w:trPr>
              <w:tc>
                <w:tcPr>
                  <w:tcW w:w="4252" w:type="dxa"/>
                  <w:tcBorders>
                    <w:top w:val="nil"/>
                    <w:bottom w:val="nil"/>
                  </w:tcBorders>
                </w:tcPr>
                <w:p w14:paraId="2E5EFBFF" w14:textId="0B218F9D" w:rsidR="004A1B74" w:rsidRDefault="004A1B74" w:rsidP="00DE2804">
                  <w:pPr>
                    <w:pStyle w:val="Figure"/>
                    <w:spacing w:before="60" w:after="60"/>
                  </w:pPr>
                  <w:r w:rsidRPr="00AD723F">
                    <w:rPr>
                      <w:rFonts w:ascii="Arial" w:hAnsi="Arial" w:cs="Arial"/>
                      <w:b/>
                      <w:noProof/>
                      <w:szCs w:val="24"/>
                    </w:rPr>
                    <w:t xml:space="preserve">Changes in </w:t>
                  </w:r>
                  <w:r w:rsidR="00163C8E" w:rsidRPr="00AD723F">
                    <w:rPr>
                      <w:rFonts w:ascii="Arial" w:hAnsi="Arial" w:cs="Arial"/>
                      <w:b/>
                      <w:noProof/>
                      <w:szCs w:val="24"/>
                    </w:rPr>
                    <w:t>quantities</w:t>
                  </w:r>
                </w:p>
              </w:tc>
              <w:tc>
                <w:tcPr>
                  <w:tcW w:w="4252" w:type="dxa"/>
                  <w:tcBorders>
                    <w:top w:val="nil"/>
                    <w:bottom w:val="nil"/>
                  </w:tcBorders>
                </w:tcPr>
                <w:p w14:paraId="0CF62362" w14:textId="3DA950F0" w:rsidR="004A1B74" w:rsidRDefault="004A1B74" w:rsidP="00464C37">
                  <w:pPr>
                    <w:pStyle w:val="Figure"/>
                    <w:spacing w:before="60" w:after="60"/>
                  </w:pPr>
                  <w:r w:rsidRPr="00AD723F">
                    <w:rPr>
                      <w:rFonts w:ascii="Arial" w:hAnsi="Arial"/>
                      <w:b/>
                    </w:rPr>
                    <w:t>Changes in domestic prices</w:t>
                  </w:r>
                </w:p>
              </w:tc>
            </w:tr>
            <w:tr w:rsidR="00263AF0" w14:paraId="46774EFF" w14:textId="77777777" w:rsidTr="00AC45A5">
              <w:trPr>
                <w:jc w:val="center"/>
              </w:trPr>
              <w:tc>
                <w:tcPr>
                  <w:tcW w:w="4252" w:type="dxa"/>
                  <w:tcBorders>
                    <w:top w:val="nil"/>
                    <w:bottom w:val="nil"/>
                  </w:tcBorders>
                </w:tcPr>
                <w:p w14:paraId="13798841" w14:textId="66D5612C" w:rsidR="00263AF0" w:rsidRDefault="006162B3" w:rsidP="00464C37">
                  <w:pPr>
                    <w:pStyle w:val="Figure"/>
                    <w:spacing w:before="60" w:after="60"/>
                    <w:rPr>
                      <w:noProof/>
                    </w:rPr>
                  </w:pPr>
                  <w:r>
                    <w:rPr>
                      <w:noProof/>
                    </w:rPr>
                    <w:drawing>
                      <wp:inline distT="0" distB="0" distL="0" distR="0" wp14:anchorId="76F5B1BF" wp14:editId="65D60631">
                        <wp:extent cx="2542540" cy="2164080"/>
                        <wp:effectExtent l="0" t="0" r="0" b="7620"/>
                        <wp:docPr id="100" name="Picture 100" descr="This is one of four charts in figure C.4. This figure shows that with high LNG prices and a 25 per cent domestic gas reservation policy, there are large modelled reductions in supply and demand relative to the baseline from 2019. There are also large modelled reductions in prices relative to the baseline from 2019 (about $4 per gigajoule in most capital cities). With central LNG prices a 25 per cent domestic gas reservation policy does not have much effect on supply, demand or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2540" cy="2164080"/>
                                </a:xfrm>
                                <a:prstGeom prst="rect">
                                  <a:avLst/>
                                </a:prstGeom>
                                <a:noFill/>
                              </pic:spPr>
                            </pic:pic>
                          </a:graphicData>
                        </a:graphic>
                      </wp:inline>
                    </w:drawing>
                  </w:r>
                </w:p>
              </w:tc>
              <w:tc>
                <w:tcPr>
                  <w:tcW w:w="4252" w:type="dxa"/>
                  <w:tcBorders>
                    <w:top w:val="nil"/>
                    <w:bottom w:val="nil"/>
                  </w:tcBorders>
                </w:tcPr>
                <w:p w14:paraId="386CF171" w14:textId="22FDB9FD" w:rsidR="00263AF0" w:rsidRDefault="006162B3" w:rsidP="00464C37">
                  <w:pPr>
                    <w:pStyle w:val="Figure"/>
                    <w:spacing w:before="60" w:after="60"/>
                    <w:rPr>
                      <w:noProof/>
                    </w:rPr>
                  </w:pPr>
                  <w:r>
                    <w:rPr>
                      <w:noProof/>
                    </w:rPr>
                    <w:drawing>
                      <wp:inline distT="0" distB="0" distL="0" distR="0" wp14:anchorId="3163478D" wp14:editId="5EB86B7A">
                        <wp:extent cx="2536190" cy="2158365"/>
                        <wp:effectExtent l="0" t="0" r="0" b="0"/>
                        <wp:docPr id="101" name="Picture 101" descr="This is one of four charts in figure C.4. This figure shows that with high LNG prices and a 25 per cent domestic gas reservation policy, there are large modelled reductions in supply and demand relative to the baseline from 2019. There are also large modelled reductions in prices relative to the baseline from 2019 (about $4 per gigajoule in most capital cities). With central LNG prices a 25 per cent domestic gas reservation policy does not have much effect on supply, demand or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r>
            <w:tr w:rsidR="00A71ACC" w14:paraId="0BB499F1" w14:textId="77777777" w:rsidTr="00AC45A5">
              <w:trPr>
                <w:jc w:val="center"/>
              </w:trPr>
              <w:tc>
                <w:tcPr>
                  <w:tcW w:w="4252" w:type="dxa"/>
                  <w:tcBorders>
                    <w:top w:val="nil"/>
                    <w:bottom w:val="nil"/>
                  </w:tcBorders>
                </w:tcPr>
                <w:p w14:paraId="4CF45EA6" w14:textId="567D3940" w:rsidR="00A71ACC" w:rsidRDefault="006162B3" w:rsidP="00464C37">
                  <w:pPr>
                    <w:pStyle w:val="Figure"/>
                    <w:spacing w:before="60" w:after="60"/>
                    <w:rPr>
                      <w:noProof/>
                    </w:rPr>
                  </w:pPr>
                  <w:r>
                    <w:rPr>
                      <w:noProof/>
                    </w:rPr>
                    <w:drawing>
                      <wp:inline distT="0" distB="0" distL="0" distR="0" wp14:anchorId="58BC8DD3" wp14:editId="7205135D">
                        <wp:extent cx="2524125" cy="2773680"/>
                        <wp:effectExtent l="0" t="0" r="9525" b="7620"/>
                        <wp:docPr id="99" name="Picture 99" descr="This is one of four charts in figure C.4. This figure shows that with high LNG prices and a 25 per cent domestic gas reservation policy, there are large modelled reductions in supply and demand relative to the baseline from 2019. There are also large modelled reductions in prices relative to the baseline from 2019 (about $4 per gigajoule in most capital cities). With central LNG prices a 25 per cent domestic gas reservation policy does not have much effect on supply, demand or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24125" cy="2773680"/>
                                </a:xfrm>
                                <a:prstGeom prst="rect">
                                  <a:avLst/>
                                </a:prstGeom>
                                <a:noFill/>
                              </pic:spPr>
                            </pic:pic>
                          </a:graphicData>
                        </a:graphic>
                      </wp:inline>
                    </w:drawing>
                  </w:r>
                </w:p>
              </w:tc>
              <w:tc>
                <w:tcPr>
                  <w:tcW w:w="4252" w:type="dxa"/>
                  <w:tcBorders>
                    <w:top w:val="nil"/>
                    <w:bottom w:val="nil"/>
                  </w:tcBorders>
                </w:tcPr>
                <w:p w14:paraId="55DFF486" w14:textId="2A4447F1" w:rsidR="00A71ACC" w:rsidRDefault="006162B3" w:rsidP="00464C37">
                  <w:pPr>
                    <w:pStyle w:val="Figure"/>
                    <w:spacing w:before="60" w:after="60"/>
                    <w:rPr>
                      <w:noProof/>
                    </w:rPr>
                  </w:pPr>
                  <w:r>
                    <w:rPr>
                      <w:noProof/>
                    </w:rPr>
                    <w:drawing>
                      <wp:inline distT="0" distB="0" distL="0" distR="0" wp14:anchorId="7F2D30B0" wp14:editId="640013D1">
                        <wp:extent cx="2524125" cy="2773680"/>
                        <wp:effectExtent l="0" t="0" r="9525" b="7620"/>
                        <wp:docPr id="98" name="Picture 98" descr="This is one of four charts in figure C.4. This figure shows that with high LNG prices and a 25 per cent domestic gas reservation policy, there are large modelled reductions in supply and demand relative to the baseline from 2019. There are also large modelled reductions in prices relative to the baseline from 2019 (about $4 per gigajoule in most capital cities). With central LNG prices a 25 per cent domestic gas reservation policy does not have much effect on supply, demand or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4125" cy="2773680"/>
                                </a:xfrm>
                                <a:prstGeom prst="rect">
                                  <a:avLst/>
                                </a:prstGeom>
                                <a:noFill/>
                              </pic:spPr>
                            </pic:pic>
                          </a:graphicData>
                        </a:graphic>
                      </wp:inline>
                    </w:drawing>
                  </w:r>
                </w:p>
              </w:tc>
            </w:tr>
          </w:tbl>
          <w:p w14:paraId="3AC3BA40" w14:textId="77777777" w:rsidR="007A5FCF" w:rsidRDefault="007A5FCF" w:rsidP="00464C37">
            <w:pPr>
              <w:pStyle w:val="Figure"/>
            </w:pPr>
          </w:p>
        </w:tc>
      </w:tr>
      <w:tr w:rsidR="007A5FCF" w:rsidRPr="00176D3F" w14:paraId="4B57EF3D" w14:textId="77777777" w:rsidTr="00464C37">
        <w:tc>
          <w:tcPr>
            <w:tcW w:w="8771" w:type="dxa"/>
            <w:tcBorders>
              <w:top w:val="nil"/>
              <w:left w:val="nil"/>
              <w:bottom w:val="nil"/>
              <w:right w:val="nil"/>
            </w:tcBorders>
            <w:shd w:val="clear" w:color="auto" w:fill="auto"/>
          </w:tcPr>
          <w:p w14:paraId="7814A702" w14:textId="37E3A383" w:rsidR="007A5FCF" w:rsidRPr="00176D3F" w:rsidRDefault="008E4AB1" w:rsidP="00464C37">
            <w:pPr>
              <w:pStyle w:val="Source"/>
            </w:pPr>
            <w:r>
              <w:rPr>
                <w:i/>
              </w:rPr>
              <w:t>Source</w:t>
            </w:r>
            <w:r w:rsidRPr="00624D3F">
              <w:t>:</w:t>
            </w:r>
            <w:r>
              <w:rPr>
                <w:i/>
              </w:rPr>
              <w:t xml:space="preserve"> </w:t>
            </w:r>
            <w:r>
              <w:t>Commission estimates</w:t>
            </w:r>
            <w:r w:rsidR="00232238">
              <w:t>.</w:t>
            </w:r>
          </w:p>
        </w:tc>
      </w:tr>
      <w:tr w:rsidR="007A5FCF" w14:paraId="189DD14C" w14:textId="77777777" w:rsidTr="00464C37">
        <w:tc>
          <w:tcPr>
            <w:tcW w:w="8771" w:type="dxa"/>
            <w:tcBorders>
              <w:top w:val="nil"/>
              <w:left w:val="nil"/>
              <w:bottom w:val="single" w:sz="6" w:space="0" w:color="78A22F"/>
              <w:right w:val="nil"/>
            </w:tcBorders>
            <w:shd w:val="clear" w:color="auto" w:fill="auto"/>
          </w:tcPr>
          <w:p w14:paraId="0781C637" w14:textId="77777777" w:rsidR="007A5FCF" w:rsidRDefault="007A5FCF" w:rsidP="00464C37">
            <w:pPr>
              <w:pStyle w:val="Figurespace"/>
            </w:pPr>
          </w:p>
        </w:tc>
      </w:tr>
      <w:tr w:rsidR="007A5FCF" w:rsidRPr="000863A5" w14:paraId="4F113367" w14:textId="77777777" w:rsidTr="00464C37">
        <w:tc>
          <w:tcPr>
            <w:tcW w:w="8771" w:type="dxa"/>
            <w:tcBorders>
              <w:top w:val="single" w:sz="6" w:space="0" w:color="78A22F"/>
              <w:left w:val="nil"/>
              <w:bottom w:val="nil"/>
              <w:right w:val="nil"/>
            </w:tcBorders>
          </w:tcPr>
          <w:p w14:paraId="7973159D" w14:textId="0DE4243C" w:rsidR="007A5FCF" w:rsidRPr="00626D32" w:rsidRDefault="007A5FCF" w:rsidP="00464C37">
            <w:pPr>
              <w:pStyle w:val="BoxSpaceBelow"/>
            </w:pPr>
          </w:p>
        </w:tc>
      </w:tr>
    </w:tbl>
    <w:p w14:paraId="61EDCA90" w14:textId="62C7182B" w:rsidR="007A5FCF" w:rsidRDefault="00C05D50" w:rsidP="007A5FCF">
      <w:pPr>
        <w:pStyle w:val="BodyText"/>
      </w:pPr>
      <w:r>
        <w:t>The greatest costs of domestic gas reservation are imposed under high LNG prices, with a</w:t>
      </w:r>
      <w:r w:rsidR="00BD1BFF">
        <w:t>n estimated</w:t>
      </w:r>
      <w:r>
        <w:t xml:space="preserve"> net present value decline in </w:t>
      </w:r>
      <w:r w:rsidR="00BD1BFF">
        <w:t xml:space="preserve">economic </w:t>
      </w:r>
      <w:r>
        <w:t xml:space="preserve">welfare for gas market participants of about $24 billion. Domestic gas reservation delivers greater benefits for consumers under high LNG prices, but also increases the opportunity costs for producers and losses in </w:t>
      </w:r>
      <w:r>
        <w:lastRenderedPageBreak/>
        <w:t>royalty income.</w:t>
      </w:r>
      <w:r w:rsidR="00236D35">
        <w:rPr>
          <w:rStyle w:val="FootnoteReference"/>
        </w:rPr>
        <w:footnoteReference w:id="3"/>
      </w:r>
      <w:r w:rsidRPr="005E7AC0">
        <w:t xml:space="preserve"> </w:t>
      </w:r>
      <w:r>
        <w:t xml:space="preserve">The policy </w:t>
      </w:r>
      <w:r w:rsidR="003E1CB4">
        <w:t xml:space="preserve">is </w:t>
      </w:r>
      <w:r>
        <w:t>also</w:t>
      </w:r>
      <w:r w:rsidR="003E1CB4">
        <w:t xml:space="preserve"> estimated to</w:t>
      </w:r>
      <w:r>
        <w:t xml:space="preserve"> reduce</w:t>
      </w:r>
      <w:r w:rsidRPr="0014613C">
        <w:t xml:space="preserve"> investment in new LNG production, which </w:t>
      </w:r>
      <w:r>
        <w:t xml:space="preserve">further </w:t>
      </w:r>
      <w:r w:rsidRPr="0014613C">
        <w:t>lower</w:t>
      </w:r>
      <w:r>
        <w:t>s</w:t>
      </w:r>
      <w:r w:rsidRPr="0014613C">
        <w:t xml:space="preserve"> economic output and royalty revenue</w:t>
      </w:r>
      <w:r w:rsidR="002033E3">
        <w:t xml:space="preserve"> (table C.3)</w:t>
      </w:r>
      <w:r>
        <w:t>.</w:t>
      </w:r>
    </w:p>
    <w:p w14:paraId="4965B398" w14:textId="5D3D9CBD" w:rsidR="002033E3" w:rsidRPr="00C05D50" w:rsidRDefault="002033E3" w:rsidP="002033E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ED617C" w14:paraId="58C3B2D9" w14:textId="77777777" w:rsidTr="00FE1280">
        <w:tc>
          <w:tcPr>
            <w:tcW w:w="8771" w:type="dxa"/>
            <w:tcBorders>
              <w:top w:val="single" w:sz="6" w:space="0" w:color="78A22F"/>
              <w:left w:val="nil"/>
              <w:bottom w:val="nil"/>
              <w:right w:val="nil"/>
            </w:tcBorders>
            <w:shd w:val="clear" w:color="auto" w:fill="auto"/>
          </w:tcPr>
          <w:p w14:paraId="32D4336A" w14:textId="08F9FF37" w:rsidR="00ED617C" w:rsidRDefault="00ED617C" w:rsidP="00FE1280">
            <w:pPr>
              <w:pStyle w:val="TableTitle"/>
            </w:pPr>
            <w:r>
              <w:rPr>
                <w:b w:val="0"/>
              </w:rPr>
              <w:t xml:space="preserve">Table </w:t>
            </w:r>
            <w:bookmarkStart w:id="10" w:name="OLE_LINK13"/>
            <w:r>
              <w:rPr>
                <w:b w:val="0"/>
              </w:rPr>
              <w:fldChar w:fldCharType="begin"/>
            </w:r>
            <w:r>
              <w:rPr>
                <w:b w:val="0"/>
              </w:rPr>
              <w:instrText xml:space="preserve"> COMMENTS  \* MERGEFORMAT </w:instrText>
            </w:r>
            <w:r>
              <w:rPr>
                <w:b w:val="0"/>
              </w:rPr>
              <w:fldChar w:fldCharType="separate"/>
            </w:r>
            <w:r>
              <w:rPr>
                <w:b w:val="0"/>
              </w:rPr>
              <w:t>C.</w:t>
            </w:r>
            <w:r>
              <w:rPr>
                <w:b w:val="0"/>
              </w:rPr>
              <w:fldChar w:fldCharType="end"/>
            </w:r>
            <w:r>
              <w:rPr>
                <w:b w:val="0"/>
              </w:rPr>
              <w:fldChar w:fldCharType="begin"/>
            </w:r>
            <w:r>
              <w:rPr>
                <w:b w:val="0"/>
              </w:rPr>
              <w:instrText xml:space="preserve"> SEQ Table \* ARABIC </w:instrText>
            </w:r>
            <w:r>
              <w:rPr>
                <w:b w:val="0"/>
              </w:rPr>
              <w:fldChar w:fldCharType="separate"/>
            </w:r>
            <w:r w:rsidR="00872E65">
              <w:rPr>
                <w:b w:val="0"/>
                <w:noProof/>
              </w:rPr>
              <w:t>3</w:t>
            </w:r>
            <w:r>
              <w:rPr>
                <w:b w:val="0"/>
              </w:rPr>
              <w:fldChar w:fldCharType="end"/>
            </w:r>
            <w:bookmarkEnd w:id="10"/>
            <w:r>
              <w:tab/>
            </w:r>
            <w:r w:rsidR="00551DB2">
              <w:t>E</w:t>
            </w:r>
            <w:r w:rsidR="00163C8E">
              <w:t>stimated e</w:t>
            </w:r>
            <w:r w:rsidR="00551DB2">
              <w:t xml:space="preserve">conomic welfare </w:t>
            </w:r>
            <w:r>
              <w:t xml:space="preserve">effects </w:t>
            </w:r>
            <w:r w:rsidR="00A71E5F">
              <w:t xml:space="preserve">of </w:t>
            </w:r>
            <w:r>
              <w:t>a 25 per cent domestic gas reservation policy</w:t>
            </w:r>
          </w:p>
          <w:p w14:paraId="11C54A65" w14:textId="3375E7B3" w:rsidR="00ED617C" w:rsidRPr="00784A05" w:rsidRDefault="00A71E5F" w:rsidP="00A71E5F">
            <w:pPr>
              <w:pStyle w:val="Subtitle"/>
            </w:pPr>
            <w:r>
              <w:t>Net present value 2013 to 2032, r</w:t>
            </w:r>
            <w:r w:rsidR="00ED617C">
              <w:t xml:space="preserve">elative </w:t>
            </w:r>
            <w:r w:rsidR="00A40158">
              <w:t xml:space="preserve">to baseline with </w:t>
            </w:r>
            <w:r w:rsidR="00ED617C">
              <w:t>no domestic gas reservation policy</w:t>
            </w:r>
            <w:r w:rsidR="00D372A1">
              <w:t xml:space="preserve"> ($ million)</w:t>
            </w:r>
          </w:p>
        </w:tc>
      </w:tr>
      <w:tr w:rsidR="00ED617C" w14:paraId="4639F8D2" w14:textId="77777777" w:rsidTr="00A0596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379"/>
              <w:gridCol w:w="866"/>
              <w:gridCol w:w="2122"/>
              <w:gridCol w:w="2120"/>
            </w:tblGrid>
            <w:tr w:rsidR="00ED617C" w14:paraId="49AA7A75" w14:textId="77777777" w:rsidTr="00624D3F">
              <w:tc>
                <w:tcPr>
                  <w:tcW w:w="1991" w:type="pct"/>
                  <w:tcBorders>
                    <w:top w:val="single" w:sz="6" w:space="0" w:color="BFBFBF"/>
                    <w:bottom w:val="single" w:sz="6" w:space="0" w:color="BFBFBF"/>
                  </w:tcBorders>
                  <w:shd w:val="clear" w:color="auto" w:fill="auto"/>
                  <w:tcMar>
                    <w:top w:w="28" w:type="dxa"/>
                  </w:tcMar>
                </w:tcPr>
                <w:p w14:paraId="66B10479" w14:textId="77777777" w:rsidR="00ED617C" w:rsidRDefault="00ED617C" w:rsidP="00FE1280">
                  <w:pPr>
                    <w:pStyle w:val="TableColumnHeading"/>
                    <w:jc w:val="left"/>
                  </w:pPr>
                </w:p>
              </w:tc>
              <w:tc>
                <w:tcPr>
                  <w:tcW w:w="510" w:type="pct"/>
                  <w:tcBorders>
                    <w:top w:val="single" w:sz="6" w:space="0" w:color="BFBFBF"/>
                    <w:bottom w:val="single" w:sz="6" w:space="0" w:color="BFBFBF"/>
                  </w:tcBorders>
                </w:tcPr>
                <w:p w14:paraId="30058766" w14:textId="71080878" w:rsidR="00ED617C" w:rsidRDefault="00ED617C" w:rsidP="00FE1280">
                  <w:pPr>
                    <w:pStyle w:val="TableColumnHeading"/>
                  </w:pPr>
                </w:p>
              </w:tc>
              <w:tc>
                <w:tcPr>
                  <w:tcW w:w="1250" w:type="pct"/>
                  <w:tcBorders>
                    <w:top w:val="single" w:sz="6" w:space="0" w:color="BFBFBF"/>
                    <w:bottom w:val="single" w:sz="6" w:space="0" w:color="BFBFBF"/>
                  </w:tcBorders>
                  <w:shd w:val="clear" w:color="auto" w:fill="auto"/>
                  <w:tcMar>
                    <w:top w:w="28" w:type="dxa"/>
                  </w:tcMar>
                </w:tcPr>
                <w:p w14:paraId="5F282E0B" w14:textId="77777777" w:rsidR="00ED617C" w:rsidRDefault="00ED617C" w:rsidP="00FE1280">
                  <w:pPr>
                    <w:pStyle w:val="TableColumnHeading"/>
                  </w:pPr>
                  <w:r>
                    <w:t>Central LNG prices</w:t>
                  </w:r>
                </w:p>
              </w:tc>
              <w:tc>
                <w:tcPr>
                  <w:tcW w:w="1249" w:type="pct"/>
                  <w:tcBorders>
                    <w:top w:val="single" w:sz="6" w:space="0" w:color="BFBFBF"/>
                    <w:bottom w:val="single" w:sz="6" w:space="0" w:color="BFBFBF"/>
                  </w:tcBorders>
                  <w:shd w:val="clear" w:color="auto" w:fill="auto"/>
                  <w:tcMar>
                    <w:top w:w="28" w:type="dxa"/>
                  </w:tcMar>
                </w:tcPr>
                <w:p w14:paraId="237B3B9B" w14:textId="77777777" w:rsidR="00ED617C" w:rsidRDefault="00ED617C" w:rsidP="00FE1280">
                  <w:pPr>
                    <w:pStyle w:val="TableColumnHeading"/>
                    <w:ind w:right="28"/>
                  </w:pPr>
                  <w:r>
                    <w:t>High LNG prices</w:t>
                  </w:r>
                </w:p>
              </w:tc>
            </w:tr>
            <w:tr w:rsidR="00ED617C" w14:paraId="4404F60A" w14:textId="77777777" w:rsidTr="00624D3F">
              <w:tc>
                <w:tcPr>
                  <w:tcW w:w="1991" w:type="pct"/>
                </w:tcPr>
                <w:p w14:paraId="2C28A97B" w14:textId="4FAEBB13" w:rsidR="00ED617C" w:rsidRDefault="00ED617C" w:rsidP="00FE1280">
                  <w:pPr>
                    <w:pStyle w:val="TableBodyText"/>
                    <w:spacing w:before="80"/>
                    <w:jc w:val="left"/>
                  </w:pPr>
                  <w:r>
                    <w:t>Consumer surplus</w:t>
                  </w:r>
                  <w:r w:rsidR="00701A93">
                    <w:rPr>
                      <w:rStyle w:val="NoteLabel"/>
                    </w:rPr>
                    <w:t>a</w:t>
                  </w:r>
                </w:p>
              </w:tc>
              <w:tc>
                <w:tcPr>
                  <w:tcW w:w="510" w:type="pct"/>
                </w:tcPr>
                <w:p w14:paraId="2EFA9865" w14:textId="5C39E884" w:rsidR="00ED617C" w:rsidRDefault="00ED617C" w:rsidP="00FE1280">
                  <w:pPr>
                    <w:pStyle w:val="TableBodyText"/>
                    <w:spacing w:before="80"/>
                  </w:pPr>
                </w:p>
              </w:tc>
              <w:tc>
                <w:tcPr>
                  <w:tcW w:w="1250" w:type="pct"/>
                </w:tcPr>
                <w:p w14:paraId="5EB523D2" w14:textId="03F35E4B" w:rsidR="00ED617C" w:rsidRDefault="00ED617C" w:rsidP="00FE1280">
                  <w:pPr>
                    <w:pStyle w:val="TableBodyText"/>
                    <w:spacing w:before="80"/>
                  </w:pPr>
                  <w:r>
                    <w:t>1 </w:t>
                  </w:r>
                  <w:r w:rsidRPr="0074178B">
                    <w:t>422</w:t>
                  </w:r>
                </w:p>
              </w:tc>
              <w:tc>
                <w:tcPr>
                  <w:tcW w:w="1249" w:type="pct"/>
                </w:tcPr>
                <w:p w14:paraId="662C13EA" w14:textId="429BBB5E" w:rsidR="00ED617C" w:rsidRDefault="00ED617C" w:rsidP="00FE1280">
                  <w:pPr>
                    <w:pStyle w:val="TableBodyText"/>
                    <w:spacing w:before="80"/>
                    <w:ind w:right="28"/>
                  </w:pPr>
                  <w:r>
                    <w:t>6 </w:t>
                  </w:r>
                  <w:r w:rsidRPr="00370C3B">
                    <w:t>939</w:t>
                  </w:r>
                </w:p>
              </w:tc>
            </w:tr>
            <w:tr w:rsidR="00ED617C" w14:paraId="335BD2B6" w14:textId="77777777" w:rsidTr="00624D3F">
              <w:tc>
                <w:tcPr>
                  <w:tcW w:w="1991" w:type="pct"/>
                </w:tcPr>
                <w:p w14:paraId="0D5FA50B" w14:textId="77777777" w:rsidR="00ED617C" w:rsidRDefault="00ED617C" w:rsidP="00FE1280">
                  <w:pPr>
                    <w:pStyle w:val="TableBodyText"/>
                    <w:jc w:val="left"/>
                  </w:pPr>
                  <w:r>
                    <w:t>Royalties</w:t>
                  </w:r>
                </w:p>
              </w:tc>
              <w:tc>
                <w:tcPr>
                  <w:tcW w:w="510" w:type="pct"/>
                </w:tcPr>
                <w:p w14:paraId="294B4E72" w14:textId="3499F2A2" w:rsidR="00ED617C" w:rsidRDefault="00ED617C" w:rsidP="00FE1280">
                  <w:pPr>
                    <w:pStyle w:val="TableBodyText"/>
                  </w:pPr>
                </w:p>
              </w:tc>
              <w:tc>
                <w:tcPr>
                  <w:tcW w:w="1250" w:type="pct"/>
                </w:tcPr>
                <w:p w14:paraId="490D2EC6" w14:textId="69F6E40B" w:rsidR="00ED617C" w:rsidRDefault="00ED617C" w:rsidP="00FE1280">
                  <w:pPr>
                    <w:pStyle w:val="TableBodyText"/>
                  </w:pPr>
                  <w:r w:rsidRPr="0074178B">
                    <w:t>-915</w:t>
                  </w:r>
                </w:p>
              </w:tc>
              <w:tc>
                <w:tcPr>
                  <w:tcW w:w="1249" w:type="pct"/>
                </w:tcPr>
                <w:p w14:paraId="19C84716" w14:textId="6A9C558D" w:rsidR="00ED617C" w:rsidRDefault="00ED617C" w:rsidP="00FE1280">
                  <w:pPr>
                    <w:pStyle w:val="TableBodyText"/>
                    <w:ind w:right="28"/>
                  </w:pPr>
                  <w:r>
                    <w:t>-7 </w:t>
                  </w:r>
                  <w:r w:rsidRPr="00370C3B">
                    <w:t>806</w:t>
                  </w:r>
                </w:p>
              </w:tc>
            </w:tr>
            <w:tr w:rsidR="00ED617C" w14:paraId="038745E3" w14:textId="77777777" w:rsidTr="00624D3F">
              <w:tc>
                <w:tcPr>
                  <w:tcW w:w="1991" w:type="pct"/>
                </w:tcPr>
                <w:p w14:paraId="64AF610A" w14:textId="3BCA5331" w:rsidR="00ED617C" w:rsidRDefault="00ED617C" w:rsidP="007568EE">
                  <w:pPr>
                    <w:pStyle w:val="TableBodyText"/>
                    <w:jc w:val="left"/>
                  </w:pPr>
                  <w:r>
                    <w:t xml:space="preserve">Terminal value of </w:t>
                  </w:r>
                  <w:r w:rsidR="007568EE">
                    <w:t>reserves and assets</w:t>
                  </w:r>
                  <w:r w:rsidR="00701A93">
                    <w:rPr>
                      <w:rStyle w:val="NoteLabel"/>
                    </w:rPr>
                    <w:t>b</w:t>
                  </w:r>
                </w:p>
              </w:tc>
              <w:tc>
                <w:tcPr>
                  <w:tcW w:w="510" w:type="pct"/>
                </w:tcPr>
                <w:p w14:paraId="372A9D11" w14:textId="10FE1329" w:rsidR="00ED617C" w:rsidRDefault="00ED617C" w:rsidP="00FE1280">
                  <w:pPr>
                    <w:pStyle w:val="TableBodyText"/>
                    <w:spacing w:before="60"/>
                  </w:pPr>
                </w:p>
              </w:tc>
              <w:tc>
                <w:tcPr>
                  <w:tcW w:w="1250" w:type="pct"/>
                </w:tcPr>
                <w:p w14:paraId="78D8663F" w14:textId="3F9763F2" w:rsidR="00ED617C" w:rsidRDefault="00ED617C" w:rsidP="00FE1280">
                  <w:pPr>
                    <w:pStyle w:val="TableBodyText"/>
                    <w:spacing w:before="60"/>
                  </w:pPr>
                  <w:r w:rsidRPr="0074178B">
                    <w:t>-819</w:t>
                  </w:r>
                </w:p>
              </w:tc>
              <w:tc>
                <w:tcPr>
                  <w:tcW w:w="1249" w:type="pct"/>
                </w:tcPr>
                <w:p w14:paraId="20D76D42" w14:textId="79669F8D" w:rsidR="00ED617C" w:rsidRDefault="00ED617C" w:rsidP="00FE1280">
                  <w:pPr>
                    <w:pStyle w:val="TableBodyText"/>
                    <w:spacing w:before="60"/>
                    <w:ind w:right="28"/>
                  </w:pPr>
                  <w:r>
                    <w:t>-14 </w:t>
                  </w:r>
                  <w:r w:rsidRPr="00370C3B">
                    <w:t>184</w:t>
                  </w:r>
                </w:p>
              </w:tc>
            </w:tr>
            <w:tr w:rsidR="00ED617C" w14:paraId="1C762988" w14:textId="77777777" w:rsidTr="00624D3F">
              <w:tc>
                <w:tcPr>
                  <w:tcW w:w="1991" w:type="pct"/>
                </w:tcPr>
                <w:p w14:paraId="7790BED2" w14:textId="08694EB6" w:rsidR="00ED617C" w:rsidRDefault="00ED617C" w:rsidP="00FE1280">
                  <w:pPr>
                    <w:pStyle w:val="TableBodyText"/>
                    <w:jc w:val="left"/>
                  </w:pPr>
                  <w:r>
                    <w:t>Producer surplus</w:t>
                  </w:r>
                  <w:r w:rsidR="00DE2804">
                    <w:rPr>
                      <w:rStyle w:val="NoteLabel"/>
                    </w:rPr>
                    <w:t>c</w:t>
                  </w:r>
                </w:p>
              </w:tc>
              <w:tc>
                <w:tcPr>
                  <w:tcW w:w="510" w:type="pct"/>
                </w:tcPr>
                <w:p w14:paraId="06F588AF" w14:textId="7E31CB5B" w:rsidR="00ED617C" w:rsidRPr="00ED617C" w:rsidRDefault="00ED617C" w:rsidP="00FE1280">
                  <w:pPr>
                    <w:pStyle w:val="TableBodyText"/>
                    <w:spacing w:before="60"/>
                    <w:rPr>
                      <w:rStyle w:val="NoteLabel"/>
                      <w:b w:val="0"/>
                    </w:rPr>
                  </w:pPr>
                </w:p>
              </w:tc>
              <w:tc>
                <w:tcPr>
                  <w:tcW w:w="1250" w:type="pct"/>
                </w:tcPr>
                <w:p w14:paraId="148967EF" w14:textId="61A10118" w:rsidR="00ED617C" w:rsidRPr="00ED617C" w:rsidRDefault="00ED617C" w:rsidP="00FE1280">
                  <w:pPr>
                    <w:pStyle w:val="TableBodyText"/>
                    <w:spacing w:before="60"/>
                    <w:rPr>
                      <w:rStyle w:val="NoteLabel"/>
                      <w:b w:val="0"/>
                    </w:rPr>
                  </w:pPr>
                </w:p>
              </w:tc>
              <w:tc>
                <w:tcPr>
                  <w:tcW w:w="1249" w:type="pct"/>
                </w:tcPr>
                <w:p w14:paraId="766504CD" w14:textId="0B4E9B1B" w:rsidR="00ED617C" w:rsidRPr="00ED617C" w:rsidRDefault="00ED617C" w:rsidP="00FE1280">
                  <w:pPr>
                    <w:pStyle w:val="TableBodyText"/>
                    <w:spacing w:before="60"/>
                    <w:ind w:right="28"/>
                    <w:rPr>
                      <w:rStyle w:val="NoteLabel"/>
                      <w:b w:val="0"/>
                    </w:rPr>
                  </w:pPr>
                </w:p>
              </w:tc>
            </w:tr>
            <w:tr w:rsidR="00ED617C" w14:paraId="70023A76" w14:textId="77777777" w:rsidTr="00624D3F">
              <w:tc>
                <w:tcPr>
                  <w:tcW w:w="1991" w:type="pct"/>
                </w:tcPr>
                <w:p w14:paraId="7C240006" w14:textId="77777777" w:rsidR="00ED617C" w:rsidRDefault="00ED617C" w:rsidP="00FE1280">
                  <w:pPr>
                    <w:pStyle w:val="TableBodyText"/>
                    <w:jc w:val="left"/>
                  </w:pPr>
                  <w:r>
                    <w:t xml:space="preserve">   Export revenue</w:t>
                  </w:r>
                </w:p>
              </w:tc>
              <w:tc>
                <w:tcPr>
                  <w:tcW w:w="510" w:type="pct"/>
                </w:tcPr>
                <w:p w14:paraId="0C21DA2C" w14:textId="57535C7E" w:rsidR="00ED617C" w:rsidRDefault="00ED617C" w:rsidP="00FE1280">
                  <w:pPr>
                    <w:pStyle w:val="TableBodyText"/>
                  </w:pPr>
                </w:p>
              </w:tc>
              <w:tc>
                <w:tcPr>
                  <w:tcW w:w="1250" w:type="pct"/>
                </w:tcPr>
                <w:p w14:paraId="09BB845B" w14:textId="5B4AE4F9" w:rsidR="00ED617C" w:rsidRDefault="00B20991" w:rsidP="00FE1280">
                  <w:pPr>
                    <w:pStyle w:val="TableBodyText"/>
                  </w:pPr>
                  <w:r>
                    <w:t>–</w:t>
                  </w:r>
                </w:p>
              </w:tc>
              <w:tc>
                <w:tcPr>
                  <w:tcW w:w="1249" w:type="pct"/>
                </w:tcPr>
                <w:p w14:paraId="79D15DA3" w14:textId="7912B880" w:rsidR="00ED617C" w:rsidRDefault="00ED617C" w:rsidP="00FE1280">
                  <w:pPr>
                    <w:pStyle w:val="TableBodyText"/>
                    <w:ind w:right="28"/>
                  </w:pPr>
                  <w:r>
                    <w:t>-35 </w:t>
                  </w:r>
                  <w:r w:rsidRPr="00370C3B">
                    <w:t>164</w:t>
                  </w:r>
                </w:p>
              </w:tc>
            </w:tr>
            <w:tr w:rsidR="00ED617C" w14:paraId="26982E96" w14:textId="77777777" w:rsidTr="00624D3F">
              <w:tc>
                <w:tcPr>
                  <w:tcW w:w="1991" w:type="pct"/>
                  <w:shd w:val="clear" w:color="auto" w:fill="auto"/>
                </w:tcPr>
                <w:p w14:paraId="2089B1A3" w14:textId="77777777" w:rsidR="00ED617C" w:rsidRDefault="00ED617C" w:rsidP="00FE1280">
                  <w:pPr>
                    <w:pStyle w:val="TableBodyText"/>
                    <w:jc w:val="left"/>
                  </w:pPr>
                  <w:r>
                    <w:t xml:space="preserve">   Domestic revenue</w:t>
                  </w:r>
                </w:p>
              </w:tc>
              <w:tc>
                <w:tcPr>
                  <w:tcW w:w="510" w:type="pct"/>
                </w:tcPr>
                <w:p w14:paraId="5D707BED" w14:textId="34101FF9" w:rsidR="00ED617C" w:rsidRDefault="00ED617C" w:rsidP="00FE1280">
                  <w:pPr>
                    <w:pStyle w:val="TableBodyText"/>
                  </w:pPr>
                </w:p>
              </w:tc>
              <w:tc>
                <w:tcPr>
                  <w:tcW w:w="1250" w:type="pct"/>
                  <w:shd w:val="clear" w:color="auto" w:fill="auto"/>
                </w:tcPr>
                <w:p w14:paraId="3F4F1867" w14:textId="341A6A60" w:rsidR="00ED617C" w:rsidRDefault="00ED617C" w:rsidP="00FE1280">
                  <w:pPr>
                    <w:pStyle w:val="TableBodyText"/>
                  </w:pPr>
                  <w:r w:rsidRPr="0074178B">
                    <w:t>-381</w:t>
                  </w:r>
                </w:p>
              </w:tc>
              <w:tc>
                <w:tcPr>
                  <w:tcW w:w="1249" w:type="pct"/>
                  <w:shd w:val="clear" w:color="auto" w:fill="auto"/>
                </w:tcPr>
                <w:p w14:paraId="5867F112" w14:textId="501BDE84" w:rsidR="00ED617C" w:rsidRDefault="00ED617C" w:rsidP="00FE1280">
                  <w:pPr>
                    <w:pStyle w:val="TableBodyText"/>
                    <w:ind w:right="28"/>
                  </w:pPr>
                  <w:r>
                    <w:t>-2 </w:t>
                  </w:r>
                  <w:r w:rsidRPr="00370C3B">
                    <w:t>073</w:t>
                  </w:r>
                </w:p>
              </w:tc>
            </w:tr>
            <w:tr w:rsidR="00ED617C" w14:paraId="34C8A654" w14:textId="77777777" w:rsidTr="00624D3F">
              <w:tc>
                <w:tcPr>
                  <w:tcW w:w="1991" w:type="pct"/>
                  <w:shd w:val="clear" w:color="auto" w:fill="auto"/>
                </w:tcPr>
                <w:p w14:paraId="373FEB50" w14:textId="77777777" w:rsidR="00ED617C" w:rsidRDefault="00ED617C" w:rsidP="00FE1280">
                  <w:pPr>
                    <w:pStyle w:val="TableBodyText"/>
                    <w:jc w:val="left"/>
                  </w:pPr>
                  <w:r>
                    <w:t xml:space="preserve">   </w:t>
                  </w:r>
                  <w:r w:rsidRPr="00D915B5">
                    <w:rPr>
                      <w:i/>
                    </w:rPr>
                    <w:t>less</w:t>
                  </w:r>
                  <w:r>
                    <w:t xml:space="preserve"> Investment costs</w:t>
                  </w:r>
                </w:p>
              </w:tc>
              <w:tc>
                <w:tcPr>
                  <w:tcW w:w="510" w:type="pct"/>
                </w:tcPr>
                <w:p w14:paraId="2A332618" w14:textId="69A750E5" w:rsidR="00ED617C" w:rsidRDefault="00ED617C" w:rsidP="00FE1280">
                  <w:pPr>
                    <w:pStyle w:val="TableBodyText"/>
                  </w:pPr>
                </w:p>
              </w:tc>
              <w:tc>
                <w:tcPr>
                  <w:tcW w:w="1250" w:type="pct"/>
                  <w:shd w:val="clear" w:color="auto" w:fill="auto"/>
                </w:tcPr>
                <w:p w14:paraId="07492BE2" w14:textId="746FBABD" w:rsidR="00ED617C" w:rsidRDefault="00ED617C" w:rsidP="00FE1280">
                  <w:pPr>
                    <w:pStyle w:val="TableBodyText"/>
                  </w:pPr>
                  <w:r w:rsidRPr="0074178B">
                    <w:t>451</w:t>
                  </w:r>
                </w:p>
              </w:tc>
              <w:tc>
                <w:tcPr>
                  <w:tcW w:w="1249" w:type="pct"/>
                  <w:shd w:val="clear" w:color="auto" w:fill="auto"/>
                </w:tcPr>
                <w:p w14:paraId="1D252351" w14:textId="4748996A" w:rsidR="00ED617C" w:rsidRDefault="00ED617C" w:rsidP="00FE1280">
                  <w:pPr>
                    <w:pStyle w:val="TableBodyText"/>
                    <w:ind w:right="28"/>
                  </w:pPr>
                  <w:r>
                    <w:t>-14 </w:t>
                  </w:r>
                  <w:r w:rsidRPr="00370C3B">
                    <w:t>574</w:t>
                  </w:r>
                </w:p>
              </w:tc>
            </w:tr>
            <w:tr w:rsidR="00ED617C" w14:paraId="4F782B5C" w14:textId="77777777" w:rsidTr="00624D3F">
              <w:tc>
                <w:tcPr>
                  <w:tcW w:w="1991" w:type="pct"/>
                  <w:shd w:val="clear" w:color="auto" w:fill="auto"/>
                </w:tcPr>
                <w:p w14:paraId="10A1BE6F" w14:textId="77777777" w:rsidR="00ED617C" w:rsidRDefault="00ED617C" w:rsidP="00FE1280">
                  <w:pPr>
                    <w:pStyle w:val="TableBodyText"/>
                    <w:jc w:val="left"/>
                  </w:pPr>
                  <w:r>
                    <w:t xml:space="preserve">   </w:t>
                  </w:r>
                  <w:r w:rsidRPr="00D915B5">
                    <w:rPr>
                      <w:i/>
                    </w:rPr>
                    <w:t>less</w:t>
                  </w:r>
                  <w:r>
                    <w:t xml:space="preserve"> Operating costs</w:t>
                  </w:r>
                </w:p>
              </w:tc>
              <w:tc>
                <w:tcPr>
                  <w:tcW w:w="510" w:type="pct"/>
                </w:tcPr>
                <w:p w14:paraId="28135A9A" w14:textId="52D75F4B" w:rsidR="00ED617C" w:rsidRPr="00755301" w:rsidRDefault="00ED617C" w:rsidP="00FE1280">
                  <w:pPr>
                    <w:pStyle w:val="TableBodyText"/>
                  </w:pPr>
                </w:p>
              </w:tc>
              <w:tc>
                <w:tcPr>
                  <w:tcW w:w="1250" w:type="pct"/>
                  <w:shd w:val="clear" w:color="auto" w:fill="auto"/>
                </w:tcPr>
                <w:p w14:paraId="09879B38" w14:textId="0EA7564F" w:rsidR="00ED617C" w:rsidRPr="00755301" w:rsidRDefault="00ED617C" w:rsidP="00FE1280">
                  <w:pPr>
                    <w:pStyle w:val="TableBodyText"/>
                  </w:pPr>
                  <w:r>
                    <w:t>1 </w:t>
                  </w:r>
                  <w:r w:rsidRPr="0074178B">
                    <w:t>077</w:t>
                  </w:r>
                </w:p>
              </w:tc>
              <w:tc>
                <w:tcPr>
                  <w:tcW w:w="1249" w:type="pct"/>
                  <w:shd w:val="clear" w:color="auto" w:fill="auto"/>
                </w:tcPr>
                <w:p w14:paraId="325A5B95" w14:textId="68B6D77B" w:rsidR="00ED617C" w:rsidRPr="00B934AC" w:rsidRDefault="00ED617C" w:rsidP="00FE1280">
                  <w:pPr>
                    <w:pStyle w:val="TableBodyText"/>
                    <w:ind w:right="28"/>
                  </w:pPr>
                  <w:r>
                    <w:t>-13 </w:t>
                  </w:r>
                  <w:r w:rsidRPr="00370C3B">
                    <w:t>788</w:t>
                  </w:r>
                </w:p>
              </w:tc>
            </w:tr>
            <w:tr w:rsidR="002A2672" w14:paraId="367E6841" w14:textId="77777777" w:rsidTr="00624D3F">
              <w:tc>
                <w:tcPr>
                  <w:tcW w:w="1991" w:type="pct"/>
                  <w:shd w:val="clear" w:color="auto" w:fill="auto"/>
                </w:tcPr>
                <w:p w14:paraId="21AA7E62" w14:textId="6FFE7F3A" w:rsidR="002A2672" w:rsidRDefault="002A2672" w:rsidP="00FE1280">
                  <w:pPr>
                    <w:pStyle w:val="TableBodyText"/>
                    <w:jc w:val="left"/>
                  </w:pPr>
                  <w:r>
                    <w:t>Total producer surplus</w:t>
                  </w:r>
                </w:p>
              </w:tc>
              <w:tc>
                <w:tcPr>
                  <w:tcW w:w="510" w:type="pct"/>
                </w:tcPr>
                <w:p w14:paraId="24BF4075" w14:textId="77777777" w:rsidR="002A2672" w:rsidRPr="00755301" w:rsidRDefault="002A2672" w:rsidP="00FE1280">
                  <w:pPr>
                    <w:pStyle w:val="TableBodyText"/>
                  </w:pPr>
                </w:p>
              </w:tc>
              <w:tc>
                <w:tcPr>
                  <w:tcW w:w="1250" w:type="pct"/>
                  <w:shd w:val="clear" w:color="auto" w:fill="auto"/>
                </w:tcPr>
                <w:p w14:paraId="58188D96" w14:textId="6318D2CD" w:rsidR="002A2672" w:rsidRDefault="002A2672" w:rsidP="00FE1280">
                  <w:pPr>
                    <w:pStyle w:val="TableBodyText"/>
                  </w:pPr>
                  <w:r>
                    <w:t>-1 </w:t>
                  </w:r>
                  <w:r w:rsidRPr="0074178B">
                    <w:t>909</w:t>
                  </w:r>
                </w:p>
              </w:tc>
              <w:tc>
                <w:tcPr>
                  <w:tcW w:w="1249" w:type="pct"/>
                  <w:shd w:val="clear" w:color="auto" w:fill="auto"/>
                </w:tcPr>
                <w:p w14:paraId="40FC9F77" w14:textId="07415249" w:rsidR="002A2672" w:rsidRDefault="002A2672" w:rsidP="00FE1280">
                  <w:pPr>
                    <w:pStyle w:val="TableBodyText"/>
                    <w:ind w:right="28"/>
                  </w:pPr>
                  <w:r>
                    <w:t>-8 </w:t>
                  </w:r>
                  <w:r w:rsidRPr="00370C3B">
                    <w:t>875</w:t>
                  </w:r>
                </w:p>
              </w:tc>
            </w:tr>
            <w:tr w:rsidR="002A2672" w14:paraId="2F231B96" w14:textId="77777777" w:rsidTr="00624D3F">
              <w:tc>
                <w:tcPr>
                  <w:tcW w:w="1991" w:type="pct"/>
                  <w:tcBorders>
                    <w:bottom w:val="single" w:sz="6" w:space="0" w:color="BFBFBF"/>
                  </w:tcBorders>
                  <w:shd w:val="clear" w:color="auto" w:fill="auto"/>
                </w:tcPr>
                <w:p w14:paraId="50244628" w14:textId="33B3E9B6" w:rsidR="002A2672" w:rsidRPr="00ED617C" w:rsidRDefault="002A2672" w:rsidP="00FE1280">
                  <w:pPr>
                    <w:pStyle w:val="TableBodyText"/>
                    <w:spacing w:before="80"/>
                    <w:jc w:val="left"/>
                    <w:rPr>
                      <w:b/>
                    </w:rPr>
                  </w:pPr>
                  <w:r w:rsidRPr="00ED617C">
                    <w:rPr>
                      <w:b/>
                    </w:rPr>
                    <w:t xml:space="preserve">Total </w:t>
                  </w:r>
                  <w:r w:rsidR="00551DB2">
                    <w:rPr>
                      <w:b/>
                    </w:rPr>
                    <w:t xml:space="preserve">economic </w:t>
                  </w:r>
                  <w:r w:rsidRPr="00ED617C">
                    <w:rPr>
                      <w:b/>
                    </w:rPr>
                    <w:t>welfare</w:t>
                  </w:r>
                </w:p>
              </w:tc>
              <w:tc>
                <w:tcPr>
                  <w:tcW w:w="510" w:type="pct"/>
                  <w:tcBorders>
                    <w:bottom w:val="single" w:sz="6" w:space="0" w:color="BFBFBF"/>
                  </w:tcBorders>
                </w:tcPr>
                <w:p w14:paraId="1AA44F4A" w14:textId="2B6FB4FC" w:rsidR="002A2672" w:rsidRPr="00ED617C" w:rsidRDefault="002A2672" w:rsidP="00FE1280">
                  <w:pPr>
                    <w:pStyle w:val="TableBodyText"/>
                    <w:spacing w:before="80"/>
                    <w:rPr>
                      <w:b/>
                    </w:rPr>
                  </w:pPr>
                </w:p>
              </w:tc>
              <w:tc>
                <w:tcPr>
                  <w:tcW w:w="1250" w:type="pct"/>
                  <w:tcBorders>
                    <w:bottom w:val="single" w:sz="6" w:space="0" w:color="BFBFBF"/>
                  </w:tcBorders>
                  <w:shd w:val="clear" w:color="auto" w:fill="auto"/>
                </w:tcPr>
                <w:p w14:paraId="2C828CCC" w14:textId="43355B9A" w:rsidR="002A2672" w:rsidRPr="00ED617C" w:rsidRDefault="002A2672" w:rsidP="00FE1280">
                  <w:pPr>
                    <w:pStyle w:val="TableBodyText"/>
                    <w:spacing w:before="80"/>
                    <w:rPr>
                      <w:b/>
                    </w:rPr>
                  </w:pPr>
                  <w:r w:rsidRPr="00ED617C">
                    <w:rPr>
                      <w:b/>
                    </w:rPr>
                    <w:t>-2</w:t>
                  </w:r>
                  <w:r>
                    <w:rPr>
                      <w:b/>
                    </w:rPr>
                    <w:t> </w:t>
                  </w:r>
                  <w:r w:rsidRPr="00ED617C">
                    <w:rPr>
                      <w:b/>
                    </w:rPr>
                    <w:t>221</w:t>
                  </w:r>
                </w:p>
              </w:tc>
              <w:tc>
                <w:tcPr>
                  <w:tcW w:w="1249" w:type="pct"/>
                  <w:tcBorders>
                    <w:bottom w:val="single" w:sz="6" w:space="0" w:color="BFBFBF"/>
                  </w:tcBorders>
                  <w:shd w:val="clear" w:color="auto" w:fill="auto"/>
                </w:tcPr>
                <w:p w14:paraId="27602974" w14:textId="590EA3B6" w:rsidR="002A2672" w:rsidRPr="00ED617C" w:rsidRDefault="002A2672" w:rsidP="00FE1280">
                  <w:pPr>
                    <w:pStyle w:val="TableBodyText"/>
                    <w:spacing w:before="80"/>
                    <w:ind w:right="28"/>
                    <w:rPr>
                      <w:b/>
                    </w:rPr>
                  </w:pPr>
                  <w:r w:rsidRPr="00ED617C">
                    <w:rPr>
                      <w:b/>
                    </w:rPr>
                    <w:t>-23 926</w:t>
                  </w:r>
                </w:p>
              </w:tc>
            </w:tr>
          </w:tbl>
          <w:p w14:paraId="70E6182A" w14:textId="77777777" w:rsidR="00ED617C" w:rsidRDefault="00ED617C" w:rsidP="00FE1280">
            <w:pPr>
              <w:pStyle w:val="Box"/>
              <w:keepLines/>
            </w:pPr>
          </w:p>
        </w:tc>
      </w:tr>
      <w:tr w:rsidR="00ED617C" w14:paraId="05ED85EC" w14:textId="77777777" w:rsidTr="00A05966">
        <w:trPr>
          <w:cantSplit/>
        </w:trPr>
        <w:tc>
          <w:tcPr>
            <w:tcW w:w="8771" w:type="dxa"/>
            <w:tcBorders>
              <w:top w:val="nil"/>
              <w:left w:val="nil"/>
              <w:bottom w:val="nil"/>
              <w:right w:val="nil"/>
            </w:tcBorders>
            <w:shd w:val="clear" w:color="auto" w:fill="auto"/>
          </w:tcPr>
          <w:p w14:paraId="390B69FB" w14:textId="5FD4C6EB" w:rsidR="00ED617C" w:rsidRDefault="00701A93" w:rsidP="00701A93">
            <w:pPr>
              <w:pStyle w:val="Note"/>
              <w:keepNext/>
              <w:rPr>
                <w:i/>
              </w:rPr>
            </w:pPr>
            <w:proofErr w:type="gramStart"/>
            <w:r w:rsidRPr="008E77FE">
              <w:rPr>
                <w:rStyle w:val="NoteLabel"/>
              </w:rPr>
              <w:t>a</w:t>
            </w:r>
            <w:proofErr w:type="gramEnd"/>
            <w:r>
              <w:t xml:space="preserve"> Consumer surplus for gas users within </w:t>
            </w:r>
            <w:r w:rsidR="00DF5213">
              <w:t>the eastern Australian gas market.</w:t>
            </w:r>
            <w:r>
              <w:t xml:space="preserve"> </w:t>
            </w:r>
            <w:proofErr w:type="gramStart"/>
            <w:r>
              <w:rPr>
                <w:rStyle w:val="NoteLabel"/>
              </w:rPr>
              <w:t>b</w:t>
            </w:r>
            <w:proofErr w:type="gramEnd"/>
            <w:r>
              <w:t xml:space="preserve"> </w:t>
            </w:r>
            <w:r w:rsidR="001D0D97">
              <w:t>The terminal value of reserves and assets is the value of remaining gas reserves and gas supply assets at the end of 2032, including the value of gas production and use between 2033 and 2052.</w:t>
            </w:r>
            <w:r w:rsidR="00DE2804">
              <w:rPr>
                <w:rStyle w:val="NoteLabel"/>
              </w:rPr>
              <w:t xml:space="preserve"> </w:t>
            </w:r>
            <w:proofErr w:type="gramStart"/>
            <w:r w:rsidR="00DE2804">
              <w:rPr>
                <w:rStyle w:val="NoteLabel"/>
              </w:rPr>
              <w:t>c</w:t>
            </w:r>
            <w:proofErr w:type="gramEnd"/>
            <w:r w:rsidR="00DE2804">
              <w:t xml:space="preserve"> Producer surplus </w:t>
            </w:r>
            <w:r w:rsidR="00D812FF">
              <w:t>is</w:t>
            </w:r>
            <w:r w:rsidR="00DF5213">
              <w:t xml:space="preserve"> calculated </w:t>
            </w:r>
            <w:r w:rsidR="00DE2804">
              <w:t xml:space="preserve">as the change in revenue less </w:t>
            </w:r>
            <w:r w:rsidR="00943A62">
              <w:t>the change</w:t>
            </w:r>
            <w:r w:rsidR="00DE2804">
              <w:t xml:space="preserve"> in costs in a </w:t>
            </w:r>
            <w:r w:rsidR="00FB6D97">
              <w:t xml:space="preserve">competitive </w:t>
            </w:r>
            <w:r w:rsidR="00DE2804">
              <w:t xml:space="preserve">market equilibrium </w:t>
            </w:r>
            <w:r w:rsidR="00440F8A">
              <w:t xml:space="preserve">(that is, </w:t>
            </w:r>
            <w:r w:rsidR="00DE2804">
              <w:t>in the absence of any market power</w:t>
            </w:r>
            <w:r w:rsidR="00440F8A">
              <w:t>)</w:t>
            </w:r>
            <w:r w:rsidR="00DE2804">
              <w:t>.</w:t>
            </w:r>
            <w:r w:rsidR="00B20991">
              <w:t xml:space="preserve"> – Nil or rounded to zero.</w:t>
            </w:r>
          </w:p>
        </w:tc>
      </w:tr>
      <w:tr w:rsidR="00ED617C" w14:paraId="5CEA75D6" w14:textId="77777777" w:rsidTr="00A05966">
        <w:trPr>
          <w:cantSplit/>
        </w:trPr>
        <w:tc>
          <w:tcPr>
            <w:tcW w:w="8771" w:type="dxa"/>
            <w:tcBorders>
              <w:top w:val="nil"/>
              <w:left w:val="nil"/>
              <w:bottom w:val="nil"/>
              <w:right w:val="nil"/>
            </w:tcBorders>
            <w:shd w:val="clear" w:color="auto" w:fill="auto"/>
          </w:tcPr>
          <w:p w14:paraId="04376A02" w14:textId="0B877650" w:rsidR="00ED617C" w:rsidRDefault="008E4AB1" w:rsidP="00FE1280">
            <w:pPr>
              <w:pStyle w:val="Source"/>
              <w:keepNext/>
            </w:pPr>
            <w:r>
              <w:rPr>
                <w:i/>
              </w:rPr>
              <w:t>Source</w:t>
            </w:r>
            <w:r w:rsidRPr="00624D3F">
              <w:t>:</w:t>
            </w:r>
            <w:r>
              <w:rPr>
                <w:i/>
              </w:rPr>
              <w:t xml:space="preserve"> </w:t>
            </w:r>
            <w:r>
              <w:t>Commission estimates</w:t>
            </w:r>
            <w:r w:rsidR="00ED617C">
              <w:t>.</w:t>
            </w:r>
          </w:p>
        </w:tc>
      </w:tr>
      <w:tr w:rsidR="00ED617C" w14:paraId="017EEBBF" w14:textId="77777777" w:rsidTr="00A05966">
        <w:trPr>
          <w:cantSplit/>
        </w:trPr>
        <w:tc>
          <w:tcPr>
            <w:tcW w:w="8771" w:type="dxa"/>
            <w:tcBorders>
              <w:top w:val="nil"/>
              <w:left w:val="nil"/>
              <w:bottom w:val="single" w:sz="6" w:space="0" w:color="78A22F"/>
              <w:right w:val="nil"/>
            </w:tcBorders>
            <w:shd w:val="clear" w:color="auto" w:fill="auto"/>
          </w:tcPr>
          <w:p w14:paraId="29B78BE7" w14:textId="77777777" w:rsidR="00ED617C" w:rsidRDefault="00ED617C" w:rsidP="00FE1280">
            <w:pPr>
              <w:pStyle w:val="Box"/>
              <w:keepLines/>
              <w:spacing w:before="0" w:line="120" w:lineRule="exact"/>
            </w:pPr>
          </w:p>
        </w:tc>
      </w:tr>
      <w:tr w:rsidR="00ED617C" w:rsidRPr="000863A5" w14:paraId="5100B744" w14:textId="77777777" w:rsidTr="00A05966">
        <w:tc>
          <w:tcPr>
            <w:tcW w:w="8771" w:type="dxa"/>
            <w:tcBorders>
              <w:top w:val="single" w:sz="6" w:space="0" w:color="78A22F"/>
              <w:left w:val="nil"/>
              <w:bottom w:val="nil"/>
              <w:right w:val="nil"/>
            </w:tcBorders>
          </w:tcPr>
          <w:p w14:paraId="7D26B528" w14:textId="1FB2DFFF" w:rsidR="00ED617C" w:rsidRPr="00626D32" w:rsidRDefault="00ED617C" w:rsidP="00FE1280">
            <w:pPr>
              <w:pStyle w:val="BoxSpaceBelow"/>
              <w:keepNext/>
              <w:keepLines/>
            </w:pPr>
          </w:p>
        </w:tc>
      </w:tr>
    </w:tbl>
    <w:p w14:paraId="3AA45B01" w14:textId="77777777" w:rsidR="007A5FCF" w:rsidRDefault="007A5FCF" w:rsidP="007A5FCF">
      <w:pPr>
        <w:pStyle w:val="Heading3"/>
      </w:pPr>
      <w:r>
        <w:t xml:space="preserve">Delays in transmission pipeline investment </w:t>
      </w:r>
    </w:p>
    <w:p w14:paraId="26168AA3" w14:textId="36B5F5AD" w:rsidR="005E7AC0" w:rsidRDefault="00D964AE" w:rsidP="00D964AE">
      <w:pPr>
        <w:pStyle w:val="BodyText"/>
      </w:pPr>
      <w:r w:rsidRPr="00D964AE">
        <w:t>Effects</w:t>
      </w:r>
      <w:r>
        <w:t xml:space="preserve"> of delays in transmission pipeline investment</w:t>
      </w:r>
      <w:r w:rsidRPr="00D964AE">
        <w:t xml:space="preserve"> </w:t>
      </w:r>
      <w:r>
        <w:t>were</w:t>
      </w:r>
      <w:r w:rsidRPr="00D964AE">
        <w:t xml:space="preserve"> </w:t>
      </w:r>
      <w:r w:rsidR="001D0D97">
        <w:t>illustrated</w:t>
      </w:r>
      <w:r w:rsidRPr="00D964AE">
        <w:t xml:space="preserve"> by comparing model outc</w:t>
      </w:r>
      <w:r>
        <w:t>omes under a ‘what if’ scenario</w:t>
      </w:r>
      <w:r w:rsidRPr="00D964AE">
        <w:t xml:space="preserve"> </w:t>
      </w:r>
      <w:r>
        <w:t>where</w:t>
      </w:r>
      <w:r w:rsidRPr="00D964AE">
        <w:t xml:space="preserve"> future investments in transmission pipelines serving the </w:t>
      </w:r>
      <w:r w:rsidR="00943A62">
        <w:t xml:space="preserve">eastern Australian gas </w:t>
      </w:r>
      <w:r w:rsidRPr="00D964AE">
        <w:t>market are delayed by five years.</w:t>
      </w:r>
      <w:r w:rsidR="00440F8A">
        <w:t xml:space="preserve"> </w:t>
      </w:r>
      <w:r w:rsidR="003E1CB4">
        <w:rPr>
          <w:spacing w:val="-2"/>
        </w:rPr>
        <w:t>All large capital investments involve a lag between when a final investment decision is made and when the investment becomes operational. However, d</w:t>
      </w:r>
      <w:r w:rsidR="003E1CB4">
        <w:t xml:space="preserve">elays to gas transmission pipeline investments beyond this lag can </w:t>
      </w:r>
      <w:r w:rsidR="003E1CB4" w:rsidRPr="008342E7">
        <w:rPr>
          <w:spacing w:val="-2"/>
        </w:rPr>
        <w:t>impose costs on gas market participants and the broader community</w:t>
      </w:r>
      <w:r w:rsidR="00440F8A">
        <w:t xml:space="preserve"> (chapter 6).</w:t>
      </w:r>
    </w:p>
    <w:p w14:paraId="67CA48A4" w14:textId="448D9865" w:rsidR="00973578" w:rsidRDefault="003E1CB4" w:rsidP="005409EC">
      <w:pPr>
        <w:pStyle w:val="BodyText"/>
      </w:pPr>
      <w:r w:rsidRPr="00CD41FC">
        <w:lastRenderedPageBreak/>
        <w:t xml:space="preserve">Modelling results </w:t>
      </w:r>
      <w:r w:rsidR="000A00AC" w:rsidRPr="00CD41FC">
        <w:t>suggest</w:t>
      </w:r>
      <w:r w:rsidRPr="00CD41FC">
        <w:t xml:space="preserve"> that five </w:t>
      </w:r>
      <w:r w:rsidR="00D964AE" w:rsidRPr="00CD41FC">
        <w:t xml:space="preserve">year delays in transmission pipeline investment </w:t>
      </w:r>
      <w:r w:rsidR="000A00AC" w:rsidRPr="00CD41FC">
        <w:t xml:space="preserve">would </w:t>
      </w:r>
      <w:r w:rsidR="00D964AE" w:rsidRPr="00CD41FC">
        <w:t>c</w:t>
      </w:r>
      <w:r w:rsidR="00D964AE">
        <w:t xml:space="preserve">onstrain gas supply to regions where there are pipeline constraints, leading to higher prices in those regions. For example, under the central LNG price scenario, </w:t>
      </w:r>
      <w:r w:rsidR="005409EC">
        <w:t xml:space="preserve">completion of an </w:t>
      </w:r>
      <w:r w:rsidR="00D964AE">
        <w:t>expansion of the South West Queensland Pipeline is delayed from 2019 to 2024</w:t>
      </w:r>
      <w:r w:rsidR="005409EC">
        <w:t xml:space="preserve">, increasing </w:t>
      </w:r>
      <w:r w:rsidR="000A00AC">
        <w:t xml:space="preserve">modelled </w:t>
      </w:r>
      <w:r w:rsidR="005409EC">
        <w:t xml:space="preserve">prices in Brisbane between 2019 and 2023. Over this period, there is </w:t>
      </w:r>
      <w:r>
        <w:t xml:space="preserve">estimated to be </w:t>
      </w:r>
      <w:r w:rsidR="005409EC">
        <w:t>a disparity between prices in Brisbane and other capital cities that exceeds the costs of developing and using pipeline capacity.</w:t>
      </w:r>
      <w:r w:rsidR="00E75A8E">
        <w:t xml:space="preserve"> </w:t>
      </w:r>
      <w:r>
        <w:t xml:space="preserve">Modelled prices </w:t>
      </w:r>
      <w:r w:rsidR="00973578">
        <w:t xml:space="preserve">do not increase in Brisbane by as much over the same period under the low LNG price scenario because there is less gas supplied and therefore less need for new transmission investment. </w:t>
      </w:r>
      <w:r>
        <w:t xml:space="preserve">Modelled prices </w:t>
      </w:r>
      <w:r w:rsidR="00973578">
        <w:t xml:space="preserve">also do not increase in Brisbane to the same extent under the high LNG price scenario because pipeline investment delays </w:t>
      </w:r>
      <w:r w:rsidR="000A00AC">
        <w:t>in turn</w:t>
      </w:r>
      <w:r w:rsidR="00973578">
        <w:t xml:space="preserve"> delay investment in new LNG </w:t>
      </w:r>
      <w:r w:rsidR="00DD757C">
        <w:t>export plants</w:t>
      </w:r>
      <w:r w:rsidR="00973578">
        <w:t xml:space="preserve"> in 2023, taking some pressure off supply to the domestic market</w:t>
      </w:r>
      <w:r w:rsidR="002033E3">
        <w:t xml:space="preserve"> (figure C.5)</w:t>
      </w:r>
      <w:r w:rsidR="00973578">
        <w:t xml:space="preserve">. </w:t>
      </w:r>
    </w:p>
    <w:p w14:paraId="7AC2BD1E" w14:textId="77777777" w:rsidR="003C2B23" w:rsidRDefault="003C2B23" w:rsidP="003C2B23">
      <w:pPr>
        <w:pStyle w:val="BodyText"/>
      </w:pPr>
      <w:r>
        <w:t>The variability of prices increases with regulatory delays to pipeline investment across all LNG price scenarios, as delays to transmission investments required to maintain linkages between gas prices across different locations lead to short-term price spikes in specific locations.</w:t>
      </w:r>
    </w:p>
    <w:p w14:paraId="1BDE32AB" w14:textId="77777777" w:rsidR="003C2B23" w:rsidRDefault="003C2B23" w:rsidP="003C2B23">
      <w:pPr>
        <w:pStyle w:val="BodyText"/>
      </w:pPr>
      <w:r>
        <w:t>Overall, the effects of transmission investment delays are estimated to be modest. In part, this is because of a limited need for additional transmission investment to meet domestic demand, reflecting relatively slow domestic demand growth projections under the Australian Energy Market Operator’s (AEMO’s) gas forecasting report.</w:t>
      </w:r>
    </w:p>
    <w:p w14:paraId="364A8CE2" w14:textId="03CEC5D7" w:rsidR="003C2B23" w:rsidRDefault="003C2B23" w:rsidP="003C2B23">
      <w:pPr>
        <w:pStyle w:val="BodyText"/>
      </w:pPr>
      <w:r>
        <w:t xml:space="preserve">The economic welfare effects of delays to transmission investment are estimated to be greater under high LNG price projections (table C.4). Under high LNG prices, gas supply is estimated to increase more rapidly and more transmission investment is required to get that gas to market. Delays in transmission investment are therefore likely to be more costly, and can lead to delays in the development of further LNG export capacity. </w:t>
      </w:r>
    </w:p>
    <w:p w14:paraId="48AFCE76" w14:textId="77777777" w:rsidR="003C2B23" w:rsidRDefault="003C2B23" w:rsidP="005409EC">
      <w:pPr>
        <w:pStyle w:val="BodyText"/>
      </w:pPr>
    </w:p>
    <w:p w14:paraId="23C8D269" w14:textId="5E186670"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36B02209" w14:textId="77777777" w:rsidTr="00464C37">
        <w:tc>
          <w:tcPr>
            <w:tcW w:w="8771" w:type="dxa"/>
            <w:tcBorders>
              <w:top w:val="single" w:sz="6" w:space="0" w:color="78A22F"/>
              <w:left w:val="nil"/>
              <w:bottom w:val="nil"/>
              <w:right w:val="nil"/>
            </w:tcBorders>
            <w:shd w:val="clear" w:color="auto" w:fill="auto"/>
          </w:tcPr>
          <w:p w14:paraId="6A3CC71B" w14:textId="583B5522" w:rsidR="007A5FCF" w:rsidRDefault="007A5FCF" w:rsidP="00464C37">
            <w:pPr>
              <w:pStyle w:val="FigureTitle"/>
            </w:pPr>
            <w:r w:rsidRPr="00784A05">
              <w:rPr>
                <w:b w:val="0"/>
              </w:rPr>
              <w:t xml:space="preserve">Figure </w:t>
            </w:r>
            <w:bookmarkStart w:id="11" w:name="OLE_LINK14"/>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5</w:t>
            </w:r>
            <w:r w:rsidRPr="00784A05">
              <w:rPr>
                <w:b w:val="0"/>
              </w:rPr>
              <w:fldChar w:fldCharType="end"/>
            </w:r>
            <w:bookmarkEnd w:id="11"/>
            <w:r>
              <w:tab/>
            </w:r>
            <w:r w:rsidR="00163C8E">
              <w:t xml:space="preserve">Modelled effects </w:t>
            </w:r>
            <w:r>
              <w:t xml:space="preserve">of </w:t>
            </w:r>
            <w:r w:rsidR="00A71ACC">
              <w:t xml:space="preserve">delays in transmission pipeline investment </w:t>
            </w:r>
          </w:p>
          <w:p w14:paraId="38AF4328" w14:textId="773DEDB6" w:rsidR="007A5FCF" w:rsidRPr="00176D3F" w:rsidRDefault="000A00AC" w:rsidP="00464C37">
            <w:pPr>
              <w:pStyle w:val="Subtitle"/>
            </w:pPr>
            <w:proofErr w:type="gramStart"/>
            <w:r>
              <w:t>Three LNG price scenarios.</w:t>
            </w:r>
            <w:proofErr w:type="gramEnd"/>
            <w:r>
              <w:t xml:space="preserve"> Effects relative to baselines with no delays in transmission pipeline investment</w:t>
            </w:r>
          </w:p>
        </w:tc>
      </w:tr>
      <w:tr w:rsidR="007A5FCF" w14:paraId="2FD5A52E" w14:textId="77777777" w:rsidTr="00464C37">
        <w:tc>
          <w:tcPr>
            <w:tcW w:w="8771" w:type="dxa"/>
            <w:tcBorders>
              <w:top w:val="nil"/>
              <w:left w:val="nil"/>
              <w:bottom w:val="nil"/>
              <w:right w:val="nil"/>
            </w:tcBorders>
            <w:shd w:val="clear" w:color="auto" w:fill="auto"/>
            <w:tcMar>
              <w:top w:w="28" w:type="dxa"/>
              <w:bottom w:w="28" w:type="dxa"/>
            </w:tcMar>
          </w:tcPr>
          <w:tbl>
            <w:tblPr>
              <w:tblW w:w="8488" w:type="dxa"/>
              <w:jc w:val="center"/>
              <w:tblInd w:w="16" w:type="dxa"/>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6"/>
              <w:gridCol w:w="4252"/>
            </w:tblGrid>
            <w:tr w:rsidR="004A1B74" w14:paraId="620C2ACB" w14:textId="77777777" w:rsidTr="00D83541">
              <w:trPr>
                <w:trHeight w:val="176"/>
                <w:jc w:val="center"/>
              </w:trPr>
              <w:tc>
                <w:tcPr>
                  <w:tcW w:w="4236" w:type="dxa"/>
                  <w:tcBorders>
                    <w:top w:val="nil"/>
                    <w:bottom w:val="nil"/>
                  </w:tcBorders>
                </w:tcPr>
                <w:p w14:paraId="6402581C" w14:textId="1DD562B2" w:rsidR="004A1B74" w:rsidRDefault="004A1B74" w:rsidP="00DE2804">
                  <w:pPr>
                    <w:pStyle w:val="Figure"/>
                    <w:spacing w:before="60" w:after="60"/>
                    <w:rPr>
                      <w:noProof/>
                    </w:rPr>
                  </w:pPr>
                  <w:r w:rsidRPr="00AD723F">
                    <w:rPr>
                      <w:rFonts w:ascii="Arial" w:hAnsi="Arial" w:cs="Arial"/>
                      <w:b/>
                      <w:noProof/>
                      <w:szCs w:val="24"/>
                    </w:rPr>
                    <w:t xml:space="preserve">Changes in </w:t>
                  </w:r>
                  <w:r w:rsidR="00163C8E" w:rsidRPr="00AD723F">
                    <w:rPr>
                      <w:rFonts w:ascii="Arial" w:hAnsi="Arial" w:cs="Arial"/>
                      <w:b/>
                      <w:noProof/>
                      <w:szCs w:val="24"/>
                    </w:rPr>
                    <w:t>quantities</w:t>
                  </w:r>
                </w:p>
              </w:tc>
              <w:tc>
                <w:tcPr>
                  <w:tcW w:w="4252" w:type="dxa"/>
                </w:tcPr>
                <w:p w14:paraId="48FB0C1A" w14:textId="031CF941" w:rsidR="004A1B74" w:rsidRDefault="004A1B74" w:rsidP="00464C37">
                  <w:pPr>
                    <w:pStyle w:val="Figure"/>
                    <w:spacing w:before="60" w:after="60"/>
                    <w:rPr>
                      <w:noProof/>
                    </w:rPr>
                  </w:pPr>
                  <w:r w:rsidRPr="00AD723F">
                    <w:rPr>
                      <w:rFonts w:ascii="Arial" w:hAnsi="Arial"/>
                      <w:b/>
                    </w:rPr>
                    <w:t>Changes in domestic prices</w:t>
                  </w:r>
                </w:p>
              </w:tc>
            </w:tr>
            <w:tr w:rsidR="00632E76" w14:paraId="75364057" w14:textId="77777777" w:rsidTr="00632E76">
              <w:trPr>
                <w:trHeight w:val="176"/>
                <w:jc w:val="center"/>
              </w:trPr>
              <w:tc>
                <w:tcPr>
                  <w:tcW w:w="4236" w:type="dxa"/>
                  <w:tcBorders>
                    <w:top w:val="nil"/>
                    <w:bottom w:val="nil"/>
                  </w:tcBorders>
                </w:tcPr>
                <w:p w14:paraId="61C296D5" w14:textId="1888B368" w:rsidR="00632E76" w:rsidRDefault="008C6E3F" w:rsidP="00464C37">
                  <w:pPr>
                    <w:pStyle w:val="Figure"/>
                    <w:spacing w:before="60" w:after="60"/>
                    <w:rPr>
                      <w:noProof/>
                    </w:rPr>
                  </w:pPr>
                  <w:r>
                    <w:rPr>
                      <w:noProof/>
                    </w:rPr>
                    <w:drawing>
                      <wp:inline distT="0" distB="0" distL="0" distR="0" wp14:anchorId="62192059" wp14:editId="6D11E4C9">
                        <wp:extent cx="2517775" cy="2164080"/>
                        <wp:effectExtent l="0" t="0" r="0" b="7620"/>
                        <wp:docPr id="111" name="Picture 111"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17775" cy="2164080"/>
                                </a:xfrm>
                                <a:prstGeom prst="rect">
                                  <a:avLst/>
                                </a:prstGeom>
                                <a:noFill/>
                              </pic:spPr>
                            </pic:pic>
                          </a:graphicData>
                        </a:graphic>
                      </wp:inline>
                    </w:drawing>
                  </w:r>
                </w:p>
              </w:tc>
              <w:tc>
                <w:tcPr>
                  <w:tcW w:w="4252" w:type="dxa"/>
                </w:tcPr>
                <w:p w14:paraId="01214A91" w14:textId="4F5761DD" w:rsidR="00632E76" w:rsidRDefault="00113008" w:rsidP="00464C37">
                  <w:pPr>
                    <w:pStyle w:val="Figure"/>
                    <w:spacing w:before="60" w:after="60"/>
                    <w:rPr>
                      <w:noProof/>
                    </w:rPr>
                  </w:pPr>
                  <w:r>
                    <w:rPr>
                      <w:noProof/>
                    </w:rPr>
                    <w:t xml:space="preserve"> </w:t>
                  </w:r>
                  <w:r w:rsidR="008C6E3F">
                    <w:rPr>
                      <w:noProof/>
                    </w:rPr>
                    <w:drawing>
                      <wp:inline distT="0" distB="0" distL="0" distR="0" wp14:anchorId="6157AEB2" wp14:editId="6282F6BE">
                        <wp:extent cx="2517775" cy="2164080"/>
                        <wp:effectExtent l="0" t="0" r="0" b="7620"/>
                        <wp:docPr id="107" name="Picture 107"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17775" cy="2164080"/>
                                </a:xfrm>
                                <a:prstGeom prst="rect">
                                  <a:avLst/>
                                </a:prstGeom>
                                <a:noFill/>
                              </pic:spPr>
                            </pic:pic>
                          </a:graphicData>
                        </a:graphic>
                      </wp:inline>
                    </w:drawing>
                  </w:r>
                </w:p>
              </w:tc>
            </w:tr>
            <w:tr w:rsidR="00E249FB" w14:paraId="52F6EC6B" w14:textId="77777777" w:rsidTr="00632E76">
              <w:trPr>
                <w:trHeight w:val="176"/>
                <w:jc w:val="center"/>
              </w:trPr>
              <w:tc>
                <w:tcPr>
                  <w:tcW w:w="4236" w:type="dxa"/>
                  <w:tcBorders>
                    <w:top w:val="nil"/>
                    <w:bottom w:val="nil"/>
                  </w:tcBorders>
                </w:tcPr>
                <w:p w14:paraId="6E0E2491" w14:textId="66524741" w:rsidR="00E249FB" w:rsidRDefault="008C6E3F" w:rsidP="00464C37">
                  <w:pPr>
                    <w:pStyle w:val="Figure"/>
                    <w:spacing w:before="60" w:after="60"/>
                    <w:rPr>
                      <w:noProof/>
                    </w:rPr>
                  </w:pPr>
                  <w:r>
                    <w:rPr>
                      <w:noProof/>
                    </w:rPr>
                    <w:drawing>
                      <wp:inline distT="0" distB="0" distL="0" distR="0" wp14:anchorId="4580FA22" wp14:editId="4FBE3D3E">
                        <wp:extent cx="2524125" cy="2158365"/>
                        <wp:effectExtent l="0" t="0" r="9525" b="0"/>
                        <wp:docPr id="104" name="Picture 104"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c>
                <w:tcPr>
                  <w:tcW w:w="4252" w:type="dxa"/>
                </w:tcPr>
                <w:p w14:paraId="2F9DC763" w14:textId="7D847EFF" w:rsidR="00E249FB" w:rsidRDefault="008C6E3F" w:rsidP="00464C37">
                  <w:pPr>
                    <w:pStyle w:val="Figure"/>
                    <w:spacing w:before="60" w:after="60"/>
                    <w:rPr>
                      <w:noProof/>
                    </w:rPr>
                  </w:pPr>
                  <w:r>
                    <w:rPr>
                      <w:noProof/>
                    </w:rPr>
                    <w:drawing>
                      <wp:inline distT="0" distB="0" distL="0" distR="0" wp14:anchorId="0C851328" wp14:editId="5540BD4D">
                        <wp:extent cx="2524125" cy="2158365"/>
                        <wp:effectExtent l="0" t="0" r="9525" b="0"/>
                        <wp:docPr id="106" name="Picture 106"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r>
            <w:tr w:rsidR="00E249FB" w14:paraId="5D4B2CDD" w14:textId="77777777" w:rsidTr="00725B4A">
              <w:trPr>
                <w:trHeight w:val="176"/>
                <w:jc w:val="center"/>
              </w:trPr>
              <w:tc>
                <w:tcPr>
                  <w:tcW w:w="4236" w:type="dxa"/>
                  <w:tcBorders>
                    <w:top w:val="nil"/>
                    <w:bottom w:val="nil"/>
                  </w:tcBorders>
                </w:tcPr>
                <w:p w14:paraId="6314DC08" w14:textId="5F08FC8A" w:rsidR="00E249FB" w:rsidRDefault="008C6E3F" w:rsidP="00464C37">
                  <w:pPr>
                    <w:pStyle w:val="Figure"/>
                    <w:spacing w:before="60" w:after="60"/>
                    <w:rPr>
                      <w:noProof/>
                    </w:rPr>
                  </w:pPr>
                  <w:r>
                    <w:rPr>
                      <w:noProof/>
                    </w:rPr>
                    <w:drawing>
                      <wp:inline distT="0" distB="0" distL="0" distR="0" wp14:anchorId="58DCBE58" wp14:editId="7936C230">
                        <wp:extent cx="2517775" cy="2158365"/>
                        <wp:effectExtent l="0" t="0" r="0" b="0"/>
                        <wp:docPr id="113" name="Picture 113"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17775" cy="2158365"/>
                                </a:xfrm>
                                <a:prstGeom prst="rect">
                                  <a:avLst/>
                                </a:prstGeom>
                                <a:noFill/>
                              </pic:spPr>
                            </pic:pic>
                          </a:graphicData>
                        </a:graphic>
                      </wp:inline>
                    </w:drawing>
                  </w:r>
                </w:p>
              </w:tc>
              <w:tc>
                <w:tcPr>
                  <w:tcW w:w="4252" w:type="dxa"/>
                  <w:tcBorders>
                    <w:bottom w:val="nil"/>
                  </w:tcBorders>
                </w:tcPr>
                <w:p w14:paraId="324A0915" w14:textId="34E004FE" w:rsidR="00E249FB" w:rsidRDefault="008C6E3F" w:rsidP="00464C37">
                  <w:pPr>
                    <w:pStyle w:val="Figure"/>
                    <w:spacing w:before="60" w:after="60"/>
                    <w:rPr>
                      <w:noProof/>
                    </w:rPr>
                  </w:pPr>
                  <w:r>
                    <w:rPr>
                      <w:noProof/>
                    </w:rPr>
                    <w:drawing>
                      <wp:inline distT="0" distB="0" distL="0" distR="0" wp14:anchorId="4F1931FE" wp14:editId="2FAB0A7D">
                        <wp:extent cx="2517775" cy="2158365"/>
                        <wp:effectExtent l="0" t="0" r="0" b="0"/>
                        <wp:docPr id="103" name="Picture 103" descr="This is one of six charts in figure C.5. This figure shows that for each LNG price scenario, there are small modelled changes in supply and demand due to delays in transmission pipeline investment. Price changes are most pronounced in the central LNG price scenario in Brisbane — prices rise by about $1 per gigajoule from 2019 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17775" cy="2158365"/>
                                </a:xfrm>
                                <a:prstGeom prst="rect">
                                  <a:avLst/>
                                </a:prstGeom>
                                <a:noFill/>
                              </pic:spPr>
                            </pic:pic>
                          </a:graphicData>
                        </a:graphic>
                      </wp:inline>
                    </w:drawing>
                  </w:r>
                </w:p>
              </w:tc>
            </w:tr>
          </w:tbl>
          <w:p w14:paraId="2F7ED59D" w14:textId="77777777" w:rsidR="007A5FCF" w:rsidRDefault="007A5FCF" w:rsidP="00464C37">
            <w:pPr>
              <w:pStyle w:val="Figure"/>
            </w:pPr>
          </w:p>
        </w:tc>
      </w:tr>
      <w:tr w:rsidR="007A5FCF" w:rsidRPr="00176D3F" w14:paraId="3F93B9A0" w14:textId="77777777" w:rsidTr="00464C37">
        <w:tc>
          <w:tcPr>
            <w:tcW w:w="8771" w:type="dxa"/>
            <w:tcBorders>
              <w:top w:val="nil"/>
              <w:left w:val="nil"/>
              <w:bottom w:val="nil"/>
              <w:right w:val="nil"/>
            </w:tcBorders>
            <w:shd w:val="clear" w:color="auto" w:fill="auto"/>
          </w:tcPr>
          <w:p w14:paraId="322E9194" w14:textId="137F4BFA" w:rsidR="007A5FCF" w:rsidRPr="00176D3F" w:rsidRDefault="008E4AB1" w:rsidP="00464C37">
            <w:pPr>
              <w:pStyle w:val="Source"/>
            </w:pPr>
            <w:r>
              <w:rPr>
                <w:i/>
              </w:rPr>
              <w:t>Source</w:t>
            </w:r>
            <w:r w:rsidRPr="00624D3F">
              <w:t>:</w:t>
            </w:r>
            <w:r>
              <w:rPr>
                <w:i/>
              </w:rPr>
              <w:t xml:space="preserve"> </w:t>
            </w:r>
            <w:r>
              <w:t>Commission estimates</w:t>
            </w:r>
            <w:r w:rsidR="00232238">
              <w:t>.</w:t>
            </w:r>
          </w:p>
        </w:tc>
      </w:tr>
      <w:tr w:rsidR="007A5FCF" w14:paraId="7036803F" w14:textId="77777777" w:rsidTr="00464C37">
        <w:tc>
          <w:tcPr>
            <w:tcW w:w="8771" w:type="dxa"/>
            <w:tcBorders>
              <w:top w:val="nil"/>
              <w:left w:val="nil"/>
              <w:bottom w:val="single" w:sz="6" w:space="0" w:color="78A22F"/>
              <w:right w:val="nil"/>
            </w:tcBorders>
            <w:shd w:val="clear" w:color="auto" w:fill="auto"/>
          </w:tcPr>
          <w:p w14:paraId="21450751" w14:textId="77777777" w:rsidR="007A5FCF" w:rsidRDefault="007A5FCF" w:rsidP="00464C37">
            <w:pPr>
              <w:pStyle w:val="Figurespace"/>
            </w:pPr>
          </w:p>
        </w:tc>
      </w:tr>
      <w:tr w:rsidR="007A5FCF" w:rsidRPr="000863A5" w14:paraId="1A8D7C0B" w14:textId="77777777" w:rsidTr="00464C37">
        <w:tc>
          <w:tcPr>
            <w:tcW w:w="8771" w:type="dxa"/>
            <w:tcBorders>
              <w:top w:val="single" w:sz="6" w:space="0" w:color="78A22F"/>
              <w:left w:val="nil"/>
              <w:bottom w:val="nil"/>
              <w:right w:val="nil"/>
            </w:tcBorders>
          </w:tcPr>
          <w:p w14:paraId="75E2D836" w14:textId="691ECA60" w:rsidR="007A5FCF" w:rsidRPr="00626D32" w:rsidRDefault="007A5FCF" w:rsidP="00464C37">
            <w:pPr>
              <w:pStyle w:val="BoxSpaceBelow"/>
            </w:pPr>
          </w:p>
        </w:tc>
      </w:tr>
    </w:tbl>
    <w:p w14:paraId="5EDA6887" w14:textId="5D46B019" w:rsidR="00A05966" w:rsidRDefault="00A05966" w:rsidP="00A0596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05966" w14:paraId="4ABC70DE" w14:textId="77777777" w:rsidTr="00A05966">
        <w:tc>
          <w:tcPr>
            <w:tcW w:w="8771" w:type="dxa"/>
            <w:tcBorders>
              <w:top w:val="single" w:sz="6" w:space="0" w:color="78A22F"/>
              <w:left w:val="nil"/>
              <w:bottom w:val="nil"/>
              <w:right w:val="nil"/>
            </w:tcBorders>
            <w:shd w:val="clear" w:color="auto" w:fill="auto"/>
          </w:tcPr>
          <w:p w14:paraId="643186A6" w14:textId="38D3BAC5" w:rsidR="00A05966" w:rsidRDefault="00A05966" w:rsidP="00A05966">
            <w:pPr>
              <w:pStyle w:val="TableTitle"/>
            </w:pPr>
            <w:r>
              <w:rPr>
                <w:b w:val="0"/>
              </w:rPr>
              <w:t xml:space="preserve">Table </w:t>
            </w:r>
            <w:bookmarkStart w:id="12" w:name="OLE_LINK15"/>
            <w:r>
              <w:rPr>
                <w:b w:val="0"/>
              </w:rPr>
              <w:fldChar w:fldCharType="begin"/>
            </w:r>
            <w:r>
              <w:rPr>
                <w:b w:val="0"/>
              </w:rPr>
              <w:instrText xml:space="preserve"> COMMENTS  \* MERGEFORMAT </w:instrText>
            </w:r>
            <w:r>
              <w:rPr>
                <w:b w:val="0"/>
              </w:rPr>
              <w:fldChar w:fldCharType="separate"/>
            </w:r>
            <w:r>
              <w:rPr>
                <w:b w:val="0"/>
              </w:rPr>
              <w:t>C.</w:t>
            </w:r>
            <w:r>
              <w:rPr>
                <w:b w:val="0"/>
              </w:rPr>
              <w:fldChar w:fldCharType="end"/>
            </w:r>
            <w:r>
              <w:rPr>
                <w:b w:val="0"/>
              </w:rPr>
              <w:fldChar w:fldCharType="begin"/>
            </w:r>
            <w:r>
              <w:rPr>
                <w:b w:val="0"/>
              </w:rPr>
              <w:instrText xml:space="preserve"> SEQ Table \* ARABIC </w:instrText>
            </w:r>
            <w:r>
              <w:rPr>
                <w:b w:val="0"/>
              </w:rPr>
              <w:fldChar w:fldCharType="separate"/>
            </w:r>
            <w:r w:rsidR="00872E65">
              <w:rPr>
                <w:b w:val="0"/>
                <w:noProof/>
              </w:rPr>
              <w:t>4</w:t>
            </w:r>
            <w:r>
              <w:rPr>
                <w:b w:val="0"/>
              </w:rPr>
              <w:fldChar w:fldCharType="end"/>
            </w:r>
            <w:bookmarkEnd w:id="12"/>
            <w:r>
              <w:tab/>
            </w:r>
            <w:r w:rsidR="00551DB2">
              <w:t>E</w:t>
            </w:r>
            <w:r w:rsidR="00163C8E">
              <w:t>stimated e</w:t>
            </w:r>
            <w:r w:rsidR="00551DB2">
              <w:t xml:space="preserve">conomic welfare </w:t>
            </w:r>
            <w:r>
              <w:t xml:space="preserve">effects of delays in gas transmission pipeline investments </w:t>
            </w:r>
          </w:p>
          <w:p w14:paraId="5B07866A" w14:textId="020FDA05" w:rsidR="00A05966" w:rsidRPr="00784A05" w:rsidRDefault="00A71E5F" w:rsidP="00A71E5F">
            <w:pPr>
              <w:pStyle w:val="Subtitle"/>
            </w:pPr>
            <w:r>
              <w:t xml:space="preserve">Net present value 2013 to 2032, relative </w:t>
            </w:r>
            <w:r w:rsidR="00A40158">
              <w:t>to baseline with no delays</w:t>
            </w:r>
            <w:r w:rsidR="00D372A1">
              <w:t xml:space="preserve"> ($ million)</w:t>
            </w:r>
          </w:p>
        </w:tc>
      </w:tr>
      <w:tr w:rsidR="00A05966" w14:paraId="59399CBA" w14:textId="77777777" w:rsidTr="00A0596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65"/>
              <w:gridCol w:w="1558"/>
              <w:gridCol w:w="1701"/>
              <w:gridCol w:w="1563"/>
            </w:tblGrid>
            <w:tr w:rsidR="00A05966" w14:paraId="68228242" w14:textId="77777777" w:rsidTr="00624D3F">
              <w:tc>
                <w:tcPr>
                  <w:tcW w:w="2159" w:type="pct"/>
                  <w:tcBorders>
                    <w:top w:val="single" w:sz="6" w:space="0" w:color="BFBFBF"/>
                    <w:bottom w:val="single" w:sz="6" w:space="0" w:color="BFBFBF"/>
                  </w:tcBorders>
                  <w:shd w:val="clear" w:color="auto" w:fill="auto"/>
                  <w:tcMar>
                    <w:top w:w="28" w:type="dxa"/>
                  </w:tcMar>
                </w:tcPr>
                <w:p w14:paraId="3A42BEC1" w14:textId="77777777" w:rsidR="00A05966" w:rsidRDefault="00A05966" w:rsidP="00A05966">
                  <w:pPr>
                    <w:pStyle w:val="TableColumnHeading"/>
                    <w:jc w:val="left"/>
                  </w:pPr>
                </w:p>
              </w:tc>
              <w:tc>
                <w:tcPr>
                  <w:tcW w:w="918" w:type="pct"/>
                  <w:tcBorders>
                    <w:top w:val="single" w:sz="6" w:space="0" w:color="BFBFBF"/>
                    <w:bottom w:val="single" w:sz="6" w:space="0" w:color="BFBFBF"/>
                  </w:tcBorders>
                </w:tcPr>
                <w:p w14:paraId="2D9CBE3E" w14:textId="77777777" w:rsidR="00A05966" w:rsidRDefault="00A05966" w:rsidP="00A05966">
                  <w:pPr>
                    <w:pStyle w:val="TableColumnHeading"/>
                  </w:pPr>
                  <w:r>
                    <w:t>Low LNG prices</w:t>
                  </w:r>
                </w:p>
              </w:tc>
              <w:tc>
                <w:tcPr>
                  <w:tcW w:w="1002" w:type="pct"/>
                  <w:tcBorders>
                    <w:top w:val="single" w:sz="6" w:space="0" w:color="BFBFBF"/>
                    <w:bottom w:val="single" w:sz="6" w:space="0" w:color="BFBFBF"/>
                  </w:tcBorders>
                  <w:shd w:val="clear" w:color="auto" w:fill="auto"/>
                  <w:tcMar>
                    <w:top w:w="28" w:type="dxa"/>
                  </w:tcMar>
                </w:tcPr>
                <w:p w14:paraId="713B18FA" w14:textId="77777777" w:rsidR="00A05966" w:rsidRDefault="00A05966" w:rsidP="00A05966">
                  <w:pPr>
                    <w:pStyle w:val="TableColumnHeading"/>
                  </w:pPr>
                  <w:r>
                    <w:t>Central LNG prices</w:t>
                  </w:r>
                </w:p>
              </w:tc>
              <w:tc>
                <w:tcPr>
                  <w:tcW w:w="921" w:type="pct"/>
                  <w:tcBorders>
                    <w:top w:val="single" w:sz="6" w:space="0" w:color="BFBFBF"/>
                    <w:bottom w:val="single" w:sz="6" w:space="0" w:color="BFBFBF"/>
                  </w:tcBorders>
                  <w:shd w:val="clear" w:color="auto" w:fill="auto"/>
                  <w:tcMar>
                    <w:top w:w="28" w:type="dxa"/>
                  </w:tcMar>
                </w:tcPr>
                <w:p w14:paraId="033A2177" w14:textId="77777777" w:rsidR="00A05966" w:rsidRDefault="00A05966" w:rsidP="00A05966">
                  <w:pPr>
                    <w:pStyle w:val="TableColumnHeading"/>
                    <w:ind w:right="28"/>
                  </w:pPr>
                  <w:r>
                    <w:t>High LNG prices</w:t>
                  </w:r>
                </w:p>
              </w:tc>
            </w:tr>
            <w:tr w:rsidR="00A05966" w14:paraId="67ACD21F" w14:textId="77777777" w:rsidTr="00624D3F">
              <w:tc>
                <w:tcPr>
                  <w:tcW w:w="2159" w:type="pct"/>
                </w:tcPr>
                <w:p w14:paraId="0EEC0861" w14:textId="5A38D34D" w:rsidR="00A05966" w:rsidRDefault="00A05966" w:rsidP="00701A93">
                  <w:pPr>
                    <w:pStyle w:val="TableBodyText"/>
                    <w:spacing w:before="80"/>
                    <w:jc w:val="left"/>
                  </w:pPr>
                  <w:r>
                    <w:t>Consumer surplus</w:t>
                  </w:r>
                  <w:r w:rsidR="00701A93" w:rsidRPr="008E77FE">
                    <w:rPr>
                      <w:rStyle w:val="NoteLabel"/>
                    </w:rPr>
                    <w:t>a</w:t>
                  </w:r>
                </w:p>
              </w:tc>
              <w:tc>
                <w:tcPr>
                  <w:tcW w:w="918" w:type="pct"/>
                </w:tcPr>
                <w:p w14:paraId="100A3906" w14:textId="516E7724" w:rsidR="00A05966" w:rsidRDefault="00A05966" w:rsidP="00A05966">
                  <w:pPr>
                    <w:pStyle w:val="TableBodyText"/>
                    <w:spacing w:before="80"/>
                  </w:pPr>
                  <w:r w:rsidRPr="001E15BC">
                    <w:t>-15</w:t>
                  </w:r>
                </w:p>
              </w:tc>
              <w:tc>
                <w:tcPr>
                  <w:tcW w:w="1002" w:type="pct"/>
                </w:tcPr>
                <w:p w14:paraId="733A4F1A" w14:textId="63F37A26" w:rsidR="00A05966" w:rsidRDefault="00A05966" w:rsidP="00A05966">
                  <w:pPr>
                    <w:pStyle w:val="TableBodyText"/>
                    <w:spacing w:before="80"/>
                  </w:pPr>
                  <w:r w:rsidRPr="00EC3435">
                    <w:t>-173</w:t>
                  </w:r>
                </w:p>
              </w:tc>
              <w:tc>
                <w:tcPr>
                  <w:tcW w:w="921" w:type="pct"/>
                </w:tcPr>
                <w:p w14:paraId="1EF993EE" w14:textId="104ED27E" w:rsidR="00A05966" w:rsidRDefault="00A05966" w:rsidP="00A05966">
                  <w:pPr>
                    <w:pStyle w:val="TableBodyText"/>
                    <w:spacing w:before="80"/>
                    <w:ind w:right="28"/>
                  </w:pPr>
                  <w:r w:rsidRPr="00157718">
                    <w:t>351</w:t>
                  </w:r>
                </w:p>
              </w:tc>
            </w:tr>
            <w:tr w:rsidR="00A05966" w14:paraId="38A2F09E" w14:textId="77777777" w:rsidTr="00624D3F">
              <w:tc>
                <w:tcPr>
                  <w:tcW w:w="2159" w:type="pct"/>
                </w:tcPr>
                <w:p w14:paraId="6C05E618" w14:textId="77777777" w:rsidR="00A05966" w:rsidRDefault="00A05966" w:rsidP="00A05966">
                  <w:pPr>
                    <w:pStyle w:val="TableBodyText"/>
                    <w:jc w:val="left"/>
                  </w:pPr>
                  <w:r>
                    <w:t>Royalties</w:t>
                  </w:r>
                </w:p>
              </w:tc>
              <w:tc>
                <w:tcPr>
                  <w:tcW w:w="918" w:type="pct"/>
                </w:tcPr>
                <w:p w14:paraId="39592A12" w14:textId="15DD8C0D" w:rsidR="00A05966" w:rsidRDefault="00A05966" w:rsidP="00A05966">
                  <w:pPr>
                    <w:pStyle w:val="TableBodyText"/>
                  </w:pPr>
                  <w:r w:rsidRPr="001E15BC">
                    <w:t>-20</w:t>
                  </w:r>
                </w:p>
              </w:tc>
              <w:tc>
                <w:tcPr>
                  <w:tcW w:w="1002" w:type="pct"/>
                </w:tcPr>
                <w:p w14:paraId="2CAFB80D" w14:textId="0EA1EEE1" w:rsidR="00A05966" w:rsidRDefault="00A05966" w:rsidP="00A05966">
                  <w:pPr>
                    <w:pStyle w:val="TableBodyText"/>
                  </w:pPr>
                  <w:r w:rsidRPr="00EC3435">
                    <w:t>363</w:t>
                  </w:r>
                </w:p>
              </w:tc>
              <w:tc>
                <w:tcPr>
                  <w:tcW w:w="921" w:type="pct"/>
                </w:tcPr>
                <w:p w14:paraId="6C349772" w14:textId="3AEDE2D9" w:rsidR="00A05966" w:rsidRDefault="00A05966" w:rsidP="00A05966">
                  <w:pPr>
                    <w:pStyle w:val="TableBodyText"/>
                    <w:ind w:right="28"/>
                  </w:pPr>
                  <w:r w:rsidRPr="00157718">
                    <w:t>126</w:t>
                  </w:r>
                </w:p>
              </w:tc>
            </w:tr>
            <w:tr w:rsidR="00A05966" w14:paraId="24ED96A6" w14:textId="77777777" w:rsidTr="00624D3F">
              <w:tc>
                <w:tcPr>
                  <w:tcW w:w="2159" w:type="pct"/>
                </w:tcPr>
                <w:p w14:paraId="5DF5AF25" w14:textId="08E2FD7A" w:rsidR="00A05966" w:rsidRDefault="00A05966" w:rsidP="007568EE">
                  <w:pPr>
                    <w:pStyle w:val="TableBodyText"/>
                    <w:jc w:val="left"/>
                  </w:pPr>
                  <w:r>
                    <w:t>Terminal value of res</w:t>
                  </w:r>
                  <w:r w:rsidR="007568EE">
                    <w:t>erves and assets</w:t>
                  </w:r>
                  <w:r w:rsidR="00701A93">
                    <w:rPr>
                      <w:rStyle w:val="NoteLabel"/>
                    </w:rPr>
                    <w:t>b</w:t>
                  </w:r>
                </w:p>
              </w:tc>
              <w:tc>
                <w:tcPr>
                  <w:tcW w:w="918" w:type="pct"/>
                </w:tcPr>
                <w:p w14:paraId="354CFECD" w14:textId="6F529EBE" w:rsidR="00A05966" w:rsidRDefault="00A05966" w:rsidP="00A05966">
                  <w:pPr>
                    <w:pStyle w:val="TableBodyText"/>
                    <w:spacing w:before="60"/>
                  </w:pPr>
                  <w:r w:rsidRPr="001E15BC">
                    <w:t>-146</w:t>
                  </w:r>
                </w:p>
              </w:tc>
              <w:tc>
                <w:tcPr>
                  <w:tcW w:w="1002" w:type="pct"/>
                </w:tcPr>
                <w:p w14:paraId="65D7C893" w14:textId="7555F6DE" w:rsidR="00A05966" w:rsidRDefault="00A05966" w:rsidP="00A05966">
                  <w:pPr>
                    <w:pStyle w:val="TableBodyText"/>
                    <w:spacing w:before="60"/>
                  </w:pPr>
                  <w:r w:rsidRPr="00EC3435">
                    <w:t>184</w:t>
                  </w:r>
                </w:p>
              </w:tc>
              <w:tc>
                <w:tcPr>
                  <w:tcW w:w="921" w:type="pct"/>
                </w:tcPr>
                <w:p w14:paraId="2236A1E5" w14:textId="532465B7" w:rsidR="00A05966" w:rsidRDefault="00A05966" w:rsidP="00A05966">
                  <w:pPr>
                    <w:pStyle w:val="TableBodyText"/>
                    <w:spacing w:before="60"/>
                    <w:ind w:right="28"/>
                  </w:pPr>
                  <w:r>
                    <w:t>-1 </w:t>
                  </w:r>
                  <w:r w:rsidRPr="00157718">
                    <w:t>215</w:t>
                  </w:r>
                </w:p>
              </w:tc>
            </w:tr>
            <w:tr w:rsidR="00A05966" w14:paraId="3589C21E" w14:textId="77777777" w:rsidTr="00624D3F">
              <w:tc>
                <w:tcPr>
                  <w:tcW w:w="2159" w:type="pct"/>
                </w:tcPr>
                <w:p w14:paraId="49B92A95" w14:textId="229D02CA" w:rsidR="00A05966" w:rsidRDefault="00A05966" w:rsidP="00A05966">
                  <w:pPr>
                    <w:pStyle w:val="TableBodyText"/>
                    <w:jc w:val="left"/>
                  </w:pPr>
                  <w:r>
                    <w:t>Producer surplus</w:t>
                  </w:r>
                  <w:r w:rsidR="00DE2804">
                    <w:rPr>
                      <w:rStyle w:val="NoteLabel"/>
                    </w:rPr>
                    <w:t>c</w:t>
                  </w:r>
                </w:p>
              </w:tc>
              <w:tc>
                <w:tcPr>
                  <w:tcW w:w="918" w:type="pct"/>
                </w:tcPr>
                <w:p w14:paraId="5FA36C85" w14:textId="4AEF0F0C" w:rsidR="00A05966" w:rsidRPr="00ED617C" w:rsidRDefault="00A05966" w:rsidP="00A05966">
                  <w:pPr>
                    <w:pStyle w:val="TableBodyText"/>
                    <w:spacing w:before="60"/>
                    <w:rPr>
                      <w:rStyle w:val="NoteLabel"/>
                      <w:b w:val="0"/>
                    </w:rPr>
                  </w:pPr>
                </w:p>
              </w:tc>
              <w:tc>
                <w:tcPr>
                  <w:tcW w:w="1002" w:type="pct"/>
                </w:tcPr>
                <w:p w14:paraId="1B8714B8" w14:textId="16801695" w:rsidR="00A05966" w:rsidRPr="00ED617C" w:rsidRDefault="00A05966" w:rsidP="00A05966">
                  <w:pPr>
                    <w:pStyle w:val="TableBodyText"/>
                    <w:spacing w:before="60"/>
                    <w:rPr>
                      <w:rStyle w:val="NoteLabel"/>
                      <w:b w:val="0"/>
                    </w:rPr>
                  </w:pPr>
                </w:p>
              </w:tc>
              <w:tc>
                <w:tcPr>
                  <w:tcW w:w="921" w:type="pct"/>
                </w:tcPr>
                <w:p w14:paraId="283287A0" w14:textId="6E2B8451" w:rsidR="00A05966" w:rsidRPr="00ED617C" w:rsidRDefault="00A05966" w:rsidP="00A05966">
                  <w:pPr>
                    <w:pStyle w:val="TableBodyText"/>
                    <w:spacing w:before="60"/>
                    <w:ind w:right="28"/>
                    <w:rPr>
                      <w:rStyle w:val="NoteLabel"/>
                      <w:b w:val="0"/>
                    </w:rPr>
                  </w:pPr>
                </w:p>
              </w:tc>
            </w:tr>
            <w:tr w:rsidR="00A05966" w14:paraId="108BF0FC" w14:textId="77777777" w:rsidTr="00624D3F">
              <w:tc>
                <w:tcPr>
                  <w:tcW w:w="2159" w:type="pct"/>
                </w:tcPr>
                <w:p w14:paraId="00E8CD32" w14:textId="77777777" w:rsidR="00A05966" w:rsidRDefault="00A05966" w:rsidP="00A05966">
                  <w:pPr>
                    <w:pStyle w:val="TableBodyText"/>
                    <w:jc w:val="left"/>
                  </w:pPr>
                  <w:r>
                    <w:t xml:space="preserve">   Export revenue</w:t>
                  </w:r>
                </w:p>
              </w:tc>
              <w:tc>
                <w:tcPr>
                  <w:tcW w:w="918" w:type="pct"/>
                </w:tcPr>
                <w:p w14:paraId="7E14B7E6" w14:textId="1D6C3002" w:rsidR="00A05966" w:rsidRDefault="00B20991" w:rsidP="00A05966">
                  <w:pPr>
                    <w:pStyle w:val="TableBodyText"/>
                  </w:pPr>
                  <w:r>
                    <w:t>–</w:t>
                  </w:r>
                </w:p>
              </w:tc>
              <w:tc>
                <w:tcPr>
                  <w:tcW w:w="1002" w:type="pct"/>
                </w:tcPr>
                <w:p w14:paraId="7BDFF05B" w14:textId="66B95BC4" w:rsidR="00A05966" w:rsidRDefault="00B20991" w:rsidP="00A05966">
                  <w:pPr>
                    <w:pStyle w:val="TableBodyText"/>
                  </w:pPr>
                  <w:r>
                    <w:t>–</w:t>
                  </w:r>
                </w:p>
              </w:tc>
              <w:tc>
                <w:tcPr>
                  <w:tcW w:w="921" w:type="pct"/>
                </w:tcPr>
                <w:p w14:paraId="5914DDC0" w14:textId="734BA195" w:rsidR="00A05966" w:rsidRDefault="00A05966" w:rsidP="00A05966">
                  <w:pPr>
                    <w:pStyle w:val="TableBodyText"/>
                    <w:ind w:right="28"/>
                  </w:pPr>
                  <w:r>
                    <w:t>-2 </w:t>
                  </w:r>
                  <w:r w:rsidRPr="00157718">
                    <w:t>330</w:t>
                  </w:r>
                </w:p>
              </w:tc>
            </w:tr>
            <w:tr w:rsidR="00A05966" w14:paraId="08107253" w14:textId="77777777" w:rsidTr="00624D3F">
              <w:tc>
                <w:tcPr>
                  <w:tcW w:w="2159" w:type="pct"/>
                  <w:shd w:val="clear" w:color="auto" w:fill="auto"/>
                </w:tcPr>
                <w:p w14:paraId="63A8AC0A" w14:textId="77777777" w:rsidR="00A05966" w:rsidRDefault="00A05966" w:rsidP="00A05966">
                  <w:pPr>
                    <w:pStyle w:val="TableBodyText"/>
                    <w:jc w:val="left"/>
                  </w:pPr>
                  <w:r>
                    <w:t xml:space="preserve">   Domestic revenue</w:t>
                  </w:r>
                </w:p>
              </w:tc>
              <w:tc>
                <w:tcPr>
                  <w:tcW w:w="918" w:type="pct"/>
                </w:tcPr>
                <w:p w14:paraId="58DCFA2F" w14:textId="1520DBB9" w:rsidR="00A05966" w:rsidRDefault="00A05966" w:rsidP="00A05966">
                  <w:pPr>
                    <w:pStyle w:val="TableBodyText"/>
                  </w:pPr>
                  <w:r w:rsidRPr="001E15BC">
                    <w:t>-18</w:t>
                  </w:r>
                </w:p>
              </w:tc>
              <w:tc>
                <w:tcPr>
                  <w:tcW w:w="1002" w:type="pct"/>
                  <w:shd w:val="clear" w:color="auto" w:fill="auto"/>
                </w:tcPr>
                <w:p w14:paraId="3076D543" w14:textId="264C0439" w:rsidR="00A05966" w:rsidRDefault="00A05966" w:rsidP="00A05966">
                  <w:pPr>
                    <w:pStyle w:val="TableBodyText"/>
                  </w:pPr>
                  <w:r w:rsidRPr="00EC3435">
                    <w:t>-26</w:t>
                  </w:r>
                </w:p>
              </w:tc>
              <w:tc>
                <w:tcPr>
                  <w:tcW w:w="921" w:type="pct"/>
                  <w:shd w:val="clear" w:color="auto" w:fill="auto"/>
                </w:tcPr>
                <w:p w14:paraId="59E02C4D" w14:textId="3782B3A9" w:rsidR="00A05966" w:rsidRDefault="00A05966" w:rsidP="00A05966">
                  <w:pPr>
                    <w:pStyle w:val="TableBodyText"/>
                    <w:ind w:right="28"/>
                  </w:pPr>
                  <w:r w:rsidRPr="00157718">
                    <w:t>19</w:t>
                  </w:r>
                </w:p>
              </w:tc>
            </w:tr>
            <w:tr w:rsidR="00A05966" w14:paraId="24EBF676" w14:textId="77777777" w:rsidTr="00624D3F">
              <w:tc>
                <w:tcPr>
                  <w:tcW w:w="2159" w:type="pct"/>
                  <w:shd w:val="clear" w:color="auto" w:fill="auto"/>
                </w:tcPr>
                <w:p w14:paraId="79FE804A" w14:textId="77777777" w:rsidR="00A05966" w:rsidRDefault="00A05966" w:rsidP="00A05966">
                  <w:pPr>
                    <w:pStyle w:val="TableBodyText"/>
                    <w:jc w:val="left"/>
                  </w:pPr>
                  <w:r>
                    <w:t xml:space="preserve">   </w:t>
                  </w:r>
                  <w:r w:rsidRPr="00D915B5">
                    <w:rPr>
                      <w:i/>
                    </w:rPr>
                    <w:t>less</w:t>
                  </w:r>
                  <w:r>
                    <w:t xml:space="preserve"> Investment costs</w:t>
                  </w:r>
                </w:p>
              </w:tc>
              <w:tc>
                <w:tcPr>
                  <w:tcW w:w="918" w:type="pct"/>
                </w:tcPr>
                <w:p w14:paraId="338C822E" w14:textId="289A10D0" w:rsidR="00A05966" w:rsidRDefault="00A05966" w:rsidP="00A05966">
                  <w:pPr>
                    <w:pStyle w:val="TableBodyText"/>
                  </w:pPr>
                  <w:r w:rsidRPr="001E15BC">
                    <w:t>140</w:t>
                  </w:r>
                </w:p>
              </w:tc>
              <w:tc>
                <w:tcPr>
                  <w:tcW w:w="1002" w:type="pct"/>
                  <w:shd w:val="clear" w:color="auto" w:fill="auto"/>
                </w:tcPr>
                <w:p w14:paraId="306AFCBF" w14:textId="4D4AB913" w:rsidR="00A05966" w:rsidRDefault="00A05966" w:rsidP="00A05966">
                  <w:pPr>
                    <w:pStyle w:val="TableBodyText"/>
                  </w:pPr>
                  <w:r w:rsidRPr="00EC3435">
                    <w:t>463</w:t>
                  </w:r>
                </w:p>
              </w:tc>
              <w:tc>
                <w:tcPr>
                  <w:tcW w:w="921" w:type="pct"/>
                  <w:shd w:val="clear" w:color="auto" w:fill="auto"/>
                </w:tcPr>
                <w:p w14:paraId="136F03A8" w14:textId="2C332ED7" w:rsidR="00A05966" w:rsidRDefault="00A05966" w:rsidP="00A05966">
                  <w:pPr>
                    <w:pStyle w:val="TableBodyText"/>
                    <w:ind w:right="28"/>
                  </w:pPr>
                  <w:r w:rsidRPr="00157718">
                    <w:t>-713</w:t>
                  </w:r>
                </w:p>
              </w:tc>
            </w:tr>
            <w:tr w:rsidR="00A05966" w14:paraId="1C57E7AB" w14:textId="77777777" w:rsidTr="00624D3F">
              <w:tc>
                <w:tcPr>
                  <w:tcW w:w="2159" w:type="pct"/>
                  <w:shd w:val="clear" w:color="auto" w:fill="auto"/>
                </w:tcPr>
                <w:p w14:paraId="0B5AC9B6" w14:textId="77777777" w:rsidR="00A05966" w:rsidRDefault="00A05966" w:rsidP="00A05966">
                  <w:pPr>
                    <w:pStyle w:val="TableBodyText"/>
                    <w:jc w:val="left"/>
                  </w:pPr>
                  <w:r>
                    <w:t xml:space="preserve">   </w:t>
                  </w:r>
                  <w:r w:rsidRPr="00D915B5">
                    <w:rPr>
                      <w:i/>
                    </w:rPr>
                    <w:t>less</w:t>
                  </w:r>
                  <w:r>
                    <w:t xml:space="preserve"> Operating costs</w:t>
                  </w:r>
                </w:p>
              </w:tc>
              <w:tc>
                <w:tcPr>
                  <w:tcW w:w="918" w:type="pct"/>
                </w:tcPr>
                <w:p w14:paraId="34F9117A" w14:textId="3983D5C7" w:rsidR="00A05966" w:rsidRPr="00755301" w:rsidRDefault="00A05966" w:rsidP="00A05966">
                  <w:pPr>
                    <w:pStyle w:val="TableBodyText"/>
                  </w:pPr>
                  <w:r w:rsidRPr="001E15BC">
                    <w:t>-163</w:t>
                  </w:r>
                </w:p>
              </w:tc>
              <w:tc>
                <w:tcPr>
                  <w:tcW w:w="1002" w:type="pct"/>
                  <w:shd w:val="clear" w:color="auto" w:fill="auto"/>
                </w:tcPr>
                <w:p w14:paraId="52203E4D" w14:textId="46AAFAD9" w:rsidR="00A05966" w:rsidRPr="00755301" w:rsidRDefault="00A05966" w:rsidP="00A05966">
                  <w:pPr>
                    <w:pStyle w:val="TableBodyText"/>
                  </w:pPr>
                  <w:r w:rsidRPr="00EC3435">
                    <w:t>28</w:t>
                  </w:r>
                </w:p>
              </w:tc>
              <w:tc>
                <w:tcPr>
                  <w:tcW w:w="921" w:type="pct"/>
                  <w:shd w:val="clear" w:color="auto" w:fill="auto"/>
                </w:tcPr>
                <w:p w14:paraId="3A02E6AA" w14:textId="4298BCC8" w:rsidR="00A05966" w:rsidRPr="00B934AC" w:rsidRDefault="00A05966" w:rsidP="00A05966">
                  <w:pPr>
                    <w:pStyle w:val="TableBodyText"/>
                    <w:ind w:right="28"/>
                  </w:pPr>
                  <w:r w:rsidRPr="00157718">
                    <w:t>-2</w:t>
                  </w:r>
                  <w:r>
                    <w:t> </w:t>
                  </w:r>
                  <w:r w:rsidRPr="00157718">
                    <w:t>130</w:t>
                  </w:r>
                </w:p>
              </w:tc>
            </w:tr>
            <w:tr w:rsidR="002A2672" w14:paraId="6D82E328" w14:textId="77777777" w:rsidTr="00624D3F">
              <w:tc>
                <w:tcPr>
                  <w:tcW w:w="2159" w:type="pct"/>
                  <w:shd w:val="clear" w:color="auto" w:fill="auto"/>
                </w:tcPr>
                <w:p w14:paraId="3AD1431D" w14:textId="0CFCF804" w:rsidR="002A2672" w:rsidRDefault="002A2672" w:rsidP="00A05966">
                  <w:pPr>
                    <w:pStyle w:val="TableBodyText"/>
                    <w:jc w:val="left"/>
                  </w:pPr>
                  <w:r>
                    <w:t>Total producer surplus</w:t>
                  </w:r>
                </w:p>
              </w:tc>
              <w:tc>
                <w:tcPr>
                  <w:tcW w:w="918" w:type="pct"/>
                </w:tcPr>
                <w:p w14:paraId="090880C3" w14:textId="7DEAF9BA" w:rsidR="002A2672" w:rsidRPr="001E15BC" w:rsidRDefault="002A2672" w:rsidP="00A05966">
                  <w:pPr>
                    <w:pStyle w:val="TableBodyText"/>
                  </w:pPr>
                  <w:r w:rsidRPr="001E15BC">
                    <w:t>5</w:t>
                  </w:r>
                </w:p>
              </w:tc>
              <w:tc>
                <w:tcPr>
                  <w:tcW w:w="1002" w:type="pct"/>
                  <w:shd w:val="clear" w:color="auto" w:fill="auto"/>
                </w:tcPr>
                <w:p w14:paraId="2640686C" w14:textId="3A7B44BD" w:rsidR="002A2672" w:rsidRPr="00EC3435" w:rsidRDefault="002A2672" w:rsidP="00A05966">
                  <w:pPr>
                    <w:pStyle w:val="TableBodyText"/>
                  </w:pPr>
                  <w:r w:rsidRPr="00EC3435">
                    <w:t>-517</w:t>
                  </w:r>
                </w:p>
              </w:tc>
              <w:tc>
                <w:tcPr>
                  <w:tcW w:w="921" w:type="pct"/>
                  <w:shd w:val="clear" w:color="auto" w:fill="auto"/>
                </w:tcPr>
                <w:p w14:paraId="0FF2B7D3" w14:textId="627DBE5E" w:rsidR="002A2672" w:rsidRPr="00157718" w:rsidRDefault="002A2672" w:rsidP="00A05966">
                  <w:pPr>
                    <w:pStyle w:val="TableBodyText"/>
                    <w:ind w:right="28"/>
                  </w:pPr>
                  <w:r w:rsidRPr="00157718">
                    <w:t>531</w:t>
                  </w:r>
                </w:p>
              </w:tc>
            </w:tr>
            <w:tr w:rsidR="002A2672" w14:paraId="3BBD5712" w14:textId="77777777" w:rsidTr="00624D3F">
              <w:tc>
                <w:tcPr>
                  <w:tcW w:w="2159" w:type="pct"/>
                  <w:tcBorders>
                    <w:bottom w:val="single" w:sz="6" w:space="0" w:color="BFBFBF"/>
                  </w:tcBorders>
                  <w:shd w:val="clear" w:color="auto" w:fill="auto"/>
                </w:tcPr>
                <w:p w14:paraId="735F51C7" w14:textId="3AA36C2A" w:rsidR="002A2672" w:rsidRPr="00ED617C" w:rsidRDefault="002A2672" w:rsidP="00A05966">
                  <w:pPr>
                    <w:pStyle w:val="TableBodyText"/>
                    <w:spacing w:before="80"/>
                    <w:jc w:val="left"/>
                    <w:rPr>
                      <w:b/>
                    </w:rPr>
                  </w:pPr>
                  <w:r w:rsidRPr="00ED617C">
                    <w:rPr>
                      <w:b/>
                    </w:rPr>
                    <w:t xml:space="preserve">Total </w:t>
                  </w:r>
                  <w:r w:rsidR="00551DB2">
                    <w:rPr>
                      <w:b/>
                    </w:rPr>
                    <w:t xml:space="preserve">economic </w:t>
                  </w:r>
                  <w:r w:rsidRPr="00ED617C">
                    <w:rPr>
                      <w:b/>
                    </w:rPr>
                    <w:t>welfare</w:t>
                  </w:r>
                </w:p>
              </w:tc>
              <w:tc>
                <w:tcPr>
                  <w:tcW w:w="918" w:type="pct"/>
                  <w:tcBorders>
                    <w:bottom w:val="single" w:sz="6" w:space="0" w:color="BFBFBF"/>
                  </w:tcBorders>
                </w:tcPr>
                <w:p w14:paraId="2AD12426" w14:textId="5E1C358A" w:rsidR="002A2672" w:rsidRPr="00ED617C" w:rsidRDefault="002A2672" w:rsidP="00A05966">
                  <w:pPr>
                    <w:pStyle w:val="TableBodyText"/>
                    <w:spacing w:before="80"/>
                    <w:rPr>
                      <w:b/>
                    </w:rPr>
                  </w:pPr>
                  <w:r w:rsidRPr="00A05966">
                    <w:rPr>
                      <w:b/>
                    </w:rPr>
                    <w:t>-175</w:t>
                  </w:r>
                </w:p>
              </w:tc>
              <w:tc>
                <w:tcPr>
                  <w:tcW w:w="1002" w:type="pct"/>
                  <w:tcBorders>
                    <w:bottom w:val="single" w:sz="6" w:space="0" w:color="BFBFBF"/>
                  </w:tcBorders>
                  <w:shd w:val="clear" w:color="auto" w:fill="auto"/>
                </w:tcPr>
                <w:p w14:paraId="34648C03" w14:textId="059BE975" w:rsidR="002A2672" w:rsidRPr="00ED617C" w:rsidRDefault="002A2672" w:rsidP="00A05966">
                  <w:pPr>
                    <w:pStyle w:val="TableBodyText"/>
                    <w:spacing w:before="80"/>
                    <w:rPr>
                      <w:b/>
                    </w:rPr>
                  </w:pPr>
                  <w:r w:rsidRPr="00A05966">
                    <w:rPr>
                      <w:b/>
                    </w:rPr>
                    <w:t>-144</w:t>
                  </w:r>
                </w:p>
              </w:tc>
              <w:tc>
                <w:tcPr>
                  <w:tcW w:w="921" w:type="pct"/>
                  <w:tcBorders>
                    <w:bottom w:val="single" w:sz="6" w:space="0" w:color="BFBFBF"/>
                  </w:tcBorders>
                  <w:shd w:val="clear" w:color="auto" w:fill="auto"/>
                </w:tcPr>
                <w:p w14:paraId="105C3080" w14:textId="561E9879" w:rsidR="002A2672" w:rsidRPr="00ED617C" w:rsidRDefault="002A2672" w:rsidP="00A05966">
                  <w:pPr>
                    <w:pStyle w:val="TableBodyText"/>
                    <w:spacing w:before="80"/>
                    <w:ind w:right="28"/>
                    <w:rPr>
                      <w:b/>
                    </w:rPr>
                  </w:pPr>
                  <w:r w:rsidRPr="00A05966">
                    <w:rPr>
                      <w:b/>
                    </w:rPr>
                    <w:t>-208</w:t>
                  </w:r>
                </w:p>
              </w:tc>
            </w:tr>
          </w:tbl>
          <w:p w14:paraId="69C22CB2" w14:textId="77777777" w:rsidR="00A05966" w:rsidRDefault="00A05966" w:rsidP="00A05966">
            <w:pPr>
              <w:pStyle w:val="Box"/>
            </w:pPr>
          </w:p>
        </w:tc>
      </w:tr>
      <w:tr w:rsidR="00A05966" w14:paraId="00D906E5" w14:textId="77777777" w:rsidTr="00A05966">
        <w:trPr>
          <w:cantSplit/>
        </w:trPr>
        <w:tc>
          <w:tcPr>
            <w:tcW w:w="8771" w:type="dxa"/>
            <w:tcBorders>
              <w:top w:val="nil"/>
              <w:left w:val="nil"/>
              <w:bottom w:val="nil"/>
              <w:right w:val="nil"/>
            </w:tcBorders>
            <w:shd w:val="clear" w:color="auto" w:fill="auto"/>
          </w:tcPr>
          <w:p w14:paraId="123E7346" w14:textId="735446B0" w:rsidR="00A05966" w:rsidRDefault="00701A93" w:rsidP="00A05966">
            <w:pPr>
              <w:pStyle w:val="Note"/>
              <w:rPr>
                <w:i/>
              </w:rPr>
            </w:pPr>
            <w:proofErr w:type="gramStart"/>
            <w:r w:rsidRPr="008E77FE">
              <w:rPr>
                <w:rStyle w:val="NoteLabel"/>
              </w:rPr>
              <w:t>a</w:t>
            </w:r>
            <w:proofErr w:type="gramEnd"/>
            <w:r>
              <w:t xml:space="preserve"> Consumer surplus for gas users within </w:t>
            </w:r>
            <w:r w:rsidR="00DF5213">
              <w:t>the eastern Australian gas market.</w:t>
            </w:r>
            <w:r>
              <w:t xml:space="preserve"> </w:t>
            </w:r>
            <w:proofErr w:type="gramStart"/>
            <w:r w:rsidR="007568EE">
              <w:rPr>
                <w:rStyle w:val="NoteLabel"/>
              </w:rPr>
              <w:t>b</w:t>
            </w:r>
            <w:proofErr w:type="gramEnd"/>
            <w:r w:rsidR="007568EE">
              <w:t xml:space="preserve"> The terminal value of reserves and assets is the value of remaining gas reserves and gas supply assets at the end of 2032, including the value of gas production and use between 2033 and 2052.</w:t>
            </w:r>
            <w:r w:rsidR="00DE2804">
              <w:rPr>
                <w:rStyle w:val="NoteLabel"/>
              </w:rPr>
              <w:t xml:space="preserve"> </w:t>
            </w:r>
            <w:proofErr w:type="gramStart"/>
            <w:r w:rsidR="00DE2804">
              <w:rPr>
                <w:rStyle w:val="NoteLabel"/>
              </w:rPr>
              <w:t>c</w:t>
            </w:r>
            <w:proofErr w:type="gramEnd"/>
            <w:r w:rsidR="00DE2804">
              <w:t xml:space="preserve"> Producer surplus </w:t>
            </w:r>
            <w:r w:rsidR="00D812FF">
              <w:t>is</w:t>
            </w:r>
            <w:r w:rsidR="00DF5213">
              <w:t xml:space="preserve"> calculated </w:t>
            </w:r>
            <w:r w:rsidR="00DE2804">
              <w:t xml:space="preserve">as the change in revenue less </w:t>
            </w:r>
            <w:r w:rsidR="00943A62">
              <w:t>the change</w:t>
            </w:r>
            <w:r w:rsidR="00DE2804">
              <w:t xml:space="preserve"> in costs in a </w:t>
            </w:r>
            <w:r w:rsidR="00FB6D97">
              <w:t xml:space="preserve">competitive </w:t>
            </w:r>
            <w:r w:rsidR="00DE2804">
              <w:t xml:space="preserve">market equilibrium </w:t>
            </w:r>
            <w:r w:rsidR="00440F8A">
              <w:t>(that is, in the absence of any market power)</w:t>
            </w:r>
            <w:r w:rsidR="00DE2804">
              <w:t>.</w:t>
            </w:r>
            <w:r w:rsidR="00B20991">
              <w:t xml:space="preserve"> – Nil or rounded to zero.</w:t>
            </w:r>
          </w:p>
        </w:tc>
      </w:tr>
      <w:tr w:rsidR="00A05966" w14:paraId="5450342A" w14:textId="77777777" w:rsidTr="00A05966">
        <w:trPr>
          <w:cantSplit/>
        </w:trPr>
        <w:tc>
          <w:tcPr>
            <w:tcW w:w="8771" w:type="dxa"/>
            <w:tcBorders>
              <w:top w:val="nil"/>
              <w:left w:val="nil"/>
              <w:bottom w:val="nil"/>
              <w:right w:val="nil"/>
            </w:tcBorders>
            <w:shd w:val="clear" w:color="auto" w:fill="auto"/>
          </w:tcPr>
          <w:p w14:paraId="20EA3717" w14:textId="20A44D65" w:rsidR="00A05966" w:rsidRDefault="008E4AB1" w:rsidP="00A05966">
            <w:pPr>
              <w:pStyle w:val="Source"/>
            </w:pPr>
            <w:r>
              <w:rPr>
                <w:i/>
              </w:rPr>
              <w:t>Source</w:t>
            </w:r>
            <w:r w:rsidRPr="00624D3F">
              <w:t>:</w:t>
            </w:r>
            <w:r>
              <w:rPr>
                <w:i/>
              </w:rPr>
              <w:t xml:space="preserve"> </w:t>
            </w:r>
            <w:r>
              <w:t>Commission estimates</w:t>
            </w:r>
            <w:r w:rsidR="00A05966">
              <w:t>.</w:t>
            </w:r>
          </w:p>
        </w:tc>
      </w:tr>
      <w:tr w:rsidR="00A05966" w14:paraId="7D968916" w14:textId="77777777" w:rsidTr="00A05966">
        <w:trPr>
          <w:cantSplit/>
        </w:trPr>
        <w:tc>
          <w:tcPr>
            <w:tcW w:w="8771" w:type="dxa"/>
            <w:tcBorders>
              <w:top w:val="nil"/>
              <w:left w:val="nil"/>
              <w:bottom w:val="single" w:sz="6" w:space="0" w:color="78A22F"/>
              <w:right w:val="nil"/>
            </w:tcBorders>
            <w:shd w:val="clear" w:color="auto" w:fill="auto"/>
          </w:tcPr>
          <w:p w14:paraId="23EE0730" w14:textId="77777777" w:rsidR="00A05966" w:rsidRDefault="00A05966" w:rsidP="00A05966">
            <w:pPr>
              <w:pStyle w:val="Box"/>
              <w:spacing w:before="0" w:line="120" w:lineRule="exact"/>
            </w:pPr>
          </w:p>
        </w:tc>
      </w:tr>
      <w:tr w:rsidR="00A05966" w:rsidRPr="000863A5" w14:paraId="4F9328DD" w14:textId="77777777" w:rsidTr="00A05966">
        <w:tc>
          <w:tcPr>
            <w:tcW w:w="8771" w:type="dxa"/>
            <w:tcBorders>
              <w:top w:val="single" w:sz="6" w:space="0" w:color="78A22F"/>
              <w:left w:val="nil"/>
              <w:bottom w:val="nil"/>
              <w:right w:val="nil"/>
            </w:tcBorders>
          </w:tcPr>
          <w:p w14:paraId="13160A3B" w14:textId="7BDE8625" w:rsidR="00A05966" w:rsidRPr="00626D32" w:rsidRDefault="00A05966" w:rsidP="00A05966">
            <w:pPr>
              <w:pStyle w:val="BoxSpaceBelow"/>
            </w:pPr>
          </w:p>
        </w:tc>
      </w:tr>
    </w:tbl>
    <w:p w14:paraId="3449FF74" w14:textId="77777777" w:rsidR="00AD46C7" w:rsidRDefault="00AD46C7" w:rsidP="002F2CB5">
      <w:pPr>
        <w:pStyle w:val="Heading2"/>
      </w:pPr>
    </w:p>
    <w:p w14:paraId="60F6043E" w14:textId="77777777" w:rsidR="00AD46C7" w:rsidRDefault="00AD46C7" w:rsidP="00AD46C7">
      <w:pPr>
        <w:pStyle w:val="BodyText"/>
        <w:rPr>
          <w:rFonts w:ascii="Arial" w:hAnsi="Arial"/>
          <w:sz w:val="32"/>
        </w:rPr>
      </w:pPr>
      <w:r>
        <w:br w:type="page"/>
      </w:r>
    </w:p>
    <w:p w14:paraId="5CF6CF10" w14:textId="15D9D611" w:rsidR="007A5FCF" w:rsidDel="00F813E4" w:rsidRDefault="002F2CB5" w:rsidP="002F2CB5">
      <w:pPr>
        <w:pStyle w:val="Heading2"/>
      </w:pPr>
      <w:r>
        <w:lastRenderedPageBreak/>
        <w:t>C.2</w:t>
      </w:r>
      <w:r>
        <w:tab/>
      </w:r>
      <w:r w:rsidR="007A5FCF">
        <w:t>Sensitivity analysis</w:t>
      </w:r>
    </w:p>
    <w:p w14:paraId="772B64E4" w14:textId="53352C4E" w:rsidR="003D5ECA" w:rsidRPr="00135E9E" w:rsidRDefault="002A3871" w:rsidP="003D5ECA">
      <w:pPr>
        <w:pStyle w:val="BodyText"/>
      </w:pPr>
      <w:r>
        <w:t>S</w:t>
      </w:r>
      <w:r w:rsidR="007A5FCF">
        <w:t xml:space="preserve">ensitivity analysis </w:t>
      </w:r>
      <w:r>
        <w:t xml:space="preserve">has been undertaken </w:t>
      </w:r>
      <w:r w:rsidR="002D5A04">
        <w:t>to explore the sensitivity of results to</w:t>
      </w:r>
      <w:r w:rsidR="007A5FCF">
        <w:t xml:space="preserve"> </w:t>
      </w:r>
      <w:r w:rsidR="00B627D4">
        <w:t>selected</w:t>
      </w:r>
      <w:r w:rsidR="007A5FCF">
        <w:t xml:space="preserve"> </w:t>
      </w:r>
      <w:r w:rsidR="002D5A04">
        <w:t>parameters</w:t>
      </w:r>
      <w:r w:rsidR="00607229">
        <w:t xml:space="preserve"> (table </w:t>
      </w:r>
      <w:r w:rsidR="00D87CCD">
        <w:t>C.5</w:t>
      </w:r>
      <w:r w:rsidR="00607229">
        <w:t>)</w:t>
      </w:r>
      <w:r w:rsidR="002D5A04">
        <w:t xml:space="preserve">. These parameters have been </w:t>
      </w:r>
      <w:r w:rsidR="001777B5">
        <w:t>selected</w:t>
      </w:r>
      <w:r w:rsidR="002D5A04">
        <w:t xml:space="preserve"> because their true values are </w:t>
      </w:r>
      <w:proofErr w:type="gramStart"/>
      <w:r w:rsidR="002D5A04">
        <w:t>uncertain</w:t>
      </w:r>
      <w:r w:rsidR="00DC3320">
        <w:t>,</w:t>
      </w:r>
      <w:proofErr w:type="gramEnd"/>
      <w:r w:rsidR="00DC3320">
        <w:t xml:space="preserve"> </w:t>
      </w:r>
      <w:r w:rsidR="001777B5">
        <w:t xml:space="preserve">they </w:t>
      </w:r>
      <w:r w:rsidR="00E31192">
        <w:t xml:space="preserve">are likely </w:t>
      </w:r>
      <w:r w:rsidR="00DC3320">
        <w:t xml:space="preserve">have an important influence on market outcomes and </w:t>
      </w:r>
      <w:r w:rsidR="001777B5">
        <w:t>are key parameters in the model</w:t>
      </w:r>
      <w:r w:rsidR="002D5A04">
        <w:t xml:space="preserve"> </w:t>
      </w:r>
      <w:r w:rsidR="00B627D4">
        <w:t>(table</w:t>
      </w:r>
      <w:r w:rsidR="001777B5">
        <w:t> </w:t>
      </w:r>
      <w:r w:rsidR="00A40158">
        <w:t>C.6</w:t>
      </w:r>
      <w:r w:rsidR="00B627D4" w:rsidRPr="00B627D4">
        <w:t>)</w:t>
      </w:r>
      <w:r w:rsidR="00B733A6">
        <w:t>.</w:t>
      </w:r>
      <w:r w:rsidR="003D5ECA" w:rsidRPr="003D5ECA">
        <w:t xml:space="preserve"> </w:t>
      </w:r>
      <w:r w:rsidR="001777B5">
        <w:t xml:space="preserve">For each sensitivity analysis, a </w:t>
      </w:r>
      <w:r w:rsidR="00952AE6">
        <w:t>single</w:t>
      </w:r>
      <w:r w:rsidR="003D5ECA">
        <w:t xml:space="preserve"> parameter was varied, holding other parameters constant. </w:t>
      </w:r>
      <w:r w:rsidR="003D5ECA" w:rsidRPr="00135E9E">
        <w:t>All sensitivity analys</w:t>
      </w:r>
      <w:r w:rsidR="00F813E4">
        <w:t>is</w:t>
      </w:r>
      <w:r w:rsidR="003D5ECA" w:rsidRPr="00135E9E">
        <w:t xml:space="preserve"> </w:t>
      </w:r>
      <w:r w:rsidR="003D5ECA">
        <w:t>w</w:t>
      </w:r>
      <w:r w:rsidR="00F813E4">
        <w:t>as</w:t>
      </w:r>
      <w:r w:rsidR="003D5ECA" w:rsidRPr="00135E9E">
        <w:t xml:space="preserve"> </w:t>
      </w:r>
      <w:r w:rsidR="00952AE6">
        <w:t>undertaken</w:t>
      </w:r>
      <w:r w:rsidR="003D5ECA" w:rsidRPr="00135E9E">
        <w:t xml:space="preserve"> with central estimates for LNG prices.</w:t>
      </w:r>
    </w:p>
    <w:p w14:paraId="5AD511F2" w14:textId="22CD3C32" w:rsidR="003C054D" w:rsidRDefault="003C054D" w:rsidP="003728B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C054D" w14:paraId="1E8F9873" w14:textId="77777777" w:rsidTr="003728BD">
        <w:tc>
          <w:tcPr>
            <w:tcW w:w="8771" w:type="dxa"/>
            <w:tcBorders>
              <w:top w:val="single" w:sz="6" w:space="0" w:color="78A22F"/>
              <w:left w:val="nil"/>
              <w:bottom w:val="nil"/>
              <w:right w:val="nil"/>
            </w:tcBorders>
            <w:shd w:val="clear" w:color="auto" w:fill="auto"/>
          </w:tcPr>
          <w:p w14:paraId="168244A1" w14:textId="06B3DCB7" w:rsidR="003C054D" w:rsidRPr="00784A05" w:rsidRDefault="003C054D" w:rsidP="00847FCA">
            <w:pPr>
              <w:pStyle w:val="TableTitle"/>
            </w:pPr>
            <w:r>
              <w:rPr>
                <w:b w:val="0"/>
              </w:rPr>
              <w:t xml:space="preserve">Table </w:t>
            </w:r>
            <w:bookmarkStart w:id="13" w:name="OLE_LINK1"/>
            <w:r>
              <w:rPr>
                <w:b w:val="0"/>
              </w:rPr>
              <w:fldChar w:fldCharType="begin"/>
            </w:r>
            <w:r>
              <w:rPr>
                <w:b w:val="0"/>
              </w:rPr>
              <w:instrText xml:space="preserve"> COMMENTS  \* MERGEFORMAT </w:instrText>
            </w:r>
            <w:r>
              <w:rPr>
                <w:b w:val="0"/>
              </w:rPr>
              <w:fldChar w:fldCharType="separate"/>
            </w:r>
            <w:r w:rsidR="00A40158">
              <w:rPr>
                <w:b w:val="0"/>
              </w:rPr>
              <w:t>C.</w:t>
            </w:r>
            <w:r>
              <w:rPr>
                <w:b w:val="0"/>
              </w:rPr>
              <w:fldChar w:fldCharType="end"/>
            </w:r>
            <w:r>
              <w:rPr>
                <w:b w:val="0"/>
              </w:rPr>
              <w:fldChar w:fldCharType="begin"/>
            </w:r>
            <w:r>
              <w:rPr>
                <w:b w:val="0"/>
              </w:rPr>
              <w:instrText xml:space="preserve"> SEQ Table \* ARABIC </w:instrText>
            </w:r>
            <w:r>
              <w:rPr>
                <w:b w:val="0"/>
              </w:rPr>
              <w:fldChar w:fldCharType="separate"/>
            </w:r>
            <w:r w:rsidR="00872E65">
              <w:rPr>
                <w:b w:val="0"/>
                <w:noProof/>
              </w:rPr>
              <w:t>5</w:t>
            </w:r>
            <w:r>
              <w:rPr>
                <w:b w:val="0"/>
              </w:rPr>
              <w:fldChar w:fldCharType="end"/>
            </w:r>
            <w:bookmarkEnd w:id="13"/>
            <w:r>
              <w:tab/>
              <w:t>Sensitivity analysis</w:t>
            </w:r>
          </w:p>
        </w:tc>
      </w:tr>
      <w:tr w:rsidR="003C054D" w14:paraId="4C9794F9" w14:textId="77777777" w:rsidTr="003728BD">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79"/>
              <w:gridCol w:w="6808"/>
            </w:tblGrid>
            <w:tr w:rsidR="0083551B" w14:paraId="27CFC588" w14:textId="77777777" w:rsidTr="003C2B23">
              <w:tc>
                <w:tcPr>
                  <w:tcW w:w="989" w:type="pct"/>
                  <w:tcBorders>
                    <w:top w:val="single" w:sz="6" w:space="0" w:color="BFBFBF"/>
                    <w:bottom w:val="single" w:sz="6" w:space="0" w:color="BFBFBF"/>
                  </w:tcBorders>
                  <w:shd w:val="clear" w:color="auto" w:fill="auto"/>
                  <w:tcMar>
                    <w:top w:w="28" w:type="dxa"/>
                  </w:tcMar>
                </w:tcPr>
                <w:p w14:paraId="05D843F4" w14:textId="48E72E86" w:rsidR="0083551B" w:rsidRDefault="0083551B" w:rsidP="003C054D">
                  <w:pPr>
                    <w:pStyle w:val="TableColumnHeading"/>
                    <w:jc w:val="left"/>
                  </w:pPr>
                  <w:r>
                    <w:t>Sensitivity analysis</w:t>
                  </w:r>
                </w:p>
              </w:tc>
              <w:tc>
                <w:tcPr>
                  <w:tcW w:w="4011" w:type="pct"/>
                  <w:tcBorders>
                    <w:top w:val="single" w:sz="6" w:space="0" w:color="BFBFBF"/>
                    <w:bottom w:val="single" w:sz="6" w:space="0" w:color="BFBFBF"/>
                  </w:tcBorders>
                  <w:shd w:val="clear" w:color="auto" w:fill="auto"/>
                  <w:tcMar>
                    <w:top w:w="28" w:type="dxa"/>
                  </w:tcMar>
                </w:tcPr>
                <w:p w14:paraId="54B3A8C1" w14:textId="0EC66897" w:rsidR="0083551B" w:rsidRDefault="0083551B" w:rsidP="00B733A6">
                  <w:pPr>
                    <w:pStyle w:val="TableColumnHeading"/>
                    <w:jc w:val="left"/>
                  </w:pPr>
                  <w:r>
                    <w:t>Motivation</w:t>
                  </w:r>
                </w:p>
              </w:tc>
            </w:tr>
            <w:tr w:rsidR="00A503F5" w14:paraId="5EBC2A49" w14:textId="77777777" w:rsidTr="003C2B23">
              <w:tc>
                <w:tcPr>
                  <w:tcW w:w="989" w:type="pct"/>
                  <w:tcBorders>
                    <w:top w:val="single" w:sz="6" w:space="0" w:color="BFBFBF"/>
                  </w:tcBorders>
                </w:tcPr>
                <w:p w14:paraId="68D9B816" w14:textId="294F3D85" w:rsidR="00A503F5" w:rsidRDefault="00A503F5" w:rsidP="003C054D">
                  <w:pPr>
                    <w:pStyle w:val="TableUnitsRow"/>
                    <w:jc w:val="left"/>
                  </w:pPr>
                  <w:r>
                    <w:t>Res</w:t>
                  </w:r>
                  <w:r w:rsidR="002D5A04">
                    <w:t>erves</w:t>
                  </w:r>
                  <w:r>
                    <w:t xml:space="preserve"> growth</w:t>
                  </w:r>
                </w:p>
              </w:tc>
              <w:tc>
                <w:tcPr>
                  <w:tcW w:w="4011" w:type="pct"/>
                  <w:tcBorders>
                    <w:top w:val="single" w:sz="6" w:space="0" w:color="BFBFBF"/>
                  </w:tcBorders>
                </w:tcPr>
                <w:p w14:paraId="0378215A" w14:textId="48680D20" w:rsidR="00A503F5" w:rsidRDefault="009578F0">
                  <w:pPr>
                    <w:pStyle w:val="TableUnitsRow"/>
                    <w:jc w:val="left"/>
                    <w:rPr>
                      <w:i/>
                    </w:rPr>
                  </w:pPr>
                  <w:r>
                    <w:t xml:space="preserve">There is considerable uncertainty about future gas </w:t>
                  </w:r>
                  <w:r w:rsidR="000761BA">
                    <w:t>reserves</w:t>
                  </w:r>
                  <w:r w:rsidR="002D5A04">
                    <w:t xml:space="preserve">, which will depend on </w:t>
                  </w:r>
                  <w:r w:rsidR="001777B5">
                    <w:t xml:space="preserve">the level and timing of </w:t>
                  </w:r>
                  <w:r w:rsidR="002D5A04">
                    <w:t>exploration</w:t>
                  </w:r>
                  <w:r>
                    <w:t>.</w:t>
                  </w:r>
                  <w:r w:rsidR="002D5A04">
                    <w:t xml:space="preserve"> Reserves place constraints on production fr</w:t>
                  </w:r>
                  <w:r w:rsidR="004325F0">
                    <w:t>o</w:t>
                  </w:r>
                  <w:r w:rsidR="002D5A04">
                    <w:t>m each field</w:t>
                  </w:r>
                  <w:r w:rsidR="004325F0">
                    <w:t xml:space="preserve"> and affect which fields gas is sourced from, and consequently </w:t>
                  </w:r>
                  <w:r w:rsidR="001777B5">
                    <w:t xml:space="preserve">can </w:t>
                  </w:r>
                  <w:r w:rsidR="004325F0">
                    <w:t xml:space="preserve">affect </w:t>
                  </w:r>
                  <w:r w:rsidR="002A3871">
                    <w:t>market outcomes</w:t>
                  </w:r>
                  <w:r w:rsidR="002D5A04">
                    <w:t xml:space="preserve">. </w:t>
                  </w:r>
                </w:p>
              </w:tc>
            </w:tr>
            <w:tr w:rsidR="00A503F5" w14:paraId="00DF8B22" w14:textId="77777777" w:rsidTr="003C2B23">
              <w:tc>
                <w:tcPr>
                  <w:tcW w:w="989" w:type="pct"/>
                </w:tcPr>
                <w:p w14:paraId="73AF18DE" w14:textId="3DBDAFD0" w:rsidR="00A503F5" w:rsidRDefault="00873FEE" w:rsidP="003C054D">
                  <w:pPr>
                    <w:pStyle w:val="TableBodyText"/>
                    <w:jc w:val="left"/>
                  </w:pPr>
                  <w:r>
                    <w:t>Production</w:t>
                  </w:r>
                  <w:r w:rsidR="00A503F5">
                    <w:t xml:space="preserve"> costs</w:t>
                  </w:r>
                </w:p>
              </w:tc>
              <w:tc>
                <w:tcPr>
                  <w:tcW w:w="4011" w:type="pct"/>
                </w:tcPr>
                <w:p w14:paraId="1F5A0180" w14:textId="21D5E93E" w:rsidR="00873FEE" w:rsidRDefault="00873FEE" w:rsidP="00BC6C9D">
                  <w:pPr>
                    <w:pStyle w:val="TableBodyText"/>
                    <w:jc w:val="left"/>
                  </w:pPr>
                  <w:r>
                    <w:t>There is substantial variation in publicly available estimates of the costs of producing gas</w:t>
                  </w:r>
                  <w:r w:rsidR="00B733A6">
                    <w:t xml:space="preserve">, particularly for marginal gas fields. </w:t>
                  </w:r>
                  <w:r w:rsidR="003E7ACA">
                    <w:t xml:space="preserve">Production costs </w:t>
                  </w:r>
                  <w:r w:rsidR="001777B5">
                    <w:t xml:space="preserve">can </w:t>
                  </w:r>
                  <w:r w:rsidR="003E7ACA">
                    <w:t>have a significant</w:t>
                  </w:r>
                  <w:r w:rsidR="00B733A6">
                    <w:t xml:space="preserve"> effect on results, as production costs account for the majority of </w:t>
                  </w:r>
                  <w:r w:rsidR="002D5A04">
                    <w:t xml:space="preserve">gas </w:t>
                  </w:r>
                  <w:r w:rsidR="00B733A6">
                    <w:t xml:space="preserve">supply costs. </w:t>
                  </w:r>
                </w:p>
              </w:tc>
            </w:tr>
            <w:tr w:rsidR="00A503F5" w14:paraId="5EFF0F34" w14:textId="77777777" w:rsidTr="003C2B23">
              <w:tc>
                <w:tcPr>
                  <w:tcW w:w="989" w:type="pct"/>
                </w:tcPr>
                <w:p w14:paraId="598CB5CA" w14:textId="6C1D8729" w:rsidR="00A503F5" w:rsidRDefault="00A503F5" w:rsidP="0083411E">
                  <w:pPr>
                    <w:pStyle w:val="TableBodyText"/>
                    <w:jc w:val="left"/>
                  </w:pPr>
                  <w:r>
                    <w:t>CSG development costs</w:t>
                  </w:r>
                  <w:r w:rsidR="008B2F5A">
                    <w:t xml:space="preserve"> in </w:t>
                  </w:r>
                  <w:r w:rsidR="0083411E">
                    <w:t>New South Wales</w:t>
                  </w:r>
                  <w:r w:rsidR="008B2F5A">
                    <w:t xml:space="preserve"> and Victoria</w:t>
                  </w:r>
                </w:p>
              </w:tc>
              <w:tc>
                <w:tcPr>
                  <w:tcW w:w="4011" w:type="pct"/>
                </w:tcPr>
                <w:p w14:paraId="0626E133" w14:textId="27323CB6" w:rsidR="00A503F5" w:rsidRDefault="002D5A04" w:rsidP="0083411E">
                  <w:pPr>
                    <w:pStyle w:val="TableBodyText"/>
                    <w:jc w:val="left"/>
                  </w:pPr>
                  <w:r>
                    <w:t xml:space="preserve">Development costs for CSG in </w:t>
                  </w:r>
                  <w:r w:rsidR="0083411E">
                    <w:t>New South Wales</w:t>
                  </w:r>
                  <w:r>
                    <w:t xml:space="preserve"> and Victoria are particularly uncertain, as drilling for exploration and production has been constrained by CSG moratoria. </w:t>
                  </w:r>
                  <w:r w:rsidR="003E7ACA">
                    <w:t xml:space="preserve">CSG development costs </w:t>
                  </w:r>
                  <w:r>
                    <w:t xml:space="preserve">in </w:t>
                  </w:r>
                  <w:r w:rsidR="0083411E">
                    <w:t>New South Wales</w:t>
                  </w:r>
                  <w:r>
                    <w:t xml:space="preserve"> and Victoria </w:t>
                  </w:r>
                  <w:r w:rsidR="003E7ACA">
                    <w:t>are</w:t>
                  </w:r>
                  <w:r w:rsidR="00BC6C9D">
                    <w:t xml:space="preserve"> important in</w:t>
                  </w:r>
                  <w:r w:rsidR="003E7ACA">
                    <w:t xml:space="preserve"> </w:t>
                  </w:r>
                  <w:r w:rsidR="009578F0">
                    <w:t xml:space="preserve">assessing </w:t>
                  </w:r>
                  <w:r w:rsidR="00CE72FC">
                    <w:t xml:space="preserve">the costs of CSG moratoria. </w:t>
                  </w:r>
                </w:p>
              </w:tc>
            </w:tr>
            <w:tr w:rsidR="0083551B" w14:paraId="684F5E8C" w14:textId="77777777" w:rsidTr="003C2B23">
              <w:tc>
                <w:tcPr>
                  <w:tcW w:w="989" w:type="pct"/>
                </w:tcPr>
                <w:p w14:paraId="1CBBFE45" w14:textId="0A2AFBB1" w:rsidR="0083551B" w:rsidRDefault="00B2120F" w:rsidP="003C054D">
                  <w:pPr>
                    <w:pStyle w:val="TableBodyText"/>
                    <w:jc w:val="left"/>
                  </w:pPr>
                  <w:r>
                    <w:t>System use of gas in transmission</w:t>
                  </w:r>
                </w:p>
              </w:tc>
              <w:tc>
                <w:tcPr>
                  <w:tcW w:w="4011" w:type="pct"/>
                </w:tcPr>
                <w:p w14:paraId="7E827885" w14:textId="3705BDA8" w:rsidR="0083551B" w:rsidRDefault="0083551B">
                  <w:pPr>
                    <w:pStyle w:val="TableBodyText"/>
                    <w:jc w:val="left"/>
                    <w:rPr>
                      <w:i/>
                    </w:rPr>
                  </w:pPr>
                  <w:r>
                    <w:t>System use of gas varies across pipelines. However, the model has a generic estimate of system use of gas because pipeline</w:t>
                  </w:r>
                  <w:r>
                    <w:noBreakHyphen/>
                    <w:t>specific data are not publicly available. The primary effect of system use of gas is on the short run marginal cost of transmitting gas</w:t>
                  </w:r>
                  <w:r w:rsidR="002A3871">
                    <w:t xml:space="preserve">, which is an important factor in </w:t>
                  </w:r>
                  <w:r w:rsidR="001777B5">
                    <w:t>estimating</w:t>
                  </w:r>
                  <w:r w:rsidR="002A3871">
                    <w:t xml:space="preserve"> </w:t>
                  </w:r>
                  <w:r>
                    <w:t>price differences across geographic locations.</w:t>
                  </w:r>
                  <w:r w:rsidRPr="00236559" w:rsidDel="003F37B7">
                    <w:t xml:space="preserve"> </w:t>
                  </w:r>
                </w:p>
              </w:tc>
            </w:tr>
            <w:tr w:rsidR="00A503F5" w14:paraId="27DEE24C" w14:textId="77777777" w:rsidTr="003C2B23">
              <w:tc>
                <w:tcPr>
                  <w:tcW w:w="989" w:type="pct"/>
                </w:tcPr>
                <w:p w14:paraId="679DF114" w14:textId="0ABACF18" w:rsidR="00A503F5" w:rsidRDefault="009B2366" w:rsidP="009B2366">
                  <w:pPr>
                    <w:pStyle w:val="TableBodyText"/>
                    <w:jc w:val="left"/>
                  </w:pPr>
                  <w:r>
                    <w:t>Domestic demand elasticity</w:t>
                  </w:r>
                </w:p>
              </w:tc>
              <w:tc>
                <w:tcPr>
                  <w:tcW w:w="4011" w:type="pct"/>
                </w:tcPr>
                <w:p w14:paraId="31368BA5" w14:textId="66FFA354" w:rsidR="00A503F5" w:rsidRDefault="0032649C" w:rsidP="00293085">
                  <w:pPr>
                    <w:pStyle w:val="TableBodyText"/>
                    <w:jc w:val="left"/>
                  </w:pPr>
                  <w:r>
                    <w:t xml:space="preserve">Limited data are available to provide reliable elasticity estimates for domestic demand. </w:t>
                  </w:r>
                  <w:r w:rsidR="003E0C21">
                    <w:t>The price elasticity of demand affects the shape of the demand curve for each demand type (electricity generation, industrial and residential and commercial) at each model node</w:t>
                  </w:r>
                  <w:r w:rsidR="00847FCA">
                    <w:t xml:space="preserve">, and hence the equilibrium </w:t>
                  </w:r>
                  <w:r w:rsidR="003D5ECA">
                    <w:t xml:space="preserve">quantity and </w:t>
                  </w:r>
                  <w:r w:rsidR="00847FCA">
                    <w:t>price</w:t>
                  </w:r>
                  <w:r w:rsidR="003E0C21">
                    <w:t xml:space="preserve">. </w:t>
                  </w:r>
                </w:p>
              </w:tc>
            </w:tr>
            <w:tr w:rsidR="00A503F5" w14:paraId="0775E22B" w14:textId="77777777" w:rsidTr="003C2B23">
              <w:tc>
                <w:tcPr>
                  <w:tcW w:w="989" w:type="pct"/>
                  <w:tcBorders>
                    <w:bottom w:val="single" w:sz="6" w:space="0" w:color="BFBFBF"/>
                  </w:tcBorders>
                  <w:shd w:val="clear" w:color="auto" w:fill="auto"/>
                </w:tcPr>
                <w:p w14:paraId="1AE95253" w14:textId="0E49F9E9" w:rsidR="00A503F5" w:rsidRDefault="00A503F5" w:rsidP="003C054D">
                  <w:pPr>
                    <w:pStyle w:val="TableBodyText"/>
                    <w:jc w:val="left"/>
                  </w:pPr>
                  <w:r>
                    <w:t>Domestic demand growth</w:t>
                  </w:r>
                </w:p>
              </w:tc>
              <w:tc>
                <w:tcPr>
                  <w:tcW w:w="4011" w:type="pct"/>
                  <w:tcBorders>
                    <w:bottom w:val="single" w:sz="6" w:space="0" w:color="BFBFBF"/>
                  </w:tcBorders>
                  <w:shd w:val="clear" w:color="auto" w:fill="auto"/>
                </w:tcPr>
                <w:p w14:paraId="0407EBC3" w14:textId="5B778CD9" w:rsidR="00A503F5" w:rsidRDefault="00B2120F" w:rsidP="007F5860">
                  <w:pPr>
                    <w:pStyle w:val="TableBodyText"/>
                    <w:jc w:val="left"/>
                  </w:pPr>
                  <w:r>
                    <w:t xml:space="preserve">There is considerable uncertainty about future demand for gas in the eastern Australian gas market. </w:t>
                  </w:r>
                  <w:r w:rsidR="003E0C21">
                    <w:t xml:space="preserve">Domestic demand growth </w:t>
                  </w:r>
                  <w:r>
                    <w:t xml:space="preserve">parameters </w:t>
                  </w:r>
                  <w:r w:rsidR="003E0C21">
                    <w:t xml:space="preserve">affect how demand </w:t>
                  </w:r>
                  <w:r>
                    <w:t xml:space="preserve">functions </w:t>
                  </w:r>
                  <w:r w:rsidR="003E0C21">
                    <w:t>at each node shift over the model simulation period</w:t>
                  </w:r>
                  <w:r w:rsidR="003D5ECA">
                    <w:t>, with implications for market outcomes</w:t>
                  </w:r>
                  <w:r w:rsidR="003E0C21">
                    <w:t>.</w:t>
                  </w:r>
                  <w:r w:rsidR="00293085">
                    <w:t xml:space="preserve"> </w:t>
                  </w:r>
                </w:p>
              </w:tc>
            </w:tr>
          </w:tbl>
          <w:p w14:paraId="507250EE" w14:textId="77777777" w:rsidR="003C054D" w:rsidRDefault="003C054D" w:rsidP="003728BD">
            <w:pPr>
              <w:pStyle w:val="Box"/>
            </w:pPr>
          </w:p>
        </w:tc>
      </w:tr>
      <w:tr w:rsidR="003C054D" w14:paraId="0ADAD529" w14:textId="77777777" w:rsidTr="003728BD">
        <w:trPr>
          <w:cantSplit/>
        </w:trPr>
        <w:tc>
          <w:tcPr>
            <w:tcW w:w="8771" w:type="dxa"/>
            <w:tcBorders>
              <w:top w:val="nil"/>
              <w:left w:val="nil"/>
              <w:bottom w:val="single" w:sz="6" w:space="0" w:color="78A22F"/>
              <w:right w:val="nil"/>
            </w:tcBorders>
            <w:shd w:val="clear" w:color="auto" w:fill="auto"/>
          </w:tcPr>
          <w:p w14:paraId="7B872672" w14:textId="77777777" w:rsidR="003C054D" w:rsidRDefault="003C054D" w:rsidP="003728BD">
            <w:pPr>
              <w:pStyle w:val="Box"/>
              <w:spacing w:before="0" w:line="120" w:lineRule="exact"/>
            </w:pPr>
          </w:p>
        </w:tc>
      </w:tr>
      <w:tr w:rsidR="003C054D" w:rsidRPr="000863A5" w14:paraId="3B891508" w14:textId="77777777" w:rsidTr="003728BD">
        <w:tc>
          <w:tcPr>
            <w:tcW w:w="8771" w:type="dxa"/>
            <w:tcBorders>
              <w:top w:val="single" w:sz="6" w:space="0" w:color="78A22F"/>
              <w:left w:val="nil"/>
              <w:bottom w:val="nil"/>
              <w:right w:val="nil"/>
            </w:tcBorders>
          </w:tcPr>
          <w:p w14:paraId="08302F09" w14:textId="368AFC4B" w:rsidR="003C054D" w:rsidRPr="00626D32" w:rsidRDefault="003C054D" w:rsidP="003728BD">
            <w:pPr>
              <w:pStyle w:val="BoxSpaceBelow"/>
            </w:pPr>
          </w:p>
        </w:tc>
      </w:tr>
    </w:tbl>
    <w:p w14:paraId="54D93416" w14:textId="0CFD9095" w:rsidR="007A5FCF" w:rsidRDefault="007A5FCF" w:rsidP="003C2B23">
      <w:pPr>
        <w:pStyle w:val="BodyText"/>
      </w:pPr>
    </w:p>
    <w:p w14:paraId="24719322" w14:textId="77777777" w:rsidR="003C2B23" w:rsidRDefault="003C2B23" w:rsidP="007A5FC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7A5FCF" w14:paraId="59CFA0D2" w14:textId="77777777" w:rsidTr="00464C37">
        <w:tc>
          <w:tcPr>
            <w:tcW w:w="8771" w:type="dxa"/>
            <w:tcBorders>
              <w:top w:val="single" w:sz="6" w:space="0" w:color="78A22F"/>
              <w:left w:val="nil"/>
              <w:bottom w:val="nil"/>
              <w:right w:val="nil"/>
            </w:tcBorders>
            <w:shd w:val="clear" w:color="auto" w:fill="auto"/>
          </w:tcPr>
          <w:p w14:paraId="6E569414" w14:textId="3F84CB0F" w:rsidR="007A5FCF" w:rsidRDefault="007A5FCF" w:rsidP="006452B7">
            <w:pPr>
              <w:pStyle w:val="TableTitle"/>
              <w:rPr>
                <w:b w:val="0"/>
              </w:rPr>
            </w:pPr>
            <w:r>
              <w:rPr>
                <w:b w:val="0"/>
              </w:rPr>
              <w:t xml:space="preserve">Table </w:t>
            </w:r>
            <w:r w:rsidR="00632E76">
              <w:rPr>
                <w:b w:val="0"/>
              </w:rPr>
              <w:fldChar w:fldCharType="begin"/>
            </w:r>
            <w:r w:rsidR="00632E76">
              <w:rPr>
                <w:b w:val="0"/>
              </w:rPr>
              <w:instrText xml:space="preserve"> COMMENTS  \* MERGEFORMAT </w:instrText>
            </w:r>
            <w:r w:rsidR="00632E76">
              <w:rPr>
                <w:b w:val="0"/>
              </w:rPr>
              <w:fldChar w:fldCharType="separate"/>
            </w:r>
            <w:r w:rsidR="00632E76">
              <w:rPr>
                <w:b w:val="0"/>
              </w:rPr>
              <w:t>C.</w:t>
            </w:r>
            <w:r w:rsidR="00632E76">
              <w:rPr>
                <w:b w:val="0"/>
              </w:rPr>
              <w:fldChar w:fldCharType="end"/>
            </w:r>
            <w:r w:rsidR="00632E76">
              <w:rPr>
                <w:b w:val="0"/>
              </w:rPr>
              <w:fldChar w:fldCharType="begin"/>
            </w:r>
            <w:r w:rsidR="00632E76">
              <w:rPr>
                <w:b w:val="0"/>
              </w:rPr>
              <w:instrText xml:space="preserve"> SEQ Table \* ARABIC </w:instrText>
            </w:r>
            <w:r w:rsidR="00632E76">
              <w:rPr>
                <w:b w:val="0"/>
              </w:rPr>
              <w:fldChar w:fldCharType="separate"/>
            </w:r>
            <w:r w:rsidR="00872E65">
              <w:rPr>
                <w:b w:val="0"/>
                <w:noProof/>
              </w:rPr>
              <w:t>6</w:t>
            </w:r>
            <w:r w:rsidR="00632E76">
              <w:rPr>
                <w:b w:val="0"/>
              </w:rPr>
              <w:fldChar w:fldCharType="end"/>
            </w:r>
            <w:r>
              <w:tab/>
              <w:t>Sensitivity analysis</w:t>
            </w:r>
            <w:r w:rsidR="00464C37">
              <w:t xml:space="preserve"> — </w:t>
            </w:r>
            <w:r w:rsidR="00770AF4">
              <w:t>parameter changes</w:t>
            </w:r>
            <w:r w:rsidR="00D40484">
              <w:t xml:space="preserve"> relative to </w:t>
            </w:r>
            <w:r w:rsidR="00BD4282">
              <w:t>baseline</w:t>
            </w:r>
            <w:r w:rsidR="00D40484">
              <w:t xml:space="preserve"> </w:t>
            </w:r>
            <w:r w:rsidR="008B2F5A">
              <w:t>parameters</w:t>
            </w:r>
            <w:r w:rsidR="00D40484">
              <w:t xml:space="preserve"> </w:t>
            </w:r>
          </w:p>
        </w:tc>
      </w:tr>
      <w:tr w:rsidR="007A5FCF" w14:paraId="2A657495" w14:textId="77777777" w:rsidTr="00464C37">
        <w:trPr>
          <w:cantSplit/>
        </w:trPr>
        <w:tc>
          <w:tcPr>
            <w:tcW w:w="8771"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1680"/>
              <w:gridCol w:w="3402"/>
              <w:gridCol w:w="3402"/>
            </w:tblGrid>
            <w:tr w:rsidR="00266034" w14:paraId="37EDEEF2" w14:textId="77777777" w:rsidTr="00AD723F">
              <w:tc>
                <w:tcPr>
                  <w:tcW w:w="990" w:type="pct"/>
                  <w:tcBorders>
                    <w:top w:val="single" w:sz="6" w:space="0" w:color="BFBFBF"/>
                    <w:bottom w:val="single" w:sz="6" w:space="0" w:color="BFBFBF"/>
                  </w:tcBorders>
                  <w:shd w:val="clear" w:color="auto" w:fill="auto"/>
                  <w:tcMar>
                    <w:top w:w="28" w:type="dxa"/>
                  </w:tcMar>
                </w:tcPr>
                <w:p w14:paraId="0D598FF4" w14:textId="77777777" w:rsidR="00266034" w:rsidRDefault="00266034" w:rsidP="00464C37">
                  <w:pPr>
                    <w:pStyle w:val="TableColumnHeading"/>
                    <w:jc w:val="left"/>
                  </w:pPr>
                  <w:r>
                    <w:t>Sensitivity test</w:t>
                  </w:r>
                </w:p>
              </w:tc>
              <w:tc>
                <w:tcPr>
                  <w:tcW w:w="2005" w:type="pct"/>
                  <w:tcBorders>
                    <w:top w:val="single" w:sz="6" w:space="0" w:color="BFBFBF"/>
                    <w:bottom w:val="single" w:sz="6" w:space="0" w:color="BFBFBF"/>
                  </w:tcBorders>
                  <w:shd w:val="clear" w:color="auto" w:fill="auto"/>
                  <w:tcMar>
                    <w:top w:w="28" w:type="dxa"/>
                  </w:tcMar>
                </w:tcPr>
                <w:p w14:paraId="3FF43A30" w14:textId="0EC328BC" w:rsidR="00266034" w:rsidRDefault="00464C37" w:rsidP="00236559">
                  <w:pPr>
                    <w:pStyle w:val="TableColumnHeading"/>
                    <w:jc w:val="left"/>
                  </w:pPr>
                  <w:r>
                    <w:t>Low</w:t>
                  </w:r>
                  <w:r w:rsidR="00D812FF">
                    <w:t xml:space="preserve"> parameters</w:t>
                  </w:r>
                </w:p>
              </w:tc>
              <w:tc>
                <w:tcPr>
                  <w:tcW w:w="2006" w:type="pct"/>
                  <w:tcBorders>
                    <w:top w:val="single" w:sz="6" w:space="0" w:color="BFBFBF"/>
                    <w:bottom w:val="single" w:sz="6" w:space="0" w:color="BFBFBF"/>
                  </w:tcBorders>
                  <w:shd w:val="clear" w:color="auto" w:fill="auto"/>
                  <w:tcMar>
                    <w:top w:w="28" w:type="dxa"/>
                  </w:tcMar>
                </w:tcPr>
                <w:p w14:paraId="17692645" w14:textId="7A7732E8" w:rsidR="00266034" w:rsidRDefault="00464C37" w:rsidP="00236559">
                  <w:pPr>
                    <w:pStyle w:val="TableColumnHeading"/>
                    <w:ind w:right="28"/>
                    <w:jc w:val="left"/>
                  </w:pPr>
                  <w:r>
                    <w:t>High</w:t>
                  </w:r>
                  <w:r w:rsidR="00D812FF">
                    <w:t xml:space="preserve"> parameters</w:t>
                  </w:r>
                </w:p>
              </w:tc>
            </w:tr>
            <w:tr w:rsidR="00266034" w14:paraId="185D9096" w14:textId="77777777" w:rsidTr="00AD723F">
              <w:tc>
                <w:tcPr>
                  <w:tcW w:w="990" w:type="pct"/>
                  <w:tcBorders>
                    <w:top w:val="single" w:sz="6" w:space="0" w:color="BFBFBF"/>
                  </w:tcBorders>
                </w:tcPr>
                <w:p w14:paraId="3DF49780" w14:textId="6A83850D" w:rsidR="00266034" w:rsidRDefault="00464C37">
                  <w:pPr>
                    <w:pStyle w:val="TableBodyText"/>
                    <w:spacing w:before="80"/>
                    <w:jc w:val="left"/>
                  </w:pPr>
                  <w:r>
                    <w:t>Res</w:t>
                  </w:r>
                  <w:r w:rsidR="004325F0">
                    <w:t>erves</w:t>
                  </w:r>
                  <w:r>
                    <w:t xml:space="preserve"> growth</w:t>
                  </w:r>
                </w:p>
              </w:tc>
              <w:tc>
                <w:tcPr>
                  <w:tcW w:w="2005" w:type="pct"/>
                  <w:tcBorders>
                    <w:top w:val="single" w:sz="6" w:space="0" w:color="BFBFBF"/>
                  </w:tcBorders>
                </w:tcPr>
                <w:p w14:paraId="6B64DE51" w14:textId="0CC23428" w:rsidR="00266034" w:rsidRDefault="004D3B72" w:rsidP="003F14DD">
                  <w:pPr>
                    <w:pStyle w:val="TableBodyText"/>
                    <w:spacing w:before="80"/>
                    <w:jc w:val="left"/>
                    <w:rPr>
                      <w:i/>
                    </w:rPr>
                  </w:pPr>
                  <w:r>
                    <w:t>Annual g</w:t>
                  </w:r>
                  <w:r w:rsidR="00EA228D">
                    <w:t>rowth in gas res</w:t>
                  </w:r>
                  <w:r w:rsidR="003F14DD">
                    <w:t>erves</w:t>
                  </w:r>
                  <w:r w:rsidR="00EA228D">
                    <w:t xml:space="preserve"> is </w:t>
                  </w:r>
                  <w:r w:rsidR="00464C37">
                    <w:t>50</w:t>
                  </w:r>
                  <w:r w:rsidR="00A00F0E">
                    <w:t> </w:t>
                  </w:r>
                  <w:r w:rsidR="00464C37">
                    <w:t>per</w:t>
                  </w:r>
                  <w:r w:rsidR="00A00F0E">
                    <w:t> </w:t>
                  </w:r>
                  <w:r w:rsidR="00464C37">
                    <w:t xml:space="preserve">cent </w:t>
                  </w:r>
                  <w:r w:rsidR="00464C37" w:rsidRPr="007E3FB2">
                    <w:t>lower</w:t>
                  </w:r>
                  <w:r w:rsidR="00464C37">
                    <w:t xml:space="preserve"> </w:t>
                  </w:r>
                  <w:r w:rsidR="00847FCA">
                    <w:t>in each field</w:t>
                  </w:r>
                  <w:r w:rsidR="00632E76">
                    <w:t>.</w:t>
                  </w:r>
                </w:p>
              </w:tc>
              <w:tc>
                <w:tcPr>
                  <w:tcW w:w="2006" w:type="pct"/>
                  <w:tcBorders>
                    <w:top w:val="single" w:sz="6" w:space="0" w:color="BFBFBF"/>
                  </w:tcBorders>
                </w:tcPr>
                <w:p w14:paraId="17B1BAF2" w14:textId="69C089C6" w:rsidR="00266034" w:rsidRDefault="004D3B72" w:rsidP="003F14DD">
                  <w:pPr>
                    <w:pStyle w:val="TableBodyText"/>
                    <w:spacing w:before="80"/>
                    <w:jc w:val="left"/>
                    <w:rPr>
                      <w:i/>
                    </w:rPr>
                  </w:pPr>
                  <w:r>
                    <w:t>Annual g</w:t>
                  </w:r>
                  <w:r w:rsidR="00EA228D">
                    <w:t>rowth in gas res</w:t>
                  </w:r>
                  <w:r w:rsidR="003F14DD">
                    <w:t>erves</w:t>
                  </w:r>
                  <w:r w:rsidR="00EA228D">
                    <w:t xml:space="preserve"> is </w:t>
                  </w:r>
                  <w:r w:rsidR="00464C37">
                    <w:t>50</w:t>
                  </w:r>
                  <w:r w:rsidR="00A00F0E">
                    <w:t> </w:t>
                  </w:r>
                  <w:r w:rsidR="00464C37">
                    <w:t>per</w:t>
                  </w:r>
                  <w:r w:rsidR="00A00F0E">
                    <w:t> </w:t>
                  </w:r>
                  <w:r w:rsidR="00464C37">
                    <w:t xml:space="preserve">cent </w:t>
                  </w:r>
                  <w:r w:rsidR="00464C37" w:rsidRPr="007E3FB2">
                    <w:t>higher</w:t>
                  </w:r>
                  <w:r w:rsidR="00464C37" w:rsidRPr="00847FCA">
                    <w:t xml:space="preserve"> </w:t>
                  </w:r>
                  <w:r w:rsidR="00847FCA" w:rsidRPr="00847FCA">
                    <w:t>in each field</w:t>
                  </w:r>
                  <w:r w:rsidR="00632E76">
                    <w:t>.</w:t>
                  </w:r>
                  <w:r w:rsidR="00847FCA" w:rsidRPr="00847FCA">
                    <w:t xml:space="preserve"> </w:t>
                  </w:r>
                </w:p>
              </w:tc>
            </w:tr>
            <w:tr w:rsidR="00464C37" w14:paraId="60388657" w14:textId="77777777" w:rsidTr="00AD723F">
              <w:tc>
                <w:tcPr>
                  <w:tcW w:w="990" w:type="pct"/>
                </w:tcPr>
                <w:p w14:paraId="24616045" w14:textId="75CCD907" w:rsidR="00464C37" w:rsidRDefault="00873FEE" w:rsidP="00EA228D">
                  <w:pPr>
                    <w:pStyle w:val="TableBodyText"/>
                    <w:jc w:val="left"/>
                  </w:pPr>
                  <w:r>
                    <w:t xml:space="preserve">Production </w:t>
                  </w:r>
                  <w:r w:rsidR="00464C37">
                    <w:t>cost estimates</w:t>
                  </w:r>
                </w:p>
              </w:tc>
              <w:tc>
                <w:tcPr>
                  <w:tcW w:w="2005" w:type="pct"/>
                </w:tcPr>
                <w:p w14:paraId="46B6FB8D" w14:textId="4720A249" w:rsidR="00464C37" w:rsidRDefault="00BD4282" w:rsidP="008B2F5A">
                  <w:pPr>
                    <w:pStyle w:val="TableUnitsRow"/>
                    <w:spacing w:before="0"/>
                    <w:jc w:val="left"/>
                  </w:pPr>
                  <w:r>
                    <w:t>Baseline</w:t>
                  </w:r>
                  <w:r w:rsidR="00EA228D">
                    <w:t xml:space="preserve"> estimates are adjusted downward using </w:t>
                  </w:r>
                  <w:r w:rsidR="003F14DD">
                    <w:t xml:space="preserve">the percentage difference between </w:t>
                  </w:r>
                  <w:r w:rsidR="00EA228D">
                    <w:t xml:space="preserve">low and reference </w:t>
                  </w:r>
                  <w:r w:rsidR="003F14DD">
                    <w:t xml:space="preserve">production costs estimates </w:t>
                  </w:r>
                  <w:r w:rsidR="00952AE6">
                    <w:t>in Core Energy Group</w:t>
                  </w:r>
                  <w:r w:rsidR="00BF044B">
                    <w:t xml:space="preserve"> </w:t>
                  </w:r>
                  <w:r w:rsidR="00BF044B" w:rsidRPr="00624D3F">
                    <w:rPr>
                      <w:rFonts w:cs="Arial"/>
                    </w:rPr>
                    <w:t>(2015</w:t>
                  </w:r>
                  <w:r w:rsidR="00F2764A">
                    <w:rPr>
                      <w:rFonts w:cs="Arial"/>
                    </w:rPr>
                    <w:t>a</w:t>
                  </w:r>
                  <w:r w:rsidR="00BF044B" w:rsidRPr="00624D3F">
                    <w:rPr>
                      <w:rFonts w:cs="Arial"/>
                    </w:rPr>
                    <w:t>)</w:t>
                  </w:r>
                  <w:r w:rsidR="00632E76">
                    <w:t>.</w:t>
                  </w:r>
                  <w:r w:rsidR="003F14DD">
                    <w:t xml:space="preserve"> </w:t>
                  </w:r>
                </w:p>
              </w:tc>
              <w:tc>
                <w:tcPr>
                  <w:tcW w:w="2006" w:type="pct"/>
                </w:tcPr>
                <w:p w14:paraId="63C03830" w14:textId="01E15C5A" w:rsidR="00464C37" w:rsidRDefault="00B627D4" w:rsidP="008B2F5A">
                  <w:pPr>
                    <w:pStyle w:val="TableUnitsRow"/>
                    <w:spacing w:before="0"/>
                    <w:ind w:right="28"/>
                    <w:jc w:val="left"/>
                    <w:rPr>
                      <w:i/>
                    </w:rPr>
                  </w:pPr>
                  <w:r>
                    <w:t>Production</w:t>
                  </w:r>
                  <w:r w:rsidR="00464C37">
                    <w:t xml:space="preserve"> costs are</w:t>
                  </w:r>
                  <w:r w:rsidR="00EA228D">
                    <w:t xml:space="preserve"> </w:t>
                  </w:r>
                  <w:r w:rsidR="00464C37">
                    <w:t>based on field</w:t>
                  </w:r>
                  <w:r w:rsidR="00A00F0E">
                    <w:noBreakHyphen/>
                  </w:r>
                  <w:r w:rsidR="00464C37">
                    <w:t>specific estimates prepared by ACIL Tasman</w:t>
                  </w:r>
                  <w:r w:rsidR="00A503F5">
                    <w:t xml:space="preserve"> </w:t>
                  </w:r>
                  <w:r w:rsidR="00A503F5" w:rsidRPr="00A503F5">
                    <w:rPr>
                      <w:rFonts w:cs="Arial"/>
                    </w:rPr>
                    <w:t>(2013)</w:t>
                  </w:r>
                  <w:r w:rsidR="003F14DD">
                    <w:t xml:space="preserve">. These production cost </w:t>
                  </w:r>
                  <w:r w:rsidR="00952AE6">
                    <w:t xml:space="preserve">estimates in Core Energy Group </w:t>
                  </w:r>
                  <w:r w:rsidR="00BF044B" w:rsidRPr="00991A19">
                    <w:rPr>
                      <w:rFonts w:cs="Arial"/>
                    </w:rPr>
                    <w:t>(2015</w:t>
                  </w:r>
                  <w:r w:rsidR="00F2764A">
                    <w:rPr>
                      <w:rFonts w:cs="Arial"/>
                    </w:rPr>
                    <w:t>a</w:t>
                  </w:r>
                  <w:r w:rsidR="00BF044B" w:rsidRPr="00991A19">
                    <w:rPr>
                      <w:rFonts w:cs="Arial"/>
                    </w:rPr>
                    <w:t>)</w:t>
                  </w:r>
                  <w:r w:rsidR="00952AE6">
                    <w:t>.</w:t>
                  </w:r>
                </w:p>
              </w:tc>
            </w:tr>
            <w:tr w:rsidR="003C054D" w14:paraId="4DF7C42F" w14:textId="77777777" w:rsidTr="00AD723F">
              <w:tc>
                <w:tcPr>
                  <w:tcW w:w="990" w:type="pct"/>
                </w:tcPr>
                <w:p w14:paraId="53704E4B" w14:textId="0DB4B7D7" w:rsidR="003C054D" w:rsidRDefault="003C054D" w:rsidP="00AD723F">
                  <w:pPr>
                    <w:pStyle w:val="TableBodyText"/>
                    <w:spacing w:before="60"/>
                    <w:jc w:val="left"/>
                  </w:pPr>
                  <w:r>
                    <w:t>CSG development costs</w:t>
                  </w:r>
                  <w:r w:rsidR="008B2F5A">
                    <w:t xml:space="preserve"> in </w:t>
                  </w:r>
                  <w:r w:rsidR="0083411E">
                    <w:t>New South Wales</w:t>
                  </w:r>
                  <w:r w:rsidR="008B2F5A">
                    <w:t xml:space="preserve"> and Victoria</w:t>
                  </w:r>
                </w:p>
              </w:tc>
              <w:tc>
                <w:tcPr>
                  <w:tcW w:w="2005" w:type="pct"/>
                </w:tcPr>
                <w:p w14:paraId="16788178" w14:textId="08FDD343" w:rsidR="003C054D" w:rsidRDefault="003C054D" w:rsidP="00552505">
                  <w:pPr>
                    <w:pStyle w:val="TableUnitsRow"/>
                    <w:spacing w:before="0"/>
                    <w:jc w:val="left"/>
                    <w:rPr>
                      <w:i/>
                    </w:rPr>
                  </w:pPr>
                  <w:r>
                    <w:t xml:space="preserve">CSG fields </w:t>
                  </w:r>
                  <w:r w:rsidR="00D40484">
                    <w:t xml:space="preserve">in </w:t>
                  </w:r>
                  <w:r w:rsidR="0083411E">
                    <w:t>New South Wales</w:t>
                  </w:r>
                  <w:r w:rsidR="00D40484">
                    <w:t xml:space="preserve"> and</w:t>
                  </w:r>
                  <w:r w:rsidR="00A00F0E">
                    <w:rPr>
                      <w:rStyle w:val="NoteLabel"/>
                    </w:rPr>
                    <w:t>b</w:t>
                  </w:r>
                  <w:r w:rsidR="00D40484">
                    <w:t xml:space="preserve"> </w:t>
                  </w:r>
                  <w:r w:rsidR="00A00F0E">
                    <w:br/>
                  </w:r>
                  <w:r w:rsidR="00D40484">
                    <w:t xml:space="preserve">Victoria </w:t>
                  </w:r>
                  <w:r>
                    <w:t xml:space="preserve">cost 50 per cent </w:t>
                  </w:r>
                  <w:r w:rsidR="00552505" w:rsidRPr="007E3FB2">
                    <w:t>less</w:t>
                  </w:r>
                  <w:r>
                    <w:t xml:space="preserve"> to develop</w:t>
                  </w:r>
                  <w:r w:rsidR="00632E76">
                    <w:t>.</w:t>
                  </w:r>
                </w:p>
              </w:tc>
              <w:tc>
                <w:tcPr>
                  <w:tcW w:w="2006" w:type="pct"/>
                </w:tcPr>
                <w:p w14:paraId="5F25F368" w14:textId="63CD9968" w:rsidR="003C054D" w:rsidRDefault="003C054D" w:rsidP="0049104D">
                  <w:pPr>
                    <w:pStyle w:val="TableUnitsRow"/>
                    <w:spacing w:before="0"/>
                    <w:ind w:right="28"/>
                    <w:jc w:val="left"/>
                    <w:rPr>
                      <w:i/>
                    </w:rPr>
                  </w:pPr>
                  <w:r>
                    <w:t xml:space="preserve">CSG fields </w:t>
                  </w:r>
                  <w:r w:rsidR="00D40484">
                    <w:t xml:space="preserve">in </w:t>
                  </w:r>
                  <w:r w:rsidR="0083411E">
                    <w:t>New South Wales</w:t>
                  </w:r>
                  <w:r w:rsidR="00D40484">
                    <w:t xml:space="preserve"> and</w:t>
                  </w:r>
                  <w:r w:rsidR="00A00F0E">
                    <w:rPr>
                      <w:rStyle w:val="NoteLabel"/>
                    </w:rPr>
                    <w:t>b</w:t>
                  </w:r>
                  <w:r w:rsidR="00D40484">
                    <w:t xml:space="preserve"> </w:t>
                  </w:r>
                  <w:r w:rsidR="00A00F0E">
                    <w:br/>
                  </w:r>
                  <w:r w:rsidR="00D40484">
                    <w:t xml:space="preserve">Victoria </w:t>
                  </w:r>
                  <w:r>
                    <w:t xml:space="preserve">cost 50 per cent </w:t>
                  </w:r>
                  <w:r w:rsidRPr="007E3FB2">
                    <w:t>more</w:t>
                  </w:r>
                  <w:r>
                    <w:t xml:space="preserve"> to develop</w:t>
                  </w:r>
                  <w:r w:rsidR="00632E76">
                    <w:t>.</w:t>
                  </w:r>
                </w:p>
              </w:tc>
            </w:tr>
            <w:tr w:rsidR="00464C37" w14:paraId="094A6D54" w14:textId="77777777" w:rsidTr="00AD723F">
              <w:tc>
                <w:tcPr>
                  <w:tcW w:w="990" w:type="pct"/>
                </w:tcPr>
                <w:p w14:paraId="742E785D" w14:textId="078F6400" w:rsidR="00464C37" w:rsidRDefault="00D812FF" w:rsidP="00464C37">
                  <w:pPr>
                    <w:pStyle w:val="TableBodyText"/>
                    <w:jc w:val="left"/>
                  </w:pPr>
                  <w:r>
                    <w:t>S</w:t>
                  </w:r>
                  <w:r w:rsidR="00EA228D">
                    <w:t>ystem use of gas</w:t>
                  </w:r>
                  <w:r>
                    <w:t xml:space="preserve"> in transmission</w:t>
                  </w:r>
                </w:p>
              </w:tc>
              <w:tc>
                <w:tcPr>
                  <w:tcW w:w="2005" w:type="pct"/>
                </w:tcPr>
                <w:p w14:paraId="35CC84FE" w14:textId="53712591" w:rsidR="00464C37" w:rsidRDefault="00843AE2">
                  <w:pPr>
                    <w:pStyle w:val="TableBodyText"/>
                    <w:jc w:val="left"/>
                    <w:rPr>
                      <w:i/>
                    </w:rPr>
                  </w:pPr>
                  <w:r>
                    <w:t xml:space="preserve">System use of gas </w:t>
                  </w:r>
                  <w:r w:rsidR="00F561C3">
                    <w:t xml:space="preserve">is </w:t>
                  </w:r>
                  <w:r w:rsidR="007E3FB2" w:rsidRPr="007E3FB2">
                    <w:t>equal to</w:t>
                  </w:r>
                  <w:r>
                    <w:t xml:space="preserve"> </w:t>
                  </w:r>
                  <w:r w:rsidR="00EA228D">
                    <w:t>0.9</w:t>
                  </w:r>
                  <w:r>
                    <w:t> per cent of gas transported</w:t>
                  </w:r>
                  <w:r w:rsidR="00632E76">
                    <w:t>.</w:t>
                  </w:r>
                </w:p>
              </w:tc>
              <w:tc>
                <w:tcPr>
                  <w:tcW w:w="2006" w:type="pct"/>
                </w:tcPr>
                <w:p w14:paraId="3F966FC3" w14:textId="425ECD24" w:rsidR="00464C37" w:rsidRDefault="00843AE2">
                  <w:pPr>
                    <w:pStyle w:val="TableBodyText"/>
                    <w:jc w:val="left"/>
                    <w:rPr>
                      <w:i/>
                    </w:rPr>
                  </w:pPr>
                  <w:r>
                    <w:t xml:space="preserve">System use of gas </w:t>
                  </w:r>
                  <w:r w:rsidR="00F561C3">
                    <w:t xml:space="preserve">is </w:t>
                  </w:r>
                  <w:r w:rsidR="007E3FB2" w:rsidRPr="007E3FB2">
                    <w:t>equal to</w:t>
                  </w:r>
                  <w:r w:rsidR="00F561C3">
                    <w:t xml:space="preserve"> </w:t>
                  </w:r>
                  <w:r>
                    <w:t>1.3 per cent of gas transported</w:t>
                  </w:r>
                  <w:r w:rsidR="00632E76">
                    <w:t>.</w:t>
                  </w:r>
                </w:p>
              </w:tc>
            </w:tr>
            <w:tr w:rsidR="00847FCA" w14:paraId="0C243060" w14:textId="77777777" w:rsidTr="00AD723F">
              <w:tc>
                <w:tcPr>
                  <w:tcW w:w="990" w:type="pct"/>
                </w:tcPr>
                <w:p w14:paraId="63BB302A" w14:textId="3556EED4" w:rsidR="00847FCA" w:rsidRDefault="00847FCA" w:rsidP="00464C37">
                  <w:pPr>
                    <w:pStyle w:val="TableBodyText"/>
                    <w:jc w:val="left"/>
                  </w:pPr>
                  <w:r>
                    <w:t xml:space="preserve">Domestic demand </w:t>
                  </w:r>
                  <w:proofErr w:type="spellStart"/>
                  <w:r>
                    <w:t>elasticities</w:t>
                  </w:r>
                  <w:proofErr w:type="spellEnd"/>
                  <w:r w:rsidRPr="0049104D">
                    <w:rPr>
                      <w:rStyle w:val="NoteLabel"/>
                    </w:rPr>
                    <w:t>a</w:t>
                  </w:r>
                </w:p>
              </w:tc>
              <w:tc>
                <w:tcPr>
                  <w:tcW w:w="2005" w:type="pct"/>
                </w:tcPr>
                <w:p w14:paraId="1F33A223" w14:textId="2FE7B9E6" w:rsidR="002C311B" w:rsidRDefault="00E62622" w:rsidP="007F5860">
                  <w:pPr>
                    <w:pStyle w:val="TableBodyText"/>
                    <w:jc w:val="left"/>
                  </w:pPr>
                  <w:proofErr w:type="spellStart"/>
                  <w:r>
                    <w:t>E</w:t>
                  </w:r>
                  <w:r w:rsidR="002C311B">
                    <w:t>lasticities</w:t>
                  </w:r>
                  <w:proofErr w:type="spellEnd"/>
                  <w:r w:rsidR="002C311B">
                    <w:t xml:space="preserve"> </w:t>
                  </w:r>
                  <w:r>
                    <w:t xml:space="preserve">are </w:t>
                  </w:r>
                  <w:r w:rsidR="002C311B">
                    <w:t xml:space="preserve">0.2 percentage points </w:t>
                  </w:r>
                  <w:r w:rsidR="002C311B" w:rsidRPr="007E3FB2">
                    <w:t>lower</w:t>
                  </w:r>
                  <w:r w:rsidR="002C311B">
                    <w:t xml:space="preserve"> for generation and 0.1 percentage points </w:t>
                  </w:r>
                  <w:r w:rsidR="002C311B" w:rsidRPr="007E3FB2">
                    <w:t>lower</w:t>
                  </w:r>
                  <w:r w:rsidR="002C311B">
                    <w:t xml:space="preserve"> for </w:t>
                  </w:r>
                  <w:r>
                    <w:t>residential and commercial</w:t>
                  </w:r>
                  <w:r w:rsidR="00C464F6">
                    <w:t xml:space="preserve"> use</w:t>
                  </w:r>
                  <w:r w:rsidR="00A55E9A">
                    <w:t xml:space="preserve">. For industrial </w:t>
                  </w:r>
                  <w:proofErr w:type="spellStart"/>
                  <w:r w:rsidR="00A55E9A">
                    <w:t>elasticities</w:t>
                  </w:r>
                  <w:proofErr w:type="spellEnd"/>
                  <w:r w:rsidR="00A55E9A">
                    <w:t xml:space="preserve">, AEMO’s </w:t>
                  </w:r>
                  <w:r w:rsidR="003D5ECA">
                    <w:t xml:space="preserve">low </w:t>
                  </w:r>
                  <w:r w:rsidR="00A55E9A">
                    <w:t xml:space="preserve">estimates are used </w:t>
                  </w:r>
                  <w:r w:rsidR="00A55E9A" w:rsidRPr="00CA04F5">
                    <w:rPr>
                      <w:rFonts w:cs="Arial"/>
                      <w:szCs w:val="24"/>
                    </w:rPr>
                    <w:t>(AEMO 2014</w:t>
                  </w:r>
                  <w:r w:rsidR="00F2764A">
                    <w:rPr>
                      <w:rFonts w:cs="Arial"/>
                      <w:szCs w:val="24"/>
                    </w:rPr>
                    <w:t>c</w:t>
                  </w:r>
                  <w:r w:rsidR="00A55E9A" w:rsidRPr="00CA04F5">
                    <w:rPr>
                      <w:rFonts w:cs="Arial"/>
                      <w:szCs w:val="24"/>
                    </w:rPr>
                    <w:t>)</w:t>
                  </w:r>
                  <w:r w:rsidR="00A55E9A">
                    <w:t xml:space="preserve">. </w:t>
                  </w:r>
                </w:p>
              </w:tc>
              <w:tc>
                <w:tcPr>
                  <w:tcW w:w="2006" w:type="pct"/>
                </w:tcPr>
                <w:p w14:paraId="18EB0B7B" w14:textId="4FA0AA33" w:rsidR="00847FCA" w:rsidRDefault="00892B71" w:rsidP="00A55E9A">
                  <w:pPr>
                    <w:pStyle w:val="TableBodyText"/>
                    <w:jc w:val="left"/>
                  </w:pPr>
                  <w:proofErr w:type="spellStart"/>
                  <w:r>
                    <w:t>Elasticities</w:t>
                  </w:r>
                  <w:proofErr w:type="spellEnd"/>
                  <w:r>
                    <w:t xml:space="preserve"> are 0.2 percentage points </w:t>
                  </w:r>
                  <w:r w:rsidRPr="007E3FB2">
                    <w:t>higher</w:t>
                  </w:r>
                  <w:r>
                    <w:t xml:space="preserve"> for generation and 0.1 percentage points </w:t>
                  </w:r>
                  <w:r w:rsidRPr="007E3FB2">
                    <w:t>higher</w:t>
                  </w:r>
                  <w:r>
                    <w:t xml:space="preserve"> for residential and commercial</w:t>
                  </w:r>
                  <w:r w:rsidR="00C464F6">
                    <w:t xml:space="preserve"> use</w:t>
                  </w:r>
                  <w:r w:rsidR="00A55E9A">
                    <w:t xml:space="preserve">. For industrial </w:t>
                  </w:r>
                  <w:proofErr w:type="spellStart"/>
                  <w:r w:rsidR="00A55E9A">
                    <w:t>elasticities</w:t>
                  </w:r>
                  <w:proofErr w:type="spellEnd"/>
                  <w:r w:rsidR="00A55E9A">
                    <w:t xml:space="preserve">, AEMO’s high estimates are used </w:t>
                  </w:r>
                  <w:r w:rsidR="00A55E9A" w:rsidRPr="008B2F5A">
                    <w:t>(AEMO 2014</w:t>
                  </w:r>
                  <w:r w:rsidR="00F2764A">
                    <w:t>c</w:t>
                  </w:r>
                  <w:r w:rsidR="00A55E9A" w:rsidRPr="008B2F5A">
                    <w:t>)</w:t>
                  </w:r>
                  <w:r w:rsidR="00632E76">
                    <w:t>.</w:t>
                  </w:r>
                </w:p>
              </w:tc>
            </w:tr>
            <w:tr w:rsidR="00CA5AC3" w14:paraId="2B089666" w14:textId="77777777" w:rsidTr="00AD723F">
              <w:tc>
                <w:tcPr>
                  <w:tcW w:w="990" w:type="pct"/>
                  <w:tcBorders>
                    <w:bottom w:val="single" w:sz="6" w:space="0" w:color="BFBFBF"/>
                  </w:tcBorders>
                  <w:shd w:val="clear" w:color="auto" w:fill="auto"/>
                </w:tcPr>
                <w:p w14:paraId="1C897DAD" w14:textId="77777777" w:rsidR="00D40484" w:rsidRDefault="00D40484" w:rsidP="003C054D">
                  <w:pPr>
                    <w:pStyle w:val="TableBodyText"/>
                    <w:jc w:val="left"/>
                  </w:pPr>
                  <w:r>
                    <w:t>Domestic demand growth</w:t>
                  </w:r>
                </w:p>
              </w:tc>
              <w:tc>
                <w:tcPr>
                  <w:tcW w:w="2005" w:type="pct"/>
                  <w:tcBorders>
                    <w:bottom w:val="single" w:sz="6" w:space="0" w:color="BFBFBF"/>
                  </w:tcBorders>
                  <w:shd w:val="clear" w:color="auto" w:fill="auto"/>
                </w:tcPr>
                <w:p w14:paraId="16FBFAA7" w14:textId="1F430D8D" w:rsidR="00CA5AC3" w:rsidRPr="0083411E" w:rsidRDefault="003D5ECA" w:rsidP="00725B4A">
                  <w:pPr>
                    <w:pStyle w:val="TableBodyText"/>
                    <w:framePr w:w="2155" w:hSpace="227" w:vSpace="181" w:wrap="around" w:vAnchor="text" w:hAnchor="page" w:xAlign="outside" w:y="1"/>
                    <w:jc w:val="left"/>
                  </w:pPr>
                  <w:r w:rsidRPr="007F5860">
                    <w:t>Based on low gas consumption outlook in the National Gas Forecasting Report</w:t>
                  </w:r>
                  <w:r w:rsidR="00725B4A">
                    <w:t xml:space="preserve"> </w:t>
                  </w:r>
                  <w:r w:rsidR="00725B4A" w:rsidRPr="00CA04F5">
                    <w:rPr>
                      <w:rFonts w:cs="Arial"/>
                      <w:szCs w:val="24"/>
                    </w:rPr>
                    <w:t>(AEMO 2014</w:t>
                  </w:r>
                  <w:r w:rsidR="00F2764A">
                    <w:rPr>
                      <w:rFonts w:cs="Arial"/>
                      <w:szCs w:val="24"/>
                    </w:rPr>
                    <w:t>d</w:t>
                  </w:r>
                  <w:r w:rsidR="00725B4A" w:rsidRPr="00CA04F5">
                    <w:rPr>
                      <w:rFonts w:cs="Arial"/>
                      <w:szCs w:val="24"/>
                    </w:rPr>
                    <w:t>)</w:t>
                  </w:r>
                  <w:r w:rsidR="00725B4A">
                    <w:t>.</w:t>
                  </w:r>
                </w:p>
              </w:tc>
              <w:tc>
                <w:tcPr>
                  <w:tcW w:w="2006" w:type="pct"/>
                  <w:tcBorders>
                    <w:bottom w:val="single" w:sz="6" w:space="0" w:color="BFBFBF"/>
                  </w:tcBorders>
                  <w:shd w:val="clear" w:color="auto" w:fill="auto"/>
                </w:tcPr>
                <w:p w14:paraId="5BCB8DB7" w14:textId="675B1F3D" w:rsidR="00CA5AC3" w:rsidRPr="003E75C3" w:rsidRDefault="003D5ECA" w:rsidP="00725B4A">
                  <w:pPr>
                    <w:pStyle w:val="TableBodyText"/>
                    <w:ind w:right="28"/>
                    <w:jc w:val="left"/>
                  </w:pPr>
                  <w:r w:rsidRPr="0027742B">
                    <w:t xml:space="preserve">Based on </w:t>
                  </w:r>
                  <w:r>
                    <w:t>high</w:t>
                  </w:r>
                  <w:r w:rsidRPr="0027742B">
                    <w:t xml:space="preserve"> gas consumption outlook in the Nati</w:t>
                  </w:r>
                  <w:r>
                    <w:t>onal Gas Forecasting Report</w:t>
                  </w:r>
                  <w:r w:rsidR="00725B4A">
                    <w:t xml:space="preserve"> </w:t>
                  </w:r>
                  <w:r w:rsidR="00725B4A" w:rsidRPr="00CA04F5">
                    <w:rPr>
                      <w:rFonts w:cs="Arial"/>
                      <w:szCs w:val="24"/>
                    </w:rPr>
                    <w:t>(AEMO 2014</w:t>
                  </w:r>
                  <w:r w:rsidR="00F2764A">
                    <w:rPr>
                      <w:rFonts w:cs="Arial"/>
                      <w:szCs w:val="24"/>
                    </w:rPr>
                    <w:t>d</w:t>
                  </w:r>
                  <w:r w:rsidR="00725B4A" w:rsidRPr="00CA04F5">
                    <w:rPr>
                      <w:rFonts w:cs="Arial"/>
                      <w:szCs w:val="24"/>
                    </w:rPr>
                    <w:t>)</w:t>
                  </w:r>
                  <w:r w:rsidR="00725B4A">
                    <w:t>.</w:t>
                  </w:r>
                </w:p>
              </w:tc>
            </w:tr>
          </w:tbl>
          <w:p w14:paraId="037E96A2" w14:textId="77777777" w:rsidR="007A5FCF" w:rsidRDefault="007A5FCF" w:rsidP="00464C37">
            <w:pPr>
              <w:pStyle w:val="Box"/>
            </w:pPr>
          </w:p>
        </w:tc>
      </w:tr>
      <w:tr w:rsidR="007A5FCF" w14:paraId="6A415C4B" w14:textId="77777777" w:rsidTr="00464C37">
        <w:trPr>
          <w:cantSplit/>
        </w:trPr>
        <w:tc>
          <w:tcPr>
            <w:tcW w:w="8771" w:type="dxa"/>
            <w:tcBorders>
              <w:top w:val="nil"/>
              <w:left w:val="nil"/>
              <w:bottom w:val="nil"/>
              <w:right w:val="nil"/>
            </w:tcBorders>
            <w:shd w:val="clear" w:color="auto" w:fill="auto"/>
          </w:tcPr>
          <w:p w14:paraId="113646A8" w14:textId="18705120" w:rsidR="007A5FCF" w:rsidRDefault="007A5FCF" w:rsidP="00A55E9A">
            <w:pPr>
              <w:pStyle w:val="Note"/>
              <w:rPr>
                <w:i/>
              </w:rPr>
            </w:pPr>
            <w:proofErr w:type="spellStart"/>
            <w:proofErr w:type="gramStart"/>
            <w:r w:rsidRPr="008E77FE">
              <w:rPr>
                <w:rStyle w:val="NoteLabel"/>
              </w:rPr>
              <w:t>a</w:t>
            </w:r>
            <w:proofErr w:type="spellEnd"/>
            <w:proofErr w:type="gramEnd"/>
            <w:r w:rsidR="0049104D">
              <w:t xml:space="preserve"> The model has </w:t>
            </w:r>
            <w:proofErr w:type="spellStart"/>
            <w:r w:rsidR="0049104D">
              <w:t>elasticities</w:t>
            </w:r>
            <w:proofErr w:type="spellEnd"/>
            <w:r w:rsidR="0049104D">
              <w:t xml:space="preserve"> at each node for the electricity generation, industrial and residential and commercial sectors</w:t>
            </w:r>
            <w:r w:rsidR="00A55E9A">
              <w:t>.</w:t>
            </w:r>
            <w:r w:rsidR="001A6B0B">
              <w:t xml:space="preserve"> </w:t>
            </w:r>
            <w:proofErr w:type="gramStart"/>
            <w:r w:rsidR="001A6B0B">
              <w:rPr>
                <w:rStyle w:val="NoteLabel"/>
              </w:rPr>
              <w:t>b</w:t>
            </w:r>
            <w:proofErr w:type="gramEnd"/>
            <w:r w:rsidR="001A6B0B">
              <w:t xml:space="preserve"> </w:t>
            </w:r>
            <w:r w:rsidR="00FB5FF1">
              <w:t>C</w:t>
            </w:r>
            <w:r w:rsidR="00E31192">
              <w:t xml:space="preserve">onsistent with </w:t>
            </w:r>
            <w:r w:rsidR="00FB5FF1">
              <w:t xml:space="preserve">the magnitude of </w:t>
            </w:r>
            <w:r w:rsidR="00E31192">
              <w:t xml:space="preserve">variation </w:t>
            </w:r>
            <w:r w:rsidR="00FB5FF1">
              <w:t xml:space="preserve">across </w:t>
            </w:r>
            <w:r w:rsidR="00952AE6">
              <w:t xml:space="preserve">recent </w:t>
            </w:r>
            <w:r w:rsidR="00E31192">
              <w:t xml:space="preserve">estimates of the cost of CSG production in New South Wales </w:t>
            </w:r>
            <w:r w:rsidR="00E31192" w:rsidRPr="004971D9">
              <w:rPr>
                <w:rFonts w:cs="Arial"/>
                <w:szCs w:val="24"/>
              </w:rPr>
              <w:t>(Core Energy Group 2012</w:t>
            </w:r>
            <w:r w:rsidR="00F2764A">
              <w:rPr>
                <w:rFonts w:cs="Arial"/>
                <w:szCs w:val="24"/>
              </w:rPr>
              <w:t>a</w:t>
            </w:r>
            <w:r w:rsidR="00E31192" w:rsidRPr="004971D9">
              <w:rPr>
                <w:rFonts w:cs="Arial"/>
                <w:szCs w:val="24"/>
              </w:rPr>
              <w:t>, 2015</w:t>
            </w:r>
            <w:r w:rsidR="00F2764A">
              <w:rPr>
                <w:rFonts w:cs="Arial"/>
                <w:szCs w:val="24"/>
              </w:rPr>
              <w:t>a</w:t>
            </w:r>
            <w:r w:rsidR="00E31192" w:rsidRPr="004971D9">
              <w:rPr>
                <w:rFonts w:cs="Arial"/>
                <w:szCs w:val="24"/>
              </w:rPr>
              <w:t>)</w:t>
            </w:r>
            <w:r w:rsidR="00E31192">
              <w:t>.</w:t>
            </w:r>
          </w:p>
        </w:tc>
      </w:tr>
      <w:tr w:rsidR="007A5FCF" w14:paraId="59AB46D3" w14:textId="77777777" w:rsidTr="00464C37">
        <w:trPr>
          <w:cantSplit/>
        </w:trPr>
        <w:tc>
          <w:tcPr>
            <w:tcW w:w="8771" w:type="dxa"/>
            <w:tcBorders>
              <w:top w:val="nil"/>
              <w:left w:val="nil"/>
              <w:bottom w:val="single" w:sz="6" w:space="0" w:color="78A22F"/>
              <w:right w:val="nil"/>
            </w:tcBorders>
            <w:shd w:val="clear" w:color="auto" w:fill="auto"/>
          </w:tcPr>
          <w:p w14:paraId="687E8B1A" w14:textId="77777777" w:rsidR="007A5FCF" w:rsidRDefault="007A5FCF" w:rsidP="00464C37">
            <w:pPr>
              <w:pStyle w:val="Box"/>
              <w:spacing w:before="0" w:line="120" w:lineRule="exact"/>
            </w:pPr>
          </w:p>
        </w:tc>
      </w:tr>
      <w:tr w:rsidR="007A5FCF" w:rsidRPr="000863A5" w14:paraId="2B1680BA" w14:textId="77777777" w:rsidTr="00464C37">
        <w:tc>
          <w:tcPr>
            <w:tcW w:w="8771" w:type="dxa"/>
            <w:tcBorders>
              <w:top w:val="single" w:sz="6" w:space="0" w:color="78A22F"/>
              <w:left w:val="nil"/>
              <w:bottom w:val="nil"/>
              <w:right w:val="nil"/>
            </w:tcBorders>
          </w:tcPr>
          <w:p w14:paraId="1AC8F973" w14:textId="76A0549B" w:rsidR="007A5FCF" w:rsidRPr="00626D32" w:rsidRDefault="007A5FCF" w:rsidP="00464C37">
            <w:pPr>
              <w:pStyle w:val="BoxSpaceBelow"/>
            </w:pPr>
          </w:p>
        </w:tc>
      </w:tr>
    </w:tbl>
    <w:p w14:paraId="3E364483" w14:textId="43C7BDC6" w:rsidR="004D3B72" w:rsidRDefault="000D4B58" w:rsidP="00236559">
      <w:pPr>
        <w:pStyle w:val="BodyText"/>
      </w:pPr>
      <w:r>
        <w:t xml:space="preserve">The sensitivity </w:t>
      </w:r>
      <w:r w:rsidR="00D111C0">
        <w:t>analys</w:t>
      </w:r>
      <w:r>
        <w:t>i</w:t>
      </w:r>
      <w:r w:rsidR="00D111C0">
        <w:t xml:space="preserve">s </w:t>
      </w:r>
      <w:r>
        <w:t xml:space="preserve">indicates </w:t>
      </w:r>
      <w:r w:rsidR="00D111C0">
        <w:t>that</w:t>
      </w:r>
      <w:r w:rsidR="00135E9E">
        <w:t xml:space="preserve"> results are more sensitive to varying some parameters than others</w:t>
      </w:r>
      <w:r w:rsidR="00952AE6">
        <w:t xml:space="preserve"> (figures C.6 and C.7)</w:t>
      </w:r>
      <w:r w:rsidR="00725B4A">
        <w:t>.</w:t>
      </w:r>
    </w:p>
    <w:p w14:paraId="25246A19" w14:textId="5ACCF0C5" w:rsidR="00856587" w:rsidRDefault="00725B4A" w:rsidP="00856587">
      <w:pPr>
        <w:pStyle w:val="ListBullet"/>
      </w:pPr>
      <w:r>
        <w:t>R</w:t>
      </w:r>
      <w:r w:rsidR="00856587">
        <w:t>eserves growth and production costs have relatively large effect</w:t>
      </w:r>
      <w:r w:rsidR="00970705">
        <w:t>s</w:t>
      </w:r>
      <w:r w:rsidR="00856587">
        <w:t xml:space="preserve"> </w:t>
      </w:r>
      <w:r w:rsidR="00970705">
        <w:t xml:space="preserve">on </w:t>
      </w:r>
      <w:r w:rsidR="00D111C0">
        <w:t>total supply</w:t>
      </w:r>
      <w:r w:rsidR="00856587">
        <w:t xml:space="preserve"> and average prices </w:t>
      </w:r>
      <w:r w:rsidR="00970705">
        <w:t xml:space="preserve">because these parameters </w:t>
      </w:r>
      <w:r w:rsidR="00D111C0">
        <w:t>affect all gas fields in the eastern Australian gas market</w:t>
      </w:r>
      <w:r>
        <w:t>.</w:t>
      </w:r>
    </w:p>
    <w:p w14:paraId="0D80FCAE" w14:textId="3C1CA108" w:rsidR="00970705" w:rsidRDefault="00D111C0" w:rsidP="00856587">
      <w:pPr>
        <w:pStyle w:val="ListBullet"/>
      </w:pPr>
      <w:r>
        <w:t>CSG</w:t>
      </w:r>
      <w:r w:rsidR="00856587">
        <w:t xml:space="preserve"> development costs in </w:t>
      </w:r>
      <w:r w:rsidR="000D4B58">
        <w:t xml:space="preserve">New South </w:t>
      </w:r>
      <w:r w:rsidR="000D4B58" w:rsidRPr="0083411E">
        <w:t>Wales</w:t>
      </w:r>
      <w:r w:rsidR="000D4B58">
        <w:t xml:space="preserve"> </w:t>
      </w:r>
      <w:r w:rsidR="00856587">
        <w:t xml:space="preserve">and Victoria affect a subset of fields </w:t>
      </w:r>
      <w:r w:rsidR="00135E9E">
        <w:t xml:space="preserve">and have a smaller effect on overall market outcomes than production costs for all fields. </w:t>
      </w:r>
      <w:r w:rsidR="000D4B58">
        <w:t xml:space="preserve">However, </w:t>
      </w:r>
      <w:r w:rsidR="00135E9E">
        <w:t xml:space="preserve">CSG development costs </w:t>
      </w:r>
      <w:r w:rsidR="00970705">
        <w:t xml:space="preserve">are an important determinant of the cost of CSG moratoria in </w:t>
      </w:r>
      <w:r w:rsidR="0083411E">
        <w:t>New South Wales</w:t>
      </w:r>
      <w:r w:rsidR="00135E9E">
        <w:t xml:space="preserve"> and Victoria</w:t>
      </w:r>
      <w:r w:rsidR="000D4B58">
        <w:t>.</w:t>
      </w:r>
    </w:p>
    <w:p w14:paraId="12B47A31" w14:textId="7E05A5D3" w:rsidR="00D111C0" w:rsidRDefault="00725B4A" w:rsidP="00856587">
      <w:pPr>
        <w:pStyle w:val="ListBullet"/>
      </w:pPr>
      <w:r>
        <w:t>S</w:t>
      </w:r>
      <w:r w:rsidR="000D4B58">
        <w:t xml:space="preserve">ystem use </w:t>
      </w:r>
      <w:r w:rsidR="007E3FB2">
        <w:t xml:space="preserve">of </w:t>
      </w:r>
      <w:r w:rsidR="000D4B58">
        <w:t xml:space="preserve">gas </w:t>
      </w:r>
      <w:r w:rsidR="00970705">
        <w:t>ha</w:t>
      </w:r>
      <w:r w:rsidR="000D4B58">
        <w:t>s a</w:t>
      </w:r>
      <w:r w:rsidR="00970705">
        <w:t xml:space="preserve"> relatively small effect on prices across geographical locations, and even smaller effects on aggregate demand and supply</w:t>
      </w:r>
      <w:r>
        <w:t>.</w:t>
      </w:r>
      <w:r w:rsidR="00970705">
        <w:t xml:space="preserve"> </w:t>
      </w:r>
    </w:p>
    <w:p w14:paraId="1778FC46" w14:textId="08933651" w:rsidR="00856587" w:rsidDel="0083411E" w:rsidRDefault="00725B4A" w:rsidP="00856587">
      <w:pPr>
        <w:pStyle w:val="ListBullet"/>
      </w:pPr>
      <w:r>
        <w:t>D</w:t>
      </w:r>
      <w:r w:rsidR="00856587">
        <w:t xml:space="preserve">omestic demand assumptions have a relatively small effect on overall market outcomes, as LNG supply constitutes the majority of total supply and LNG prices are a </w:t>
      </w:r>
      <w:r w:rsidR="007F5860">
        <w:t xml:space="preserve">more important </w:t>
      </w:r>
      <w:r w:rsidR="00856587">
        <w:t>determinant of prices in the eastern Australia</w:t>
      </w:r>
      <w:r w:rsidR="006452B7">
        <w:t>n</w:t>
      </w:r>
      <w:r w:rsidR="00856587">
        <w:t xml:space="preserve"> </w:t>
      </w:r>
      <w:r w:rsidR="00C464F6">
        <w:t xml:space="preserve">gas </w:t>
      </w:r>
      <w:r w:rsidR="00856587">
        <w:t>market.</w:t>
      </w:r>
    </w:p>
    <w:p w14:paraId="5F5DC283" w14:textId="030B38F3" w:rsidR="00F3780E" w:rsidRDefault="00F3780E" w:rsidP="005A349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3780E" w14:paraId="218E934C" w14:textId="77777777" w:rsidTr="005A3493">
        <w:tc>
          <w:tcPr>
            <w:tcW w:w="8771" w:type="dxa"/>
            <w:tcBorders>
              <w:top w:val="single" w:sz="6" w:space="0" w:color="78A22F"/>
              <w:left w:val="nil"/>
              <w:bottom w:val="nil"/>
              <w:right w:val="nil"/>
            </w:tcBorders>
            <w:shd w:val="clear" w:color="auto" w:fill="auto"/>
          </w:tcPr>
          <w:p w14:paraId="20C0DA97" w14:textId="03334395" w:rsidR="00F3780E" w:rsidRPr="00176D3F" w:rsidRDefault="00F3780E" w:rsidP="00B118A1">
            <w:pPr>
              <w:pStyle w:val="TableTitle"/>
            </w:pPr>
            <w:r w:rsidRPr="00784A05">
              <w:rPr>
                <w:b w:val="0"/>
              </w:rPr>
              <w:t xml:space="preserve">Figure </w:t>
            </w:r>
            <w:bookmarkStart w:id="14" w:name="OLE_LINK17"/>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6</w:t>
            </w:r>
            <w:r w:rsidRPr="00784A05">
              <w:rPr>
                <w:b w:val="0"/>
              </w:rPr>
              <w:fldChar w:fldCharType="end"/>
            </w:r>
            <w:bookmarkEnd w:id="14"/>
            <w:r>
              <w:tab/>
            </w:r>
            <w:r w:rsidR="00A55E9A">
              <w:t>Effects of sensitivity analys</w:t>
            </w:r>
            <w:r w:rsidR="006452B7">
              <w:t>is</w:t>
            </w:r>
            <w:r w:rsidR="00A55E9A">
              <w:t xml:space="preserve"> on supply</w:t>
            </w:r>
          </w:p>
        </w:tc>
      </w:tr>
      <w:tr w:rsidR="00F3780E" w14:paraId="458DB7EE" w14:textId="77777777" w:rsidTr="005A349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F3780E" w14:paraId="4FE955B2" w14:textId="77777777" w:rsidTr="002C19EE">
              <w:trPr>
                <w:jc w:val="center"/>
              </w:trPr>
              <w:tc>
                <w:tcPr>
                  <w:tcW w:w="8504" w:type="dxa"/>
                  <w:tcBorders>
                    <w:top w:val="nil"/>
                    <w:bottom w:val="nil"/>
                  </w:tcBorders>
                </w:tcPr>
                <w:p w14:paraId="75B5862D" w14:textId="71557A31" w:rsidR="00F3780E" w:rsidRDefault="008C6E3F" w:rsidP="005A3493">
                  <w:pPr>
                    <w:pStyle w:val="Figure"/>
                    <w:spacing w:before="60" w:after="60"/>
                  </w:pPr>
                  <w:r>
                    <w:rPr>
                      <w:noProof/>
                    </w:rPr>
                    <w:drawing>
                      <wp:inline distT="0" distB="0" distL="0" distR="0" wp14:anchorId="095BD6CA" wp14:editId="13A4742C">
                        <wp:extent cx="5401310" cy="2877820"/>
                        <wp:effectExtent l="0" t="0" r="8890" b="0"/>
                        <wp:docPr id="116" name="Picture 116" descr="&#10;Reserves growth and production costs have the greatest modelled effect on supply in sensitivity analysis. With low reserves growth, supply is about 4000 petajoules lower from 2013 to 2032 than with baseline reserves growth. With high reserves growth, supply is about 3000 petajoules higher from 2013 to 2032. With high production costs supply is about 12 000 petajoules lower from 2013 to 203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01310" cy="2877820"/>
                                </a:xfrm>
                                <a:prstGeom prst="rect">
                                  <a:avLst/>
                                </a:prstGeom>
                                <a:noFill/>
                              </pic:spPr>
                            </pic:pic>
                          </a:graphicData>
                        </a:graphic>
                      </wp:inline>
                    </w:drawing>
                  </w:r>
                </w:p>
              </w:tc>
            </w:tr>
          </w:tbl>
          <w:p w14:paraId="45897657" w14:textId="77777777" w:rsidR="00F3780E" w:rsidRDefault="00F3780E" w:rsidP="005A3493">
            <w:pPr>
              <w:pStyle w:val="Figure"/>
            </w:pPr>
          </w:p>
        </w:tc>
      </w:tr>
      <w:tr w:rsidR="00F3780E" w:rsidRPr="00176D3F" w14:paraId="3F5942FB" w14:textId="77777777" w:rsidTr="005A3493">
        <w:tc>
          <w:tcPr>
            <w:tcW w:w="8771" w:type="dxa"/>
            <w:tcBorders>
              <w:top w:val="nil"/>
              <w:left w:val="nil"/>
              <w:bottom w:val="nil"/>
              <w:right w:val="nil"/>
            </w:tcBorders>
            <w:shd w:val="clear" w:color="auto" w:fill="auto"/>
          </w:tcPr>
          <w:p w14:paraId="172D4914" w14:textId="43C72FA6" w:rsidR="00F3780E" w:rsidRPr="00176D3F" w:rsidRDefault="008E4AB1" w:rsidP="005A3493">
            <w:pPr>
              <w:pStyle w:val="Source"/>
            </w:pPr>
            <w:r>
              <w:rPr>
                <w:i/>
              </w:rPr>
              <w:t>Source</w:t>
            </w:r>
            <w:r w:rsidRPr="00624D3F">
              <w:t>:</w:t>
            </w:r>
            <w:r>
              <w:rPr>
                <w:i/>
              </w:rPr>
              <w:t xml:space="preserve"> </w:t>
            </w:r>
            <w:r>
              <w:t>Commission estimates</w:t>
            </w:r>
            <w:r w:rsidR="004E7A7F">
              <w:t>.</w:t>
            </w:r>
          </w:p>
        </w:tc>
      </w:tr>
      <w:tr w:rsidR="00F3780E" w14:paraId="5B0CA2A7" w14:textId="77777777" w:rsidTr="005A3493">
        <w:tc>
          <w:tcPr>
            <w:tcW w:w="8771" w:type="dxa"/>
            <w:tcBorders>
              <w:top w:val="nil"/>
              <w:left w:val="nil"/>
              <w:bottom w:val="single" w:sz="6" w:space="0" w:color="78A22F"/>
              <w:right w:val="nil"/>
            </w:tcBorders>
            <w:shd w:val="clear" w:color="auto" w:fill="auto"/>
          </w:tcPr>
          <w:p w14:paraId="5E6B724B" w14:textId="77777777" w:rsidR="00F3780E" w:rsidRDefault="00F3780E" w:rsidP="005A3493">
            <w:pPr>
              <w:pStyle w:val="Figurespace"/>
            </w:pPr>
          </w:p>
        </w:tc>
      </w:tr>
      <w:tr w:rsidR="00F3780E" w:rsidRPr="000863A5" w14:paraId="4696742A" w14:textId="77777777" w:rsidTr="005A3493">
        <w:tc>
          <w:tcPr>
            <w:tcW w:w="8771" w:type="dxa"/>
            <w:tcBorders>
              <w:top w:val="single" w:sz="6" w:space="0" w:color="78A22F"/>
              <w:left w:val="nil"/>
              <w:bottom w:val="nil"/>
              <w:right w:val="nil"/>
            </w:tcBorders>
          </w:tcPr>
          <w:p w14:paraId="0EC8C0BB" w14:textId="60948197" w:rsidR="00F3780E" w:rsidRPr="00626D32" w:rsidRDefault="00F3780E" w:rsidP="005A3493">
            <w:pPr>
              <w:pStyle w:val="BoxSpaceBelow"/>
            </w:pPr>
          </w:p>
        </w:tc>
      </w:tr>
    </w:tbl>
    <w:p w14:paraId="3C394DF9" w14:textId="74C8F022" w:rsidR="00D111C0" w:rsidRDefault="00D111C0" w:rsidP="008D6D78">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111C0" w14:paraId="50E749FC" w14:textId="77777777" w:rsidTr="00135E9E">
        <w:tc>
          <w:tcPr>
            <w:tcW w:w="8771" w:type="dxa"/>
            <w:tcBorders>
              <w:top w:val="single" w:sz="6" w:space="0" w:color="78A22F"/>
              <w:left w:val="nil"/>
              <w:bottom w:val="nil"/>
              <w:right w:val="nil"/>
            </w:tcBorders>
            <w:shd w:val="clear" w:color="auto" w:fill="auto"/>
          </w:tcPr>
          <w:p w14:paraId="7C61D9A3" w14:textId="0B57AC17" w:rsidR="00D111C0" w:rsidRPr="00176D3F" w:rsidRDefault="00D111C0" w:rsidP="00B118A1">
            <w:pPr>
              <w:pStyle w:val="FigureTitle"/>
            </w:pPr>
            <w:r w:rsidRPr="00784A05">
              <w:rPr>
                <w:b w:val="0"/>
              </w:rPr>
              <w:t xml:space="preserve">Figure </w:t>
            </w:r>
            <w:bookmarkStart w:id="15" w:name="OLE_LINK18"/>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7</w:t>
            </w:r>
            <w:r w:rsidRPr="00784A05">
              <w:rPr>
                <w:b w:val="0"/>
              </w:rPr>
              <w:fldChar w:fldCharType="end"/>
            </w:r>
            <w:bookmarkEnd w:id="15"/>
            <w:r>
              <w:tab/>
              <w:t>Effects of sensitivity analys</w:t>
            </w:r>
            <w:r w:rsidR="00F813E4">
              <w:t>is</w:t>
            </w:r>
            <w:r>
              <w:t xml:space="preserve"> on weighted average capital city </w:t>
            </w:r>
            <w:r w:rsidR="00CF2F71">
              <w:t xml:space="preserve">gas </w:t>
            </w:r>
            <w:r>
              <w:t>prices</w:t>
            </w:r>
            <w:r w:rsidR="0067327C" w:rsidRPr="00AD723F">
              <w:rPr>
                <w:rStyle w:val="NoteLabel"/>
                <w:b/>
              </w:rPr>
              <w:t>a</w:t>
            </w:r>
          </w:p>
        </w:tc>
      </w:tr>
      <w:tr w:rsidR="00D111C0" w14:paraId="612F8D52" w14:textId="77777777" w:rsidTr="00135E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D111C0" w14:paraId="3E0D78D8" w14:textId="77777777" w:rsidTr="002C19EE">
              <w:trPr>
                <w:jc w:val="center"/>
              </w:trPr>
              <w:tc>
                <w:tcPr>
                  <w:tcW w:w="8504" w:type="dxa"/>
                  <w:tcBorders>
                    <w:top w:val="nil"/>
                    <w:bottom w:val="nil"/>
                  </w:tcBorders>
                </w:tcPr>
                <w:p w14:paraId="540E277B" w14:textId="773DA91A" w:rsidR="00D111C0" w:rsidRDefault="008C6E3F" w:rsidP="00135E9E">
                  <w:pPr>
                    <w:pStyle w:val="Figure"/>
                    <w:spacing w:before="60" w:after="60"/>
                  </w:pPr>
                  <w:r>
                    <w:rPr>
                      <w:noProof/>
                    </w:rPr>
                    <w:drawing>
                      <wp:inline distT="0" distB="0" distL="0" distR="0" wp14:anchorId="4F066796" wp14:editId="33DCE750">
                        <wp:extent cx="5395595" cy="2883535"/>
                        <wp:effectExtent l="0" t="0" r="0" b="0"/>
                        <wp:docPr id="117" name="Picture 117" descr="Reserves growth, production costs and coal seam gas development costs in New South Wales and Victoria have the greatest modelled effect on prices in sensitivity analysis. Weighted average capital city gas prices are higher with lower reserves growth and higher production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95595" cy="2883535"/>
                                </a:xfrm>
                                <a:prstGeom prst="rect">
                                  <a:avLst/>
                                </a:prstGeom>
                                <a:noFill/>
                              </pic:spPr>
                            </pic:pic>
                          </a:graphicData>
                        </a:graphic>
                      </wp:inline>
                    </w:drawing>
                  </w:r>
                </w:p>
              </w:tc>
            </w:tr>
          </w:tbl>
          <w:p w14:paraId="25E1C42C" w14:textId="77777777" w:rsidR="00D111C0" w:rsidRDefault="00D111C0" w:rsidP="00135E9E">
            <w:pPr>
              <w:pStyle w:val="Figure"/>
            </w:pPr>
          </w:p>
        </w:tc>
      </w:tr>
      <w:tr w:rsidR="00D111C0" w:rsidRPr="00176D3F" w14:paraId="4D26444B" w14:textId="77777777" w:rsidTr="00135E9E">
        <w:tc>
          <w:tcPr>
            <w:tcW w:w="8771" w:type="dxa"/>
            <w:tcBorders>
              <w:top w:val="nil"/>
              <w:left w:val="nil"/>
              <w:bottom w:val="nil"/>
              <w:right w:val="nil"/>
            </w:tcBorders>
            <w:shd w:val="clear" w:color="auto" w:fill="auto"/>
          </w:tcPr>
          <w:p w14:paraId="784D6B9C" w14:textId="5DA84F67" w:rsidR="00D111C0" w:rsidRPr="00176D3F" w:rsidRDefault="00D111C0" w:rsidP="00856587">
            <w:pPr>
              <w:pStyle w:val="ListNumber"/>
              <w:keepLines/>
              <w:numPr>
                <w:ilvl w:val="0"/>
                <w:numId w:val="0"/>
              </w:numPr>
              <w:spacing w:before="80" w:line="220" w:lineRule="exact"/>
            </w:pPr>
            <w:proofErr w:type="gramStart"/>
            <w:r>
              <w:rPr>
                <w:rStyle w:val="NoteLabel"/>
              </w:rPr>
              <w:t>a</w:t>
            </w:r>
            <w:proofErr w:type="gramEnd"/>
            <w:r>
              <w:t xml:space="preserve"> </w:t>
            </w:r>
            <w:r w:rsidR="00D812FF">
              <w:rPr>
                <w:rFonts w:ascii="Arial" w:hAnsi="Arial"/>
                <w:sz w:val="18"/>
              </w:rPr>
              <w:t xml:space="preserve">Weighted averages of </w:t>
            </w:r>
            <w:r w:rsidR="00952AE6">
              <w:rPr>
                <w:rFonts w:ascii="Arial" w:hAnsi="Arial"/>
                <w:sz w:val="18"/>
              </w:rPr>
              <w:t xml:space="preserve">modelled </w:t>
            </w:r>
            <w:r w:rsidR="00D812FF">
              <w:rPr>
                <w:rFonts w:ascii="Arial" w:hAnsi="Arial"/>
                <w:sz w:val="18"/>
              </w:rPr>
              <w:t>prices in</w:t>
            </w:r>
            <w:r w:rsidRPr="00856587">
              <w:rPr>
                <w:rFonts w:ascii="Arial" w:hAnsi="Arial"/>
                <w:sz w:val="18"/>
              </w:rPr>
              <w:t xml:space="preserve"> Adelaide, Brisbane, Melbourne and Sydney.</w:t>
            </w:r>
            <w:r>
              <w:t xml:space="preserve"> </w:t>
            </w:r>
          </w:p>
        </w:tc>
      </w:tr>
      <w:tr w:rsidR="00D111C0" w:rsidRPr="00176D3F" w14:paraId="185F7B4D" w14:textId="77777777" w:rsidTr="00135E9E">
        <w:tc>
          <w:tcPr>
            <w:tcW w:w="8771" w:type="dxa"/>
            <w:tcBorders>
              <w:top w:val="nil"/>
              <w:left w:val="nil"/>
              <w:bottom w:val="nil"/>
              <w:right w:val="nil"/>
            </w:tcBorders>
            <w:shd w:val="clear" w:color="auto" w:fill="auto"/>
          </w:tcPr>
          <w:p w14:paraId="5016DE6A" w14:textId="20B13606" w:rsidR="00D111C0" w:rsidRPr="00176D3F" w:rsidRDefault="008E4AB1" w:rsidP="00135E9E">
            <w:pPr>
              <w:pStyle w:val="Source"/>
            </w:pPr>
            <w:r>
              <w:rPr>
                <w:i/>
              </w:rPr>
              <w:t>Source</w:t>
            </w:r>
            <w:r w:rsidRPr="00624D3F">
              <w:t>:</w:t>
            </w:r>
            <w:r>
              <w:rPr>
                <w:i/>
              </w:rPr>
              <w:t xml:space="preserve"> </w:t>
            </w:r>
            <w:r>
              <w:t>Commission estimates</w:t>
            </w:r>
            <w:r w:rsidR="00D111C0">
              <w:t>.</w:t>
            </w:r>
          </w:p>
        </w:tc>
      </w:tr>
      <w:tr w:rsidR="00D111C0" w14:paraId="73533757" w14:textId="77777777" w:rsidTr="00135E9E">
        <w:tc>
          <w:tcPr>
            <w:tcW w:w="8771" w:type="dxa"/>
            <w:tcBorders>
              <w:top w:val="nil"/>
              <w:left w:val="nil"/>
              <w:bottom w:val="single" w:sz="6" w:space="0" w:color="78A22F"/>
              <w:right w:val="nil"/>
            </w:tcBorders>
            <w:shd w:val="clear" w:color="auto" w:fill="auto"/>
          </w:tcPr>
          <w:p w14:paraId="2209F6F1" w14:textId="77777777" w:rsidR="00D111C0" w:rsidRDefault="00D111C0" w:rsidP="00135E9E">
            <w:pPr>
              <w:pStyle w:val="Figurespace"/>
            </w:pPr>
          </w:p>
        </w:tc>
      </w:tr>
      <w:tr w:rsidR="00D111C0" w:rsidRPr="000863A5" w14:paraId="559D8E4F" w14:textId="77777777" w:rsidTr="00135E9E">
        <w:tc>
          <w:tcPr>
            <w:tcW w:w="8771" w:type="dxa"/>
            <w:tcBorders>
              <w:top w:val="single" w:sz="6" w:space="0" w:color="78A22F"/>
              <w:left w:val="nil"/>
              <w:bottom w:val="nil"/>
              <w:right w:val="nil"/>
            </w:tcBorders>
          </w:tcPr>
          <w:p w14:paraId="5A7F02DC" w14:textId="5BB148B4" w:rsidR="00D111C0" w:rsidRPr="00626D32" w:rsidRDefault="00D111C0" w:rsidP="00135E9E">
            <w:pPr>
              <w:pStyle w:val="BoxSpaceBelow"/>
            </w:pPr>
          </w:p>
        </w:tc>
      </w:tr>
    </w:tbl>
    <w:p w14:paraId="746ED07E" w14:textId="77777777" w:rsidR="00135E9E" w:rsidDel="0083411E" w:rsidRDefault="007A5FCF">
      <w:pPr>
        <w:pStyle w:val="Heading3"/>
      </w:pPr>
      <w:r>
        <w:lastRenderedPageBreak/>
        <w:t>Res</w:t>
      </w:r>
      <w:r w:rsidR="000B1DD8">
        <w:t>erves</w:t>
      </w:r>
      <w:r>
        <w:t xml:space="preserve"> growth</w:t>
      </w:r>
    </w:p>
    <w:p w14:paraId="194CDF5D" w14:textId="0D50EE86" w:rsidR="00F564B8" w:rsidRDefault="00F564B8" w:rsidP="00F564B8">
      <w:pPr>
        <w:pStyle w:val="BodyText"/>
      </w:pPr>
      <w:r>
        <w:t xml:space="preserve">Lower reserves growth reduces available gas and means that cheaper sources of gas are exhausted more quickly and </w:t>
      </w:r>
      <w:r w:rsidR="007F5860">
        <w:t xml:space="preserve">replaced </w:t>
      </w:r>
      <w:r>
        <w:t xml:space="preserve">by more expensive sources, which reduces supply and increases prices relative to the baseline. Most of the </w:t>
      </w:r>
      <w:r w:rsidR="007F5860">
        <w:t xml:space="preserve">reduction </w:t>
      </w:r>
      <w:r>
        <w:t xml:space="preserve">in supply is </w:t>
      </w:r>
      <w:r w:rsidR="00952AE6">
        <w:t xml:space="preserve">estimated to be </w:t>
      </w:r>
      <w:r w:rsidR="000F15AD">
        <w:t xml:space="preserve">in </w:t>
      </w:r>
      <w:r>
        <w:t>the Surat</w:t>
      </w:r>
      <w:r w:rsidR="003C2B23">
        <w:t>–</w:t>
      </w:r>
      <w:r>
        <w:t xml:space="preserve">Bowen </w:t>
      </w:r>
      <w:r w:rsidR="00844833">
        <w:t>b</w:t>
      </w:r>
      <w:r>
        <w:t>asin</w:t>
      </w:r>
      <w:r w:rsidR="00A501E6">
        <w:t>s</w:t>
      </w:r>
      <w:r>
        <w:t xml:space="preserve"> as this is where reserves growth is projected to be greatest </w:t>
      </w:r>
      <w:r w:rsidR="00B77494">
        <w:t xml:space="preserve">between </w:t>
      </w:r>
      <w:r>
        <w:t>2013</w:t>
      </w:r>
      <w:r w:rsidR="00A71E5F">
        <w:t xml:space="preserve"> and 20</w:t>
      </w:r>
      <w:r w:rsidR="008D6D78">
        <w:t xml:space="preserve">32 (appendix B). </w:t>
      </w:r>
      <w:r>
        <w:t xml:space="preserve">Conversely, higher reserves growth increases available gas and means that </w:t>
      </w:r>
      <w:r w:rsidR="00CF2F71">
        <w:t>less costly</w:t>
      </w:r>
      <w:r>
        <w:t xml:space="preserve"> sources of gas last for longer, delaying use of more expensive sources, which increases supply. </w:t>
      </w:r>
      <w:r w:rsidR="007F5860">
        <w:t xml:space="preserve">However, prices </w:t>
      </w:r>
      <w:r w:rsidR="00CF2F71">
        <w:t xml:space="preserve">are </w:t>
      </w:r>
      <w:r w:rsidR="00F2191F">
        <w:t>estimated</w:t>
      </w:r>
      <w:r w:rsidR="00CF2F71">
        <w:t xml:space="preserve"> to </w:t>
      </w:r>
      <w:r>
        <w:t>fall only marginally because domestic pr</w:t>
      </w:r>
      <w:r w:rsidR="00236559">
        <w:t xml:space="preserve">ices </w:t>
      </w:r>
      <w:r w:rsidR="00F2191F">
        <w:t>in the model</w:t>
      </w:r>
      <w:r w:rsidR="00236559">
        <w:t xml:space="preserve"> are largely determined by the </w:t>
      </w:r>
      <w:r>
        <w:t>LNG price</w:t>
      </w:r>
      <w:r w:rsidR="0067327C">
        <w:t xml:space="preserve"> (figure</w:t>
      </w:r>
      <w:r w:rsidR="00952AE6">
        <w:t> </w:t>
      </w:r>
      <w:r w:rsidR="0067327C">
        <w:t>C.8)</w:t>
      </w:r>
      <w:r>
        <w:t>.</w:t>
      </w:r>
    </w:p>
    <w:p w14:paraId="1AE0FF74" w14:textId="3B3F0113" w:rsidR="007A5FCF" w:rsidRDefault="007A5FCF" w:rsidP="008D6D78">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527D2A63" w14:textId="77777777" w:rsidTr="00464C37">
        <w:tc>
          <w:tcPr>
            <w:tcW w:w="8771" w:type="dxa"/>
            <w:tcBorders>
              <w:top w:val="single" w:sz="6" w:space="0" w:color="78A22F"/>
              <w:left w:val="nil"/>
              <w:bottom w:val="nil"/>
              <w:right w:val="nil"/>
            </w:tcBorders>
            <w:shd w:val="clear" w:color="auto" w:fill="auto"/>
          </w:tcPr>
          <w:p w14:paraId="44B4C295" w14:textId="6DBC8425" w:rsidR="007A5FCF" w:rsidRDefault="007A5FCF" w:rsidP="00464C37">
            <w:pPr>
              <w:pStyle w:val="FigureTitle"/>
            </w:pPr>
            <w:r w:rsidRPr="00784A05">
              <w:rPr>
                <w:b w:val="0"/>
              </w:rPr>
              <w:t xml:space="preserve">Figure </w:t>
            </w:r>
            <w:bookmarkStart w:id="16" w:name="OLE_LINK19"/>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8</w:t>
            </w:r>
            <w:r w:rsidRPr="00784A05">
              <w:rPr>
                <w:b w:val="0"/>
              </w:rPr>
              <w:fldChar w:fldCharType="end"/>
            </w:r>
            <w:bookmarkEnd w:id="16"/>
            <w:r>
              <w:tab/>
            </w:r>
            <w:r w:rsidR="009B2366">
              <w:t xml:space="preserve">Sensitivity of </w:t>
            </w:r>
            <w:r w:rsidR="00E67058">
              <w:t>modelling results</w:t>
            </w:r>
            <w:r w:rsidR="009B2366">
              <w:t xml:space="preserve"> to </w:t>
            </w:r>
            <w:r>
              <w:t>res</w:t>
            </w:r>
            <w:r w:rsidR="009B2366">
              <w:t xml:space="preserve">erves </w:t>
            </w:r>
            <w:r>
              <w:t>growth</w:t>
            </w:r>
            <w:r w:rsidR="000B1DD8">
              <w:t xml:space="preserve"> </w:t>
            </w:r>
            <w:r w:rsidR="007F5860">
              <w:t>rates</w:t>
            </w:r>
          </w:p>
          <w:p w14:paraId="6599A5DE" w14:textId="31E9C0CB" w:rsidR="007A5FCF" w:rsidRPr="00176D3F" w:rsidRDefault="005063E0" w:rsidP="008B2F5A">
            <w:pPr>
              <w:pStyle w:val="Subtitle"/>
            </w:pPr>
            <w:r>
              <w:t xml:space="preserve">Relative to </w:t>
            </w:r>
            <w:r w:rsidR="00BD4282">
              <w:t>baseline</w:t>
            </w:r>
            <w:r>
              <w:t xml:space="preserve"> </w:t>
            </w:r>
            <w:r w:rsidR="007A5FCF">
              <w:t>res</w:t>
            </w:r>
            <w:r w:rsidR="009B2366">
              <w:t>erves</w:t>
            </w:r>
            <w:r w:rsidR="007A5FCF">
              <w:t xml:space="preserve"> growth</w:t>
            </w:r>
          </w:p>
        </w:tc>
      </w:tr>
      <w:tr w:rsidR="007A5FCF" w14:paraId="5DE0EB23"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23E9D" w14:paraId="66C3A9D5" w14:textId="77777777" w:rsidTr="003728BD">
              <w:trPr>
                <w:jc w:val="center"/>
              </w:trPr>
              <w:tc>
                <w:tcPr>
                  <w:tcW w:w="8504" w:type="dxa"/>
                  <w:gridSpan w:val="2"/>
                  <w:tcBorders>
                    <w:top w:val="nil"/>
                    <w:bottom w:val="nil"/>
                  </w:tcBorders>
                </w:tcPr>
                <w:p w14:paraId="12767DC5" w14:textId="1108F52C" w:rsidR="00E23E9D" w:rsidRPr="008222E2" w:rsidRDefault="00D6067E" w:rsidP="00624D3F">
                  <w:pPr>
                    <w:pStyle w:val="Figure"/>
                    <w:spacing w:before="20" w:after="60"/>
                    <w:rPr>
                      <w:rFonts w:asciiTheme="majorHAnsi" w:hAnsiTheme="majorHAnsi" w:cstheme="majorHAnsi"/>
                      <w:b/>
                    </w:rPr>
                  </w:pPr>
                  <w:r>
                    <w:rPr>
                      <w:rFonts w:asciiTheme="majorHAnsi" w:hAnsiTheme="majorHAnsi" w:cstheme="majorHAnsi"/>
                      <w:b/>
                    </w:rPr>
                    <w:t>50 per cent lower</w:t>
                  </w:r>
                  <w:r w:rsidRPr="008222E2">
                    <w:rPr>
                      <w:rFonts w:asciiTheme="majorHAnsi" w:hAnsiTheme="majorHAnsi" w:cstheme="majorHAnsi"/>
                      <w:b/>
                    </w:rPr>
                    <w:t xml:space="preserve"> </w:t>
                  </w:r>
                  <w:r w:rsidR="00E23E9D" w:rsidRPr="008222E2">
                    <w:rPr>
                      <w:rFonts w:asciiTheme="majorHAnsi" w:hAnsiTheme="majorHAnsi" w:cstheme="majorHAnsi"/>
                      <w:b/>
                    </w:rPr>
                    <w:t>res</w:t>
                  </w:r>
                  <w:r w:rsidR="000B1DD8">
                    <w:rPr>
                      <w:rFonts w:asciiTheme="majorHAnsi" w:hAnsiTheme="majorHAnsi" w:cstheme="majorHAnsi"/>
                      <w:b/>
                    </w:rPr>
                    <w:t>erves</w:t>
                  </w:r>
                  <w:r w:rsidR="00E23E9D" w:rsidRPr="008222E2">
                    <w:rPr>
                      <w:rFonts w:asciiTheme="majorHAnsi" w:hAnsiTheme="majorHAnsi" w:cstheme="majorHAnsi"/>
                      <w:b/>
                    </w:rPr>
                    <w:t xml:space="preserve"> growth</w:t>
                  </w:r>
                </w:p>
              </w:tc>
            </w:tr>
            <w:tr w:rsidR="004A1B74" w14:paraId="7F679030" w14:textId="77777777" w:rsidTr="004A1B74">
              <w:trPr>
                <w:jc w:val="center"/>
              </w:trPr>
              <w:tc>
                <w:tcPr>
                  <w:tcW w:w="4252" w:type="dxa"/>
                  <w:tcBorders>
                    <w:top w:val="nil"/>
                    <w:bottom w:val="nil"/>
                  </w:tcBorders>
                </w:tcPr>
                <w:p w14:paraId="39A811FB" w14:textId="04ADE6AD" w:rsidR="004A1B74" w:rsidRDefault="004A1B74" w:rsidP="00624D3F">
                  <w:pPr>
                    <w:pStyle w:val="Figure"/>
                    <w:spacing w:before="0" w:after="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Borders>
                    <w:top w:val="nil"/>
                    <w:bottom w:val="nil"/>
                  </w:tcBorders>
                </w:tcPr>
                <w:p w14:paraId="7FC68EF7" w14:textId="121B3C74" w:rsidR="004A1B74" w:rsidRDefault="004A1B74" w:rsidP="00624D3F">
                  <w:pPr>
                    <w:pStyle w:val="Figure"/>
                    <w:spacing w:before="0" w:after="0"/>
                    <w:rPr>
                      <w:noProof/>
                    </w:rPr>
                  </w:pPr>
                  <w:r>
                    <w:rPr>
                      <w:rFonts w:ascii="Arial" w:hAnsi="Arial" w:cs="Arial"/>
                      <w:b/>
                      <w:noProof/>
                      <w:sz w:val="20"/>
                    </w:rPr>
                    <w:t>Changes in d</w:t>
                  </w:r>
                  <w:r w:rsidRPr="00263AF0">
                    <w:rPr>
                      <w:rFonts w:ascii="Arial" w:hAnsi="Arial" w:cs="Arial"/>
                      <w:b/>
                      <w:noProof/>
                      <w:sz w:val="20"/>
                    </w:rPr>
                    <w:t>omestic prices</w:t>
                  </w:r>
                </w:p>
              </w:tc>
            </w:tr>
            <w:tr w:rsidR="004A1B74" w14:paraId="0566BAE9" w14:textId="77777777" w:rsidTr="004A1B74">
              <w:trPr>
                <w:jc w:val="center"/>
              </w:trPr>
              <w:tc>
                <w:tcPr>
                  <w:tcW w:w="4252" w:type="dxa"/>
                  <w:tcBorders>
                    <w:top w:val="nil"/>
                    <w:bottom w:val="nil"/>
                  </w:tcBorders>
                </w:tcPr>
                <w:p w14:paraId="078F02D1" w14:textId="138D3BAA" w:rsidR="004A1B74" w:rsidRDefault="00FA722C" w:rsidP="00464C37">
                  <w:pPr>
                    <w:pStyle w:val="Figure"/>
                    <w:spacing w:before="60" w:after="60"/>
                    <w:rPr>
                      <w:noProof/>
                    </w:rPr>
                  </w:pPr>
                  <w:r>
                    <w:rPr>
                      <w:noProof/>
                    </w:rPr>
                    <w:drawing>
                      <wp:inline distT="0" distB="0" distL="0" distR="0" wp14:anchorId="7D1C3B85" wp14:editId="0B0A2E84">
                        <wp:extent cx="2538111" cy="2160000"/>
                        <wp:effectExtent l="0" t="0" r="0" b="0"/>
                        <wp:docPr id="120" name="Picture 120" descr="This is one of four charts in figure C.8. This figure shows that with 50 per cent lower reserves growth, there are modelled falls in supply and demand from 2019 relative to baseline reserves growth. Conversely, there are modelled increases in supply and demand from 2019 with 50 per cent higher reserves growth relative to the baseline. Prices are modelled to rise with 50 lower reserves growth but not change very much with 50 per cent higher reserves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38111" cy="2160000"/>
                                </a:xfrm>
                                <a:prstGeom prst="rect">
                                  <a:avLst/>
                                </a:prstGeom>
                                <a:noFill/>
                              </pic:spPr>
                            </pic:pic>
                          </a:graphicData>
                        </a:graphic>
                      </wp:inline>
                    </w:drawing>
                  </w:r>
                </w:p>
              </w:tc>
              <w:tc>
                <w:tcPr>
                  <w:tcW w:w="4252" w:type="dxa"/>
                  <w:tcBorders>
                    <w:top w:val="nil"/>
                    <w:bottom w:val="nil"/>
                  </w:tcBorders>
                </w:tcPr>
                <w:p w14:paraId="146BC4B9" w14:textId="2C36ADEB" w:rsidR="004A1B74" w:rsidRDefault="00FA722C" w:rsidP="00464C37">
                  <w:pPr>
                    <w:pStyle w:val="Figure"/>
                    <w:spacing w:before="60" w:after="60"/>
                    <w:rPr>
                      <w:noProof/>
                    </w:rPr>
                  </w:pPr>
                  <w:r>
                    <w:rPr>
                      <w:noProof/>
                    </w:rPr>
                    <w:drawing>
                      <wp:inline distT="0" distB="0" distL="0" distR="0" wp14:anchorId="0D6FE74E" wp14:editId="20A73301">
                        <wp:extent cx="2525071" cy="2160000"/>
                        <wp:effectExtent l="0" t="0" r="8890" b="0"/>
                        <wp:docPr id="119" name="Picture 119" descr="This is one of four charts in figure C.8. This figure shows that with 50 per cent lower reserves growth, there are modelled falls in supply and demand from 2019 relative to baseline reserves growth. Conversely, there are modelled increases in supply and demand from 2019 with 50 per cent higher reserves growth relative to the baseline. Prices are modelled to rise with 50 lower reserves growth but not change very much with 50 per cent higher reserves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25071" cy="2160000"/>
                                </a:xfrm>
                                <a:prstGeom prst="rect">
                                  <a:avLst/>
                                </a:prstGeom>
                                <a:noFill/>
                              </pic:spPr>
                            </pic:pic>
                          </a:graphicData>
                        </a:graphic>
                      </wp:inline>
                    </w:drawing>
                  </w:r>
                </w:p>
              </w:tc>
            </w:tr>
            <w:tr w:rsidR="00E23E9D" w14:paraId="44B3A97A" w14:textId="77777777" w:rsidTr="003728BD">
              <w:trPr>
                <w:jc w:val="center"/>
              </w:trPr>
              <w:tc>
                <w:tcPr>
                  <w:tcW w:w="8504" w:type="dxa"/>
                  <w:gridSpan w:val="2"/>
                  <w:tcBorders>
                    <w:top w:val="nil"/>
                    <w:bottom w:val="nil"/>
                  </w:tcBorders>
                </w:tcPr>
                <w:p w14:paraId="701730AF" w14:textId="0E0EBF2E" w:rsidR="00E23E9D" w:rsidRPr="008222E2" w:rsidRDefault="00D6067E" w:rsidP="00624D3F">
                  <w:pPr>
                    <w:pStyle w:val="Figure"/>
                    <w:spacing w:before="20" w:after="60"/>
                    <w:rPr>
                      <w:rFonts w:asciiTheme="majorHAnsi" w:hAnsiTheme="majorHAnsi" w:cstheme="majorHAnsi"/>
                      <w:b/>
                      <w:noProof/>
                    </w:rPr>
                  </w:pPr>
                  <w:r>
                    <w:rPr>
                      <w:rFonts w:asciiTheme="majorHAnsi" w:hAnsiTheme="majorHAnsi" w:cstheme="majorHAnsi"/>
                      <w:b/>
                      <w:noProof/>
                    </w:rPr>
                    <w:t xml:space="preserve">50 per cent higher </w:t>
                  </w:r>
                  <w:r w:rsidR="000B1DD8">
                    <w:rPr>
                      <w:rFonts w:asciiTheme="majorHAnsi" w:hAnsiTheme="majorHAnsi" w:cstheme="majorHAnsi"/>
                      <w:b/>
                      <w:noProof/>
                    </w:rPr>
                    <w:t>r</w:t>
                  </w:r>
                  <w:r w:rsidR="00E23E9D" w:rsidRPr="008222E2">
                    <w:rPr>
                      <w:rFonts w:asciiTheme="majorHAnsi" w:hAnsiTheme="majorHAnsi" w:cstheme="majorHAnsi"/>
                      <w:b/>
                      <w:noProof/>
                    </w:rPr>
                    <w:t>es</w:t>
                  </w:r>
                  <w:r w:rsidR="000B1DD8">
                    <w:rPr>
                      <w:rFonts w:asciiTheme="majorHAnsi" w:hAnsiTheme="majorHAnsi" w:cstheme="majorHAnsi"/>
                      <w:b/>
                      <w:noProof/>
                    </w:rPr>
                    <w:t>erves</w:t>
                  </w:r>
                  <w:r w:rsidR="00E23E9D" w:rsidRPr="008222E2">
                    <w:rPr>
                      <w:rFonts w:asciiTheme="majorHAnsi" w:hAnsiTheme="majorHAnsi" w:cstheme="majorHAnsi"/>
                      <w:b/>
                      <w:noProof/>
                    </w:rPr>
                    <w:t xml:space="preserve"> growth</w:t>
                  </w:r>
                </w:p>
              </w:tc>
            </w:tr>
            <w:tr w:rsidR="004A1B74" w14:paraId="21E7EE71" w14:textId="77777777" w:rsidTr="004A1B74">
              <w:trPr>
                <w:jc w:val="center"/>
              </w:trPr>
              <w:tc>
                <w:tcPr>
                  <w:tcW w:w="4252" w:type="dxa"/>
                  <w:tcBorders>
                    <w:top w:val="nil"/>
                    <w:bottom w:val="nil"/>
                  </w:tcBorders>
                </w:tcPr>
                <w:p w14:paraId="1AA621A1" w14:textId="3CC4CA60" w:rsidR="004A1B74" w:rsidRDefault="004A1B74" w:rsidP="00624D3F">
                  <w:pPr>
                    <w:pStyle w:val="Figure"/>
                    <w:spacing w:before="0" w:after="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Borders>
                    <w:top w:val="nil"/>
                    <w:bottom w:val="nil"/>
                  </w:tcBorders>
                </w:tcPr>
                <w:p w14:paraId="7264D90E" w14:textId="2DE2779D" w:rsidR="004A1B74" w:rsidRDefault="004A1B74" w:rsidP="00624D3F">
                  <w:pPr>
                    <w:pStyle w:val="Figure"/>
                    <w:spacing w:before="0" w:after="0"/>
                    <w:rPr>
                      <w:noProof/>
                    </w:rPr>
                  </w:pPr>
                  <w:r>
                    <w:rPr>
                      <w:rFonts w:ascii="Arial" w:hAnsi="Arial" w:cs="Arial"/>
                      <w:b/>
                      <w:noProof/>
                      <w:sz w:val="20"/>
                    </w:rPr>
                    <w:t>Changes in d</w:t>
                  </w:r>
                  <w:r w:rsidRPr="00263AF0">
                    <w:rPr>
                      <w:rFonts w:ascii="Arial" w:hAnsi="Arial" w:cs="Arial"/>
                      <w:b/>
                      <w:noProof/>
                      <w:sz w:val="20"/>
                    </w:rPr>
                    <w:t>omestic prices</w:t>
                  </w:r>
                </w:p>
              </w:tc>
            </w:tr>
            <w:tr w:rsidR="004A1B74" w14:paraId="416B9CAD" w14:textId="77777777" w:rsidTr="004A1B74">
              <w:trPr>
                <w:jc w:val="center"/>
              </w:trPr>
              <w:tc>
                <w:tcPr>
                  <w:tcW w:w="4252" w:type="dxa"/>
                  <w:tcBorders>
                    <w:top w:val="nil"/>
                    <w:bottom w:val="nil"/>
                  </w:tcBorders>
                </w:tcPr>
                <w:p w14:paraId="37741570" w14:textId="48BADCF3" w:rsidR="004A1B74" w:rsidRDefault="00FA722C" w:rsidP="00464C37">
                  <w:pPr>
                    <w:pStyle w:val="Figure"/>
                    <w:spacing w:before="60" w:after="60"/>
                    <w:rPr>
                      <w:noProof/>
                    </w:rPr>
                  </w:pPr>
                  <w:r>
                    <w:rPr>
                      <w:noProof/>
                    </w:rPr>
                    <w:drawing>
                      <wp:inline distT="0" distB="0" distL="0" distR="0" wp14:anchorId="2A17E434" wp14:editId="7B7141F1">
                        <wp:extent cx="2525071" cy="2160000"/>
                        <wp:effectExtent l="0" t="0" r="8890" b="0"/>
                        <wp:docPr id="121" name="Picture 121" descr="This is one of four charts in figure C.8. This figure shows that with 50 per cent lower reserves growth, there are modelled falls in supply and demand from 2019 relative to baseline reserves growth. Conversely, there are modelled increases in supply and demand from 2019 with 50 per cent higher reserves growth relative to the baseline. Prices are modelled to rise with 50 lower reserves growth but not change very much with 50 per cent higher reserves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25071" cy="2160000"/>
                                </a:xfrm>
                                <a:prstGeom prst="rect">
                                  <a:avLst/>
                                </a:prstGeom>
                                <a:noFill/>
                              </pic:spPr>
                            </pic:pic>
                          </a:graphicData>
                        </a:graphic>
                      </wp:inline>
                    </w:drawing>
                  </w:r>
                </w:p>
              </w:tc>
              <w:tc>
                <w:tcPr>
                  <w:tcW w:w="4252" w:type="dxa"/>
                  <w:tcBorders>
                    <w:top w:val="nil"/>
                    <w:bottom w:val="nil"/>
                  </w:tcBorders>
                </w:tcPr>
                <w:p w14:paraId="7B673510" w14:textId="43BB222E" w:rsidR="004A1B74" w:rsidRDefault="00FA722C" w:rsidP="00464C37">
                  <w:pPr>
                    <w:pStyle w:val="Figure"/>
                    <w:spacing w:before="60" w:after="60"/>
                    <w:rPr>
                      <w:noProof/>
                    </w:rPr>
                  </w:pPr>
                  <w:r>
                    <w:rPr>
                      <w:noProof/>
                    </w:rPr>
                    <w:drawing>
                      <wp:inline distT="0" distB="0" distL="0" distR="0" wp14:anchorId="36F2C51A" wp14:editId="495C77EB">
                        <wp:extent cx="2538111" cy="2160000"/>
                        <wp:effectExtent l="0" t="0" r="0" b="0"/>
                        <wp:docPr id="122" name="Picture 122" descr="This is one of four charts in figure C.8. This figure shows that with 50 per cent lower reserves growth, there are modelled falls in supply and demand from 2019 relative to baseline reserves growth. Conversely, there are modelled increases in supply and demand from 2019 with 50 per cent higher reserves growth relative to the baseline. Prices are modelled to rise with 50 lower reserves growth but not change very much with 50 per cent higher reserves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38111" cy="2160000"/>
                                </a:xfrm>
                                <a:prstGeom prst="rect">
                                  <a:avLst/>
                                </a:prstGeom>
                                <a:noFill/>
                              </pic:spPr>
                            </pic:pic>
                          </a:graphicData>
                        </a:graphic>
                      </wp:inline>
                    </w:drawing>
                  </w:r>
                </w:p>
              </w:tc>
            </w:tr>
          </w:tbl>
          <w:p w14:paraId="7B574437" w14:textId="77777777" w:rsidR="007A5FCF" w:rsidRDefault="007A5FCF" w:rsidP="00464C37">
            <w:pPr>
              <w:pStyle w:val="Figure"/>
            </w:pPr>
          </w:p>
        </w:tc>
      </w:tr>
      <w:tr w:rsidR="007A5FCF" w:rsidRPr="00176D3F" w14:paraId="3C7864ED" w14:textId="77777777" w:rsidTr="00464C37">
        <w:tc>
          <w:tcPr>
            <w:tcW w:w="8771" w:type="dxa"/>
            <w:tcBorders>
              <w:top w:val="nil"/>
              <w:left w:val="nil"/>
              <w:bottom w:val="nil"/>
              <w:right w:val="nil"/>
            </w:tcBorders>
            <w:shd w:val="clear" w:color="auto" w:fill="auto"/>
          </w:tcPr>
          <w:p w14:paraId="18A992FB" w14:textId="7245D61C" w:rsidR="007A5FCF" w:rsidRPr="00176D3F" w:rsidRDefault="008E4AB1" w:rsidP="00464C37">
            <w:pPr>
              <w:pStyle w:val="Source"/>
            </w:pPr>
            <w:r>
              <w:rPr>
                <w:i/>
              </w:rPr>
              <w:t>Source</w:t>
            </w:r>
            <w:r w:rsidRPr="00624D3F">
              <w:t>:</w:t>
            </w:r>
            <w:r>
              <w:rPr>
                <w:i/>
              </w:rPr>
              <w:t xml:space="preserve"> </w:t>
            </w:r>
            <w:r w:rsidR="007A5FCF">
              <w:t>C</w:t>
            </w:r>
            <w:r w:rsidR="00B31398">
              <w:t>ommission</w:t>
            </w:r>
            <w:r w:rsidR="007A5FCF">
              <w:t xml:space="preserve"> estimates. </w:t>
            </w:r>
          </w:p>
        </w:tc>
      </w:tr>
      <w:tr w:rsidR="007A5FCF" w14:paraId="20082B97" w14:textId="77777777" w:rsidTr="00464C37">
        <w:tc>
          <w:tcPr>
            <w:tcW w:w="8771" w:type="dxa"/>
            <w:tcBorders>
              <w:top w:val="nil"/>
              <w:left w:val="nil"/>
              <w:bottom w:val="single" w:sz="6" w:space="0" w:color="78A22F"/>
              <w:right w:val="nil"/>
            </w:tcBorders>
            <w:shd w:val="clear" w:color="auto" w:fill="auto"/>
          </w:tcPr>
          <w:p w14:paraId="71C4A559" w14:textId="77777777" w:rsidR="007A5FCF" w:rsidRDefault="007A5FCF" w:rsidP="00464C37">
            <w:pPr>
              <w:pStyle w:val="Figurespace"/>
            </w:pPr>
          </w:p>
        </w:tc>
      </w:tr>
      <w:tr w:rsidR="007A5FCF" w:rsidRPr="000863A5" w14:paraId="78C39338" w14:textId="77777777" w:rsidTr="00464C37">
        <w:tc>
          <w:tcPr>
            <w:tcW w:w="8771" w:type="dxa"/>
            <w:tcBorders>
              <w:top w:val="single" w:sz="6" w:space="0" w:color="78A22F"/>
              <w:left w:val="nil"/>
              <w:bottom w:val="nil"/>
              <w:right w:val="nil"/>
            </w:tcBorders>
          </w:tcPr>
          <w:p w14:paraId="747CF4AD" w14:textId="7B190E04" w:rsidR="007A5FCF" w:rsidRPr="00626D32" w:rsidRDefault="007A5FCF" w:rsidP="00464C37">
            <w:pPr>
              <w:pStyle w:val="BoxSpaceBelow"/>
            </w:pPr>
          </w:p>
        </w:tc>
      </w:tr>
    </w:tbl>
    <w:p w14:paraId="012507FD" w14:textId="014008E6" w:rsidR="007A5FCF" w:rsidRDefault="00873FEE" w:rsidP="007A5FCF">
      <w:pPr>
        <w:pStyle w:val="Heading3"/>
      </w:pPr>
      <w:r>
        <w:lastRenderedPageBreak/>
        <w:t>Production</w:t>
      </w:r>
      <w:r w:rsidR="007A5FCF">
        <w:t xml:space="preserve"> costs</w:t>
      </w:r>
    </w:p>
    <w:p w14:paraId="6562A217" w14:textId="7D81AC04" w:rsidR="00F564B8" w:rsidRDefault="00F564B8" w:rsidP="00F564B8">
      <w:pPr>
        <w:pStyle w:val="BodyText"/>
      </w:pPr>
      <w:r>
        <w:t xml:space="preserve">Production costs for marginal fields (the most </w:t>
      </w:r>
      <w:r w:rsidR="00CF2F71">
        <w:t xml:space="preserve">costly </w:t>
      </w:r>
      <w:r>
        <w:t>fields</w:t>
      </w:r>
      <w:r w:rsidR="000F15AD">
        <w:t xml:space="preserve"> that are economic to develop</w:t>
      </w:r>
      <w:r>
        <w:t xml:space="preserve">) have the </w:t>
      </w:r>
      <w:r w:rsidR="00CF2F71">
        <w:t>largest</w:t>
      </w:r>
      <w:r>
        <w:t xml:space="preserve"> effect on equilibrium prices</w:t>
      </w:r>
      <w:r w:rsidR="00632E76">
        <w:t xml:space="preserve"> (figure C.9)</w:t>
      </w:r>
      <w:r>
        <w:t>. Using higher production cost estimates has a much greater effect on results than using lower production cost estimates for two reasons</w:t>
      </w:r>
      <w:r w:rsidR="00D812FF">
        <w:t>.</w:t>
      </w:r>
    </w:p>
    <w:p w14:paraId="13F1419F" w14:textId="19C75B41" w:rsidR="00F564B8" w:rsidRPr="00FF0C2D" w:rsidRDefault="00F564B8" w:rsidP="00F564B8">
      <w:pPr>
        <w:pStyle w:val="ListBullet"/>
      </w:pPr>
      <w:r w:rsidRPr="00FF0C2D">
        <w:t xml:space="preserve">The difference between higher and </w:t>
      </w:r>
      <w:r w:rsidR="00BD4282">
        <w:t>baseline</w:t>
      </w:r>
      <w:r w:rsidRPr="00FF0C2D">
        <w:t xml:space="preserve"> production cost estimates for marginal fields are larger than the difference between lower and </w:t>
      </w:r>
      <w:r w:rsidR="00BD4282">
        <w:t>baseline</w:t>
      </w:r>
      <w:r w:rsidRPr="00FF0C2D">
        <w:t xml:space="preserve"> estimates.</w:t>
      </w:r>
    </w:p>
    <w:p w14:paraId="296F2E81" w14:textId="382B5A43" w:rsidR="00F564B8" w:rsidRPr="00FF0C2D" w:rsidRDefault="00F564B8" w:rsidP="00F564B8">
      <w:pPr>
        <w:pStyle w:val="ListBullet"/>
      </w:pPr>
      <w:r w:rsidRPr="00FF0C2D">
        <w:t>Most LNG demand is already contracted (about 1400 PJ</w:t>
      </w:r>
      <w:r w:rsidR="00A71E5F">
        <w:t xml:space="preserve"> per </w:t>
      </w:r>
      <w:r w:rsidRPr="00FF0C2D">
        <w:t>year from 2019). These contracts must be met</w:t>
      </w:r>
      <w:r w:rsidR="00236559">
        <w:t xml:space="preserve"> even with higher production costs</w:t>
      </w:r>
      <w:r w:rsidRPr="00FF0C2D">
        <w:t>.</w:t>
      </w:r>
    </w:p>
    <w:p w14:paraId="75F8DBE6" w14:textId="0B3BA0AC" w:rsidR="007A5FCF" w:rsidRDefault="007A5FCF" w:rsidP="008D6D78">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746419E1" w14:textId="77777777" w:rsidTr="00464C37">
        <w:tc>
          <w:tcPr>
            <w:tcW w:w="8771" w:type="dxa"/>
            <w:tcBorders>
              <w:top w:val="single" w:sz="6" w:space="0" w:color="78A22F"/>
              <w:left w:val="nil"/>
              <w:bottom w:val="nil"/>
              <w:right w:val="nil"/>
            </w:tcBorders>
            <w:shd w:val="clear" w:color="auto" w:fill="auto"/>
          </w:tcPr>
          <w:p w14:paraId="6718ED56" w14:textId="4F1D8424" w:rsidR="007A5FCF" w:rsidRDefault="007A5FCF" w:rsidP="00464C37">
            <w:pPr>
              <w:pStyle w:val="FigureTitle"/>
            </w:pPr>
            <w:r w:rsidRPr="00784A05">
              <w:rPr>
                <w:b w:val="0"/>
              </w:rPr>
              <w:t xml:space="preserve">Figure </w:t>
            </w:r>
            <w:bookmarkStart w:id="17" w:name="OLE_LINK3"/>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9</w:t>
            </w:r>
            <w:r w:rsidRPr="00784A05">
              <w:rPr>
                <w:b w:val="0"/>
              </w:rPr>
              <w:fldChar w:fldCharType="end"/>
            </w:r>
            <w:bookmarkEnd w:id="17"/>
            <w:r>
              <w:tab/>
            </w:r>
            <w:r w:rsidR="000B1DD8">
              <w:t xml:space="preserve">Sensitivity of </w:t>
            </w:r>
            <w:r w:rsidR="00E67058">
              <w:t>modelling results</w:t>
            </w:r>
            <w:r w:rsidR="000B1DD8">
              <w:t xml:space="preserve"> to p</w:t>
            </w:r>
            <w:r w:rsidR="00B627D4">
              <w:t>roduction</w:t>
            </w:r>
            <w:r>
              <w:t xml:space="preserve"> cost</w:t>
            </w:r>
            <w:r w:rsidR="000B1DD8">
              <w:t xml:space="preserve"> </w:t>
            </w:r>
            <w:r w:rsidR="00972A3B">
              <w:t>parameters</w:t>
            </w:r>
          </w:p>
          <w:p w14:paraId="4255E5F7" w14:textId="1C30904D" w:rsidR="007A5FCF" w:rsidRPr="00176D3F" w:rsidRDefault="007A5FCF" w:rsidP="00464C37">
            <w:pPr>
              <w:pStyle w:val="Subtitle"/>
            </w:pPr>
            <w:r>
              <w:t xml:space="preserve">Relative to </w:t>
            </w:r>
            <w:r w:rsidR="00BD4282">
              <w:t>baseline</w:t>
            </w:r>
            <w:r>
              <w:t xml:space="preserve"> </w:t>
            </w:r>
            <w:r w:rsidR="00B627D4">
              <w:t>production</w:t>
            </w:r>
            <w:r>
              <w:t xml:space="preserve"> costs estimates</w:t>
            </w:r>
          </w:p>
        </w:tc>
      </w:tr>
      <w:tr w:rsidR="007A5FCF" w14:paraId="323059F8"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7A5FCF" w14:paraId="5B9C3D12" w14:textId="77777777" w:rsidTr="00464C37">
              <w:trPr>
                <w:trHeight w:val="177"/>
                <w:jc w:val="center"/>
              </w:trPr>
              <w:tc>
                <w:tcPr>
                  <w:tcW w:w="8504" w:type="dxa"/>
                  <w:gridSpan w:val="2"/>
                  <w:tcBorders>
                    <w:top w:val="nil"/>
                    <w:bottom w:val="nil"/>
                  </w:tcBorders>
                </w:tcPr>
                <w:p w14:paraId="3F41D52F" w14:textId="6C79EAB2" w:rsidR="007A5FCF" w:rsidRPr="008B2A53" w:rsidRDefault="008222E2" w:rsidP="003C2B23">
                  <w:pPr>
                    <w:pStyle w:val="Figure"/>
                    <w:spacing w:before="0" w:after="0"/>
                    <w:rPr>
                      <w:rFonts w:ascii="Arial" w:hAnsi="Arial" w:cs="Arial"/>
                      <w:b/>
                    </w:rPr>
                  </w:pPr>
                  <w:r>
                    <w:rPr>
                      <w:rFonts w:ascii="Arial" w:hAnsi="Arial" w:cs="Arial"/>
                      <w:b/>
                    </w:rPr>
                    <w:t>Lower</w:t>
                  </w:r>
                  <w:r w:rsidR="007A5FCF">
                    <w:rPr>
                      <w:rFonts w:ascii="Arial" w:hAnsi="Arial" w:cs="Arial"/>
                      <w:b/>
                    </w:rPr>
                    <w:t xml:space="preserve"> </w:t>
                  </w:r>
                  <w:r w:rsidR="00B627D4">
                    <w:rPr>
                      <w:rFonts w:ascii="Arial" w:hAnsi="Arial" w:cs="Arial"/>
                      <w:b/>
                    </w:rPr>
                    <w:t>production</w:t>
                  </w:r>
                  <w:r w:rsidR="007A5FCF">
                    <w:rPr>
                      <w:rFonts w:ascii="Arial" w:hAnsi="Arial" w:cs="Arial"/>
                      <w:b/>
                    </w:rPr>
                    <w:t xml:space="preserve"> costs</w:t>
                  </w:r>
                </w:p>
              </w:tc>
            </w:tr>
            <w:tr w:rsidR="004A1B74" w14:paraId="5D21EB40" w14:textId="77777777" w:rsidTr="004A1B74">
              <w:trPr>
                <w:trHeight w:val="176"/>
                <w:jc w:val="center"/>
              </w:trPr>
              <w:tc>
                <w:tcPr>
                  <w:tcW w:w="4252" w:type="dxa"/>
                  <w:tcBorders>
                    <w:top w:val="nil"/>
                    <w:bottom w:val="nil"/>
                  </w:tcBorders>
                </w:tcPr>
                <w:p w14:paraId="66186900" w14:textId="096061A9" w:rsidR="004A1B74" w:rsidRDefault="004A1B74" w:rsidP="003C2B23">
                  <w:pPr>
                    <w:pStyle w:val="Figure"/>
                    <w:spacing w:before="60" w:after="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51810176" w14:textId="33D425F3" w:rsidR="004A1B74" w:rsidRDefault="004A1B74" w:rsidP="003C2B23">
                  <w:pPr>
                    <w:pStyle w:val="Figure"/>
                    <w:spacing w:before="60" w:after="0"/>
                    <w:rPr>
                      <w:noProof/>
                    </w:rPr>
                  </w:pPr>
                  <w:r>
                    <w:rPr>
                      <w:rFonts w:ascii="Arial" w:hAnsi="Arial" w:cs="Arial"/>
                      <w:b/>
                      <w:noProof/>
                      <w:sz w:val="20"/>
                    </w:rPr>
                    <w:t>Changes in d</w:t>
                  </w:r>
                  <w:r w:rsidRPr="00263AF0">
                    <w:rPr>
                      <w:rFonts w:ascii="Arial" w:hAnsi="Arial" w:cs="Arial"/>
                      <w:b/>
                      <w:noProof/>
                      <w:sz w:val="20"/>
                    </w:rPr>
                    <w:t>omestic prices</w:t>
                  </w:r>
                </w:p>
              </w:tc>
            </w:tr>
            <w:tr w:rsidR="004A1B74" w14:paraId="5F3CC8AC" w14:textId="77777777" w:rsidTr="004A1B74">
              <w:trPr>
                <w:trHeight w:val="176"/>
                <w:jc w:val="center"/>
              </w:trPr>
              <w:tc>
                <w:tcPr>
                  <w:tcW w:w="4252" w:type="dxa"/>
                  <w:tcBorders>
                    <w:top w:val="nil"/>
                    <w:bottom w:val="nil"/>
                  </w:tcBorders>
                </w:tcPr>
                <w:p w14:paraId="3D6307B2" w14:textId="7D1B189F" w:rsidR="004A1B74" w:rsidRDefault="00FA722C" w:rsidP="00464C37">
                  <w:pPr>
                    <w:pStyle w:val="Figure"/>
                    <w:spacing w:before="60" w:after="60"/>
                    <w:rPr>
                      <w:noProof/>
                    </w:rPr>
                  </w:pPr>
                  <w:r>
                    <w:rPr>
                      <w:noProof/>
                    </w:rPr>
                    <w:drawing>
                      <wp:inline distT="0" distB="0" distL="0" distR="0" wp14:anchorId="2ED65B67" wp14:editId="4F059C70">
                        <wp:extent cx="2495809" cy="2124000"/>
                        <wp:effectExtent l="0" t="0" r="0" b="0"/>
                        <wp:docPr id="123" name="Picture 123" descr="This is one of four charts in figure C.9. This figure shows that there are little changes in modelled supply and demand with lower production costs. Modelled prices are slightly lower with lower production costs. With higher production costs, there are modelled falls in supply and demand from 2019 relative to supply and demand with baseline costs. Modelled prices are higher in capital cities from 2013 to 2032. Price gaps tend to increase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95809" cy="2124000"/>
                                </a:xfrm>
                                <a:prstGeom prst="rect">
                                  <a:avLst/>
                                </a:prstGeom>
                                <a:noFill/>
                              </pic:spPr>
                            </pic:pic>
                          </a:graphicData>
                        </a:graphic>
                      </wp:inline>
                    </w:drawing>
                  </w:r>
                </w:p>
              </w:tc>
              <w:tc>
                <w:tcPr>
                  <w:tcW w:w="4252" w:type="dxa"/>
                </w:tcPr>
                <w:p w14:paraId="1B2B17CD" w14:textId="138C8AC5" w:rsidR="004A1B74" w:rsidRDefault="00FA722C" w:rsidP="00464C37">
                  <w:pPr>
                    <w:pStyle w:val="Figure"/>
                    <w:spacing w:before="60" w:after="60"/>
                    <w:rPr>
                      <w:noProof/>
                    </w:rPr>
                  </w:pPr>
                  <w:r>
                    <w:rPr>
                      <w:noProof/>
                    </w:rPr>
                    <w:drawing>
                      <wp:inline distT="0" distB="0" distL="0" distR="0" wp14:anchorId="66AF6B2E" wp14:editId="0E47F0CB">
                        <wp:extent cx="2489218" cy="2124000"/>
                        <wp:effectExtent l="0" t="0" r="6350" b="0"/>
                        <wp:docPr id="124" name="Picture 124" descr="This is one of four charts in figure C.9. This figure shows that there are little changes in modelled supply and demand with lower production costs. Modelled prices are slightly lower with lower production costs. With higher production costs, there are modelled falls in supply and demand from 2019 relative to supply and demand with baseline costs. Modelled prices are higher in capital cities from 2013 to 2032. Price gaps tend to increase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89218" cy="2124000"/>
                                </a:xfrm>
                                <a:prstGeom prst="rect">
                                  <a:avLst/>
                                </a:prstGeom>
                                <a:noFill/>
                              </pic:spPr>
                            </pic:pic>
                          </a:graphicData>
                        </a:graphic>
                      </wp:inline>
                    </w:drawing>
                  </w:r>
                </w:p>
              </w:tc>
            </w:tr>
            <w:tr w:rsidR="007A5FCF" w14:paraId="0049AFAF" w14:textId="77777777" w:rsidTr="00464C37">
              <w:trPr>
                <w:trHeight w:val="176"/>
                <w:jc w:val="center"/>
              </w:trPr>
              <w:tc>
                <w:tcPr>
                  <w:tcW w:w="8504" w:type="dxa"/>
                  <w:gridSpan w:val="2"/>
                  <w:tcBorders>
                    <w:top w:val="nil"/>
                    <w:bottom w:val="nil"/>
                  </w:tcBorders>
                </w:tcPr>
                <w:p w14:paraId="5F274332" w14:textId="200A6747" w:rsidR="007A5FCF" w:rsidRDefault="008222E2" w:rsidP="003C2B23">
                  <w:pPr>
                    <w:pStyle w:val="Figure"/>
                    <w:spacing w:before="0" w:after="0"/>
                    <w:rPr>
                      <w:noProof/>
                    </w:rPr>
                  </w:pPr>
                  <w:r>
                    <w:rPr>
                      <w:rFonts w:ascii="Arial" w:hAnsi="Arial" w:cs="Arial"/>
                      <w:b/>
                    </w:rPr>
                    <w:t>Higher</w:t>
                  </w:r>
                  <w:r w:rsidR="007A5FCF">
                    <w:rPr>
                      <w:rFonts w:ascii="Arial" w:hAnsi="Arial" w:cs="Arial"/>
                      <w:b/>
                    </w:rPr>
                    <w:t xml:space="preserve"> </w:t>
                  </w:r>
                  <w:r w:rsidR="00B627D4">
                    <w:rPr>
                      <w:rFonts w:ascii="Arial" w:hAnsi="Arial" w:cs="Arial"/>
                      <w:b/>
                    </w:rPr>
                    <w:t>production</w:t>
                  </w:r>
                  <w:r w:rsidR="007A5FCF">
                    <w:rPr>
                      <w:rFonts w:ascii="Arial" w:hAnsi="Arial" w:cs="Arial"/>
                      <w:b/>
                    </w:rPr>
                    <w:t xml:space="preserve"> costs</w:t>
                  </w:r>
                </w:p>
              </w:tc>
            </w:tr>
            <w:tr w:rsidR="004A1B74" w14:paraId="4FD84ED5" w14:textId="77777777" w:rsidTr="004A1B74">
              <w:trPr>
                <w:trHeight w:val="176"/>
                <w:jc w:val="center"/>
              </w:trPr>
              <w:tc>
                <w:tcPr>
                  <w:tcW w:w="4252" w:type="dxa"/>
                  <w:tcBorders>
                    <w:top w:val="nil"/>
                    <w:bottom w:val="nil"/>
                  </w:tcBorders>
                </w:tcPr>
                <w:p w14:paraId="25E569E0" w14:textId="00E66B48" w:rsidR="004A1B74" w:rsidRDefault="004A1B74" w:rsidP="003C2B23">
                  <w:pPr>
                    <w:pStyle w:val="Figure"/>
                    <w:spacing w:before="60" w:after="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6D1B6AAD" w14:textId="18C601E2" w:rsidR="004A1B74" w:rsidRDefault="004A1B74" w:rsidP="003C2B23">
                  <w:pPr>
                    <w:pStyle w:val="Figure"/>
                    <w:spacing w:before="60" w:after="0"/>
                    <w:rPr>
                      <w:noProof/>
                    </w:rPr>
                  </w:pPr>
                  <w:r>
                    <w:rPr>
                      <w:rFonts w:ascii="Arial" w:hAnsi="Arial" w:cs="Arial"/>
                      <w:b/>
                      <w:noProof/>
                      <w:sz w:val="20"/>
                    </w:rPr>
                    <w:t>Changes in d</w:t>
                  </w:r>
                  <w:r w:rsidRPr="00263AF0">
                    <w:rPr>
                      <w:rFonts w:ascii="Arial" w:hAnsi="Arial" w:cs="Arial"/>
                      <w:b/>
                      <w:noProof/>
                      <w:sz w:val="20"/>
                    </w:rPr>
                    <w:t>omestic prices</w:t>
                  </w:r>
                </w:p>
              </w:tc>
            </w:tr>
            <w:tr w:rsidR="004A1B74" w14:paraId="0E3A0593" w14:textId="77777777" w:rsidTr="004A1B74">
              <w:trPr>
                <w:trHeight w:val="176"/>
                <w:jc w:val="center"/>
              </w:trPr>
              <w:tc>
                <w:tcPr>
                  <w:tcW w:w="4252" w:type="dxa"/>
                  <w:tcBorders>
                    <w:top w:val="nil"/>
                    <w:bottom w:val="nil"/>
                  </w:tcBorders>
                </w:tcPr>
                <w:p w14:paraId="18149AD2" w14:textId="11B4568D" w:rsidR="004A1B74" w:rsidRDefault="00FA722C" w:rsidP="00464C37">
                  <w:pPr>
                    <w:pStyle w:val="Figure"/>
                    <w:spacing w:before="60" w:after="60"/>
                    <w:rPr>
                      <w:noProof/>
                    </w:rPr>
                  </w:pPr>
                  <w:r>
                    <w:rPr>
                      <w:noProof/>
                    </w:rPr>
                    <w:drawing>
                      <wp:inline distT="0" distB="0" distL="0" distR="0" wp14:anchorId="150DFD40" wp14:editId="06A12721">
                        <wp:extent cx="2495809" cy="2124000"/>
                        <wp:effectExtent l="0" t="0" r="0" b="0"/>
                        <wp:docPr id="127" name="Picture 127" descr="This is one of four charts in figure C.9. This figure shows that there are little changes in modelled supply and demand with lower production costs. Modelled prices are slightly lower with lower production costs. With higher production costs, there are modelled falls in supply and demand from 2019 relative to supply and demand with baseline costs. Modelled prices are higher in capital cities from 2013 to 2032. Price gaps tend to increase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95809" cy="2124000"/>
                                </a:xfrm>
                                <a:prstGeom prst="rect">
                                  <a:avLst/>
                                </a:prstGeom>
                                <a:noFill/>
                              </pic:spPr>
                            </pic:pic>
                          </a:graphicData>
                        </a:graphic>
                      </wp:inline>
                    </w:drawing>
                  </w:r>
                </w:p>
              </w:tc>
              <w:tc>
                <w:tcPr>
                  <w:tcW w:w="4252" w:type="dxa"/>
                  <w:tcBorders>
                    <w:bottom w:val="nil"/>
                  </w:tcBorders>
                </w:tcPr>
                <w:p w14:paraId="69842987" w14:textId="4E690E6D" w:rsidR="004A1B74" w:rsidRDefault="00FA722C" w:rsidP="00464C37">
                  <w:pPr>
                    <w:pStyle w:val="Figure"/>
                    <w:spacing w:before="60" w:after="60"/>
                    <w:rPr>
                      <w:noProof/>
                    </w:rPr>
                  </w:pPr>
                  <w:r>
                    <w:rPr>
                      <w:noProof/>
                    </w:rPr>
                    <w:drawing>
                      <wp:inline distT="0" distB="0" distL="0" distR="0" wp14:anchorId="7B88F318" wp14:editId="077A7CD1">
                        <wp:extent cx="2489218" cy="2124000"/>
                        <wp:effectExtent l="0" t="0" r="6350" b="0"/>
                        <wp:docPr id="128" name="Picture 128" descr="This is one of four charts in figure C.9. This figure shows that there are little changes in modelled supply and demand with lower production costs. Modelled prices are slightly lower with lower production costs. With higher production costs, there are modelled falls in supply and demand from 2019 relative to supply and demand with baseline costs. Modelled prices are higher in capital cities from 2013 to 2032. Price gaps tend to increase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89218" cy="2124000"/>
                                </a:xfrm>
                                <a:prstGeom prst="rect">
                                  <a:avLst/>
                                </a:prstGeom>
                                <a:noFill/>
                              </pic:spPr>
                            </pic:pic>
                          </a:graphicData>
                        </a:graphic>
                      </wp:inline>
                    </w:drawing>
                  </w:r>
                </w:p>
              </w:tc>
            </w:tr>
          </w:tbl>
          <w:p w14:paraId="38550F15" w14:textId="77777777" w:rsidR="007A5FCF" w:rsidRDefault="007A5FCF" w:rsidP="00464C37">
            <w:pPr>
              <w:pStyle w:val="Figure"/>
            </w:pPr>
          </w:p>
        </w:tc>
      </w:tr>
      <w:tr w:rsidR="007A5FCF" w:rsidRPr="00176D3F" w14:paraId="65F7C2D8" w14:textId="77777777" w:rsidTr="00464C37">
        <w:tc>
          <w:tcPr>
            <w:tcW w:w="8771" w:type="dxa"/>
            <w:tcBorders>
              <w:top w:val="nil"/>
              <w:left w:val="nil"/>
              <w:bottom w:val="nil"/>
              <w:right w:val="nil"/>
            </w:tcBorders>
            <w:shd w:val="clear" w:color="auto" w:fill="auto"/>
          </w:tcPr>
          <w:p w14:paraId="03F8418F" w14:textId="5CD02B3E" w:rsidR="007A5FCF" w:rsidRPr="00176D3F" w:rsidRDefault="008E4AB1" w:rsidP="00464C37">
            <w:pPr>
              <w:pStyle w:val="Source"/>
            </w:pPr>
            <w:r>
              <w:rPr>
                <w:i/>
              </w:rPr>
              <w:t>Source</w:t>
            </w:r>
            <w:r w:rsidRPr="00624D3F">
              <w:t>:</w:t>
            </w:r>
            <w:r>
              <w:rPr>
                <w:i/>
              </w:rPr>
              <w:t xml:space="preserve"> </w:t>
            </w:r>
            <w:r>
              <w:t>Commission estimates</w:t>
            </w:r>
            <w:r w:rsidR="00B31398">
              <w:t>.</w:t>
            </w:r>
          </w:p>
        </w:tc>
      </w:tr>
      <w:tr w:rsidR="007A5FCF" w14:paraId="6B7CF101" w14:textId="77777777" w:rsidTr="00464C37">
        <w:tc>
          <w:tcPr>
            <w:tcW w:w="8771" w:type="dxa"/>
            <w:tcBorders>
              <w:top w:val="nil"/>
              <w:left w:val="nil"/>
              <w:bottom w:val="single" w:sz="6" w:space="0" w:color="78A22F"/>
              <w:right w:val="nil"/>
            </w:tcBorders>
            <w:shd w:val="clear" w:color="auto" w:fill="auto"/>
          </w:tcPr>
          <w:p w14:paraId="6CFAC5A3" w14:textId="77777777" w:rsidR="007A5FCF" w:rsidRDefault="007A5FCF" w:rsidP="00464C37">
            <w:pPr>
              <w:pStyle w:val="Figurespace"/>
            </w:pPr>
          </w:p>
        </w:tc>
      </w:tr>
      <w:tr w:rsidR="007A5FCF" w:rsidRPr="000863A5" w14:paraId="50664388" w14:textId="77777777" w:rsidTr="00464C37">
        <w:tc>
          <w:tcPr>
            <w:tcW w:w="8771" w:type="dxa"/>
            <w:tcBorders>
              <w:top w:val="single" w:sz="6" w:space="0" w:color="78A22F"/>
              <w:left w:val="nil"/>
              <w:bottom w:val="nil"/>
              <w:right w:val="nil"/>
            </w:tcBorders>
          </w:tcPr>
          <w:p w14:paraId="333697B2" w14:textId="098FABA6" w:rsidR="007A5FCF" w:rsidRPr="00626D32" w:rsidRDefault="007A5FCF" w:rsidP="00464C37">
            <w:pPr>
              <w:pStyle w:val="BoxSpaceBelow"/>
            </w:pPr>
          </w:p>
        </w:tc>
      </w:tr>
    </w:tbl>
    <w:p w14:paraId="33F921C0" w14:textId="71BC7A72" w:rsidR="007A5FCF" w:rsidRDefault="007A5FCF" w:rsidP="007A5FCF">
      <w:pPr>
        <w:pStyle w:val="Heading3"/>
      </w:pPr>
      <w:r>
        <w:lastRenderedPageBreak/>
        <w:t>CSG</w:t>
      </w:r>
      <w:r w:rsidR="00A503F5">
        <w:t xml:space="preserve"> development costs</w:t>
      </w:r>
      <w:r w:rsidR="008B2F5A">
        <w:t xml:space="preserve"> in N</w:t>
      </w:r>
      <w:r w:rsidR="0083411E">
        <w:t xml:space="preserve">ew South Wales </w:t>
      </w:r>
      <w:r w:rsidR="008B2F5A">
        <w:t>and Victoria</w:t>
      </w:r>
    </w:p>
    <w:p w14:paraId="66FEA25F" w14:textId="6573633C" w:rsidR="005A03DE" w:rsidRDefault="00E7305F" w:rsidP="00F564B8">
      <w:pPr>
        <w:pStyle w:val="BodyText"/>
      </w:pPr>
      <w:r w:rsidRPr="00CD41FC">
        <w:t>This sensitivity analysis explores</w:t>
      </w:r>
      <w:r w:rsidR="00100A74" w:rsidRPr="00CD41FC" w:rsidDel="0083411E">
        <w:t xml:space="preserve"> the effects of </w:t>
      </w:r>
      <w:r w:rsidR="00100A74" w:rsidDel="0083411E">
        <w:t xml:space="preserve">CSG development costs in </w:t>
      </w:r>
      <w:r w:rsidR="005A03DE">
        <w:t xml:space="preserve">New South Wales </w:t>
      </w:r>
      <w:r w:rsidR="00100A74" w:rsidDel="0083411E">
        <w:t xml:space="preserve">and </w:t>
      </w:r>
      <w:r w:rsidR="005A03DE">
        <w:t xml:space="preserve">Victoria </w:t>
      </w:r>
      <w:r>
        <w:t xml:space="preserve">on </w:t>
      </w:r>
      <w:r w:rsidR="00100A74" w:rsidDel="0083411E">
        <w:t>the costs of CSG moratoria</w:t>
      </w:r>
      <w:r w:rsidR="000F15AD">
        <w:t>,</w:t>
      </w:r>
      <w:r>
        <w:t xml:space="preserve"> rather than effects on baseline results</w:t>
      </w:r>
      <w:r w:rsidR="005A03DE">
        <w:t xml:space="preserve">. </w:t>
      </w:r>
    </w:p>
    <w:p w14:paraId="0C34F711" w14:textId="2E3D7C6D" w:rsidR="00F564B8" w:rsidRPr="00CD41FC" w:rsidRDefault="00F564B8" w:rsidP="00F564B8">
      <w:pPr>
        <w:pStyle w:val="BodyText"/>
      </w:pPr>
      <w:r w:rsidRPr="00CD41FC">
        <w:t xml:space="preserve">Lower CSG development costs in </w:t>
      </w:r>
      <w:r w:rsidR="003F3EC7" w:rsidRPr="00CD41FC">
        <w:t xml:space="preserve">New South Wales </w:t>
      </w:r>
      <w:r w:rsidR="004325F0" w:rsidRPr="00CD41FC">
        <w:t>and Victoria</w:t>
      </w:r>
      <w:r w:rsidRPr="00CD41FC">
        <w:t xml:space="preserve"> increase the cost of CSG moratoria. Overall</w:t>
      </w:r>
      <w:r w:rsidR="00D812FF" w:rsidRPr="00CD41FC">
        <w:t xml:space="preserve"> economic</w:t>
      </w:r>
      <w:r w:rsidRPr="00CD41FC">
        <w:t xml:space="preserve"> welfare </w:t>
      </w:r>
      <w:r w:rsidR="00952AE6" w:rsidRPr="00CD41FC">
        <w:t xml:space="preserve">is estimated to </w:t>
      </w:r>
      <w:r w:rsidRPr="00CD41FC">
        <w:t xml:space="preserve">fall by more than $5 billion over the </w:t>
      </w:r>
      <w:r w:rsidR="00350491" w:rsidRPr="00CD41FC">
        <w:t xml:space="preserve">period </w:t>
      </w:r>
      <w:r w:rsidR="000A71F5" w:rsidRPr="00CD41FC">
        <w:t xml:space="preserve">from </w:t>
      </w:r>
      <w:r w:rsidR="00350491" w:rsidRPr="00CD41FC">
        <w:t>2013 to 2032</w:t>
      </w:r>
      <w:r w:rsidRPr="00CD41FC">
        <w:t xml:space="preserve"> wi</w:t>
      </w:r>
      <w:r w:rsidR="00236559" w:rsidRPr="00CD41FC">
        <w:t>th lower development costs</w:t>
      </w:r>
      <w:r w:rsidR="00D6067E" w:rsidRPr="00CD41FC">
        <w:t xml:space="preserve">, compared with </w:t>
      </w:r>
      <w:r w:rsidRPr="00CD41FC">
        <w:t xml:space="preserve">$200 million </w:t>
      </w:r>
      <w:r w:rsidR="00D6067E" w:rsidRPr="00CD41FC">
        <w:t xml:space="preserve">under </w:t>
      </w:r>
      <w:r w:rsidR="00BD4282" w:rsidRPr="00CD41FC">
        <w:t>baseline</w:t>
      </w:r>
      <w:r w:rsidRPr="00CD41FC">
        <w:t xml:space="preserve"> development costs</w:t>
      </w:r>
      <w:r w:rsidR="00632E76" w:rsidRPr="00CD41FC">
        <w:t xml:space="preserve"> (table </w:t>
      </w:r>
      <w:r w:rsidR="00632E76">
        <w:t>C.7</w:t>
      </w:r>
      <w:r w:rsidR="00632E76" w:rsidRPr="00CD41FC">
        <w:t>)</w:t>
      </w:r>
      <w:r w:rsidRPr="00CD41FC">
        <w:t xml:space="preserve">. Price differences are greatest in Brisbane </w:t>
      </w:r>
      <w:r w:rsidR="00632E76" w:rsidRPr="00CD41FC">
        <w:t xml:space="preserve">(figure </w:t>
      </w:r>
      <w:r w:rsidR="00632E76">
        <w:t>C.10</w:t>
      </w:r>
      <w:r w:rsidR="00632E76" w:rsidRPr="00CD41FC">
        <w:t xml:space="preserve">) </w:t>
      </w:r>
      <w:r w:rsidRPr="00CD41FC">
        <w:t xml:space="preserve">because moratoria prevent </w:t>
      </w:r>
      <w:r w:rsidR="00A71E5F" w:rsidRPr="00CD41FC">
        <w:t xml:space="preserve">development of gas in the Clarence–Moreton </w:t>
      </w:r>
      <w:r w:rsidR="00844833" w:rsidRPr="00CD41FC">
        <w:t>b</w:t>
      </w:r>
      <w:r w:rsidR="00A71E5F" w:rsidRPr="00CD41FC">
        <w:t>asin, which is connected by a new pipeline directly to Brisbane</w:t>
      </w:r>
      <w:r w:rsidRPr="00CD41FC">
        <w:t xml:space="preserve">. </w:t>
      </w:r>
      <w:r w:rsidR="00D6067E" w:rsidRPr="00CD41FC">
        <w:t xml:space="preserve">Where CSG </w:t>
      </w:r>
      <w:r w:rsidRPr="00CD41FC">
        <w:t xml:space="preserve">development </w:t>
      </w:r>
      <w:r w:rsidR="000F15AD" w:rsidRPr="00CD41FC">
        <w:t xml:space="preserve">costs in New South Wales and Victoria </w:t>
      </w:r>
      <w:r w:rsidR="003F3EC7" w:rsidRPr="00CD41FC">
        <w:t xml:space="preserve">are higher, CSG moratoria </w:t>
      </w:r>
      <w:r w:rsidR="00952AE6" w:rsidRPr="00CD41FC">
        <w:t>are estimated to</w:t>
      </w:r>
      <w:r w:rsidR="003F3EC7" w:rsidRPr="00CD41FC">
        <w:t xml:space="preserve"> </w:t>
      </w:r>
      <w:r w:rsidRPr="00CD41FC">
        <w:t xml:space="preserve">have minimal effects on supply, demand, prices and overall welfare since there is little supply from CSG fields in </w:t>
      </w:r>
      <w:r w:rsidR="003F3EC7" w:rsidRPr="00CD41FC">
        <w:t xml:space="preserve">New South Wales </w:t>
      </w:r>
      <w:r w:rsidRPr="00CD41FC">
        <w:t xml:space="preserve">and Victoria </w:t>
      </w:r>
      <w:r w:rsidR="000F15AD" w:rsidRPr="00CD41FC">
        <w:t>with</w:t>
      </w:r>
      <w:r w:rsidRPr="00CD41FC">
        <w:t xml:space="preserve"> higher </w:t>
      </w:r>
      <w:r w:rsidR="000F15AD" w:rsidRPr="00CD41FC">
        <w:t xml:space="preserve">CSG </w:t>
      </w:r>
      <w:r w:rsidRPr="00CD41FC">
        <w:t>development costs</w:t>
      </w:r>
      <w:r w:rsidR="0067327C" w:rsidRPr="00CD41FC">
        <w:t>,</w:t>
      </w:r>
      <w:r w:rsidR="000F15AD" w:rsidRPr="00CD41FC">
        <w:t xml:space="preserve"> even in the absence of moratoria</w:t>
      </w:r>
      <w:r w:rsidRPr="00CD41FC">
        <w:t>.</w:t>
      </w:r>
    </w:p>
    <w:p w14:paraId="3DA39F70" w14:textId="67B8A584" w:rsidR="00F564B8" w:rsidRDefault="00F564B8" w:rsidP="00F564B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564B8" w14:paraId="222F90B0" w14:textId="77777777" w:rsidTr="000943EC">
        <w:tc>
          <w:tcPr>
            <w:tcW w:w="8771" w:type="dxa"/>
            <w:tcBorders>
              <w:top w:val="single" w:sz="6" w:space="0" w:color="78A22F"/>
              <w:left w:val="nil"/>
              <w:bottom w:val="nil"/>
              <w:right w:val="nil"/>
            </w:tcBorders>
            <w:shd w:val="clear" w:color="auto" w:fill="auto"/>
          </w:tcPr>
          <w:p w14:paraId="49284FB9" w14:textId="30E74A99" w:rsidR="00F564B8" w:rsidRDefault="00F564B8" w:rsidP="000943EC">
            <w:pPr>
              <w:pStyle w:val="TableTitle"/>
            </w:pPr>
            <w:r>
              <w:rPr>
                <w:b w:val="0"/>
              </w:rPr>
              <w:t xml:space="preserve">Table </w:t>
            </w:r>
            <w:bookmarkStart w:id="18" w:name="OLE_LINK4"/>
            <w:r w:rsidR="00632E76">
              <w:rPr>
                <w:b w:val="0"/>
              </w:rPr>
              <w:fldChar w:fldCharType="begin"/>
            </w:r>
            <w:r w:rsidR="00632E76">
              <w:rPr>
                <w:b w:val="0"/>
              </w:rPr>
              <w:instrText xml:space="preserve"> COMMENTS  \* MERGEFORMAT </w:instrText>
            </w:r>
            <w:r w:rsidR="00632E76">
              <w:rPr>
                <w:b w:val="0"/>
              </w:rPr>
              <w:fldChar w:fldCharType="separate"/>
            </w:r>
            <w:r w:rsidR="00632E76">
              <w:rPr>
                <w:b w:val="0"/>
              </w:rPr>
              <w:t>C.</w:t>
            </w:r>
            <w:r w:rsidR="00632E76">
              <w:rPr>
                <w:b w:val="0"/>
              </w:rPr>
              <w:fldChar w:fldCharType="end"/>
            </w:r>
            <w:r w:rsidR="00632E76">
              <w:rPr>
                <w:b w:val="0"/>
              </w:rPr>
              <w:fldChar w:fldCharType="begin"/>
            </w:r>
            <w:r w:rsidR="00632E76">
              <w:rPr>
                <w:b w:val="0"/>
              </w:rPr>
              <w:instrText xml:space="preserve"> SEQ Table \* ARABIC </w:instrText>
            </w:r>
            <w:r w:rsidR="00632E76">
              <w:rPr>
                <w:b w:val="0"/>
              </w:rPr>
              <w:fldChar w:fldCharType="separate"/>
            </w:r>
            <w:r w:rsidR="00872E65">
              <w:rPr>
                <w:b w:val="0"/>
                <w:noProof/>
              </w:rPr>
              <w:t>7</w:t>
            </w:r>
            <w:r w:rsidR="00632E76">
              <w:rPr>
                <w:b w:val="0"/>
              </w:rPr>
              <w:fldChar w:fldCharType="end"/>
            </w:r>
            <w:bookmarkEnd w:id="18"/>
            <w:r>
              <w:tab/>
              <w:t xml:space="preserve">Sensitivity of </w:t>
            </w:r>
            <w:r w:rsidR="00551DB2">
              <w:t xml:space="preserve">economic </w:t>
            </w:r>
            <w:r>
              <w:t>welfare effects of CSG moratoria to CSG development costs</w:t>
            </w:r>
            <w:r w:rsidR="008B2F5A">
              <w:t xml:space="preserve"> in </w:t>
            </w:r>
            <w:r w:rsidR="0083411E">
              <w:t>New South Wales</w:t>
            </w:r>
            <w:r w:rsidR="008B2F5A">
              <w:t xml:space="preserve"> and Victoria</w:t>
            </w:r>
          </w:p>
          <w:p w14:paraId="2A87435A" w14:textId="1358E44D" w:rsidR="00F564B8" w:rsidRPr="00784A05" w:rsidRDefault="00A71E5F" w:rsidP="000943EC">
            <w:pPr>
              <w:pStyle w:val="Subtitle"/>
            </w:pPr>
            <w:r>
              <w:t xml:space="preserve">Net present value 2013 to 2032, </w:t>
            </w:r>
            <w:r w:rsidR="005C2FEB">
              <w:t>relative to baseline with CSG moratoria until September 2015</w:t>
            </w:r>
            <w:r w:rsidR="00D372A1">
              <w:t xml:space="preserve"> ($ million)</w:t>
            </w:r>
          </w:p>
        </w:tc>
      </w:tr>
      <w:tr w:rsidR="00F564B8" w14:paraId="1AE23686" w14:textId="77777777" w:rsidTr="000943EC">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8"/>
              <w:gridCol w:w="1984"/>
              <w:gridCol w:w="2156"/>
              <w:gridCol w:w="1959"/>
            </w:tblGrid>
            <w:tr w:rsidR="00F564B8" w14:paraId="614399DB" w14:textId="77777777" w:rsidTr="00624D3F">
              <w:tc>
                <w:tcPr>
                  <w:tcW w:w="1407" w:type="pct"/>
                  <w:tcBorders>
                    <w:top w:val="single" w:sz="6" w:space="0" w:color="BFBFBF"/>
                    <w:bottom w:val="single" w:sz="6" w:space="0" w:color="BFBFBF"/>
                  </w:tcBorders>
                  <w:shd w:val="clear" w:color="auto" w:fill="auto"/>
                  <w:tcMar>
                    <w:top w:w="28" w:type="dxa"/>
                  </w:tcMar>
                </w:tcPr>
                <w:p w14:paraId="15CE843C" w14:textId="77777777" w:rsidR="00F564B8" w:rsidRDefault="00F564B8" w:rsidP="000943EC">
                  <w:pPr>
                    <w:pStyle w:val="TableColumnHeading"/>
                    <w:jc w:val="left"/>
                  </w:pPr>
                </w:p>
              </w:tc>
              <w:tc>
                <w:tcPr>
                  <w:tcW w:w="1169" w:type="pct"/>
                  <w:tcBorders>
                    <w:top w:val="single" w:sz="6" w:space="0" w:color="BFBFBF"/>
                    <w:bottom w:val="single" w:sz="6" w:space="0" w:color="BFBFBF"/>
                  </w:tcBorders>
                </w:tcPr>
                <w:p w14:paraId="2EB3B289" w14:textId="77777777" w:rsidR="00F564B8" w:rsidRDefault="00F564B8" w:rsidP="000943EC">
                  <w:pPr>
                    <w:pStyle w:val="TableColumnHeading"/>
                  </w:pPr>
                  <w:r>
                    <w:t>Lower CSG development costs</w:t>
                  </w:r>
                </w:p>
              </w:tc>
              <w:tc>
                <w:tcPr>
                  <w:tcW w:w="1270" w:type="pct"/>
                  <w:tcBorders>
                    <w:top w:val="single" w:sz="6" w:space="0" w:color="BFBFBF"/>
                    <w:bottom w:val="single" w:sz="6" w:space="0" w:color="BFBFBF"/>
                  </w:tcBorders>
                  <w:shd w:val="clear" w:color="auto" w:fill="auto"/>
                  <w:tcMar>
                    <w:top w:w="28" w:type="dxa"/>
                  </w:tcMar>
                </w:tcPr>
                <w:p w14:paraId="3ED50936" w14:textId="69C06963" w:rsidR="00F564B8" w:rsidRDefault="00491D81" w:rsidP="000943EC">
                  <w:pPr>
                    <w:pStyle w:val="TableColumnHeading"/>
                  </w:pPr>
                  <w:r>
                    <w:t xml:space="preserve">Baseline with </w:t>
                  </w:r>
                  <w:r w:rsidR="00BD4282">
                    <w:t>baseline</w:t>
                  </w:r>
                  <w:r>
                    <w:t xml:space="preserve"> </w:t>
                  </w:r>
                  <w:r w:rsidR="00F564B8">
                    <w:t>CSG development costs</w:t>
                  </w:r>
                </w:p>
              </w:tc>
              <w:tc>
                <w:tcPr>
                  <w:tcW w:w="1154" w:type="pct"/>
                  <w:tcBorders>
                    <w:top w:val="single" w:sz="6" w:space="0" w:color="BFBFBF"/>
                    <w:bottom w:val="single" w:sz="6" w:space="0" w:color="BFBFBF"/>
                  </w:tcBorders>
                  <w:shd w:val="clear" w:color="auto" w:fill="auto"/>
                  <w:tcMar>
                    <w:top w:w="28" w:type="dxa"/>
                  </w:tcMar>
                </w:tcPr>
                <w:p w14:paraId="0DCF357C" w14:textId="77777777" w:rsidR="00F564B8" w:rsidRDefault="00F564B8" w:rsidP="000943EC">
                  <w:pPr>
                    <w:pStyle w:val="TableColumnHeading"/>
                    <w:ind w:right="28"/>
                  </w:pPr>
                  <w:r>
                    <w:t>Higher CSG development costs</w:t>
                  </w:r>
                </w:p>
              </w:tc>
            </w:tr>
            <w:tr w:rsidR="00F564B8" w14:paraId="1650118F" w14:textId="77777777" w:rsidTr="00624D3F">
              <w:tc>
                <w:tcPr>
                  <w:tcW w:w="1407" w:type="pct"/>
                </w:tcPr>
                <w:p w14:paraId="79724F28" w14:textId="77777777" w:rsidR="00F564B8" w:rsidRDefault="00F564B8" w:rsidP="000943EC">
                  <w:pPr>
                    <w:pStyle w:val="TableBodyText"/>
                    <w:spacing w:before="80"/>
                    <w:jc w:val="left"/>
                  </w:pPr>
                </w:p>
              </w:tc>
              <w:tc>
                <w:tcPr>
                  <w:tcW w:w="1169" w:type="pct"/>
                </w:tcPr>
                <w:p w14:paraId="3153A140" w14:textId="77777777" w:rsidR="00F564B8" w:rsidRDefault="00F564B8" w:rsidP="000943EC">
                  <w:pPr>
                    <w:pStyle w:val="TableBodyText"/>
                    <w:spacing w:before="80"/>
                    <w:jc w:val="left"/>
                  </w:pPr>
                </w:p>
              </w:tc>
              <w:tc>
                <w:tcPr>
                  <w:tcW w:w="1270" w:type="pct"/>
                </w:tcPr>
                <w:p w14:paraId="705DE77E" w14:textId="77777777" w:rsidR="00F564B8" w:rsidRDefault="00F564B8" w:rsidP="000943EC">
                  <w:pPr>
                    <w:pStyle w:val="TableBodyText"/>
                    <w:spacing w:before="80"/>
                  </w:pPr>
                </w:p>
              </w:tc>
              <w:tc>
                <w:tcPr>
                  <w:tcW w:w="1154" w:type="pct"/>
                </w:tcPr>
                <w:p w14:paraId="5D86C568" w14:textId="77777777" w:rsidR="00F564B8" w:rsidRDefault="00F564B8" w:rsidP="000943EC">
                  <w:pPr>
                    <w:pStyle w:val="TableBodyText"/>
                    <w:spacing w:before="80"/>
                    <w:ind w:right="28"/>
                  </w:pPr>
                </w:p>
              </w:tc>
            </w:tr>
            <w:tr w:rsidR="00F564B8" w14:paraId="7B3A5D0E" w14:textId="77777777" w:rsidTr="00624D3F">
              <w:tc>
                <w:tcPr>
                  <w:tcW w:w="1407" w:type="pct"/>
                </w:tcPr>
                <w:p w14:paraId="18BE4835" w14:textId="3039B180" w:rsidR="00F564B8" w:rsidRDefault="00F564B8" w:rsidP="000943EC">
                  <w:pPr>
                    <w:pStyle w:val="TableBodyText"/>
                    <w:spacing w:before="80"/>
                    <w:jc w:val="left"/>
                  </w:pPr>
                  <w:r>
                    <w:t>Consumer surplus</w:t>
                  </w:r>
                  <w:r w:rsidR="00701A93" w:rsidRPr="00ED617C">
                    <w:rPr>
                      <w:rStyle w:val="NoteLabel"/>
                    </w:rPr>
                    <w:t>a</w:t>
                  </w:r>
                </w:p>
              </w:tc>
              <w:tc>
                <w:tcPr>
                  <w:tcW w:w="1169" w:type="pct"/>
                </w:tcPr>
                <w:p w14:paraId="56E4E801" w14:textId="77777777" w:rsidR="00F564B8" w:rsidRDefault="00F564B8" w:rsidP="000943EC">
                  <w:pPr>
                    <w:pStyle w:val="TableBodyText"/>
                    <w:spacing w:before="80"/>
                  </w:pPr>
                  <w:r w:rsidRPr="0088188D">
                    <w:t>-3</w:t>
                  </w:r>
                  <w:r>
                    <w:t> </w:t>
                  </w:r>
                  <w:r w:rsidRPr="0088188D">
                    <w:t>048</w:t>
                  </w:r>
                </w:p>
              </w:tc>
              <w:tc>
                <w:tcPr>
                  <w:tcW w:w="1270" w:type="pct"/>
                </w:tcPr>
                <w:p w14:paraId="26A54488" w14:textId="77777777" w:rsidR="00F564B8" w:rsidRDefault="00F564B8" w:rsidP="000943EC">
                  <w:pPr>
                    <w:pStyle w:val="TableBodyText"/>
                    <w:spacing w:before="80"/>
                  </w:pPr>
                  <w:r w:rsidRPr="00DD3B5D">
                    <w:t>-953</w:t>
                  </w:r>
                </w:p>
              </w:tc>
              <w:tc>
                <w:tcPr>
                  <w:tcW w:w="1154" w:type="pct"/>
                </w:tcPr>
                <w:p w14:paraId="2D42EAE7" w14:textId="77777777" w:rsidR="00F564B8" w:rsidRDefault="00F564B8" w:rsidP="000943EC">
                  <w:pPr>
                    <w:pStyle w:val="TableBodyText"/>
                    <w:spacing w:before="80"/>
                    <w:ind w:right="28"/>
                  </w:pPr>
                  <w:r w:rsidRPr="00BE6326">
                    <w:t>-166</w:t>
                  </w:r>
                </w:p>
              </w:tc>
            </w:tr>
            <w:tr w:rsidR="00F564B8" w14:paraId="1A135CB8" w14:textId="77777777" w:rsidTr="00624D3F">
              <w:tc>
                <w:tcPr>
                  <w:tcW w:w="1407" w:type="pct"/>
                </w:tcPr>
                <w:p w14:paraId="0910EAAF" w14:textId="77777777" w:rsidR="00F564B8" w:rsidRDefault="00F564B8" w:rsidP="000943EC">
                  <w:pPr>
                    <w:pStyle w:val="TableBodyText"/>
                    <w:jc w:val="left"/>
                  </w:pPr>
                  <w:r>
                    <w:t>Royalties</w:t>
                  </w:r>
                </w:p>
              </w:tc>
              <w:tc>
                <w:tcPr>
                  <w:tcW w:w="1169" w:type="pct"/>
                </w:tcPr>
                <w:p w14:paraId="6907F425" w14:textId="77777777" w:rsidR="00F564B8" w:rsidRDefault="00F564B8" w:rsidP="000943EC">
                  <w:pPr>
                    <w:pStyle w:val="TableBodyText"/>
                  </w:pPr>
                  <w:r w:rsidRPr="0088188D">
                    <w:t>1</w:t>
                  </w:r>
                  <w:r>
                    <w:t> </w:t>
                  </w:r>
                  <w:r w:rsidRPr="0088188D">
                    <w:t>224</w:t>
                  </w:r>
                </w:p>
              </w:tc>
              <w:tc>
                <w:tcPr>
                  <w:tcW w:w="1270" w:type="pct"/>
                </w:tcPr>
                <w:p w14:paraId="712E0E99" w14:textId="77777777" w:rsidR="00F564B8" w:rsidRDefault="00F564B8" w:rsidP="000943EC">
                  <w:pPr>
                    <w:pStyle w:val="TableBodyText"/>
                  </w:pPr>
                  <w:r w:rsidRPr="00DD3B5D">
                    <w:t>385</w:t>
                  </w:r>
                </w:p>
              </w:tc>
              <w:tc>
                <w:tcPr>
                  <w:tcW w:w="1154" w:type="pct"/>
                </w:tcPr>
                <w:p w14:paraId="0EF2F7A6" w14:textId="77777777" w:rsidR="00F564B8" w:rsidRDefault="00F564B8" w:rsidP="000943EC">
                  <w:pPr>
                    <w:pStyle w:val="TableBodyText"/>
                    <w:ind w:right="28"/>
                  </w:pPr>
                  <w:r w:rsidRPr="000A47AC">
                    <w:t>138</w:t>
                  </w:r>
                </w:p>
              </w:tc>
            </w:tr>
            <w:tr w:rsidR="00F564B8" w14:paraId="0B99CAA7" w14:textId="77777777" w:rsidTr="00624D3F">
              <w:tc>
                <w:tcPr>
                  <w:tcW w:w="1407" w:type="pct"/>
                </w:tcPr>
                <w:p w14:paraId="73D8C845" w14:textId="7B3B822A" w:rsidR="00F564B8" w:rsidRDefault="00F564B8" w:rsidP="007568EE">
                  <w:pPr>
                    <w:pStyle w:val="TableBodyText"/>
                    <w:jc w:val="left"/>
                  </w:pPr>
                  <w:r>
                    <w:t>Terminal value of r</w:t>
                  </w:r>
                  <w:r w:rsidR="007568EE">
                    <w:t>eserves and assets</w:t>
                  </w:r>
                  <w:r w:rsidR="00701A93">
                    <w:rPr>
                      <w:rStyle w:val="NoteLabel"/>
                    </w:rPr>
                    <w:t>b</w:t>
                  </w:r>
                </w:p>
              </w:tc>
              <w:tc>
                <w:tcPr>
                  <w:tcW w:w="1169" w:type="pct"/>
                </w:tcPr>
                <w:p w14:paraId="5E87FF91" w14:textId="77777777" w:rsidR="00F564B8" w:rsidRDefault="00F564B8" w:rsidP="000943EC">
                  <w:pPr>
                    <w:pStyle w:val="TableBodyText"/>
                    <w:spacing w:before="60"/>
                  </w:pPr>
                  <w:r w:rsidRPr="0088188D">
                    <w:t>-624</w:t>
                  </w:r>
                </w:p>
              </w:tc>
              <w:tc>
                <w:tcPr>
                  <w:tcW w:w="1270" w:type="pct"/>
                </w:tcPr>
                <w:p w14:paraId="22644B4C" w14:textId="77777777" w:rsidR="00F564B8" w:rsidRDefault="00F564B8" w:rsidP="000943EC">
                  <w:pPr>
                    <w:pStyle w:val="TableBodyText"/>
                    <w:spacing w:before="60"/>
                  </w:pPr>
                  <w:r w:rsidRPr="00DD3B5D">
                    <w:t>-838</w:t>
                  </w:r>
                </w:p>
              </w:tc>
              <w:tc>
                <w:tcPr>
                  <w:tcW w:w="1154" w:type="pct"/>
                </w:tcPr>
                <w:p w14:paraId="7CA9727B" w14:textId="77777777" w:rsidR="00F564B8" w:rsidRDefault="00F564B8" w:rsidP="000943EC">
                  <w:pPr>
                    <w:pStyle w:val="TableBodyText"/>
                    <w:spacing w:before="60"/>
                    <w:ind w:right="28"/>
                  </w:pPr>
                  <w:r w:rsidRPr="000A47AC">
                    <w:t>-296</w:t>
                  </w:r>
                </w:p>
              </w:tc>
            </w:tr>
            <w:tr w:rsidR="00F564B8" w14:paraId="6E18822C" w14:textId="77777777" w:rsidTr="00624D3F">
              <w:tc>
                <w:tcPr>
                  <w:tcW w:w="1407" w:type="pct"/>
                </w:tcPr>
                <w:p w14:paraId="260026C9" w14:textId="023BA7F5" w:rsidR="00F564B8" w:rsidRDefault="00F564B8" w:rsidP="000943EC">
                  <w:pPr>
                    <w:pStyle w:val="TableBodyText"/>
                    <w:jc w:val="left"/>
                  </w:pPr>
                  <w:r>
                    <w:t>Producer surplus</w:t>
                  </w:r>
                  <w:r w:rsidR="00DE2804">
                    <w:rPr>
                      <w:rStyle w:val="NoteLabel"/>
                    </w:rPr>
                    <w:t>c</w:t>
                  </w:r>
                </w:p>
              </w:tc>
              <w:tc>
                <w:tcPr>
                  <w:tcW w:w="1169" w:type="pct"/>
                </w:tcPr>
                <w:p w14:paraId="6EDCB6BF" w14:textId="77777777" w:rsidR="00F564B8" w:rsidRPr="00ED617C" w:rsidRDefault="00F564B8" w:rsidP="000943EC">
                  <w:pPr>
                    <w:pStyle w:val="TableBodyText"/>
                    <w:spacing w:before="60"/>
                    <w:rPr>
                      <w:rStyle w:val="NoteLabel"/>
                      <w:b w:val="0"/>
                    </w:rPr>
                  </w:pPr>
                </w:p>
              </w:tc>
              <w:tc>
                <w:tcPr>
                  <w:tcW w:w="1270" w:type="pct"/>
                </w:tcPr>
                <w:p w14:paraId="245BB367" w14:textId="77777777" w:rsidR="00F564B8" w:rsidRPr="00ED617C" w:rsidRDefault="00F564B8" w:rsidP="000943EC">
                  <w:pPr>
                    <w:pStyle w:val="TableBodyText"/>
                    <w:spacing w:before="60"/>
                    <w:rPr>
                      <w:rStyle w:val="NoteLabel"/>
                      <w:b w:val="0"/>
                    </w:rPr>
                  </w:pPr>
                </w:p>
              </w:tc>
              <w:tc>
                <w:tcPr>
                  <w:tcW w:w="1154" w:type="pct"/>
                </w:tcPr>
                <w:p w14:paraId="6CFE2D30" w14:textId="77777777" w:rsidR="00F564B8" w:rsidRPr="00ED617C" w:rsidRDefault="00F564B8" w:rsidP="000943EC">
                  <w:pPr>
                    <w:pStyle w:val="TableBodyText"/>
                    <w:spacing w:before="60"/>
                    <w:ind w:right="28"/>
                    <w:rPr>
                      <w:rStyle w:val="NoteLabel"/>
                      <w:b w:val="0"/>
                    </w:rPr>
                  </w:pPr>
                </w:p>
              </w:tc>
            </w:tr>
            <w:tr w:rsidR="00F564B8" w14:paraId="3D85869C" w14:textId="77777777" w:rsidTr="00624D3F">
              <w:tc>
                <w:tcPr>
                  <w:tcW w:w="1407" w:type="pct"/>
                </w:tcPr>
                <w:p w14:paraId="3D46B5DD" w14:textId="77777777" w:rsidR="00F564B8" w:rsidRDefault="00F564B8" w:rsidP="000943EC">
                  <w:pPr>
                    <w:pStyle w:val="TableBodyText"/>
                    <w:jc w:val="left"/>
                  </w:pPr>
                  <w:r>
                    <w:t xml:space="preserve">   Export revenue</w:t>
                  </w:r>
                </w:p>
              </w:tc>
              <w:tc>
                <w:tcPr>
                  <w:tcW w:w="1169" w:type="pct"/>
                </w:tcPr>
                <w:p w14:paraId="5CBBBE11" w14:textId="77777777" w:rsidR="00F564B8" w:rsidRDefault="00F564B8" w:rsidP="000943EC">
                  <w:pPr>
                    <w:pStyle w:val="TableBodyText"/>
                  </w:pPr>
                  <w:r w:rsidRPr="00BD4D2C">
                    <w:t>-3</w:t>
                  </w:r>
                  <w:r>
                    <w:t> </w:t>
                  </w:r>
                  <w:r w:rsidRPr="00BD4D2C">
                    <w:t>927</w:t>
                  </w:r>
                </w:p>
              </w:tc>
              <w:tc>
                <w:tcPr>
                  <w:tcW w:w="1270" w:type="pct"/>
                </w:tcPr>
                <w:p w14:paraId="297789C3" w14:textId="691AA0EF" w:rsidR="00F564B8" w:rsidRDefault="00106D00" w:rsidP="000943EC">
                  <w:pPr>
                    <w:pStyle w:val="TableBodyText"/>
                  </w:pPr>
                  <w:r>
                    <w:t>–</w:t>
                  </w:r>
                </w:p>
              </w:tc>
              <w:tc>
                <w:tcPr>
                  <w:tcW w:w="1154" w:type="pct"/>
                </w:tcPr>
                <w:p w14:paraId="69ECD3C8" w14:textId="7EBF2FEC" w:rsidR="00F564B8" w:rsidRDefault="00106D00" w:rsidP="000943EC">
                  <w:pPr>
                    <w:pStyle w:val="TableBodyText"/>
                    <w:ind w:right="28"/>
                  </w:pPr>
                  <w:r>
                    <w:t>–</w:t>
                  </w:r>
                </w:p>
              </w:tc>
            </w:tr>
            <w:tr w:rsidR="00F564B8" w14:paraId="28607035" w14:textId="77777777" w:rsidTr="00624D3F">
              <w:tc>
                <w:tcPr>
                  <w:tcW w:w="1407" w:type="pct"/>
                  <w:shd w:val="clear" w:color="auto" w:fill="auto"/>
                </w:tcPr>
                <w:p w14:paraId="4689D82D" w14:textId="77777777" w:rsidR="00F564B8" w:rsidRDefault="00F564B8" w:rsidP="000943EC">
                  <w:pPr>
                    <w:pStyle w:val="TableBodyText"/>
                    <w:jc w:val="left"/>
                  </w:pPr>
                  <w:r>
                    <w:t xml:space="preserve">   Domestic revenue</w:t>
                  </w:r>
                </w:p>
              </w:tc>
              <w:tc>
                <w:tcPr>
                  <w:tcW w:w="1169" w:type="pct"/>
                </w:tcPr>
                <w:p w14:paraId="31371775" w14:textId="77777777" w:rsidR="00F564B8" w:rsidRDefault="00F564B8" w:rsidP="000943EC">
                  <w:pPr>
                    <w:pStyle w:val="TableBodyText"/>
                  </w:pPr>
                  <w:r w:rsidRPr="00BD4D2C">
                    <w:t>973</w:t>
                  </w:r>
                </w:p>
              </w:tc>
              <w:tc>
                <w:tcPr>
                  <w:tcW w:w="1270" w:type="pct"/>
                  <w:shd w:val="clear" w:color="auto" w:fill="auto"/>
                </w:tcPr>
                <w:p w14:paraId="298BA691" w14:textId="77777777" w:rsidR="00F564B8" w:rsidRDefault="00F564B8" w:rsidP="000943EC">
                  <w:pPr>
                    <w:pStyle w:val="TableBodyText"/>
                  </w:pPr>
                  <w:r w:rsidRPr="00CC56BC">
                    <w:t>358</w:t>
                  </w:r>
                </w:p>
              </w:tc>
              <w:tc>
                <w:tcPr>
                  <w:tcW w:w="1154" w:type="pct"/>
                  <w:shd w:val="clear" w:color="auto" w:fill="auto"/>
                </w:tcPr>
                <w:p w14:paraId="6D81D1F4" w14:textId="77777777" w:rsidR="00F564B8" w:rsidRDefault="00F564B8" w:rsidP="000943EC">
                  <w:pPr>
                    <w:pStyle w:val="TableBodyText"/>
                    <w:ind w:right="28"/>
                  </w:pPr>
                  <w:r w:rsidRPr="00C23FFC">
                    <w:t>70</w:t>
                  </w:r>
                </w:p>
              </w:tc>
            </w:tr>
            <w:tr w:rsidR="00F564B8" w14:paraId="09DB3C52" w14:textId="77777777" w:rsidTr="00624D3F">
              <w:tc>
                <w:tcPr>
                  <w:tcW w:w="1407" w:type="pct"/>
                  <w:shd w:val="clear" w:color="auto" w:fill="auto"/>
                </w:tcPr>
                <w:p w14:paraId="16BD70C1" w14:textId="77777777" w:rsidR="00F564B8" w:rsidRDefault="00F564B8" w:rsidP="000943EC">
                  <w:pPr>
                    <w:pStyle w:val="TableBodyText"/>
                    <w:jc w:val="left"/>
                  </w:pPr>
                  <w:r>
                    <w:t xml:space="preserve">   </w:t>
                  </w:r>
                  <w:r w:rsidRPr="00D915B5">
                    <w:rPr>
                      <w:i/>
                    </w:rPr>
                    <w:t>less</w:t>
                  </w:r>
                  <w:r>
                    <w:t xml:space="preserve"> Investment costs</w:t>
                  </w:r>
                </w:p>
              </w:tc>
              <w:tc>
                <w:tcPr>
                  <w:tcW w:w="1169" w:type="pct"/>
                </w:tcPr>
                <w:p w14:paraId="7C9B6B3C" w14:textId="77777777" w:rsidR="00F564B8" w:rsidRDefault="00F564B8" w:rsidP="000943EC">
                  <w:pPr>
                    <w:pStyle w:val="TableBodyText"/>
                  </w:pPr>
                  <w:r w:rsidRPr="00BD4D2C">
                    <w:t>-407</w:t>
                  </w:r>
                </w:p>
              </w:tc>
              <w:tc>
                <w:tcPr>
                  <w:tcW w:w="1270" w:type="pct"/>
                  <w:shd w:val="clear" w:color="auto" w:fill="auto"/>
                </w:tcPr>
                <w:p w14:paraId="716DD5CE" w14:textId="77777777" w:rsidR="00F564B8" w:rsidRDefault="00F564B8" w:rsidP="000943EC">
                  <w:pPr>
                    <w:pStyle w:val="TableBodyText"/>
                  </w:pPr>
                  <w:r w:rsidRPr="00CC56BC">
                    <w:t>-168</w:t>
                  </w:r>
                </w:p>
              </w:tc>
              <w:tc>
                <w:tcPr>
                  <w:tcW w:w="1154" w:type="pct"/>
                  <w:shd w:val="clear" w:color="auto" w:fill="auto"/>
                </w:tcPr>
                <w:p w14:paraId="1DB0272A" w14:textId="77777777" w:rsidR="00F564B8" w:rsidRDefault="00F564B8" w:rsidP="000943EC">
                  <w:pPr>
                    <w:pStyle w:val="TableBodyText"/>
                    <w:ind w:right="28"/>
                  </w:pPr>
                  <w:r w:rsidRPr="00C23FFC">
                    <w:t>-39</w:t>
                  </w:r>
                </w:p>
              </w:tc>
            </w:tr>
            <w:tr w:rsidR="00F564B8" w14:paraId="2CC078DA" w14:textId="77777777" w:rsidTr="00624D3F">
              <w:tc>
                <w:tcPr>
                  <w:tcW w:w="1407" w:type="pct"/>
                  <w:shd w:val="clear" w:color="auto" w:fill="auto"/>
                </w:tcPr>
                <w:p w14:paraId="3AA5C2E6" w14:textId="77777777" w:rsidR="00F564B8" w:rsidRDefault="00F564B8" w:rsidP="000943EC">
                  <w:pPr>
                    <w:pStyle w:val="TableBodyText"/>
                    <w:jc w:val="left"/>
                  </w:pPr>
                  <w:r>
                    <w:t xml:space="preserve">   </w:t>
                  </w:r>
                  <w:r w:rsidRPr="00D915B5">
                    <w:rPr>
                      <w:i/>
                    </w:rPr>
                    <w:t>less</w:t>
                  </w:r>
                  <w:r>
                    <w:t xml:space="preserve"> Operating costs</w:t>
                  </w:r>
                </w:p>
              </w:tc>
              <w:tc>
                <w:tcPr>
                  <w:tcW w:w="1169" w:type="pct"/>
                </w:tcPr>
                <w:p w14:paraId="0432B25F" w14:textId="77777777" w:rsidR="00F564B8" w:rsidRPr="00755301" w:rsidRDefault="00F564B8" w:rsidP="000943EC">
                  <w:pPr>
                    <w:pStyle w:val="TableBodyText"/>
                  </w:pPr>
                  <w:r w:rsidRPr="00BD4D2C">
                    <w:t>240</w:t>
                  </w:r>
                </w:p>
              </w:tc>
              <w:tc>
                <w:tcPr>
                  <w:tcW w:w="1270" w:type="pct"/>
                  <w:shd w:val="clear" w:color="auto" w:fill="auto"/>
                </w:tcPr>
                <w:p w14:paraId="27F19E8F" w14:textId="77777777" w:rsidR="00F564B8" w:rsidRPr="00755301" w:rsidRDefault="00F564B8" w:rsidP="000943EC">
                  <w:pPr>
                    <w:pStyle w:val="TableBodyText"/>
                  </w:pPr>
                  <w:r w:rsidRPr="00CC56BC">
                    <w:t>-684</w:t>
                  </w:r>
                </w:p>
              </w:tc>
              <w:tc>
                <w:tcPr>
                  <w:tcW w:w="1154" w:type="pct"/>
                  <w:shd w:val="clear" w:color="auto" w:fill="auto"/>
                </w:tcPr>
                <w:p w14:paraId="7B5CA8B1" w14:textId="77777777" w:rsidR="00F564B8" w:rsidRPr="00B934AC" w:rsidRDefault="00F564B8" w:rsidP="000943EC">
                  <w:pPr>
                    <w:pStyle w:val="TableBodyText"/>
                    <w:ind w:right="28"/>
                  </w:pPr>
                  <w:r w:rsidRPr="00C23FFC">
                    <w:t>-212</w:t>
                  </w:r>
                </w:p>
              </w:tc>
            </w:tr>
            <w:tr w:rsidR="00F564B8" w14:paraId="1585F66B" w14:textId="77777777" w:rsidTr="00624D3F">
              <w:tc>
                <w:tcPr>
                  <w:tcW w:w="1407" w:type="pct"/>
                  <w:shd w:val="clear" w:color="auto" w:fill="auto"/>
                </w:tcPr>
                <w:p w14:paraId="6EE901E8" w14:textId="77777777" w:rsidR="00F564B8" w:rsidRDefault="00F564B8" w:rsidP="000943EC">
                  <w:pPr>
                    <w:pStyle w:val="TableBodyText"/>
                    <w:jc w:val="left"/>
                  </w:pPr>
                  <w:r>
                    <w:t>Total producer surplus</w:t>
                  </w:r>
                </w:p>
              </w:tc>
              <w:tc>
                <w:tcPr>
                  <w:tcW w:w="1169" w:type="pct"/>
                </w:tcPr>
                <w:p w14:paraId="7BFB22C1" w14:textId="77777777" w:rsidR="00F564B8" w:rsidRPr="00EF7992" w:rsidRDefault="00F564B8" w:rsidP="000943EC">
                  <w:pPr>
                    <w:pStyle w:val="TableBodyText"/>
                  </w:pPr>
                  <w:r w:rsidRPr="00BE6326">
                    <w:t>-2</w:t>
                  </w:r>
                  <w:r>
                    <w:t> </w:t>
                  </w:r>
                  <w:r w:rsidRPr="00BE6326">
                    <w:t>788</w:t>
                  </w:r>
                </w:p>
              </w:tc>
              <w:tc>
                <w:tcPr>
                  <w:tcW w:w="1270" w:type="pct"/>
                  <w:shd w:val="clear" w:color="auto" w:fill="auto"/>
                </w:tcPr>
                <w:p w14:paraId="6C714185" w14:textId="77777777" w:rsidR="00F564B8" w:rsidRPr="006F5AD2" w:rsidRDefault="00F564B8" w:rsidP="000943EC">
                  <w:pPr>
                    <w:pStyle w:val="TableBodyText"/>
                  </w:pPr>
                  <w:r>
                    <w:t>1 </w:t>
                  </w:r>
                  <w:r w:rsidRPr="00F70AB7">
                    <w:t>210</w:t>
                  </w:r>
                </w:p>
              </w:tc>
              <w:tc>
                <w:tcPr>
                  <w:tcW w:w="1154" w:type="pct"/>
                  <w:shd w:val="clear" w:color="auto" w:fill="auto"/>
                </w:tcPr>
                <w:p w14:paraId="4FEB6B73" w14:textId="77777777" w:rsidR="00F564B8" w:rsidRPr="006F7AF7" w:rsidRDefault="00F564B8" w:rsidP="000943EC">
                  <w:pPr>
                    <w:pStyle w:val="TableBodyText"/>
                    <w:ind w:right="28"/>
                  </w:pPr>
                  <w:r w:rsidRPr="00BE6326">
                    <w:t>322</w:t>
                  </w:r>
                </w:p>
              </w:tc>
            </w:tr>
            <w:tr w:rsidR="00F564B8" w14:paraId="54FDB908" w14:textId="77777777" w:rsidTr="00624D3F">
              <w:tc>
                <w:tcPr>
                  <w:tcW w:w="1407" w:type="pct"/>
                  <w:tcBorders>
                    <w:bottom w:val="single" w:sz="6" w:space="0" w:color="BFBFBF"/>
                  </w:tcBorders>
                  <w:shd w:val="clear" w:color="auto" w:fill="auto"/>
                </w:tcPr>
                <w:p w14:paraId="4F4B1FF7" w14:textId="77777777" w:rsidR="00F564B8" w:rsidRPr="00ED617C" w:rsidRDefault="00F564B8" w:rsidP="000943EC">
                  <w:pPr>
                    <w:pStyle w:val="TableBodyText"/>
                    <w:spacing w:before="80"/>
                    <w:jc w:val="left"/>
                    <w:rPr>
                      <w:b/>
                    </w:rPr>
                  </w:pPr>
                  <w:r w:rsidRPr="00ED617C">
                    <w:rPr>
                      <w:b/>
                    </w:rPr>
                    <w:t>Total welfare</w:t>
                  </w:r>
                </w:p>
              </w:tc>
              <w:tc>
                <w:tcPr>
                  <w:tcW w:w="1169" w:type="pct"/>
                  <w:tcBorders>
                    <w:bottom w:val="single" w:sz="6" w:space="0" w:color="BFBFBF"/>
                  </w:tcBorders>
                </w:tcPr>
                <w:p w14:paraId="1016304F" w14:textId="77777777" w:rsidR="00F564B8" w:rsidRPr="00ED617C" w:rsidRDefault="00F564B8" w:rsidP="000943EC">
                  <w:pPr>
                    <w:pStyle w:val="TableBodyText"/>
                    <w:spacing w:before="80"/>
                    <w:rPr>
                      <w:b/>
                    </w:rPr>
                  </w:pPr>
                  <w:r w:rsidRPr="00BE6326">
                    <w:rPr>
                      <w:b/>
                    </w:rPr>
                    <w:t>-5</w:t>
                  </w:r>
                  <w:r>
                    <w:rPr>
                      <w:b/>
                    </w:rPr>
                    <w:t> </w:t>
                  </w:r>
                  <w:r w:rsidRPr="00BE6326">
                    <w:rPr>
                      <w:b/>
                    </w:rPr>
                    <w:t>236</w:t>
                  </w:r>
                </w:p>
              </w:tc>
              <w:tc>
                <w:tcPr>
                  <w:tcW w:w="1270" w:type="pct"/>
                  <w:tcBorders>
                    <w:bottom w:val="single" w:sz="6" w:space="0" w:color="BFBFBF"/>
                  </w:tcBorders>
                  <w:shd w:val="clear" w:color="auto" w:fill="auto"/>
                </w:tcPr>
                <w:p w14:paraId="3E47F78E" w14:textId="77777777" w:rsidR="00F564B8" w:rsidRPr="00ED617C" w:rsidRDefault="00F564B8" w:rsidP="000943EC">
                  <w:pPr>
                    <w:pStyle w:val="TableBodyText"/>
                    <w:spacing w:before="80"/>
                    <w:rPr>
                      <w:b/>
                    </w:rPr>
                  </w:pPr>
                  <w:r w:rsidRPr="00F70AB7">
                    <w:rPr>
                      <w:b/>
                    </w:rPr>
                    <w:t>-196</w:t>
                  </w:r>
                </w:p>
              </w:tc>
              <w:tc>
                <w:tcPr>
                  <w:tcW w:w="1154" w:type="pct"/>
                  <w:tcBorders>
                    <w:bottom w:val="single" w:sz="6" w:space="0" w:color="BFBFBF"/>
                  </w:tcBorders>
                  <w:shd w:val="clear" w:color="auto" w:fill="auto"/>
                </w:tcPr>
                <w:p w14:paraId="69F0C68B" w14:textId="77777777" w:rsidR="00F564B8" w:rsidRPr="00ED617C" w:rsidRDefault="00F564B8" w:rsidP="000943EC">
                  <w:pPr>
                    <w:pStyle w:val="TableBodyText"/>
                    <w:spacing w:before="80"/>
                    <w:ind w:right="28"/>
                    <w:rPr>
                      <w:b/>
                    </w:rPr>
                  </w:pPr>
                  <w:r w:rsidRPr="00BE6326">
                    <w:rPr>
                      <w:b/>
                    </w:rPr>
                    <w:t>-3</w:t>
                  </w:r>
                </w:p>
              </w:tc>
            </w:tr>
          </w:tbl>
          <w:p w14:paraId="24B04F62" w14:textId="77777777" w:rsidR="00F564B8" w:rsidRDefault="00F564B8" w:rsidP="000943EC">
            <w:pPr>
              <w:pStyle w:val="Box"/>
            </w:pPr>
          </w:p>
        </w:tc>
      </w:tr>
      <w:tr w:rsidR="00F564B8" w14:paraId="3DA9C13C" w14:textId="77777777" w:rsidTr="000943EC">
        <w:trPr>
          <w:cantSplit/>
        </w:trPr>
        <w:tc>
          <w:tcPr>
            <w:tcW w:w="8771" w:type="dxa"/>
            <w:tcBorders>
              <w:top w:val="nil"/>
              <w:left w:val="nil"/>
              <w:bottom w:val="nil"/>
              <w:right w:val="nil"/>
            </w:tcBorders>
            <w:shd w:val="clear" w:color="auto" w:fill="auto"/>
          </w:tcPr>
          <w:p w14:paraId="735276F0" w14:textId="7A25A98C" w:rsidR="00F564B8" w:rsidRDefault="00701A93" w:rsidP="000943EC">
            <w:pPr>
              <w:pStyle w:val="Note"/>
              <w:rPr>
                <w:i/>
              </w:rPr>
            </w:pPr>
            <w:proofErr w:type="gramStart"/>
            <w:r w:rsidRPr="008E77FE">
              <w:rPr>
                <w:rStyle w:val="NoteLabel"/>
              </w:rPr>
              <w:t>a</w:t>
            </w:r>
            <w:proofErr w:type="gramEnd"/>
            <w:r>
              <w:t xml:space="preserve"> Consumer surplus for gas users within </w:t>
            </w:r>
            <w:r w:rsidR="00DF5213">
              <w:t>the eastern Australian gas market.</w:t>
            </w:r>
            <w:r>
              <w:t xml:space="preserve"> </w:t>
            </w:r>
            <w:proofErr w:type="gramStart"/>
            <w:r>
              <w:rPr>
                <w:rStyle w:val="NoteLabel"/>
              </w:rPr>
              <w:t>b</w:t>
            </w:r>
            <w:proofErr w:type="gramEnd"/>
            <w:r>
              <w:t xml:space="preserve"> The terminal value of reserves</w:t>
            </w:r>
            <w:r w:rsidR="007568EE">
              <w:t xml:space="preserve"> and assets</w:t>
            </w:r>
            <w:r>
              <w:t xml:space="preserve"> is the value of remaining gas reserves</w:t>
            </w:r>
            <w:r w:rsidR="007568EE">
              <w:t xml:space="preserve"> and gas supply assets</w:t>
            </w:r>
            <w:r>
              <w:t xml:space="preserve"> at the end of 2032, including the value of gas production and use between 2033 and 2052.</w:t>
            </w:r>
            <w:r w:rsidR="00DE2804">
              <w:rPr>
                <w:rStyle w:val="NoteLabel"/>
              </w:rPr>
              <w:t xml:space="preserve"> </w:t>
            </w:r>
            <w:proofErr w:type="gramStart"/>
            <w:r w:rsidR="00DE2804">
              <w:rPr>
                <w:rStyle w:val="NoteLabel"/>
              </w:rPr>
              <w:t>c</w:t>
            </w:r>
            <w:proofErr w:type="gramEnd"/>
            <w:r w:rsidR="00DE2804">
              <w:t xml:space="preserve"> Producer surplus </w:t>
            </w:r>
            <w:r w:rsidR="00D812FF">
              <w:t>is</w:t>
            </w:r>
            <w:r w:rsidR="00DF5213">
              <w:t xml:space="preserve"> calculated </w:t>
            </w:r>
            <w:r w:rsidR="00DE2804">
              <w:t xml:space="preserve">as the change in revenue less </w:t>
            </w:r>
            <w:r w:rsidR="00943A62">
              <w:t>the change</w:t>
            </w:r>
            <w:r w:rsidR="00DE2804">
              <w:t xml:space="preserve"> in costs in a </w:t>
            </w:r>
            <w:r w:rsidR="00FB6D97">
              <w:t xml:space="preserve">competitive </w:t>
            </w:r>
            <w:r w:rsidR="00DE2804">
              <w:t xml:space="preserve">market equilibrium </w:t>
            </w:r>
            <w:r w:rsidR="00440F8A">
              <w:t>(that is, in the absence of any market power)</w:t>
            </w:r>
            <w:r w:rsidR="00DE2804">
              <w:t>.</w:t>
            </w:r>
            <w:r w:rsidR="00106D00">
              <w:t xml:space="preserve"> – Nil or rounded to zero.</w:t>
            </w:r>
          </w:p>
        </w:tc>
      </w:tr>
      <w:tr w:rsidR="00F564B8" w14:paraId="6C56A7CC" w14:textId="77777777" w:rsidTr="000943EC">
        <w:trPr>
          <w:cantSplit/>
        </w:trPr>
        <w:tc>
          <w:tcPr>
            <w:tcW w:w="8771" w:type="dxa"/>
            <w:tcBorders>
              <w:top w:val="nil"/>
              <w:left w:val="nil"/>
              <w:bottom w:val="nil"/>
              <w:right w:val="nil"/>
            </w:tcBorders>
            <w:shd w:val="clear" w:color="auto" w:fill="auto"/>
          </w:tcPr>
          <w:p w14:paraId="3466F1CA" w14:textId="3ED3C227" w:rsidR="00F564B8" w:rsidRDefault="008E4AB1" w:rsidP="000943EC">
            <w:pPr>
              <w:pStyle w:val="Source"/>
            </w:pPr>
            <w:r>
              <w:rPr>
                <w:i/>
              </w:rPr>
              <w:t>Source</w:t>
            </w:r>
            <w:r w:rsidRPr="00624D3F">
              <w:t>:</w:t>
            </w:r>
            <w:r>
              <w:rPr>
                <w:i/>
              </w:rPr>
              <w:t xml:space="preserve"> </w:t>
            </w:r>
            <w:r>
              <w:t>Commission estimates</w:t>
            </w:r>
            <w:r w:rsidR="00F564B8">
              <w:t>.</w:t>
            </w:r>
          </w:p>
        </w:tc>
      </w:tr>
      <w:tr w:rsidR="00F564B8" w14:paraId="14547328" w14:textId="77777777" w:rsidTr="000943EC">
        <w:trPr>
          <w:cantSplit/>
        </w:trPr>
        <w:tc>
          <w:tcPr>
            <w:tcW w:w="8771" w:type="dxa"/>
            <w:tcBorders>
              <w:top w:val="nil"/>
              <w:left w:val="nil"/>
              <w:bottom w:val="single" w:sz="6" w:space="0" w:color="78A22F"/>
              <w:right w:val="nil"/>
            </w:tcBorders>
            <w:shd w:val="clear" w:color="auto" w:fill="auto"/>
          </w:tcPr>
          <w:p w14:paraId="53704002" w14:textId="77777777" w:rsidR="00F564B8" w:rsidRDefault="00F564B8" w:rsidP="000943EC">
            <w:pPr>
              <w:pStyle w:val="Box"/>
              <w:spacing w:before="0" w:line="120" w:lineRule="exact"/>
            </w:pPr>
          </w:p>
        </w:tc>
      </w:tr>
      <w:tr w:rsidR="00F564B8" w:rsidRPr="000863A5" w14:paraId="55369F5A" w14:textId="77777777" w:rsidTr="000943EC">
        <w:tc>
          <w:tcPr>
            <w:tcW w:w="8771" w:type="dxa"/>
            <w:tcBorders>
              <w:top w:val="single" w:sz="6" w:space="0" w:color="78A22F"/>
              <w:left w:val="nil"/>
              <w:bottom w:val="nil"/>
              <w:right w:val="nil"/>
            </w:tcBorders>
          </w:tcPr>
          <w:p w14:paraId="06D284A0" w14:textId="31B2AB38" w:rsidR="00F564B8" w:rsidRPr="00626D32" w:rsidRDefault="00F564B8" w:rsidP="000943EC">
            <w:pPr>
              <w:pStyle w:val="BoxSpaceBelow"/>
            </w:pPr>
          </w:p>
        </w:tc>
      </w:tr>
    </w:tbl>
    <w:p w14:paraId="7F41DC24" w14:textId="1B89859F" w:rsidR="007A5FCF" w:rsidRDefault="007A5FCF" w:rsidP="007A5FC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A5FCF" w14:paraId="732D893C" w14:textId="77777777" w:rsidTr="00464C37">
        <w:tc>
          <w:tcPr>
            <w:tcW w:w="8771" w:type="dxa"/>
            <w:tcBorders>
              <w:top w:val="single" w:sz="6" w:space="0" w:color="78A22F"/>
              <w:left w:val="nil"/>
              <w:bottom w:val="nil"/>
              <w:right w:val="nil"/>
            </w:tcBorders>
            <w:shd w:val="clear" w:color="auto" w:fill="auto"/>
          </w:tcPr>
          <w:p w14:paraId="1CA7418C" w14:textId="6180D467" w:rsidR="007A5FCF" w:rsidRDefault="007A5FCF" w:rsidP="00464C37">
            <w:pPr>
              <w:pStyle w:val="FigureTitle"/>
            </w:pPr>
            <w:r w:rsidRPr="00784A05">
              <w:rPr>
                <w:b w:val="0"/>
              </w:rPr>
              <w:t xml:space="preserve">Figure </w:t>
            </w:r>
            <w:bookmarkStart w:id="19" w:name="OLE_LINK5"/>
            <w:r w:rsidR="00632E76" w:rsidRPr="00784A05">
              <w:rPr>
                <w:b w:val="0"/>
              </w:rPr>
              <w:fldChar w:fldCharType="begin"/>
            </w:r>
            <w:r w:rsidR="00632E76" w:rsidRPr="00784A05">
              <w:rPr>
                <w:b w:val="0"/>
              </w:rPr>
              <w:instrText xml:space="preserve"> COMMENTS  \* MERGEFORMAT </w:instrText>
            </w:r>
            <w:r w:rsidR="00632E76" w:rsidRPr="00784A05">
              <w:rPr>
                <w:b w:val="0"/>
              </w:rPr>
              <w:fldChar w:fldCharType="separate"/>
            </w:r>
            <w:r w:rsidR="00632E76">
              <w:rPr>
                <w:b w:val="0"/>
              </w:rPr>
              <w:t>C.</w:t>
            </w:r>
            <w:r w:rsidR="00632E76" w:rsidRPr="00784A05">
              <w:rPr>
                <w:b w:val="0"/>
              </w:rPr>
              <w:fldChar w:fldCharType="end"/>
            </w:r>
            <w:r w:rsidR="00632E76" w:rsidRPr="00784A05">
              <w:rPr>
                <w:b w:val="0"/>
              </w:rPr>
              <w:fldChar w:fldCharType="begin"/>
            </w:r>
            <w:r w:rsidR="00632E76" w:rsidRPr="00784A05">
              <w:rPr>
                <w:b w:val="0"/>
              </w:rPr>
              <w:instrText xml:space="preserve"> SEQ Figure \* ARABIC </w:instrText>
            </w:r>
            <w:r w:rsidR="00632E76" w:rsidRPr="00784A05">
              <w:rPr>
                <w:b w:val="0"/>
              </w:rPr>
              <w:fldChar w:fldCharType="separate"/>
            </w:r>
            <w:r w:rsidR="00872E65">
              <w:rPr>
                <w:b w:val="0"/>
                <w:noProof/>
              </w:rPr>
              <w:t>10</w:t>
            </w:r>
            <w:r w:rsidR="00632E76" w:rsidRPr="00784A05">
              <w:rPr>
                <w:b w:val="0"/>
              </w:rPr>
              <w:fldChar w:fldCharType="end"/>
            </w:r>
            <w:bookmarkEnd w:id="19"/>
            <w:r>
              <w:tab/>
            </w:r>
            <w:r w:rsidR="000B1DD8">
              <w:t>Sensitivity of ef</w:t>
            </w:r>
            <w:r>
              <w:t>fects of CSG moratoria</w:t>
            </w:r>
            <w:r w:rsidR="000B1DD8">
              <w:t xml:space="preserve"> to CSG development cost</w:t>
            </w:r>
            <w:r w:rsidR="008B2F5A">
              <w:t xml:space="preserve">s in </w:t>
            </w:r>
            <w:r w:rsidR="0083411E">
              <w:t>New South Wales</w:t>
            </w:r>
            <w:r w:rsidR="008B2F5A">
              <w:t xml:space="preserve"> and Victoria</w:t>
            </w:r>
          </w:p>
          <w:p w14:paraId="578A640F" w14:textId="62134A0A" w:rsidR="007A5FCF" w:rsidRPr="00176D3F" w:rsidRDefault="005C2FEB" w:rsidP="00491D81">
            <w:pPr>
              <w:pStyle w:val="Subtitle"/>
            </w:pPr>
            <w:proofErr w:type="gramStart"/>
            <w:r>
              <w:t>Relative to baseline with CSG moratoria until September 2015</w:t>
            </w:r>
            <w:r w:rsidR="00CE72FC">
              <w:t>.</w:t>
            </w:r>
            <w:proofErr w:type="gramEnd"/>
            <w:r w:rsidR="00CE72FC">
              <w:t xml:space="preserve"> </w:t>
            </w:r>
            <w:r w:rsidR="00F70AB7">
              <w:t xml:space="preserve">Lower, </w:t>
            </w:r>
            <w:r w:rsidR="00491D81">
              <w:t xml:space="preserve">baseline </w:t>
            </w:r>
            <w:r w:rsidR="00F70AB7">
              <w:t xml:space="preserve">and higher </w:t>
            </w:r>
            <w:r w:rsidR="003F3EC7">
              <w:t xml:space="preserve">development </w:t>
            </w:r>
            <w:r w:rsidR="007A5FCF">
              <w:t>costs</w:t>
            </w:r>
          </w:p>
        </w:tc>
      </w:tr>
      <w:tr w:rsidR="007A5FCF" w14:paraId="7E0FE8C5"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4A1B74" w14:paraId="44EC7297" w14:textId="77777777" w:rsidTr="00F93621">
              <w:trPr>
                <w:trHeight w:val="176"/>
                <w:jc w:val="center"/>
              </w:trPr>
              <w:tc>
                <w:tcPr>
                  <w:tcW w:w="4252" w:type="dxa"/>
                  <w:tcBorders>
                    <w:top w:val="nil"/>
                    <w:bottom w:val="nil"/>
                  </w:tcBorders>
                </w:tcPr>
                <w:p w14:paraId="08C22A54" w14:textId="26615919" w:rsidR="004A1B74" w:rsidRDefault="004A1B74" w:rsidP="00DE2804">
                  <w:pPr>
                    <w:pStyle w:val="Figure"/>
                    <w:spacing w:before="60" w:after="60"/>
                    <w:rPr>
                      <w:noProof/>
                    </w:rPr>
                  </w:pPr>
                  <w:r w:rsidRPr="00AD723F">
                    <w:rPr>
                      <w:rFonts w:ascii="Arial" w:hAnsi="Arial" w:cs="Arial"/>
                      <w:b/>
                      <w:noProof/>
                      <w:szCs w:val="24"/>
                    </w:rPr>
                    <w:t xml:space="preserve">Changes in </w:t>
                  </w:r>
                  <w:r w:rsidR="00163C8E" w:rsidRPr="00AD723F">
                    <w:rPr>
                      <w:rFonts w:ascii="Arial" w:hAnsi="Arial" w:cs="Arial"/>
                      <w:b/>
                      <w:noProof/>
                      <w:szCs w:val="24"/>
                    </w:rPr>
                    <w:t>quantities</w:t>
                  </w:r>
                </w:p>
              </w:tc>
              <w:tc>
                <w:tcPr>
                  <w:tcW w:w="4252" w:type="dxa"/>
                </w:tcPr>
                <w:p w14:paraId="1BDE9450" w14:textId="4A28B995" w:rsidR="004A1B74" w:rsidRDefault="004A1B74" w:rsidP="00464C37">
                  <w:pPr>
                    <w:pStyle w:val="Figure"/>
                    <w:spacing w:before="60" w:after="60"/>
                    <w:rPr>
                      <w:noProof/>
                    </w:rPr>
                  </w:pPr>
                  <w:r w:rsidRPr="00AD723F">
                    <w:rPr>
                      <w:rFonts w:ascii="Arial" w:hAnsi="Arial"/>
                      <w:b/>
                    </w:rPr>
                    <w:t>Changes in domestic prices</w:t>
                  </w:r>
                </w:p>
              </w:tc>
            </w:tr>
            <w:tr w:rsidR="004A1B74" w14:paraId="33A3EA59" w14:textId="77777777" w:rsidTr="00F93621">
              <w:trPr>
                <w:trHeight w:val="176"/>
                <w:jc w:val="center"/>
              </w:trPr>
              <w:tc>
                <w:tcPr>
                  <w:tcW w:w="4252" w:type="dxa"/>
                  <w:tcBorders>
                    <w:top w:val="nil"/>
                    <w:bottom w:val="nil"/>
                  </w:tcBorders>
                </w:tcPr>
                <w:p w14:paraId="5E86A4C3" w14:textId="2F5B5612" w:rsidR="004A1B74" w:rsidRDefault="00045492" w:rsidP="00464C37">
                  <w:pPr>
                    <w:pStyle w:val="Figure"/>
                    <w:spacing w:before="60" w:after="60"/>
                    <w:rPr>
                      <w:noProof/>
                    </w:rPr>
                  </w:pPr>
                  <w:r>
                    <w:rPr>
                      <w:noProof/>
                    </w:rPr>
                    <w:drawing>
                      <wp:inline distT="0" distB="0" distL="0" distR="0" wp14:anchorId="62A66D49" wp14:editId="5D894252">
                        <wp:extent cx="2524125" cy="2158365"/>
                        <wp:effectExtent l="0" t="0" r="9525" b="0"/>
                        <wp:docPr id="139" name="Picture 139"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c>
                <w:tcPr>
                  <w:tcW w:w="4252" w:type="dxa"/>
                </w:tcPr>
                <w:p w14:paraId="6E6BAB9F" w14:textId="7428671E" w:rsidR="004A1B74" w:rsidRDefault="00191E35" w:rsidP="00464C37">
                  <w:pPr>
                    <w:pStyle w:val="Figure"/>
                    <w:spacing w:before="60" w:after="60"/>
                    <w:rPr>
                      <w:noProof/>
                    </w:rPr>
                  </w:pPr>
                  <w:r>
                    <w:rPr>
                      <w:noProof/>
                    </w:rPr>
                    <w:drawing>
                      <wp:inline distT="0" distB="0" distL="0" distR="0" wp14:anchorId="44D76FE0" wp14:editId="4D08CF5A">
                        <wp:extent cx="2524125" cy="2164080"/>
                        <wp:effectExtent l="0" t="0" r="9525" b="7620"/>
                        <wp:docPr id="3" name="Picture 3"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24125" cy="2164080"/>
                                </a:xfrm>
                                <a:prstGeom prst="rect">
                                  <a:avLst/>
                                </a:prstGeom>
                                <a:noFill/>
                              </pic:spPr>
                            </pic:pic>
                          </a:graphicData>
                        </a:graphic>
                      </wp:inline>
                    </w:drawing>
                  </w:r>
                </w:p>
              </w:tc>
            </w:tr>
            <w:tr w:rsidR="004A1B74" w14:paraId="25DBC6F3" w14:textId="77777777" w:rsidTr="00F93621">
              <w:trPr>
                <w:trHeight w:val="176"/>
                <w:jc w:val="center"/>
              </w:trPr>
              <w:tc>
                <w:tcPr>
                  <w:tcW w:w="4252" w:type="dxa"/>
                  <w:tcBorders>
                    <w:top w:val="nil"/>
                    <w:bottom w:val="nil"/>
                  </w:tcBorders>
                </w:tcPr>
                <w:p w14:paraId="3AE1B28C" w14:textId="0661958B" w:rsidR="004A1B74" w:rsidRDefault="00045492" w:rsidP="00464C37">
                  <w:pPr>
                    <w:pStyle w:val="Figure"/>
                    <w:spacing w:before="60" w:after="60"/>
                    <w:rPr>
                      <w:noProof/>
                    </w:rPr>
                  </w:pPr>
                  <w:r>
                    <w:rPr>
                      <w:noProof/>
                    </w:rPr>
                    <w:drawing>
                      <wp:inline distT="0" distB="0" distL="0" distR="0" wp14:anchorId="6E9CD346" wp14:editId="07EE56EC">
                        <wp:extent cx="2524125" cy="2164080"/>
                        <wp:effectExtent l="0" t="0" r="9525" b="7620"/>
                        <wp:docPr id="138" name="Picture 138"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4125" cy="2164080"/>
                                </a:xfrm>
                                <a:prstGeom prst="rect">
                                  <a:avLst/>
                                </a:prstGeom>
                                <a:noFill/>
                              </pic:spPr>
                            </pic:pic>
                          </a:graphicData>
                        </a:graphic>
                      </wp:inline>
                    </w:drawing>
                  </w:r>
                </w:p>
              </w:tc>
              <w:tc>
                <w:tcPr>
                  <w:tcW w:w="4252" w:type="dxa"/>
                </w:tcPr>
                <w:p w14:paraId="7F8B80DE" w14:textId="68B2A3CD" w:rsidR="004A1B74" w:rsidRDefault="00045492" w:rsidP="00464C37">
                  <w:pPr>
                    <w:pStyle w:val="Figure"/>
                    <w:spacing w:before="60" w:after="60"/>
                    <w:rPr>
                      <w:noProof/>
                    </w:rPr>
                  </w:pPr>
                  <w:r>
                    <w:rPr>
                      <w:noProof/>
                    </w:rPr>
                    <w:drawing>
                      <wp:inline distT="0" distB="0" distL="0" distR="0" wp14:anchorId="4C9C4682" wp14:editId="5D22BFF7">
                        <wp:extent cx="2524125" cy="2164080"/>
                        <wp:effectExtent l="0" t="0" r="9525" b="7620"/>
                        <wp:docPr id="136" name="Picture 136"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24125" cy="2164080"/>
                                </a:xfrm>
                                <a:prstGeom prst="rect">
                                  <a:avLst/>
                                </a:prstGeom>
                                <a:noFill/>
                              </pic:spPr>
                            </pic:pic>
                          </a:graphicData>
                        </a:graphic>
                      </wp:inline>
                    </w:drawing>
                  </w:r>
                </w:p>
              </w:tc>
            </w:tr>
            <w:tr w:rsidR="004A1B74" w14:paraId="38B4C2BA" w14:textId="77777777" w:rsidTr="002C19EE">
              <w:trPr>
                <w:trHeight w:val="176"/>
                <w:jc w:val="center"/>
              </w:trPr>
              <w:tc>
                <w:tcPr>
                  <w:tcW w:w="4252" w:type="dxa"/>
                  <w:tcBorders>
                    <w:top w:val="nil"/>
                    <w:bottom w:val="nil"/>
                  </w:tcBorders>
                </w:tcPr>
                <w:p w14:paraId="37426532" w14:textId="2842D30E" w:rsidR="004A1B74" w:rsidRDefault="00045492" w:rsidP="00464C37">
                  <w:pPr>
                    <w:pStyle w:val="Figure"/>
                    <w:spacing w:before="60" w:after="60"/>
                    <w:rPr>
                      <w:noProof/>
                    </w:rPr>
                  </w:pPr>
                  <w:r>
                    <w:rPr>
                      <w:noProof/>
                    </w:rPr>
                    <w:drawing>
                      <wp:inline distT="0" distB="0" distL="0" distR="0" wp14:anchorId="03045386" wp14:editId="2008AD55">
                        <wp:extent cx="2524125" cy="2158365"/>
                        <wp:effectExtent l="0" t="0" r="9525" b="0"/>
                        <wp:docPr id="140" name="Picture 140"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c>
                <w:tcPr>
                  <w:tcW w:w="4252" w:type="dxa"/>
                </w:tcPr>
                <w:p w14:paraId="093105B6" w14:textId="18E53EE3" w:rsidR="004A1B74" w:rsidRDefault="00191E35" w:rsidP="00464C37">
                  <w:pPr>
                    <w:pStyle w:val="Figure"/>
                    <w:spacing w:before="60" w:after="60"/>
                    <w:rPr>
                      <w:noProof/>
                    </w:rPr>
                  </w:pPr>
                  <w:r>
                    <w:rPr>
                      <w:noProof/>
                    </w:rPr>
                    <w:drawing>
                      <wp:inline distT="0" distB="0" distL="0" distR="0" wp14:anchorId="5966DA3E" wp14:editId="7A5E7275">
                        <wp:extent cx="2517775" cy="2164080"/>
                        <wp:effectExtent l="0" t="0" r="0" b="7620"/>
                        <wp:docPr id="2" name="Picture 2" descr="This is one of six charts in figure C.10. This figure shows that the modelled effects of CSG moratoria are greater with 50 per cent lower CSG development costs in New South Wales and Victoria. With lower development costs, supply from CSG fields in New South Wales and Victoria is lower with moratoria for the whole simulation period relative to a baseline with moratoria until September 2015. Supply from other fields is higher. Domestic and LNG demand is slightly lower. Prices are higher with CSG moratoria, particularly in Brisbane. With baseline and higher development costs in New South Wales and Victoria, there are little modelled effects of CSG mora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17775" cy="2164080"/>
                                </a:xfrm>
                                <a:prstGeom prst="rect">
                                  <a:avLst/>
                                </a:prstGeom>
                                <a:noFill/>
                              </pic:spPr>
                            </pic:pic>
                          </a:graphicData>
                        </a:graphic>
                      </wp:inline>
                    </w:drawing>
                  </w:r>
                </w:p>
              </w:tc>
            </w:tr>
          </w:tbl>
          <w:p w14:paraId="17D91539" w14:textId="77777777" w:rsidR="007A5FCF" w:rsidRDefault="007A5FCF" w:rsidP="00464C37">
            <w:pPr>
              <w:pStyle w:val="Figure"/>
            </w:pPr>
          </w:p>
        </w:tc>
      </w:tr>
      <w:tr w:rsidR="007A5FCF" w:rsidRPr="00176D3F" w14:paraId="1A566DC9" w14:textId="77777777" w:rsidTr="00464C37">
        <w:tc>
          <w:tcPr>
            <w:tcW w:w="8771" w:type="dxa"/>
            <w:tcBorders>
              <w:top w:val="nil"/>
              <w:left w:val="nil"/>
              <w:bottom w:val="nil"/>
              <w:right w:val="nil"/>
            </w:tcBorders>
            <w:shd w:val="clear" w:color="auto" w:fill="auto"/>
          </w:tcPr>
          <w:p w14:paraId="4361CF31" w14:textId="68EECE00" w:rsidR="007A5FCF" w:rsidRPr="00176D3F" w:rsidRDefault="008E4AB1" w:rsidP="00464C37">
            <w:pPr>
              <w:pStyle w:val="Source"/>
            </w:pPr>
            <w:r>
              <w:rPr>
                <w:i/>
              </w:rPr>
              <w:t>Source</w:t>
            </w:r>
            <w:r w:rsidRPr="00624D3F">
              <w:t xml:space="preserve">: </w:t>
            </w:r>
            <w:r>
              <w:t>Commission estimates</w:t>
            </w:r>
            <w:r w:rsidR="00B31398">
              <w:t>.</w:t>
            </w:r>
          </w:p>
        </w:tc>
      </w:tr>
      <w:tr w:rsidR="007A5FCF" w14:paraId="23E11C4D" w14:textId="77777777" w:rsidTr="00464C37">
        <w:tc>
          <w:tcPr>
            <w:tcW w:w="8771" w:type="dxa"/>
            <w:tcBorders>
              <w:top w:val="nil"/>
              <w:left w:val="nil"/>
              <w:bottom w:val="single" w:sz="6" w:space="0" w:color="78A22F"/>
              <w:right w:val="nil"/>
            </w:tcBorders>
            <w:shd w:val="clear" w:color="auto" w:fill="auto"/>
          </w:tcPr>
          <w:p w14:paraId="00BE697A" w14:textId="77777777" w:rsidR="007A5FCF" w:rsidRDefault="007A5FCF" w:rsidP="00464C37">
            <w:pPr>
              <w:pStyle w:val="Figurespace"/>
            </w:pPr>
          </w:p>
        </w:tc>
      </w:tr>
      <w:tr w:rsidR="007A5FCF" w:rsidRPr="000863A5" w14:paraId="5281231B" w14:textId="77777777" w:rsidTr="00464C37">
        <w:tc>
          <w:tcPr>
            <w:tcW w:w="8771" w:type="dxa"/>
            <w:tcBorders>
              <w:top w:val="single" w:sz="6" w:space="0" w:color="78A22F"/>
              <w:left w:val="nil"/>
              <w:bottom w:val="nil"/>
              <w:right w:val="nil"/>
            </w:tcBorders>
          </w:tcPr>
          <w:p w14:paraId="0E078B8C" w14:textId="05D7D3AC" w:rsidR="007A5FCF" w:rsidRPr="00626D32" w:rsidRDefault="007A5FCF" w:rsidP="00464C37">
            <w:pPr>
              <w:pStyle w:val="BoxSpaceBelow"/>
            </w:pPr>
          </w:p>
        </w:tc>
      </w:tr>
    </w:tbl>
    <w:p w14:paraId="6AFAB006" w14:textId="28C1D580" w:rsidR="00E95F5C" w:rsidRDefault="00B2120F" w:rsidP="00E95F5C">
      <w:pPr>
        <w:pStyle w:val="Heading3"/>
      </w:pPr>
      <w:r>
        <w:lastRenderedPageBreak/>
        <w:t>System use of gas in transmission</w:t>
      </w:r>
    </w:p>
    <w:p w14:paraId="080732EA" w14:textId="069D90F1" w:rsidR="00F564B8" w:rsidRPr="00CD41FC" w:rsidRDefault="00F564B8" w:rsidP="00F564B8">
      <w:pPr>
        <w:pStyle w:val="BodyText"/>
      </w:pPr>
      <w:r w:rsidRPr="00CD41FC">
        <w:t>Using alternative</w:t>
      </w:r>
      <w:r w:rsidR="00FF0EDF" w:rsidRPr="00CD41FC">
        <w:t xml:space="preserve"> estimates of</w:t>
      </w:r>
      <w:r w:rsidRPr="00CD41FC">
        <w:t xml:space="preserve"> system use of gas</w:t>
      </w:r>
      <w:r w:rsidR="00FF0EDF" w:rsidRPr="00CD41FC">
        <w:t xml:space="preserve"> in transmission</w:t>
      </w:r>
      <w:r w:rsidRPr="00CD41FC">
        <w:t xml:space="preserve"> has </w:t>
      </w:r>
      <w:r w:rsidR="00FF0EDF" w:rsidRPr="00CD41FC">
        <w:t>only a small effect</w:t>
      </w:r>
      <w:r w:rsidRPr="00CD41FC">
        <w:t xml:space="preserve"> on results</w:t>
      </w:r>
      <w:r w:rsidR="004A1B74" w:rsidRPr="00CD41FC">
        <w:t xml:space="preserve"> (figure </w:t>
      </w:r>
      <w:r w:rsidR="004A1B74">
        <w:t>C.11</w:t>
      </w:r>
      <w:r w:rsidR="004A1B74" w:rsidRPr="00CD41FC">
        <w:t>)</w:t>
      </w:r>
      <w:r w:rsidRPr="00CD41FC">
        <w:t>.</w:t>
      </w:r>
      <w:r w:rsidR="003F3EC7" w:rsidRPr="00CD41FC">
        <w:t xml:space="preserve"> Price </w:t>
      </w:r>
      <w:r w:rsidR="00175FCC" w:rsidRPr="00CD41FC">
        <w:t>differences across different geographical locations increase slightly with higher system use of gas</w:t>
      </w:r>
      <w:r w:rsidR="008D164A" w:rsidRPr="00CD41FC">
        <w:t xml:space="preserve"> (prices rise slightly in locations with relatively high prices and fall slightly in locations with relatively low prices)</w:t>
      </w:r>
      <w:r w:rsidR="00175FCC" w:rsidRPr="00CD41FC">
        <w:t xml:space="preserve"> and decrease slightly with lower system use of gas.</w:t>
      </w:r>
      <w:r w:rsidRPr="00CD41FC">
        <w:t xml:space="preserve"> </w:t>
      </w:r>
      <w:r w:rsidR="003F3EC7" w:rsidRPr="00CD41FC">
        <w:t xml:space="preserve">Supply changes </w:t>
      </w:r>
      <w:r w:rsidR="00FF0EDF" w:rsidRPr="00CD41FC">
        <w:t xml:space="preserve">marginally </w:t>
      </w:r>
      <w:r w:rsidR="003F3EC7" w:rsidRPr="00CD41FC">
        <w:t xml:space="preserve">to cover greater or smaller system use of gas. </w:t>
      </w:r>
    </w:p>
    <w:p w14:paraId="727F9F0E" w14:textId="43E015B9" w:rsidR="00431F99" w:rsidRDefault="00431F99" w:rsidP="00431F9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5F5C" w14:paraId="62116F10" w14:textId="77777777" w:rsidTr="00464C37">
        <w:tc>
          <w:tcPr>
            <w:tcW w:w="8771" w:type="dxa"/>
            <w:tcBorders>
              <w:top w:val="single" w:sz="6" w:space="0" w:color="78A22F"/>
              <w:left w:val="nil"/>
              <w:bottom w:val="nil"/>
              <w:right w:val="nil"/>
            </w:tcBorders>
            <w:shd w:val="clear" w:color="auto" w:fill="auto"/>
          </w:tcPr>
          <w:p w14:paraId="5F0DE202" w14:textId="2C61BBC1" w:rsidR="00E95F5C" w:rsidRDefault="00E95F5C" w:rsidP="00464C37">
            <w:pPr>
              <w:pStyle w:val="FigureTitle"/>
            </w:pPr>
            <w:r w:rsidRPr="00784A05">
              <w:rPr>
                <w:b w:val="0"/>
              </w:rPr>
              <w:t xml:space="preserve">Figure </w:t>
            </w:r>
            <w:bookmarkStart w:id="20" w:name="OLE_LINK6"/>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11</w:t>
            </w:r>
            <w:r w:rsidRPr="00784A05">
              <w:rPr>
                <w:b w:val="0"/>
              </w:rPr>
              <w:fldChar w:fldCharType="end"/>
            </w:r>
            <w:bookmarkEnd w:id="20"/>
            <w:r>
              <w:tab/>
            </w:r>
            <w:r w:rsidR="000B1DD8">
              <w:t xml:space="preserve">Sensitivity of </w:t>
            </w:r>
            <w:r w:rsidR="00E67058">
              <w:t>modelling results</w:t>
            </w:r>
            <w:r w:rsidR="000B1DD8">
              <w:t xml:space="preserve"> to </w:t>
            </w:r>
            <w:r w:rsidR="00B2120F">
              <w:t>system use of gas</w:t>
            </w:r>
          </w:p>
          <w:p w14:paraId="32A43EFE" w14:textId="7F1A636C" w:rsidR="00E95F5C" w:rsidRPr="00176D3F" w:rsidRDefault="00E95F5C" w:rsidP="007F5860">
            <w:pPr>
              <w:pStyle w:val="Subtitle"/>
            </w:pPr>
            <w:r>
              <w:t xml:space="preserve">Relative to </w:t>
            </w:r>
            <w:r w:rsidR="00BD4282">
              <w:t>baseline</w:t>
            </w:r>
            <w:r>
              <w:t xml:space="preserve"> </w:t>
            </w:r>
            <w:r w:rsidR="00B2120F">
              <w:t>system use of gas</w:t>
            </w:r>
            <w:r>
              <w:t xml:space="preserve"> estimate</w:t>
            </w:r>
          </w:p>
        </w:tc>
      </w:tr>
      <w:tr w:rsidR="00E95F5C" w14:paraId="040205F7"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95F5C" w14:paraId="6414322C" w14:textId="77777777" w:rsidTr="00464C37">
              <w:trPr>
                <w:trHeight w:val="177"/>
                <w:jc w:val="center"/>
              </w:trPr>
              <w:tc>
                <w:tcPr>
                  <w:tcW w:w="8504" w:type="dxa"/>
                  <w:gridSpan w:val="2"/>
                  <w:tcBorders>
                    <w:top w:val="nil"/>
                    <w:bottom w:val="nil"/>
                  </w:tcBorders>
                </w:tcPr>
                <w:p w14:paraId="51DE9C04" w14:textId="47E73ABE" w:rsidR="00E95F5C" w:rsidRPr="008B2A53" w:rsidRDefault="001616E4" w:rsidP="007F5860">
                  <w:pPr>
                    <w:pStyle w:val="Figure"/>
                    <w:spacing w:before="60" w:after="60"/>
                    <w:rPr>
                      <w:rFonts w:ascii="Arial" w:hAnsi="Arial" w:cs="Arial"/>
                      <w:b/>
                    </w:rPr>
                  </w:pPr>
                  <w:r>
                    <w:rPr>
                      <w:rFonts w:ascii="Arial" w:hAnsi="Arial" w:cs="Arial"/>
                      <w:b/>
                    </w:rPr>
                    <w:t>Lower</w:t>
                  </w:r>
                  <w:r w:rsidR="00E95F5C">
                    <w:rPr>
                      <w:rFonts w:ascii="Arial" w:hAnsi="Arial" w:cs="Arial"/>
                      <w:b/>
                    </w:rPr>
                    <w:t xml:space="preserve"> </w:t>
                  </w:r>
                  <w:r w:rsidR="00B2120F">
                    <w:rPr>
                      <w:rFonts w:ascii="Arial" w:hAnsi="Arial" w:cs="Arial"/>
                      <w:b/>
                    </w:rPr>
                    <w:t>system use of gas</w:t>
                  </w:r>
                </w:p>
              </w:tc>
            </w:tr>
            <w:tr w:rsidR="00D249E4" w14:paraId="10F4633E" w14:textId="77777777" w:rsidTr="004A1B74">
              <w:trPr>
                <w:trHeight w:val="176"/>
                <w:jc w:val="center"/>
              </w:trPr>
              <w:tc>
                <w:tcPr>
                  <w:tcW w:w="4252" w:type="dxa"/>
                  <w:tcBorders>
                    <w:top w:val="nil"/>
                    <w:bottom w:val="nil"/>
                  </w:tcBorders>
                </w:tcPr>
                <w:p w14:paraId="75D5B153" w14:textId="2F7E1C4D" w:rsidR="00D249E4" w:rsidRDefault="00D249E4" w:rsidP="00464C37">
                  <w:pPr>
                    <w:pStyle w:val="Figure"/>
                    <w:spacing w:before="60" w:after="60"/>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2200BA36" w14:textId="6D56746F" w:rsidR="00D249E4" w:rsidRDefault="00D249E4" w:rsidP="00464C37">
                  <w:pPr>
                    <w:pStyle w:val="Figure"/>
                    <w:spacing w:before="60" w:after="60"/>
                  </w:pPr>
                  <w:r>
                    <w:rPr>
                      <w:rFonts w:ascii="Arial" w:hAnsi="Arial" w:cs="Arial"/>
                      <w:b/>
                      <w:noProof/>
                      <w:sz w:val="20"/>
                    </w:rPr>
                    <w:t>Changes in d</w:t>
                  </w:r>
                  <w:r w:rsidRPr="00263AF0">
                    <w:rPr>
                      <w:rFonts w:ascii="Arial" w:hAnsi="Arial" w:cs="Arial"/>
                      <w:b/>
                      <w:noProof/>
                      <w:sz w:val="20"/>
                    </w:rPr>
                    <w:t>omestic prices</w:t>
                  </w:r>
                </w:p>
              </w:tc>
            </w:tr>
            <w:tr w:rsidR="004A1B74" w14:paraId="26347595" w14:textId="77777777" w:rsidTr="00450756">
              <w:trPr>
                <w:trHeight w:val="176"/>
                <w:jc w:val="center"/>
              </w:trPr>
              <w:tc>
                <w:tcPr>
                  <w:tcW w:w="4252" w:type="dxa"/>
                  <w:tcBorders>
                    <w:top w:val="nil"/>
                    <w:bottom w:val="nil"/>
                  </w:tcBorders>
                </w:tcPr>
                <w:p w14:paraId="7977030E" w14:textId="0356727A" w:rsidR="004A1B74" w:rsidRDefault="00D567F3" w:rsidP="00464C37">
                  <w:pPr>
                    <w:pStyle w:val="Figure"/>
                    <w:spacing w:before="60" w:after="60"/>
                    <w:rPr>
                      <w:noProof/>
                    </w:rPr>
                  </w:pPr>
                  <w:r>
                    <w:rPr>
                      <w:noProof/>
                    </w:rPr>
                    <w:drawing>
                      <wp:inline distT="0" distB="0" distL="0" distR="0" wp14:anchorId="652EF305" wp14:editId="5E57E03B">
                        <wp:extent cx="2536190" cy="2164080"/>
                        <wp:effectExtent l="0" t="0" r="0" b="7620"/>
                        <wp:docPr id="141" name="Picture 141" descr="This is one of four charts in figure C.11. This figure shows that modelling results are not very sensitive to alternative estimates of system use of gas in transmission. Supply is slightly lower with lower system use of gas estimates and supply is slightly higher with higher system use of gas estimates. Modelled price changes are very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36190" cy="2164080"/>
                                </a:xfrm>
                                <a:prstGeom prst="rect">
                                  <a:avLst/>
                                </a:prstGeom>
                                <a:noFill/>
                              </pic:spPr>
                            </pic:pic>
                          </a:graphicData>
                        </a:graphic>
                      </wp:inline>
                    </w:drawing>
                  </w:r>
                </w:p>
              </w:tc>
              <w:tc>
                <w:tcPr>
                  <w:tcW w:w="4252" w:type="dxa"/>
                </w:tcPr>
                <w:p w14:paraId="65BD3202" w14:textId="26726486" w:rsidR="004A1B74" w:rsidRDefault="00D567F3" w:rsidP="00464C37">
                  <w:pPr>
                    <w:pStyle w:val="Figure"/>
                    <w:spacing w:before="60" w:after="60"/>
                  </w:pPr>
                  <w:r>
                    <w:rPr>
                      <w:noProof/>
                    </w:rPr>
                    <w:drawing>
                      <wp:inline distT="0" distB="0" distL="0" distR="0" wp14:anchorId="0DE33A74" wp14:editId="6C421252">
                        <wp:extent cx="2536190" cy="2164080"/>
                        <wp:effectExtent l="0" t="0" r="0" b="7620"/>
                        <wp:docPr id="142" name="Picture 142" descr="This is one of four charts in figure C.11. This figure shows that modelling results are not very sensitive to alternative estimates of system use of gas in transmission. Supply is slightly lower with lower system use of gas estimates and supply is slightly higher with higher system use of gas estimates. Modelled price changes are very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36190" cy="2164080"/>
                                </a:xfrm>
                                <a:prstGeom prst="rect">
                                  <a:avLst/>
                                </a:prstGeom>
                                <a:noFill/>
                              </pic:spPr>
                            </pic:pic>
                          </a:graphicData>
                        </a:graphic>
                      </wp:inline>
                    </w:drawing>
                  </w:r>
                </w:p>
              </w:tc>
            </w:tr>
            <w:tr w:rsidR="00E95F5C" w14:paraId="4DE247C0" w14:textId="77777777" w:rsidTr="00464C37">
              <w:trPr>
                <w:trHeight w:val="176"/>
                <w:jc w:val="center"/>
              </w:trPr>
              <w:tc>
                <w:tcPr>
                  <w:tcW w:w="8504" w:type="dxa"/>
                  <w:gridSpan w:val="2"/>
                  <w:tcBorders>
                    <w:top w:val="nil"/>
                    <w:bottom w:val="nil"/>
                  </w:tcBorders>
                </w:tcPr>
                <w:p w14:paraId="0A8FE8CA" w14:textId="089E9F3E" w:rsidR="00E95F5C" w:rsidRDefault="001616E4" w:rsidP="007F5860">
                  <w:pPr>
                    <w:pStyle w:val="Figure"/>
                    <w:spacing w:before="60" w:after="60"/>
                    <w:rPr>
                      <w:noProof/>
                    </w:rPr>
                  </w:pPr>
                  <w:r>
                    <w:rPr>
                      <w:rFonts w:ascii="Arial" w:hAnsi="Arial" w:cs="Arial"/>
                      <w:b/>
                    </w:rPr>
                    <w:t>Higher</w:t>
                  </w:r>
                  <w:r w:rsidR="00E95F5C">
                    <w:rPr>
                      <w:rFonts w:ascii="Arial" w:hAnsi="Arial" w:cs="Arial"/>
                      <w:b/>
                    </w:rPr>
                    <w:t xml:space="preserve"> </w:t>
                  </w:r>
                  <w:r w:rsidR="00B2120F">
                    <w:rPr>
                      <w:rFonts w:ascii="Arial" w:hAnsi="Arial" w:cs="Arial"/>
                      <w:b/>
                    </w:rPr>
                    <w:t>system use of gas</w:t>
                  </w:r>
                </w:p>
              </w:tc>
            </w:tr>
            <w:tr w:rsidR="00D249E4" w14:paraId="130532A1" w14:textId="77777777" w:rsidTr="004A1B74">
              <w:trPr>
                <w:trHeight w:val="176"/>
                <w:jc w:val="center"/>
              </w:trPr>
              <w:tc>
                <w:tcPr>
                  <w:tcW w:w="4252" w:type="dxa"/>
                  <w:tcBorders>
                    <w:top w:val="nil"/>
                    <w:bottom w:val="nil"/>
                  </w:tcBorders>
                </w:tcPr>
                <w:p w14:paraId="7CE77DB1" w14:textId="4393312C" w:rsidR="00D249E4" w:rsidRDefault="00D249E4" w:rsidP="00464C37">
                  <w:pPr>
                    <w:pStyle w:val="Figure"/>
                    <w:spacing w:before="60" w:after="6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57CDF38C" w14:textId="44E9853A" w:rsidR="00D249E4" w:rsidRDefault="00D249E4" w:rsidP="004A1B74">
                  <w:pPr>
                    <w:pStyle w:val="Figure"/>
                    <w:spacing w:before="60" w:after="60"/>
                    <w:rPr>
                      <w:noProof/>
                    </w:rPr>
                  </w:pPr>
                  <w:r>
                    <w:rPr>
                      <w:rFonts w:ascii="Arial" w:hAnsi="Arial" w:cs="Arial"/>
                      <w:b/>
                      <w:noProof/>
                      <w:sz w:val="20"/>
                    </w:rPr>
                    <w:t>Changes in d</w:t>
                  </w:r>
                  <w:r w:rsidRPr="00263AF0">
                    <w:rPr>
                      <w:rFonts w:ascii="Arial" w:hAnsi="Arial" w:cs="Arial"/>
                      <w:b/>
                      <w:noProof/>
                      <w:sz w:val="20"/>
                    </w:rPr>
                    <w:t>omestic prices</w:t>
                  </w:r>
                </w:p>
              </w:tc>
            </w:tr>
            <w:tr w:rsidR="004A1B74" w14:paraId="2CA1791C" w14:textId="77777777" w:rsidTr="00450756">
              <w:trPr>
                <w:trHeight w:val="176"/>
                <w:jc w:val="center"/>
              </w:trPr>
              <w:tc>
                <w:tcPr>
                  <w:tcW w:w="4252" w:type="dxa"/>
                  <w:tcBorders>
                    <w:top w:val="nil"/>
                    <w:bottom w:val="nil"/>
                  </w:tcBorders>
                </w:tcPr>
                <w:p w14:paraId="3610C44F" w14:textId="0D8736FC" w:rsidR="004A1B74" w:rsidRDefault="00D567F3" w:rsidP="00464C37">
                  <w:pPr>
                    <w:pStyle w:val="Figure"/>
                    <w:spacing w:before="60" w:after="60"/>
                    <w:rPr>
                      <w:noProof/>
                    </w:rPr>
                  </w:pPr>
                  <w:r>
                    <w:rPr>
                      <w:noProof/>
                    </w:rPr>
                    <w:drawing>
                      <wp:inline distT="0" distB="0" distL="0" distR="0" wp14:anchorId="2285E302" wp14:editId="6588954D">
                        <wp:extent cx="2536190" cy="2158365"/>
                        <wp:effectExtent l="0" t="0" r="0" b="0"/>
                        <wp:docPr id="143" name="Picture 143" descr="This is one of four charts in figure C.11. This figure shows that modelling results are not very sensitive to alternative estimates of system use of gas in transmission. Supply is slightly lower with lower system use of gas estimates and supply is slightly higher with higher system use of gas estimates. Modelled price changes are very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c>
                <w:tcPr>
                  <w:tcW w:w="4252" w:type="dxa"/>
                  <w:tcBorders>
                    <w:bottom w:val="nil"/>
                  </w:tcBorders>
                </w:tcPr>
                <w:p w14:paraId="3C47E177" w14:textId="17550DE8" w:rsidR="004A1B74" w:rsidRDefault="00D567F3" w:rsidP="00464C37">
                  <w:pPr>
                    <w:pStyle w:val="Figure"/>
                    <w:spacing w:before="60" w:after="60"/>
                    <w:rPr>
                      <w:noProof/>
                    </w:rPr>
                  </w:pPr>
                  <w:r>
                    <w:rPr>
                      <w:noProof/>
                    </w:rPr>
                    <w:drawing>
                      <wp:inline distT="0" distB="0" distL="0" distR="0" wp14:anchorId="09C54E88" wp14:editId="3DC5BA4B">
                        <wp:extent cx="2536190" cy="2158365"/>
                        <wp:effectExtent l="0" t="0" r="0" b="0"/>
                        <wp:docPr id="144" name="Picture 144" descr="This is one of four charts in figure C.11. This figure shows that modelling results are not very sensitive to alternative estimates of system use of gas in transmission. Supply is slightly lower with lower system use of gas estimates and supply is slightly higher with higher system use of gas estimates. Modelled price changes are very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r>
          </w:tbl>
          <w:p w14:paraId="49740C20" w14:textId="77777777" w:rsidR="00E95F5C" w:rsidRDefault="00E95F5C" w:rsidP="00464C37">
            <w:pPr>
              <w:pStyle w:val="Figure"/>
            </w:pPr>
          </w:p>
        </w:tc>
      </w:tr>
      <w:tr w:rsidR="00E95F5C" w:rsidRPr="00176D3F" w14:paraId="39C65FBF" w14:textId="77777777" w:rsidTr="00464C37">
        <w:tc>
          <w:tcPr>
            <w:tcW w:w="8771" w:type="dxa"/>
            <w:tcBorders>
              <w:top w:val="nil"/>
              <w:left w:val="nil"/>
              <w:bottom w:val="nil"/>
              <w:right w:val="nil"/>
            </w:tcBorders>
            <w:shd w:val="clear" w:color="auto" w:fill="auto"/>
          </w:tcPr>
          <w:p w14:paraId="5CAB7C24" w14:textId="10497C80" w:rsidR="00E95F5C" w:rsidRPr="00176D3F" w:rsidRDefault="008E4AB1" w:rsidP="00464C37">
            <w:pPr>
              <w:pStyle w:val="Source"/>
            </w:pPr>
            <w:r>
              <w:rPr>
                <w:i/>
              </w:rPr>
              <w:t>Source</w:t>
            </w:r>
            <w:r w:rsidRPr="00624D3F">
              <w:t>:</w:t>
            </w:r>
            <w:r>
              <w:rPr>
                <w:i/>
              </w:rPr>
              <w:t xml:space="preserve"> </w:t>
            </w:r>
            <w:r>
              <w:t>Commission estimates</w:t>
            </w:r>
            <w:r w:rsidR="00B31398">
              <w:t>.</w:t>
            </w:r>
          </w:p>
        </w:tc>
      </w:tr>
      <w:tr w:rsidR="00E95F5C" w14:paraId="54A0DBFD" w14:textId="77777777" w:rsidTr="00464C37">
        <w:tc>
          <w:tcPr>
            <w:tcW w:w="8771" w:type="dxa"/>
            <w:tcBorders>
              <w:top w:val="nil"/>
              <w:left w:val="nil"/>
              <w:bottom w:val="single" w:sz="6" w:space="0" w:color="78A22F"/>
              <w:right w:val="nil"/>
            </w:tcBorders>
            <w:shd w:val="clear" w:color="auto" w:fill="auto"/>
          </w:tcPr>
          <w:p w14:paraId="0A540718" w14:textId="77777777" w:rsidR="00E95F5C" w:rsidRDefault="00E95F5C" w:rsidP="00464C37">
            <w:pPr>
              <w:pStyle w:val="Figurespace"/>
            </w:pPr>
          </w:p>
        </w:tc>
      </w:tr>
      <w:tr w:rsidR="00E95F5C" w:rsidRPr="000863A5" w14:paraId="20E5E623" w14:textId="77777777" w:rsidTr="00464C37">
        <w:tc>
          <w:tcPr>
            <w:tcW w:w="8771" w:type="dxa"/>
            <w:tcBorders>
              <w:top w:val="single" w:sz="6" w:space="0" w:color="78A22F"/>
              <w:left w:val="nil"/>
              <w:bottom w:val="nil"/>
              <w:right w:val="nil"/>
            </w:tcBorders>
          </w:tcPr>
          <w:p w14:paraId="3A24628F" w14:textId="06AE2271" w:rsidR="00E95F5C" w:rsidRPr="00626D32" w:rsidRDefault="00E95F5C" w:rsidP="00464C37">
            <w:pPr>
              <w:pStyle w:val="BoxSpaceBelow"/>
            </w:pPr>
          </w:p>
        </w:tc>
      </w:tr>
    </w:tbl>
    <w:p w14:paraId="5E5D18B6" w14:textId="5819A0B4" w:rsidR="00E95F5C" w:rsidRDefault="009B2366" w:rsidP="00E95F5C">
      <w:pPr>
        <w:pStyle w:val="Heading3"/>
      </w:pPr>
      <w:r>
        <w:lastRenderedPageBreak/>
        <w:t xml:space="preserve">Domestic demand </w:t>
      </w:r>
      <w:proofErr w:type="spellStart"/>
      <w:r w:rsidR="003F3EC7">
        <w:t>elasticities</w:t>
      </w:r>
      <w:proofErr w:type="spellEnd"/>
    </w:p>
    <w:p w14:paraId="418975D2" w14:textId="41199370" w:rsidR="000B3925" w:rsidRPr="00CD41FC" w:rsidRDefault="00175FCC" w:rsidP="00E95F5C">
      <w:pPr>
        <w:pStyle w:val="BodyText"/>
      </w:pPr>
      <w:r w:rsidRPr="00CD41FC">
        <w:t>Within the range tested, d</w:t>
      </w:r>
      <w:r w:rsidR="000B3925" w:rsidRPr="00CD41FC">
        <w:t xml:space="preserve">omestic demand </w:t>
      </w:r>
      <w:proofErr w:type="spellStart"/>
      <w:r w:rsidR="004F6809" w:rsidRPr="00CD41FC">
        <w:t>elasticities</w:t>
      </w:r>
      <w:proofErr w:type="spellEnd"/>
      <w:r w:rsidR="004F6809" w:rsidRPr="00CD41FC">
        <w:t xml:space="preserve"> </w:t>
      </w:r>
      <w:r w:rsidR="000B3925" w:rsidRPr="00CD41FC">
        <w:t>have little effect on gas prices</w:t>
      </w:r>
      <w:r w:rsidRPr="00CD41FC">
        <w:t xml:space="preserve"> in the eastern Australian gas market</w:t>
      </w:r>
      <w:r w:rsidR="004A1B74" w:rsidRPr="00CD41FC">
        <w:t xml:space="preserve"> (figure </w:t>
      </w:r>
      <w:r w:rsidR="004A1B74">
        <w:t>C.12</w:t>
      </w:r>
      <w:r w:rsidR="004A1B74" w:rsidRPr="00CD41FC">
        <w:t>)</w:t>
      </w:r>
      <w:r w:rsidRPr="00CD41FC">
        <w:t>. This is because</w:t>
      </w:r>
      <w:r w:rsidR="000B3925" w:rsidRPr="00CD41FC">
        <w:t xml:space="preserve"> </w:t>
      </w:r>
      <w:r w:rsidR="00236559" w:rsidRPr="00CD41FC">
        <w:t xml:space="preserve">the </w:t>
      </w:r>
      <w:r w:rsidRPr="00CD41FC">
        <w:t xml:space="preserve">Asia–Pacific </w:t>
      </w:r>
      <w:r w:rsidR="000B3925" w:rsidRPr="00CD41FC">
        <w:t>LNG</w:t>
      </w:r>
      <w:r w:rsidR="00856587" w:rsidRPr="00CD41FC">
        <w:t xml:space="preserve"> price </w:t>
      </w:r>
      <w:r w:rsidRPr="00CD41FC">
        <w:t xml:space="preserve">remains </w:t>
      </w:r>
      <w:r w:rsidR="00856587" w:rsidRPr="00CD41FC">
        <w:t xml:space="preserve">the key determinant of domestic prices. </w:t>
      </w:r>
      <w:r w:rsidR="000B3925" w:rsidRPr="00CD41FC">
        <w:t xml:space="preserve">Lower domestic demand </w:t>
      </w:r>
      <w:proofErr w:type="spellStart"/>
      <w:r w:rsidR="004F6809" w:rsidRPr="00CD41FC">
        <w:t>elasticit</w:t>
      </w:r>
      <w:r w:rsidR="00D812FF" w:rsidRPr="00CD41FC">
        <w:t>ies</w:t>
      </w:r>
      <w:proofErr w:type="spellEnd"/>
      <w:r w:rsidR="004F6809" w:rsidRPr="00CD41FC">
        <w:t xml:space="preserve"> lead to slightly higher </w:t>
      </w:r>
      <w:r w:rsidR="00D812FF" w:rsidRPr="00CD41FC">
        <w:t>modelled</w:t>
      </w:r>
      <w:r w:rsidR="004F6809" w:rsidRPr="00CD41FC">
        <w:t xml:space="preserve"> </w:t>
      </w:r>
      <w:r w:rsidR="000B3925" w:rsidRPr="00CD41FC">
        <w:t xml:space="preserve">demand </w:t>
      </w:r>
      <w:r w:rsidR="004F6809" w:rsidRPr="00CD41FC">
        <w:t>(</w:t>
      </w:r>
      <w:r w:rsidR="000B3925" w:rsidRPr="00CD41FC">
        <w:t>and supply</w:t>
      </w:r>
      <w:r w:rsidR="004F6809" w:rsidRPr="00CD41FC">
        <w:t>)</w:t>
      </w:r>
      <w:r w:rsidRPr="00CD41FC">
        <w:t xml:space="preserve">, as </w:t>
      </w:r>
      <w:r w:rsidR="00D812FF" w:rsidRPr="00CD41FC">
        <w:t xml:space="preserve">modelled </w:t>
      </w:r>
      <w:r w:rsidRPr="00CD41FC">
        <w:t xml:space="preserve">price increases over time have a smaller effect on </w:t>
      </w:r>
      <w:r w:rsidR="004844AB" w:rsidRPr="00CD41FC">
        <w:t xml:space="preserve">quantities </w:t>
      </w:r>
      <w:r w:rsidR="008B4D98" w:rsidRPr="00CD41FC">
        <w:t>demand</w:t>
      </w:r>
      <w:r w:rsidR="0067327C" w:rsidRPr="00CD41FC">
        <w:t>ed</w:t>
      </w:r>
      <w:r w:rsidR="008B4D98" w:rsidRPr="00CD41FC">
        <w:t xml:space="preserve"> than in the baseline.</w:t>
      </w:r>
      <w:r w:rsidR="000B3925" w:rsidRPr="00CD41FC">
        <w:t xml:space="preserve"> Conversely, higher domestic demand </w:t>
      </w:r>
      <w:proofErr w:type="spellStart"/>
      <w:r w:rsidR="004F6809" w:rsidRPr="00CD41FC">
        <w:t>elasticities</w:t>
      </w:r>
      <w:proofErr w:type="spellEnd"/>
      <w:r w:rsidR="008B4D98" w:rsidRPr="00CD41FC">
        <w:t xml:space="preserve"> amplify the effect of price increases, leading</w:t>
      </w:r>
      <w:r w:rsidR="004F6809" w:rsidRPr="00CD41FC">
        <w:t xml:space="preserve"> </w:t>
      </w:r>
      <w:r w:rsidR="000B3925" w:rsidRPr="00CD41FC">
        <w:t xml:space="preserve">to slightly </w:t>
      </w:r>
      <w:r w:rsidR="004F6809" w:rsidRPr="00CD41FC">
        <w:t>lower</w:t>
      </w:r>
      <w:r w:rsidR="000B3925" w:rsidRPr="00CD41FC">
        <w:t xml:space="preserve"> </w:t>
      </w:r>
      <w:r w:rsidR="004844AB" w:rsidRPr="00CD41FC">
        <w:t xml:space="preserve">quantities </w:t>
      </w:r>
      <w:r w:rsidR="000B3925" w:rsidRPr="00CD41FC">
        <w:t>demand</w:t>
      </w:r>
      <w:r w:rsidR="004844AB" w:rsidRPr="00CD41FC">
        <w:t>ed</w:t>
      </w:r>
      <w:r w:rsidR="000B3925" w:rsidRPr="00CD41FC">
        <w:t xml:space="preserve"> </w:t>
      </w:r>
      <w:r w:rsidR="004F6809" w:rsidRPr="00CD41FC">
        <w:t>(</w:t>
      </w:r>
      <w:r w:rsidR="000B3925" w:rsidRPr="00CD41FC">
        <w:t xml:space="preserve">and </w:t>
      </w:r>
      <w:r w:rsidR="004844AB" w:rsidRPr="00CD41FC">
        <w:t>supplied</w:t>
      </w:r>
      <w:r w:rsidR="004F6809" w:rsidRPr="00CD41FC">
        <w:t>)</w:t>
      </w:r>
      <w:r w:rsidR="000B3925" w:rsidRPr="00CD41FC">
        <w:t>.</w:t>
      </w:r>
    </w:p>
    <w:p w14:paraId="29E35D7F" w14:textId="5A89E0F8" w:rsidR="00AC0346" w:rsidRPr="00CD41FC" w:rsidRDefault="00D812FF" w:rsidP="00AC0346">
      <w:pPr>
        <w:pStyle w:val="BodyText"/>
      </w:pPr>
      <w:r w:rsidRPr="00CD41FC">
        <w:t>Modelled p</w:t>
      </w:r>
      <w:r w:rsidR="00AC0346" w:rsidRPr="00CD41FC">
        <w:t xml:space="preserve">rices change slightly under different demand </w:t>
      </w:r>
      <w:proofErr w:type="spellStart"/>
      <w:r w:rsidR="00AC0346" w:rsidRPr="00CD41FC">
        <w:t>elasticities</w:t>
      </w:r>
      <w:proofErr w:type="spellEnd"/>
      <w:r w:rsidR="00AC0346" w:rsidRPr="00CD41FC">
        <w:t xml:space="preserve"> without having any effect on LNG export quantities. As noted above, existing LNG trains are expanded to </w:t>
      </w:r>
      <w:r w:rsidRPr="00CD41FC">
        <w:t xml:space="preserve">full </w:t>
      </w:r>
      <w:r w:rsidR="00AC0346" w:rsidRPr="00CD41FC">
        <w:t xml:space="preserve">capacity under the central LNG price scenario, but LNG prices are not high enough </w:t>
      </w:r>
      <w:r w:rsidR="00952AE6" w:rsidRPr="00CD41FC">
        <w:t xml:space="preserve">for it </w:t>
      </w:r>
      <w:r w:rsidR="00AC0346" w:rsidRPr="00CD41FC">
        <w:t xml:space="preserve">to </w:t>
      </w:r>
      <w:r w:rsidR="00952AE6" w:rsidRPr="00CD41FC">
        <w:t xml:space="preserve">be economic to </w:t>
      </w:r>
      <w:r w:rsidR="00AC0346" w:rsidRPr="00CD41FC">
        <w:t xml:space="preserve">build any LNG plants </w:t>
      </w:r>
      <w:r w:rsidR="00CF2F71" w:rsidRPr="00CD41FC">
        <w:t>beyond th</w:t>
      </w:r>
      <w:r w:rsidR="00DC3320" w:rsidRPr="00CD41FC">
        <w:t xml:space="preserve">e three </w:t>
      </w:r>
      <w:r w:rsidR="00CF2F71" w:rsidRPr="00CD41FC">
        <w:t xml:space="preserve">committed </w:t>
      </w:r>
      <w:r w:rsidR="00952AE6" w:rsidRPr="00CD41FC">
        <w:t xml:space="preserve">projects </w:t>
      </w:r>
      <w:r w:rsidR="00DC3320" w:rsidRPr="00CD41FC">
        <w:t>at Gladstone</w:t>
      </w:r>
      <w:r w:rsidR="00AC0346" w:rsidRPr="00CD41FC">
        <w:t xml:space="preserve">. Domestic demand (and thus prices) can </w:t>
      </w:r>
      <w:r w:rsidR="0067327C" w:rsidRPr="00CD41FC">
        <w:t>therefore</w:t>
      </w:r>
      <w:r w:rsidR="00AC0346" w:rsidRPr="00CD41FC">
        <w:t xml:space="preserve"> fluctuate within a small range before this is sufficient to trigger either investment in new LNG plants or delays to expansion of existing plants.</w:t>
      </w:r>
      <w:r w:rsidR="00AC0346">
        <w:t xml:space="preserve"> </w:t>
      </w:r>
    </w:p>
    <w:p w14:paraId="29596AB8" w14:textId="616C006C" w:rsidR="00E95F5C" w:rsidRDefault="00E95F5C" w:rsidP="00E95F5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5F5C" w14:paraId="6B238EEE" w14:textId="77777777" w:rsidTr="00464C37">
        <w:tc>
          <w:tcPr>
            <w:tcW w:w="8771" w:type="dxa"/>
            <w:tcBorders>
              <w:top w:val="single" w:sz="6" w:space="0" w:color="78A22F"/>
              <w:left w:val="nil"/>
              <w:bottom w:val="nil"/>
              <w:right w:val="nil"/>
            </w:tcBorders>
            <w:shd w:val="clear" w:color="auto" w:fill="auto"/>
          </w:tcPr>
          <w:p w14:paraId="665FD222" w14:textId="21D069D7" w:rsidR="00E95F5C" w:rsidRDefault="00E95F5C" w:rsidP="00464C37">
            <w:pPr>
              <w:pStyle w:val="FigureTitle"/>
            </w:pPr>
            <w:r w:rsidRPr="00784A05">
              <w:rPr>
                <w:b w:val="0"/>
              </w:rPr>
              <w:t xml:space="preserve">Figure </w:t>
            </w:r>
            <w:bookmarkStart w:id="21" w:name="OLE_LINK7"/>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12</w:t>
            </w:r>
            <w:r w:rsidRPr="00784A05">
              <w:rPr>
                <w:b w:val="0"/>
              </w:rPr>
              <w:fldChar w:fldCharType="end"/>
            </w:r>
            <w:bookmarkEnd w:id="21"/>
            <w:r>
              <w:tab/>
            </w:r>
            <w:r w:rsidR="009B2366">
              <w:t xml:space="preserve">Sensitivity of </w:t>
            </w:r>
            <w:r w:rsidR="00E67058">
              <w:t>modelling results</w:t>
            </w:r>
            <w:r w:rsidR="009B2366">
              <w:t xml:space="preserve"> to domestic demand </w:t>
            </w:r>
            <w:proofErr w:type="spellStart"/>
            <w:r w:rsidR="009B2366">
              <w:t>elasticities</w:t>
            </w:r>
            <w:proofErr w:type="spellEnd"/>
          </w:p>
          <w:p w14:paraId="050D5286" w14:textId="72FBEBE3" w:rsidR="00E95F5C" w:rsidRPr="00176D3F" w:rsidRDefault="00E95F5C" w:rsidP="00464C37">
            <w:pPr>
              <w:pStyle w:val="Subtitle"/>
            </w:pPr>
            <w:r>
              <w:t xml:space="preserve">Relative to </w:t>
            </w:r>
            <w:r w:rsidR="00BD4282">
              <w:t>baseline</w:t>
            </w:r>
            <w:r>
              <w:t xml:space="preserve"> elasticity estimates</w:t>
            </w:r>
          </w:p>
        </w:tc>
      </w:tr>
      <w:tr w:rsidR="00E95F5C" w14:paraId="687C8AC0"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95F5C" w14:paraId="05AE0D0F" w14:textId="77777777" w:rsidTr="00464C37">
              <w:trPr>
                <w:trHeight w:val="177"/>
                <w:jc w:val="center"/>
              </w:trPr>
              <w:tc>
                <w:tcPr>
                  <w:tcW w:w="8504" w:type="dxa"/>
                  <w:gridSpan w:val="2"/>
                  <w:tcBorders>
                    <w:top w:val="nil"/>
                    <w:bottom w:val="nil"/>
                  </w:tcBorders>
                </w:tcPr>
                <w:p w14:paraId="4E2F3FC3" w14:textId="5B9678F0" w:rsidR="00E95F5C" w:rsidRPr="008B2A53" w:rsidRDefault="00E23E9D" w:rsidP="00464C37">
                  <w:pPr>
                    <w:pStyle w:val="Figure"/>
                    <w:spacing w:before="60" w:after="60"/>
                    <w:rPr>
                      <w:rFonts w:ascii="Arial" w:hAnsi="Arial" w:cs="Arial"/>
                      <w:b/>
                    </w:rPr>
                  </w:pPr>
                  <w:r>
                    <w:rPr>
                      <w:rFonts w:ascii="Arial" w:hAnsi="Arial" w:cs="Arial"/>
                      <w:b/>
                    </w:rPr>
                    <w:t xml:space="preserve">Lower </w:t>
                  </w:r>
                  <w:proofErr w:type="spellStart"/>
                  <w:r>
                    <w:rPr>
                      <w:rFonts w:ascii="Arial" w:hAnsi="Arial" w:cs="Arial"/>
                      <w:b/>
                    </w:rPr>
                    <w:t>elasticities</w:t>
                  </w:r>
                  <w:proofErr w:type="spellEnd"/>
                </w:p>
              </w:tc>
            </w:tr>
            <w:tr w:rsidR="00D249E4" w14:paraId="0AAACCBA" w14:textId="6FF3B349" w:rsidTr="000B3925">
              <w:trPr>
                <w:trHeight w:val="177"/>
                <w:jc w:val="center"/>
              </w:trPr>
              <w:tc>
                <w:tcPr>
                  <w:tcW w:w="4252" w:type="dxa"/>
                  <w:tcBorders>
                    <w:top w:val="nil"/>
                    <w:bottom w:val="nil"/>
                  </w:tcBorders>
                </w:tcPr>
                <w:p w14:paraId="3F892059" w14:textId="6A2162E6" w:rsidR="00D249E4" w:rsidRDefault="00D249E4" w:rsidP="00464C37">
                  <w:pPr>
                    <w:pStyle w:val="Figure"/>
                    <w:spacing w:before="60" w:after="60"/>
                    <w:rPr>
                      <w:rFonts w:ascii="Arial" w:hAnsi="Arial" w:cs="Arial"/>
                      <w:b/>
                    </w:rPr>
                  </w:pPr>
                  <w:r>
                    <w:rPr>
                      <w:rFonts w:ascii="Arial" w:hAnsi="Arial" w:cs="Arial"/>
                      <w:b/>
                      <w:noProof/>
                      <w:sz w:val="20"/>
                    </w:rPr>
                    <w:t xml:space="preserve">Changes in </w:t>
                  </w:r>
                  <w:r w:rsidR="00163C8E">
                    <w:rPr>
                      <w:rFonts w:ascii="Arial" w:hAnsi="Arial" w:cs="Arial"/>
                      <w:b/>
                      <w:noProof/>
                      <w:sz w:val="20"/>
                    </w:rPr>
                    <w:t>quantities</w:t>
                  </w:r>
                </w:p>
              </w:tc>
              <w:tc>
                <w:tcPr>
                  <w:tcW w:w="4252" w:type="dxa"/>
                  <w:tcBorders>
                    <w:top w:val="nil"/>
                    <w:bottom w:val="nil"/>
                  </w:tcBorders>
                </w:tcPr>
                <w:p w14:paraId="7331F3C9" w14:textId="712378A7" w:rsidR="00D249E4" w:rsidRDefault="00D249E4" w:rsidP="00464C37">
                  <w:pPr>
                    <w:pStyle w:val="Figure"/>
                    <w:spacing w:before="60" w:after="60"/>
                    <w:rPr>
                      <w:rFonts w:ascii="Arial" w:hAnsi="Arial" w:cs="Arial"/>
                      <w:b/>
                    </w:rPr>
                  </w:pPr>
                  <w:r>
                    <w:rPr>
                      <w:rFonts w:ascii="Arial" w:hAnsi="Arial" w:cs="Arial"/>
                      <w:b/>
                      <w:noProof/>
                      <w:sz w:val="20"/>
                    </w:rPr>
                    <w:t>Changes in d</w:t>
                  </w:r>
                  <w:r w:rsidRPr="00263AF0">
                    <w:rPr>
                      <w:rFonts w:ascii="Arial" w:hAnsi="Arial" w:cs="Arial"/>
                      <w:b/>
                      <w:noProof/>
                      <w:sz w:val="20"/>
                    </w:rPr>
                    <w:t>omestic prices</w:t>
                  </w:r>
                </w:p>
              </w:tc>
            </w:tr>
            <w:tr w:rsidR="00D249E4" w14:paraId="6DF74EA9" w14:textId="77777777" w:rsidTr="002C19EE">
              <w:trPr>
                <w:trHeight w:val="177"/>
                <w:jc w:val="center"/>
              </w:trPr>
              <w:tc>
                <w:tcPr>
                  <w:tcW w:w="4252" w:type="dxa"/>
                  <w:tcBorders>
                    <w:top w:val="nil"/>
                    <w:bottom w:val="nil"/>
                  </w:tcBorders>
                </w:tcPr>
                <w:p w14:paraId="50516E52" w14:textId="35034523" w:rsidR="00D249E4" w:rsidRDefault="00D567F3" w:rsidP="00464C37">
                  <w:pPr>
                    <w:pStyle w:val="Figure"/>
                    <w:spacing w:before="60" w:after="60"/>
                    <w:rPr>
                      <w:noProof/>
                    </w:rPr>
                  </w:pPr>
                  <w:r>
                    <w:rPr>
                      <w:noProof/>
                    </w:rPr>
                    <w:drawing>
                      <wp:inline distT="0" distB="0" distL="0" distR="0" wp14:anchorId="36C8FB60" wp14:editId="68D01A3E">
                        <wp:extent cx="2536190" cy="2158365"/>
                        <wp:effectExtent l="0" t="0" r="0" b="0"/>
                        <wp:docPr id="146" name="Picture 146" descr="This is one of four charts in figure C.12. This figure shows that modelling results are not very sensitive to alternative estimates of domestic demand elasticities. With lower elasticities, supply and demand are slightly higher, and prices are slightly higher. With higher elasticities, supply and demand are slightly lower, and prices tend to be slightly l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c>
                <w:tcPr>
                  <w:tcW w:w="4252" w:type="dxa"/>
                  <w:tcBorders>
                    <w:top w:val="nil"/>
                    <w:bottom w:val="nil"/>
                  </w:tcBorders>
                </w:tcPr>
                <w:p w14:paraId="5F021548" w14:textId="598030F8" w:rsidR="00D249E4" w:rsidRDefault="00D567F3" w:rsidP="00464C37">
                  <w:pPr>
                    <w:pStyle w:val="Figure"/>
                    <w:spacing w:before="60" w:after="60"/>
                    <w:rPr>
                      <w:noProof/>
                    </w:rPr>
                  </w:pPr>
                  <w:r>
                    <w:rPr>
                      <w:noProof/>
                    </w:rPr>
                    <w:drawing>
                      <wp:inline distT="0" distB="0" distL="0" distR="0" wp14:anchorId="48F77A18" wp14:editId="128BA713">
                        <wp:extent cx="2536190" cy="2158365"/>
                        <wp:effectExtent l="0" t="0" r="0" b="0"/>
                        <wp:docPr id="145" name="Picture 145" descr="This is one of four charts in figure C.12. This figure shows that modelling results are not very sensitive to alternative estimates of domestic demand elasticities. With lower elasticities, supply and demand are slightly higher, and prices are slightly higher. With higher elasticities, supply and demand are slightly lower, and prices tend to be slightly l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r>
            <w:tr w:rsidR="00E23E9D" w14:paraId="342A0D51" w14:textId="77777777" w:rsidTr="00464C37">
              <w:trPr>
                <w:trHeight w:val="177"/>
                <w:jc w:val="center"/>
              </w:trPr>
              <w:tc>
                <w:tcPr>
                  <w:tcW w:w="8504" w:type="dxa"/>
                  <w:gridSpan w:val="2"/>
                  <w:tcBorders>
                    <w:top w:val="nil"/>
                    <w:bottom w:val="nil"/>
                  </w:tcBorders>
                </w:tcPr>
                <w:p w14:paraId="2B10877A" w14:textId="3AD6187B" w:rsidR="00E23E9D" w:rsidRDefault="00E23E9D" w:rsidP="00464C37">
                  <w:pPr>
                    <w:pStyle w:val="Figure"/>
                    <w:spacing w:before="60" w:after="60"/>
                    <w:rPr>
                      <w:rFonts w:ascii="Arial" w:hAnsi="Arial" w:cs="Arial"/>
                      <w:b/>
                    </w:rPr>
                  </w:pPr>
                  <w:r>
                    <w:rPr>
                      <w:rFonts w:ascii="Arial" w:hAnsi="Arial" w:cs="Arial"/>
                      <w:b/>
                    </w:rPr>
                    <w:t xml:space="preserve">Higher </w:t>
                  </w:r>
                  <w:proofErr w:type="spellStart"/>
                  <w:r>
                    <w:rPr>
                      <w:rFonts w:ascii="Arial" w:hAnsi="Arial" w:cs="Arial"/>
                      <w:b/>
                    </w:rPr>
                    <w:t>elasticities</w:t>
                  </w:r>
                  <w:proofErr w:type="spellEnd"/>
                </w:p>
              </w:tc>
            </w:tr>
            <w:tr w:rsidR="00D249E4" w14:paraId="05EEB744" w14:textId="77777777" w:rsidTr="000B3925">
              <w:trPr>
                <w:trHeight w:val="176"/>
                <w:jc w:val="center"/>
              </w:trPr>
              <w:tc>
                <w:tcPr>
                  <w:tcW w:w="4252" w:type="dxa"/>
                  <w:tcBorders>
                    <w:top w:val="nil"/>
                    <w:bottom w:val="nil"/>
                  </w:tcBorders>
                </w:tcPr>
                <w:p w14:paraId="0137BD8A" w14:textId="1E5474A5" w:rsidR="00D249E4" w:rsidRDefault="00D249E4" w:rsidP="00464C37">
                  <w:pPr>
                    <w:pStyle w:val="Figure"/>
                    <w:spacing w:before="60" w:after="60"/>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526EF661" w14:textId="643CFF4F" w:rsidR="00D249E4" w:rsidRDefault="00D249E4" w:rsidP="00464C37">
                  <w:pPr>
                    <w:pStyle w:val="Figure"/>
                    <w:spacing w:before="60" w:after="60"/>
                  </w:pPr>
                  <w:r>
                    <w:rPr>
                      <w:rFonts w:ascii="Arial" w:hAnsi="Arial" w:cs="Arial"/>
                      <w:b/>
                      <w:noProof/>
                      <w:sz w:val="20"/>
                    </w:rPr>
                    <w:t>Changes in d</w:t>
                  </w:r>
                  <w:r w:rsidRPr="00263AF0">
                    <w:rPr>
                      <w:rFonts w:ascii="Arial" w:hAnsi="Arial" w:cs="Arial"/>
                      <w:b/>
                      <w:noProof/>
                      <w:sz w:val="20"/>
                    </w:rPr>
                    <w:t>omestic prices</w:t>
                  </w:r>
                </w:p>
              </w:tc>
            </w:tr>
            <w:tr w:rsidR="00D249E4" w14:paraId="7B4E6621" w14:textId="77777777" w:rsidTr="002C19EE">
              <w:trPr>
                <w:trHeight w:val="176"/>
                <w:jc w:val="center"/>
              </w:trPr>
              <w:tc>
                <w:tcPr>
                  <w:tcW w:w="4252" w:type="dxa"/>
                  <w:tcBorders>
                    <w:top w:val="nil"/>
                    <w:bottom w:val="nil"/>
                  </w:tcBorders>
                </w:tcPr>
                <w:p w14:paraId="5EF77F1A" w14:textId="25E39175" w:rsidR="00D249E4" w:rsidRDefault="00D567F3" w:rsidP="00464C37">
                  <w:pPr>
                    <w:pStyle w:val="Figure"/>
                    <w:spacing w:before="60" w:after="60"/>
                    <w:rPr>
                      <w:noProof/>
                    </w:rPr>
                  </w:pPr>
                  <w:r>
                    <w:rPr>
                      <w:noProof/>
                    </w:rPr>
                    <w:drawing>
                      <wp:inline distT="0" distB="0" distL="0" distR="0" wp14:anchorId="4E80821A" wp14:editId="03298284">
                        <wp:extent cx="2536190" cy="2158365"/>
                        <wp:effectExtent l="0" t="0" r="0" b="0"/>
                        <wp:docPr id="147" name="Picture 147" descr="This is one of four charts in figure C.12. This figure shows that modelling results are not very sensitive to alternative estimates of domestic demand elasticities. With lower elasticities, supply and demand are slightly higher, and prices are slightly higher. With higher elasticities, supply and demand are slightly lower, and prices tend to be slightly l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c>
                <w:tcPr>
                  <w:tcW w:w="4252" w:type="dxa"/>
                </w:tcPr>
                <w:p w14:paraId="57D4019A" w14:textId="264FF68B" w:rsidR="00D249E4" w:rsidRDefault="00D567F3" w:rsidP="00464C37">
                  <w:pPr>
                    <w:pStyle w:val="Figure"/>
                    <w:spacing w:before="60" w:after="60"/>
                    <w:rPr>
                      <w:noProof/>
                    </w:rPr>
                  </w:pPr>
                  <w:r>
                    <w:rPr>
                      <w:noProof/>
                    </w:rPr>
                    <w:drawing>
                      <wp:inline distT="0" distB="0" distL="0" distR="0" wp14:anchorId="1AD465D5" wp14:editId="1295429F">
                        <wp:extent cx="2536190" cy="2158365"/>
                        <wp:effectExtent l="0" t="0" r="0" b="0"/>
                        <wp:docPr id="148" name="Picture 148" descr="This is one of four charts in figure C.12. This figure shows that modelling results are not very sensitive to alternative estimates of domestic demand elasticities. With lower elasticities, supply and demand are slightly higher, and prices are slightly higher. With higher elasticities, supply and demand are slightly lower, and prices tend to be slightly l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r>
          </w:tbl>
          <w:p w14:paraId="45E7CBA6" w14:textId="77777777" w:rsidR="00E95F5C" w:rsidRDefault="00E95F5C" w:rsidP="00464C37">
            <w:pPr>
              <w:pStyle w:val="Figure"/>
            </w:pPr>
          </w:p>
        </w:tc>
      </w:tr>
      <w:tr w:rsidR="00E95F5C" w:rsidRPr="00176D3F" w14:paraId="1B3E303C" w14:textId="77777777" w:rsidTr="00464C37">
        <w:tc>
          <w:tcPr>
            <w:tcW w:w="8771" w:type="dxa"/>
            <w:tcBorders>
              <w:top w:val="nil"/>
              <w:left w:val="nil"/>
              <w:bottom w:val="nil"/>
              <w:right w:val="nil"/>
            </w:tcBorders>
            <w:shd w:val="clear" w:color="auto" w:fill="auto"/>
          </w:tcPr>
          <w:p w14:paraId="0CE3D3BA" w14:textId="5035CF22" w:rsidR="00E95F5C" w:rsidRPr="00176D3F" w:rsidRDefault="008E4AB1" w:rsidP="00464C37">
            <w:pPr>
              <w:pStyle w:val="Source"/>
            </w:pPr>
            <w:r>
              <w:rPr>
                <w:i/>
              </w:rPr>
              <w:t>Source</w:t>
            </w:r>
            <w:r w:rsidRPr="00624D3F">
              <w:t>:</w:t>
            </w:r>
            <w:r>
              <w:rPr>
                <w:i/>
              </w:rPr>
              <w:t xml:space="preserve"> </w:t>
            </w:r>
            <w:r>
              <w:t>Commission estimates</w:t>
            </w:r>
            <w:r w:rsidR="00B31398">
              <w:t>.</w:t>
            </w:r>
          </w:p>
        </w:tc>
      </w:tr>
      <w:tr w:rsidR="00E95F5C" w14:paraId="4776CC9E" w14:textId="77777777" w:rsidTr="00464C37">
        <w:tc>
          <w:tcPr>
            <w:tcW w:w="8771" w:type="dxa"/>
            <w:tcBorders>
              <w:top w:val="nil"/>
              <w:left w:val="nil"/>
              <w:bottom w:val="single" w:sz="6" w:space="0" w:color="78A22F"/>
              <w:right w:val="nil"/>
            </w:tcBorders>
            <w:shd w:val="clear" w:color="auto" w:fill="auto"/>
          </w:tcPr>
          <w:p w14:paraId="3BCD20F9" w14:textId="77777777" w:rsidR="00E95F5C" w:rsidRDefault="00E95F5C" w:rsidP="00464C37">
            <w:pPr>
              <w:pStyle w:val="Figurespace"/>
            </w:pPr>
          </w:p>
        </w:tc>
      </w:tr>
      <w:tr w:rsidR="00E95F5C" w:rsidRPr="000863A5" w14:paraId="6AAE5127" w14:textId="77777777" w:rsidTr="00464C37">
        <w:tc>
          <w:tcPr>
            <w:tcW w:w="8771" w:type="dxa"/>
            <w:tcBorders>
              <w:top w:val="single" w:sz="6" w:space="0" w:color="78A22F"/>
              <w:left w:val="nil"/>
              <w:bottom w:val="nil"/>
              <w:right w:val="nil"/>
            </w:tcBorders>
          </w:tcPr>
          <w:p w14:paraId="3394B346" w14:textId="075911FE" w:rsidR="00E95F5C" w:rsidRPr="00626D32" w:rsidRDefault="00E95F5C" w:rsidP="00464C37">
            <w:pPr>
              <w:pStyle w:val="BoxSpaceBelow"/>
            </w:pPr>
          </w:p>
        </w:tc>
      </w:tr>
    </w:tbl>
    <w:p w14:paraId="39E09D83" w14:textId="77777777" w:rsidR="00AD46C7" w:rsidRDefault="00AD46C7" w:rsidP="00E95F5C">
      <w:pPr>
        <w:pStyle w:val="Heading3"/>
      </w:pPr>
    </w:p>
    <w:p w14:paraId="2CD86B05" w14:textId="77777777" w:rsidR="00AD46C7" w:rsidRDefault="00AD46C7" w:rsidP="00AD46C7">
      <w:pPr>
        <w:pStyle w:val="BodyText"/>
        <w:rPr>
          <w:rFonts w:ascii="Arial" w:hAnsi="Arial"/>
          <w:sz w:val="26"/>
        </w:rPr>
      </w:pPr>
      <w:r>
        <w:br w:type="page"/>
      </w:r>
    </w:p>
    <w:p w14:paraId="20AE1F30" w14:textId="79076C73" w:rsidR="00E95F5C" w:rsidRDefault="00E95F5C" w:rsidP="00E95F5C">
      <w:pPr>
        <w:pStyle w:val="Heading3"/>
      </w:pPr>
      <w:r>
        <w:lastRenderedPageBreak/>
        <w:t>Domestic demand growth</w:t>
      </w:r>
    </w:p>
    <w:p w14:paraId="38C98C4E" w14:textId="46E8D16C" w:rsidR="00431F99" w:rsidRPr="00CD41FC" w:rsidRDefault="00431F99" w:rsidP="00431F99">
      <w:pPr>
        <w:pStyle w:val="BodyText"/>
      </w:pPr>
      <w:r w:rsidRPr="00CD41FC">
        <w:t xml:space="preserve">The lower and higher domestic demand growth parameters tested have </w:t>
      </w:r>
      <w:r w:rsidR="00AC2C69" w:rsidRPr="00CD41FC">
        <w:t xml:space="preserve">only a small </w:t>
      </w:r>
      <w:r w:rsidRPr="00CD41FC">
        <w:t xml:space="preserve">effect on </w:t>
      </w:r>
      <w:r w:rsidR="00DD757C" w:rsidRPr="00CD41FC">
        <w:t xml:space="preserve">modelled </w:t>
      </w:r>
      <w:r w:rsidRPr="00CD41FC">
        <w:t>domestic prices</w:t>
      </w:r>
      <w:r w:rsidR="00AC2C69" w:rsidRPr="00CD41FC">
        <w:t xml:space="preserve"> and total supply</w:t>
      </w:r>
      <w:r w:rsidR="00D249E4" w:rsidRPr="00CD41FC">
        <w:t xml:space="preserve"> (figure </w:t>
      </w:r>
      <w:r w:rsidR="00D249E4">
        <w:t>C.13</w:t>
      </w:r>
      <w:r w:rsidR="00D249E4" w:rsidRPr="00CD41FC">
        <w:t>)</w:t>
      </w:r>
      <w:r w:rsidR="00AC2C69" w:rsidRPr="00CD41FC">
        <w:t>. A</w:t>
      </w:r>
      <w:r w:rsidR="008B4D98" w:rsidRPr="00CD41FC">
        <w:t>s</w:t>
      </w:r>
      <w:r w:rsidR="00AC2C69" w:rsidRPr="00CD41FC">
        <w:t xml:space="preserve"> for the demand elasticity sensitivity testing,</w:t>
      </w:r>
      <w:r w:rsidR="00856587" w:rsidRPr="00CD41FC">
        <w:t xml:space="preserve"> </w:t>
      </w:r>
      <w:r w:rsidR="00236559" w:rsidRPr="00CD41FC">
        <w:t xml:space="preserve">the </w:t>
      </w:r>
      <w:r w:rsidR="00856587" w:rsidRPr="00CD41FC">
        <w:t>LNG price</w:t>
      </w:r>
      <w:r w:rsidR="00236559" w:rsidRPr="00CD41FC">
        <w:t xml:space="preserve"> </w:t>
      </w:r>
      <w:r w:rsidR="008B4D98" w:rsidRPr="00CD41FC">
        <w:t xml:space="preserve">continues to be </w:t>
      </w:r>
      <w:r w:rsidR="00856587" w:rsidRPr="00CD41FC">
        <w:t>the key determinant of domestic prices.</w:t>
      </w:r>
      <w:r w:rsidRPr="00CD41FC">
        <w:t xml:space="preserve"> </w:t>
      </w:r>
    </w:p>
    <w:p w14:paraId="3BC9CE75" w14:textId="7F14002E" w:rsidR="00E95F5C" w:rsidRDefault="00E95F5C" w:rsidP="00E95F5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5F5C" w14:paraId="491DFE86" w14:textId="77777777" w:rsidTr="00464C37">
        <w:tc>
          <w:tcPr>
            <w:tcW w:w="8771" w:type="dxa"/>
            <w:tcBorders>
              <w:top w:val="single" w:sz="6" w:space="0" w:color="78A22F"/>
              <w:left w:val="nil"/>
              <w:bottom w:val="nil"/>
              <w:right w:val="nil"/>
            </w:tcBorders>
            <w:shd w:val="clear" w:color="auto" w:fill="auto"/>
          </w:tcPr>
          <w:p w14:paraId="48022A42" w14:textId="6BC59F90" w:rsidR="00E95F5C" w:rsidRDefault="00E95F5C" w:rsidP="00464C37">
            <w:pPr>
              <w:pStyle w:val="FigureTitle"/>
            </w:pPr>
            <w:r w:rsidRPr="00784A05">
              <w:rPr>
                <w:b w:val="0"/>
              </w:rPr>
              <w:t xml:space="preserve">Figure </w:t>
            </w:r>
            <w:bookmarkStart w:id="22" w:name="OLE_LINK8"/>
            <w:r w:rsidRPr="00784A05">
              <w:rPr>
                <w:b w:val="0"/>
              </w:rPr>
              <w:fldChar w:fldCharType="begin"/>
            </w:r>
            <w:r w:rsidRPr="00784A05">
              <w:rPr>
                <w:b w:val="0"/>
              </w:rPr>
              <w:instrText xml:space="preserve"> COMMENTS  \* MERGEFORMAT </w:instrText>
            </w:r>
            <w:r w:rsidRPr="00784A05">
              <w:rPr>
                <w:b w:val="0"/>
              </w:rPr>
              <w:fldChar w:fldCharType="separate"/>
            </w:r>
            <w:r>
              <w:rPr>
                <w:b w:val="0"/>
              </w:rPr>
              <w:t>C.</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872E65">
              <w:rPr>
                <w:b w:val="0"/>
                <w:noProof/>
              </w:rPr>
              <w:t>13</w:t>
            </w:r>
            <w:r w:rsidRPr="00784A05">
              <w:rPr>
                <w:b w:val="0"/>
              </w:rPr>
              <w:fldChar w:fldCharType="end"/>
            </w:r>
            <w:bookmarkEnd w:id="22"/>
            <w:r>
              <w:tab/>
            </w:r>
            <w:r w:rsidR="009B2366">
              <w:t xml:space="preserve">Sensitivity of </w:t>
            </w:r>
            <w:r w:rsidR="00E67058">
              <w:t>modelling results</w:t>
            </w:r>
            <w:r w:rsidR="009B2366">
              <w:t xml:space="preserve"> to domestic demand growth</w:t>
            </w:r>
            <w:r w:rsidR="005A6FCA">
              <w:t xml:space="preserve"> </w:t>
            </w:r>
            <w:r w:rsidR="00972A3B">
              <w:t>parameters</w:t>
            </w:r>
          </w:p>
          <w:p w14:paraId="161BF1F5" w14:textId="0DD89769" w:rsidR="00E95F5C" w:rsidRPr="00176D3F" w:rsidRDefault="00E95F5C" w:rsidP="006452B7">
            <w:pPr>
              <w:pStyle w:val="Subtitle"/>
            </w:pPr>
            <w:r>
              <w:t>Relative to</w:t>
            </w:r>
            <w:r w:rsidR="000B3925">
              <w:t xml:space="preserve"> </w:t>
            </w:r>
            <w:r w:rsidR="00BD4282">
              <w:t>baseline</w:t>
            </w:r>
            <w:r w:rsidR="008B2F5A">
              <w:t xml:space="preserve"> </w:t>
            </w:r>
            <w:r>
              <w:t>demand growth estimates</w:t>
            </w:r>
          </w:p>
        </w:tc>
      </w:tr>
      <w:tr w:rsidR="00E95F5C" w14:paraId="15FEF716" w14:textId="77777777" w:rsidTr="00464C3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1616E4" w14:paraId="40CD6231" w14:textId="77777777" w:rsidTr="003728BD">
              <w:trPr>
                <w:trHeight w:val="176"/>
                <w:jc w:val="center"/>
              </w:trPr>
              <w:tc>
                <w:tcPr>
                  <w:tcW w:w="8504" w:type="dxa"/>
                  <w:gridSpan w:val="2"/>
                  <w:tcBorders>
                    <w:top w:val="nil"/>
                    <w:bottom w:val="nil"/>
                  </w:tcBorders>
                </w:tcPr>
                <w:p w14:paraId="5533D709" w14:textId="63436E8E" w:rsidR="001616E4" w:rsidRPr="001616E4" w:rsidRDefault="001616E4" w:rsidP="00464C37">
                  <w:pPr>
                    <w:pStyle w:val="Figure"/>
                    <w:spacing w:before="60" w:after="60"/>
                    <w:rPr>
                      <w:rFonts w:asciiTheme="majorHAnsi" w:hAnsiTheme="majorHAnsi" w:cstheme="majorHAnsi"/>
                      <w:b/>
                      <w:noProof/>
                    </w:rPr>
                  </w:pPr>
                  <w:r w:rsidRPr="001616E4">
                    <w:rPr>
                      <w:rFonts w:asciiTheme="majorHAnsi" w:hAnsiTheme="majorHAnsi" w:cstheme="majorHAnsi"/>
                      <w:b/>
                      <w:noProof/>
                    </w:rPr>
                    <w:t>Lower demand growth</w:t>
                  </w:r>
                </w:p>
              </w:tc>
            </w:tr>
            <w:tr w:rsidR="00D249E4" w14:paraId="50E6BE6C" w14:textId="77777777" w:rsidTr="009B12C9">
              <w:trPr>
                <w:trHeight w:val="176"/>
                <w:jc w:val="center"/>
              </w:trPr>
              <w:tc>
                <w:tcPr>
                  <w:tcW w:w="4252" w:type="dxa"/>
                  <w:tcBorders>
                    <w:top w:val="nil"/>
                    <w:bottom w:val="nil"/>
                  </w:tcBorders>
                </w:tcPr>
                <w:p w14:paraId="747D927F" w14:textId="3E0736C5" w:rsidR="00D249E4" w:rsidRDefault="00D249E4" w:rsidP="00464C37">
                  <w:pPr>
                    <w:pStyle w:val="Figure"/>
                    <w:spacing w:before="60" w:after="6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106A1650" w14:textId="681DC70B" w:rsidR="00D249E4" w:rsidRDefault="00D249E4" w:rsidP="00464C37">
                  <w:pPr>
                    <w:pStyle w:val="Figure"/>
                    <w:spacing w:before="60" w:after="60"/>
                    <w:rPr>
                      <w:noProof/>
                    </w:rPr>
                  </w:pPr>
                  <w:r>
                    <w:rPr>
                      <w:rFonts w:ascii="Arial" w:hAnsi="Arial" w:cs="Arial"/>
                      <w:b/>
                      <w:noProof/>
                      <w:sz w:val="20"/>
                    </w:rPr>
                    <w:t>Changes in d</w:t>
                  </w:r>
                  <w:r w:rsidRPr="00263AF0">
                    <w:rPr>
                      <w:rFonts w:ascii="Arial" w:hAnsi="Arial" w:cs="Arial"/>
                      <w:b/>
                      <w:noProof/>
                      <w:sz w:val="20"/>
                    </w:rPr>
                    <w:t>omestic prices</w:t>
                  </w:r>
                </w:p>
              </w:tc>
            </w:tr>
            <w:tr w:rsidR="00D249E4" w14:paraId="42F15008" w14:textId="77777777" w:rsidTr="00FF6DE4">
              <w:trPr>
                <w:trHeight w:val="176"/>
                <w:jc w:val="center"/>
              </w:trPr>
              <w:tc>
                <w:tcPr>
                  <w:tcW w:w="4252" w:type="dxa"/>
                  <w:tcBorders>
                    <w:top w:val="nil"/>
                    <w:bottom w:val="nil"/>
                  </w:tcBorders>
                </w:tcPr>
                <w:p w14:paraId="75C97A1D" w14:textId="64B1FF72" w:rsidR="00D249E4" w:rsidRDefault="00D567F3" w:rsidP="00464C37">
                  <w:pPr>
                    <w:pStyle w:val="Figure"/>
                    <w:spacing w:before="60" w:after="60"/>
                    <w:rPr>
                      <w:noProof/>
                    </w:rPr>
                  </w:pPr>
                  <w:r>
                    <w:rPr>
                      <w:noProof/>
                    </w:rPr>
                    <w:drawing>
                      <wp:inline distT="0" distB="0" distL="0" distR="0" wp14:anchorId="517C3DEC" wp14:editId="5B1F63E3">
                        <wp:extent cx="2536190" cy="2164080"/>
                        <wp:effectExtent l="0" t="0" r="0" b="7620"/>
                        <wp:docPr id="151" name="Picture 151" descr="This is one of four charts in figure C.13. This figure shows that modelling results are not very sensitive to alternative estimates of domestic demand growth parameters. With lower demand growth, supply and demand are slightly lower, and prices tend to be slightly lower. With higher domestic demand growth, supply and demand are slightly higher, and prices tend to be slightly hig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36190" cy="2164080"/>
                                </a:xfrm>
                                <a:prstGeom prst="rect">
                                  <a:avLst/>
                                </a:prstGeom>
                                <a:noFill/>
                              </pic:spPr>
                            </pic:pic>
                          </a:graphicData>
                        </a:graphic>
                      </wp:inline>
                    </w:drawing>
                  </w:r>
                </w:p>
              </w:tc>
              <w:tc>
                <w:tcPr>
                  <w:tcW w:w="4252" w:type="dxa"/>
                </w:tcPr>
                <w:p w14:paraId="4D5EA51E" w14:textId="1BA1A729" w:rsidR="00D249E4" w:rsidRDefault="00D567F3" w:rsidP="00464C37">
                  <w:pPr>
                    <w:pStyle w:val="Figure"/>
                    <w:spacing w:before="60" w:after="60"/>
                    <w:rPr>
                      <w:noProof/>
                    </w:rPr>
                  </w:pPr>
                  <w:r>
                    <w:rPr>
                      <w:noProof/>
                    </w:rPr>
                    <w:drawing>
                      <wp:inline distT="0" distB="0" distL="0" distR="0" wp14:anchorId="68CE0731" wp14:editId="5E47DDB2">
                        <wp:extent cx="2536190" cy="2164080"/>
                        <wp:effectExtent l="0" t="0" r="0" b="7620"/>
                        <wp:docPr id="152" name="Picture 152" descr="This is one of four charts in figure C.13. This figure shows that modelling results are not very sensitive to alternative estimates of domestic demand growth parameters. With lower demand growth, supply and demand are slightly lower, and prices tend to be slightly lower. With higher domestic demand growth, supply and demand are slightly higher, and prices tend to be slightly hig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36190" cy="2164080"/>
                                </a:xfrm>
                                <a:prstGeom prst="rect">
                                  <a:avLst/>
                                </a:prstGeom>
                                <a:noFill/>
                              </pic:spPr>
                            </pic:pic>
                          </a:graphicData>
                        </a:graphic>
                      </wp:inline>
                    </w:drawing>
                  </w:r>
                </w:p>
              </w:tc>
            </w:tr>
            <w:tr w:rsidR="001616E4" w14:paraId="03D3A915" w14:textId="77777777" w:rsidTr="003728BD">
              <w:trPr>
                <w:trHeight w:val="176"/>
                <w:jc w:val="center"/>
              </w:trPr>
              <w:tc>
                <w:tcPr>
                  <w:tcW w:w="8504" w:type="dxa"/>
                  <w:gridSpan w:val="2"/>
                  <w:tcBorders>
                    <w:top w:val="nil"/>
                    <w:bottom w:val="nil"/>
                  </w:tcBorders>
                </w:tcPr>
                <w:p w14:paraId="5834FCD0" w14:textId="0C452206" w:rsidR="001616E4" w:rsidRPr="001616E4" w:rsidRDefault="001616E4" w:rsidP="00464C37">
                  <w:pPr>
                    <w:pStyle w:val="Figure"/>
                    <w:spacing w:before="60" w:after="60"/>
                    <w:rPr>
                      <w:b/>
                      <w:noProof/>
                    </w:rPr>
                  </w:pPr>
                  <w:r w:rsidRPr="001616E4">
                    <w:rPr>
                      <w:rFonts w:ascii="Arial" w:hAnsi="Arial" w:cs="Arial"/>
                      <w:b/>
                    </w:rPr>
                    <w:t>Higher demand growth</w:t>
                  </w:r>
                </w:p>
              </w:tc>
            </w:tr>
            <w:tr w:rsidR="00D249E4" w14:paraId="3A87579A" w14:textId="77777777" w:rsidTr="009B12C9">
              <w:trPr>
                <w:trHeight w:val="176"/>
                <w:jc w:val="center"/>
              </w:trPr>
              <w:tc>
                <w:tcPr>
                  <w:tcW w:w="4252" w:type="dxa"/>
                  <w:tcBorders>
                    <w:top w:val="nil"/>
                    <w:bottom w:val="nil"/>
                  </w:tcBorders>
                </w:tcPr>
                <w:p w14:paraId="3C4980A9" w14:textId="137E77D4" w:rsidR="00D249E4" w:rsidRDefault="00D249E4" w:rsidP="00464C37">
                  <w:pPr>
                    <w:pStyle w:val="Figure"/>
                    <w:spacing w:before="60" w:after="60"/>
                    <w:rPr>
                      <w:noProof/>
                    </w:rPr>
                  </w:pPr>
                  <w:r>
                    <w:rPr>
                      <w:rFonts w:ascii="Arial" w:hAnsi="Arial" w:cs="Arial"/>
                      <w:b/>
                      <w:noProof/>
                      <w:sz w:val="20"/>
                    </w:rPr>
                    <w:t xml:space="preserve">Changes in </w:t>
                  </w:r>
                  <w:r w:rsidR="00163C8E">
                    <w:rPr>
                      <w:rFonts w:ascii="Arial" w:hAnsi="Arial" w:cs="Arial"/>
                      <w:b/>
                      <w:noProof/>
                      <w:sz w:val="20"/>
                    </w:rPr>
                    <w:t>quantities</w:t>
                  </w:r>
                </w:p>
              </w:tc>
              <w:tc>
                <w:tcPr>
                  <w:tcW w:w="4252" w:type="dxa"/>
                </w:tcPr>
                <w:p w14:paraId="6AD9A477" w14:textId="39BD0B23" w:rsidR="00D249E4" w:rsidRDefault="00D249E4" w:rsidP="00464C37">
                  <w:pPr>
                    <w:pStyle w:val="Figure"/>
                    <w:spacing w:before="60" w:after="60"/>
                    <w:rPr>
                      <w:noProof/>
                    </w:rPr>
                  </w:pPr>
                  <w:r>
                    <w:rPr>
                      <w:rFonts w:ascii="Arial" w:hAnsi="Arial" w:cs="Arial"/>
                      <w:b/>
                      <w:noProof/>
                      <w:sz w:val="20"/>
                    </w:rPr>
                    <w:t>Changes in d</w:t>
                  </w:r>
                  <w:r w:rsidRPr="00263AF0">
                    <w:rPr>
                      <w:rFonts w:ascii="Arial" w:hAnsi="Arial" w:cs="Arial"/>
                      <w:b/>
                      <w:noProof/>
                      <w:sz w:val="20"/>
                    </w:rPr>
                    <w:t>omestic prices</w:t>
                  </w:r>
                </w:p>
              </w:tc>
            </w:tr>
            <w:tr w:rsidR="00D249E4" w14:paraId="76E6779A" w14:textId="77777777" w:rsidTr="00FF6DE4">
              <w:trPr>
                <w:trHeight w:val="176"/>
                <w:jc w:val="center"/>
              </w:trPr>
              <w:tc>
                <w:tcPr>
                  <w:tcW w:w="4252" w:type="dxa"/>
                  <w:tcBorders>
                    <w:top w:val="nil"/>
                    <w:bottom w:val="nil"/>
                  </w:tcBorders>
                </w:tcPr>
                <w:p w14:paraId="5FE89313" w14:textId="23969535" w:rsidR="00D249E4" w:rsidRDefault="00D567F3" w:rsidP="00464C37">
                  <w:pPr>
                    <w:pStyle w:val="Figure"/>
                    <w:spacing w:before="60" w:after="60"/>
                    <w:rPr>
                      <w:noProof/>
                    </w:rPr>
                  </w:pPr>
                  <w:r>
                    <w:rPr>
                      <w:noProof/>
                    </w:rPr>
                    <w:drawing>
                      <wp:inline distT="0" distB="0" distL="0" distR="0" wp14:anchorId="618D2BB1" wp14:editId="4EB5F0DF">
                        <wp:extent cx="2536190" cy="2158365"/>
                        <wp:effectExtent l="0" t="0" r="0" b="0"/>
                        <wp:docPr id="150" name="Picture 150" descr="This is one of four charts in figure C.13. This figure shows that modelling results are not very sensitive to alternative estimates of domestic demand growth parameters. With lower demand growth, supply and demand are slightly lower, and prices tend to be slightly lower. With higher domestic demand growth, supply and demand are slightly higher, and prices tend to be slightly hig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c>
                <w:tcPr>
                  <w:tcW w:w="4252" w:type="dxa"/>
                </w:tcPr>
                <w:p w14:paraId="785F30F7" w14:textId="62E6C667" w:rsidR="00D249E4" w:rsidRDefault="00D567F3" w:rsidP="00464C37">
                  <w:pPr>
                    <w:pStyle w:val="Figure"/>
                    <w:spacing w:before="60" w:after="60"/>
                    <w:rPr>
                      <w:noProof/>
                    </w:rPr>
                  </w:pPr>
                  <w:r>
                    <w:rPr>
                      <w:noProof/>
                    </w:rPr>
                    <w:drawing>
                      <wp:inline distT="0" distB="0" distL="0" distR="0" wp14:anchorId="5A72E024" wp14:editId="0610D487">
                        <wp:extent cx="2536190" cy="2158365"/>
                        <wp:effectExtent l="0" t="0" r="0" b="0"/>
                        <wp:docPr id="149" name="Picture 149" descr="This is one of four charts in figure C.13. This figure shows that modelling results are not very sensitive to alternative estimates of domestic demand growth parameters. With lower demand growth, supply and demand are slightly lower, and prices tend to be slightly lower. With higher domestic demand growth, supply and demand are slightly higher, and prices tend to be slightly hig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36190" cy="2158365"/>
                                </a:xfrm>
                                <a:prstGeom prst="rect">
                                  <a:avLst/>
                                </a:prstGeom>
                                <a:noFill/>
                              </pic:spPr>
                            </pic:pic>
                          </a:graphicData>
                        </a:graphic>
                      </wp:inline>
                    </w:drawing>
                  </w:r>
                </w:p>
              </w:tc>
            </w:tr>
          </w:tbl>
          <w:p w14:paraId="044CEBCE" w14:textId="77777777" w:rsidR="00E95F5C" w:rsidRDefault="00E95F5C" w:rsidP="00464C37">
            <w:pPr>
              <w:pStyle w:val="Figure"/>
            </w:pPr>
          </w:p>
        </w:tc>
      </w:tr>
      <w:tr w:rsidR="00E95F5C" w:rsidRPr="00176D3F" w14:paraId="1905EE45" w14:textId="77777777" w:rsidTr="00464C37">
        <w:tc>
          <w:tcPr>
            <w:tcW w:w="8771" w:type="dxa"/>
            <w:tcBorders>
              <w:top w:val="nil"/>
              <w:left w:val="nil"/>
              <w:bottom w:val="nil"/>
              <w:right w:val="nil"/>
            </w:tcBorders>
            <w:shd w:val="clear" w:color="auto" w:fill="auto"/>
          </w:tcPr>
          <w:p w14:paraId="7159B1C6" w14:textId="2DD414A6" w:rsidR="00E95F5C" w:rsidRPr="00176D3F" w:rsidRDefault="008E4AB1" w:rsidP="00464C37">
            <w:pPr>
              <w:pStyle w:val="Source"/>
            </w:pPr>
            <w:r>
              <w:rPr>
                <w:i/>
              </w:rPr>
              <w:t>Source</w:t>
            </w:r>
            <w:r w:rsidRPr="00624D3F">
              <w:t>:</w:t>
            </w:r>
            <w:r>
              <w:rPr>
                <w:i/>
              </w:rPr>
              <w:t xml:space="preserve"> </w:t>
            </w:r>
            <w:r>
              <w:t>Commission estimates</w:t>
            </w:r>
            <w:r w:rsidR="00B31398">
              <w:t>.</w:t>
            </w:r>
          </w:p>
        </w:tc>
      </w:tr>
      <w:tr w:rsidR="00E95F5C" w14:paraId="78EF486B" w14:textId="77777777" w:rsidTr="00464C37">
        <w:tc>
          <w:tcPr>
            <w:tcW w:w="8771" w:type="dxa"/>
            <w:tcBorders>
              <w:top w:val="nil"/>
              <w:left w:val="nil"/>
              <w:bottom w:val="single" w:sz="6" w:space="0" w:color="78A22F"/>
              <w:right w:val="nil"/>
            </w:tcBorders>
            <w:shd w:val="clear" w:color="auto" w:fill="auto"/>
          </w:tcPr>
          <w:p w14:paraId="139291C7" w14:textId="77777777" w:rsidR="00E95F5C" w:rsidRDefault="00E95F5C" w:rsidP="00464C37">
            <w:pPr>
              <w:pStyle w:val="Figurespace"/>
            </w:pPr>
          </w:p>
        </w:tc>
      </w:tr>
      <w:tr w:rsidR="00E95F5C" w:rsidRPr="000863A5" w14:paraId="19976507" w14:textId="77777777" w:rsidTr="00464C37">
        <w:tc>
          <w:tcPr>
            <w:tcW w:w="8771" w:type="dxa"/>
            <w:tcBorders>
              <w:top w:val="single" w:sz="6" w:space="0" w:color="78A22F"/>
              <w:left w:val="nil"/>
              <w:bottom w:val="nil"/>
              <w:right w:val="nil"/>
            </w:tcBorders>
          </w:tcPr>
          <w:p w14:paraId="0EBA3BDE" w14:textId="3D57ECC8" w:rsidR="00E95F5C" w:rsidRPr="00626D32" w:rsidRDefault="00E95F5C" w:rsidP="00464C37">
            <w:pPr>
              <w:pStyle w:val="BoxSpaceBelow"/>
            </w:pPr>
          </w:p>
        </w:tc>
      </w:tr>
    </w:tbl>
    <w:p w14:paraId="730A0F6C" w14:textId="77777777" w:rsidR="00C05D50" w:rsidRDefault="00C05D50" w:rsidP="00120072">
      <w:pPr>
        <w:pStyle w:val="BodyText"/>
      </w:pPr>
    </w:p>
    <w:sectPr w:rsidR="00C05D50" w:rsidSect="0079252E">
      <w:headerReference w:type="even" r:id="rId70"/>
      <w:headerReference w:type="default" r:id="rId71"/>
      <w:footerReference w:type="even" r:id="rId72"/>
      <w:footerReference w:type="default" r:id="rId73"/>
      <w:pgSz w:w="11907" w:h="16840" w:code="9"/>
      <w:pgMar w:top="1985" w:right="1304" w:bottom="1247" w:left="1814" w:header="1701" w:footer="397" w:gutter="0"/>
      <w:pgNumType w:start="203"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80823" w14:textId="77777777" w:rsidR="00191E35" w:rsidRDefault="00191E35">
      <w:r>
        <w:separator/>
      </w:r>
    </w:p>
  </w:endnote>
  <w:endnote w:type="continuationSeparator" w:id="0">
    <w:p w14:paraId="3257363A" w14:textId="77777777" w:rsidR="00191E35" w:rsidRDefault="00191E35">
      <w:r>
        <w:continuationSeparator/>
      </w:r>
    </w:p>
  </w:endnote>
  <w:endnote w:type="continuationNotice" w:id="1">
    <w:p w14:paraId="582100F4" w14:textId="77777777" w:rsidR="00191E35" w:rsidRDefault="00191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91E35" w14:paraId="58C38F61" w14:textId="77777777" w:rsidTr="005F48ED">
      <w:trPr>
        <w:trHeight w:hRule="exact" w:val="567"/>
      </w:trPr>
      <w:tc>
        <w:tcPr>
          <w:tcW w:w="510" w:type="dxa"/>
        </w:tcPr>
        <w:p w14:paraId="018F563C" w14:textId="5E655E8A" w:rsidR="00191E35" w:rsidRPr="00A24443" w:rsidRDefault="00191E3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021AB">
            <w:rPr>
              <w:rStyle w:val="PageNumber"/>
              <w:caps w:val="0"/>
              <w:noProof/>
            </w:rPr>
            <w:t>226</w:t>
          </w:r>
          <w:r w:rsidRPr="00A24443">
            <w:rPr>
              <w:rStyle w:val="PageNumber"/>
              <w:caps w:val="0"/>
            </w:rPr>
            <w:fldChar w:fldCharType="end"/>
          </w:r>
        </w:p>
      </w:tc>
      <w:tc>
        <w:tcPr>
          <w:tcW w:w="7767" w:type="dxa"/>
        </w:tcPr>
        <w:p w14:paraId="72EBFDA8" w14:textId="6F917EC0" w:rsidR="00191E35" w:rsidRPr="0013739A" w:rsidRDefault="00191E35" w:rsidP="00491D81">
          <w:pPr>
            <w:pStyle w:val="Footer"/>
            <w:rPr>
              <w:rFonts w:cs="Arial"/>
            </w:rPr>
          </w:pPr>
          <w:r>
            <w:rPr>
              <w:rFonts w:cs="Arial"/>
            </w:rPr>
            <w:t>EXAMINING barriers to more efficient gas markets</w:t>
          </w:r>
          <w:bookmarkStart w:id="23" w:name="DraftReportEven"/>
          <w:bookmarkEnd w:id="23"/>
        </w:p>
      </w:tc>
      <w:tc>
        <w:tcPr>
          <w:tcW w:w="510" w:type="dxa"/>
        </w:tcPr>
        <w:p w14:paraId="626F0945" w14:textId="77777777" w:rsidR="00191E35" w:rsidRDefault="00191E35" w:rsidP="0019293B">
          <w:pPr>
            <w:pStyle w:val="Footer"/>
          </w:pPr>
        </w:p>
      </w:tc>
    </w:tr>
  </w:tbl>
  <w:p w14:paraId="61606AFB" w14:textId="77777777" w:rsidR="00191E35" w:rsidRDefault="00191E3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91E35" w14:paraId="3FCD406B" w14:textId="77777777" w:rsidTr="005F48ED">
      <w:trPr>
        <w:trHeight w:hRule="exact" w:val="567"/>
      </w:trPr>
      <w:tc>
        <w:tcPr>
          <w:tcW w:w="510" w:type="dxa"/>
        </w:tcPr>
        <w:p w14:paraId="35AE4E13" w14:textId="77777777" w:rsidR="00191E35" w:rsidRDefault="00191E35">
          <w:pPr>
            <w:pStyle w:val="Footer"/>
            <w:ind w:right="360" w:firstLine="360"/>
          </w:pPr>
        </w:p>
      </w:tc>
      <w:tc>
        <w:tcPr>
          <w:tcW w:w="7767" w:type="dxa"/>
        </w:tcPr>
        <w:p w14:paraId="7AF5F28F" w14:textId="3BB88FD9" w:rsidR="00191E35" w:rsidRPr="00BA5B14" w:rsidRDefault="00191E35" w:rsidP="0013739A">
          <w:pPr>
            <w:pStyle w:val="Footer"/>
            <w:jc w:val="right"/>
            <w:rPr>
              <w:rFonts w:cs="Arial"/>
            </w:rPr>
          </w:pPr>
          <w:bookmarkStart w:id="24" w:name="DraftReportOdd"/>
          <w:bookmarkEnd w:id="24"/>
          <w:r>
            <w:rPr>
              <w:rFonts w:cs="Arial"/>
            </w:rPr>
            <w:t>GAS MARKET MODELLING RESULTS</w:t>
          </w:r>
        </w:p>
      </w:tc>
      <w:tc>
        <w:tcPr>
          <w:tcW w:w="510" w:type="dxa"/>
        </w:tcPr>
        <w:p w14:paraId="486758FA" w14:textId="237866B1" w:rsidR="00191E35" w:rsidRPr="00A24443" w:rsidRDefault="00191E35" w:rsidP="0079252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021AB">
            <w:rPr>
              <w:rStyle w:val="PageNumber"/>
              <w:caps w:val="0"/>
              <w:noProof/>
            </w:rPr>
            <w:t>203</w:t>
          </w:r>
          <w:r w:rsidRPr="00A24443">
            <w:rPr>
              <w:rStyle w:val="PageNumber"/>
              <w:caps w:val="0"/>
            </w:rPr>
            <w:fldChar w:fldCharType="end"/>
          </w:r>
        </w:p>
      </w:tc>
    </w:tr>
  </w:tbl>
  <w:p w14:paraId="402D1B4B" w14:textId="77777777" w:rsidR="00191E35" w:rsidRDefault="00191E3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9EFA0" w14:textId="77777777" w:rsidR="00191E35" w:rsidRDefault="00191E35">
      <w:r>
        <w:separator/>
      </w:r>
    </w:p>
  </w:footnote>
  <w:footnote w:type="continuationSeparator" w:id="0">
    <w:p w14:paraId="7FA1AF5A" w14:textId="77777777" w:rsidR="00191E35" w:rsidRDefault="00191E35">
      <w:r>
        <w:continuationSeparator/>
      </w:r>
    </w:p>
  </w:footnote>
  <w:footnote w:type="continuationNotice" w:id="1">
    <w:p w14:paraId="094FE5CD" w14:textId="77777777" w:rsidR="00191E35" w:rsidRDefault="00191E35"/>
  </w:footnote>
  <w:footnote w:id="2">
    <w:p w14:paraId="51231DBD" w14:textId="2468F274" w:rsidR="00191E35" w:rsidRDefault="00191E35" w:rsidP="00EE183E">
      <w:pPr>
        <w:pStyle w:val="FootnoteText"/>
      </w:pPr>
      <w:r w:rsidRPr="00130380">
        <w:rPr>
          <w:rStyle w:val="FootnoteReference"/>
        </w:rPr>
        <w:footnoteRef/>
      </w:r>
      <w:r>
        <w:tab/>
        <w:t xml:space="preserve">The modelled increase in </w:t>
      </w:r>
      <w:r w:rsidR="008830BD">
        <w:t xml:space="preserve">illustrative </w:t>
      </w:r>
      <w:r>
        <w:t xml:space="preserve">royalty revenue under the low and central LNG price scenarios (despite decreased total gas supply) is due to higher gas prices in the domestic market, as royalties are paid as a proportion of wellhead prices. </w:t>
      </w:r>
    </w:p>
  </w:footnote>
  <w:footnote w:id="3">
    <w:p w14:paraId="03094931" w14:textId="56EE3B53" w:rsidR="00191E35" w:rsidRDefault="00191E35" w:rsidP="00236D35">
      <w:pPr>
        <w:pStyle w:val="FootnoteText"/>
      </w:pPr>
      <w:r>
        <w:rPr>
          <w:rStyle w:val="FootnoteReference"/>
        </w:rPr>
        <w:footnoteRef/>
      </w:r>
      <w:r>
        <w:tab/>
      </w:r>
      <w:r w:rsidR="009B09A0">
        <w:t>Illustrative estimates of state r</w:t>
      </w:r>
      <w:r>
        <w:t>oyalties are calculated at a rate of 10 per cent of wellhead prices (appendix</w:t>
      </w:r>
      <w:r w:rsidR="008830BD">
        <w:t> </w:t>
      </w:r>
      <w:r>
        <w:t xml:space="preserve">B). Under domestic gas reservation, wellhead prices could be estimated using prices prevailing in the eastern Australian gas market, or some measure of netback prices. For the results presented here, wellhead prices were based on gas prices in the domestic market. The decline in royalty payments under domestic gas reservation would be smaller if wellhead prices were based on estimated netback prices, as gas reservation causes a wedge between domestic and export prices.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91E35" w14:paraId="5B36E0B3" w14:textId="77777777">
      <w:tc>
        <w:tcPr>
          <w:tcW w:w="2155" w:type="dxa"/>
          <w:tcBorders>
            <w:top w:val="single" w:sz="24" w:space="0" w:color="auto"/>
          </w:tcBorders>
        </w:tcPr>
        <w:p w14:paraId="3A585DA0" w14:textId="77777777" w:rsidR="00191E35" w:rsidRDefault="00191E35" w:rsidP="0019293B">
          <w:pPr>
            <w:pStyle w:val="HeaderEven"/>
          </w:pPr>
        </w:p>
      </w:tc>
      <w:tc>
        <w:tcPr>
          <w:tcW w:w="6634" w:type="dxa"/>
          <w:tcBorders>
            <w:top w:val="single" w:sz="6" w:space="0" w:color="auto"/>
          </w:tcBorders>
        </w:tcPr>
        <w:p w14:paraId="6B0C8AD4" w14:textId="77777777" w:rsidR="00191E35" w:rsidRDefault="00191E35" w:rsidP="0019293B">
          <w:pPr>
            <w:pStyle w:val="HeaderEven"/>
          </w:pPr>
        </w:p>
      </w:tc>
    </w:tr>
  </w:tbl>
  <w:p w14:paraId="63570C44" w14:textId="77777777" w:rsidR="00191E35" w:rsidRDefault="00191E3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91E35" w14:paraId="664C66FC" w14:textId="77777777">
      <w:tc>
        <w:tcPr>
          <w:tcW w:w="6634" w:type="dxa"/>
          <w:tcBorders>
            <w:top w:val="single" w:sz="6" w:space="0" w:color="auto"/>
          </w:tcBorders>
        </w:tcPr>
        <w:p w14:paraId="171C3E0E" w14:textId="77777777" w:rsidR="00191E35" w:rsidRDefault="00191E35" w:rsidP="00E669E2">
          <w:pPr>
            <w:pStyle w:val="HeaderOdd"/>
          </w:pPr>
        </w:p>
      </w:tc>
      <w:tc>
        <w:tcPr>
          <w:tcW w:w="2155" w:type="dxa"/>
          <w:tcBorders>
            <w:top w:val="single" w:sz="24" w:space="0" w:color="auto"/>
          </w:tcBorders>
        </w:tcPr>
        <w:p w14:paraId="31856A51" w14:textId="77777777" w:rsidR="00191E35" w:rsidRDefault="00191E35" w:rsidP="00E669E2">
          <w:pPr>
            <w:pStyle w:val="HeaderOdd"/>
          </w:pPr>
        </w:p>
      </w:tc>
    </w:tr>
  </w:tbl>
  <w:p w14:paraId="1C17CF47" w14:textId="77777777" w:rsidR="00191E35" w:rsidRDefault="00191E3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A781A58"/>
    <w:multiLevelType w:val="multilevel"/>
    <w:tmpl w:val="8EF85E2C"/>
    <w:lvl w:ilvl="0">
      <w:numFmt w:val="decimal"/>
      <w:lvlText w:val="%1"/>
      <w:lvlJc w:val="left"/>
      <w:pPr>
        <w:ind w:left="360" w:hanging="360"/>
      </w:pPr>
      <w:rPr>
        <w:rFonts w:hint="default"/>
      </w:rPr>
    </w:lvl>
    <w:lvl w:ilvl="1">
      <w:start w:val="1"/>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744" w:hanging="72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116" w:hanging="108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488" w:hanging="1440"/>
      </w:pPr>
      <w:rPr>
        <w:rFonts w:hint="default"/>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3370F9"/>
    <w:multiLevelType w:val="hybridMultilevel"/>
    <w:tmpl w:val="BC12B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5"/>
  </w:num>
  <w:num w:numId="4">
    <w:abstractNumId w:val="3"/>
  </w:num>
  <w:num w:numId="5">
    <w:abstractNumId w:val="20"/>
  </w:num>
  <w:num w:numId="6">
    <w:abstractNumId w:val="17"/>
  </w:num>
  <w:num w:numId="7">
    <w:abstractNumId w:val="7"/>
  </w:num>
  <w:num w:numId="8">
    <w:abstractNumId w:val="16"/>
  </w:num>
  <w:num w:numId="9">
    <w:abstractNumId w:val="6"/>
  </w:num>
  <w:num w:numId="10">
    <w:abstractNumId w:val="5"/>
  </w:num>
  <w:num w:numId="11">
    <w:abstractNumId w:val="9"/>
  </w:num>
  <w:num w:numId="12">
    <w:abstractNumId w:val="10"/>
  </w:num>
  <w:num w:numId="13">
    <w:abstractNumId w:val="4"/>
  </w:num>
  <w:num w:numId="14">
    <w:abstractNumId w:val="18"/>
  </w:num>
  <w:num w:numId="15">
    <w:abstractNumId w:val="21"/>
  </w:num>
  <w:num w:numId="16">
    <w:abstractNumId w:val="13"/>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4"/>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C"/>
    <w:docVar w:name="FindingOptions" w:val="1"/>
    <w:docVar w:name="RecOptions" w:val="111"/>
    <w:docVar w:name="ShortChapterTitle" w:val="Sensitivity analysis"/>
    <w:docVar w:name="ShortReportTitle" w:val="Impediments to efficient gas markets"/>
  </w:docVars>
  <w:rsids>
    <w:rsidRoot w:val="007A5FCF"/>
    <w:rsid w:val="00000183"/>
    <w:rsid w:val="000227D5"/>
    <w:rsid w:val="000245AA"/>
    <w:rsid w:val="00026F8F"/>
    <w:rsid w:val="0003664B"/>
    <w:rsid w:val="0004111F"/>
    <w:rsid w:val="000429FC"/>
    <w:rsid w:val="000441C7"/>
    <w:rsid w:val="00045492"/>
    <w:rsid w:val="00055077"/>
    <w:rsid w:val="00055355"/>
    <w:rsid w:val="000565B3"/>
    <w:rsid w:val="00065871"/>
    <w:rsid w:val="0006595D"/>
    <w:rsid w:val="0006636C"/>
    <w:rsid w:val="0007150B"/>
    <w:rsid w:val="00073F77"/>
    <w:rsid w:val="000761BA"/>
    <w:rsid w:val="000819CC"/>
    <w:rsid w:val="00083C94"/>
    <w:rsid w:val="000938F5"/>
    <w:rsid w:val="000943EC"/>
    <w:rsid w:val="00094DF1"/>
    <w:rsid w:val="00095663"/>
    <w:rsid w:val="00096E55"/>
    <w:rsid w:val="0009783E"/>
    <w:rsid w:val="000A00AC"/>
    <w:rsid w:val="000A0EB6"/>
    <w:rsid w:val="000A71F5"/>
    <w:rsid w:val="000B1022"/>
    <w:rsid w:val="000B1856"/>
    <w:rsid w:val="000B19F6"/>
    <w:rsid w:val="000B1DD8"/>
    <w:rsid w:val="000B3925"/>
    <w:rsid w:val="000B4A8B"/>
    <w:rsid w:val="000B5A4D"/>
    <w:rsid w:val="000B601B"/>
    <w:rsid w:val="000C109A"/>
    <w:rsid w:val="000C207E"/>
    <w:rsid w:val="000C24CB"/>
    <w:rsid w:val="000D41E9"/>
    <w:rsid w:val="000D4A66"/>
    <w:rsid w:val="000D4B58"/>
    <w:rsid w:val="000E10D4"/>
    <w:rsid w:val="000E27AE"/>
    <w:rsid w:val="000E46B3"/>
    <w:rsid w:val="000F0035"/>
    <w:rsid w:val="000F04E7"/>
    <w:rsid w:val="000F060A"/>
    <w:rsid w:val="000F15AD"/>
    <w:rsid w:val="000F1C6E"/>
    <w:rsid w:val="000F300B"/>
    <w:rsid w:val="000F420B"/>
    <w:rsid w:val="000F5B56"/>
    <w:rsid w:val="000F6AD0"/>
    <w:rsid w:val="00100317"/>
    <w:rsid w:val="00100A74"/>
    <w:rsid w:val="00106D00"/>
    <w:rsid w:val="00110116"/>
    <w:rsid w:val="001115A3"/>
    <w:rsid w:val="00112FAD"/>
    <w:rsid w:val="00113008"/>
    <w:rsid w:val="00113EC8"/>
    <w:rsid w:val="00120072"/>
    <w:rsid w:val="00120630"/>
    <w:rsid w:val="001231D3"/>
    <w:rsid w:val="00124D7F"/>
    <w:rsid w:val="00126EB8"/>
    <w:rsid w:val="001274D4"/>
    <w:rsid w:val="001276E0"/>
    <w:rsid w:val="00127BE9"/>
    <w:rsid w:val="001302BD"/>
    <w:rsid w:val="00130380"/>
    <w:rsid w:val="001305AE"/>
    <w:rsid w:val="00130F60"/>
    <w:rsid w:val="00133EFE"/>
    <w:rsid w:val="00135E9E"/>
    <w:rsid w:val="001363AA"/>
    <w:rsid w:val="0013647F"/>
    <w:rsid w:val="0013739A"/>
    <w:rsid w:val="00137A96"/>
    <w:rsid w:val="00137D45"/>
    <w:rsid w:val="00142165"/>
    <w:rsid w:val="00151D54"/>
    <w:rsid w:val="001616E4"/>
    <w:rsid w:val="00162434"/>
    <w:rsid w:val="00163C8E"/>
    <w:rsid w:val="001640DC"/>
    <w:rsid w:val="001642F4"/>
    <w:rsid w:val="00167BF2"/>
    <w:rsid w:val="00172B5B"/>
    <w:rsid w:val="00175FCC"/>
    <w:rsid w:val="00176AEE"/>
    <w:rsid w:val="001777B5"/>
    <w:rsid w:val="00183E82"/>
    <w:rsid w:val="001878BB"/>
    <w:rsid w:val="00191AE0"/>
    <w:rsid w:val="00191E35"/>
    <w:rsid w:val="00192680"/>
    <w:rsid w:val="0019293B"/>
    <w:rsid w:val="001931CE"/>
    <w:rsid w:val="0019426B"/>
    <w:rsid w:val="00195E8C"/>
    <w:rsid w:val="00197C18"/>
    <w:rsid w:val="001A6A4B"/>
    <w:rsid w:val="001A6B0B"/>
    <w:rsid w:val="001B14F5"/>
    <w:rsid w:val="001B295D"/>
    <w:rsid w:val="001B6C57"/>
    <w:rsid w:val="001C0865"/>
    <w:rsid w:val="001C0AED"/>
    <w:rsid w:val="001C23CB"/>
    <w:rsid w:val="001C3ABA"/>
    <w:rsid w:val="001C5111"/>
    <w:rsid w:val="001D0D97"/>
    <w:rsid w:val="001D29AA"/>
    <w:rsid w:val="001D6F76"/>
    <w:rsid w:val="001D7DC9"/>
    <w:rsid w:val="001E7A0E"/>
    <w:rsid w:val="001E7BE8"/>
    <w:rsid w:val="001F0248"/>
    <w:rsid w:val="001F3EB3"/>
    <w:rsid w:val="001F4F86"/>
    <w:rsid w:val="001F71B2"/>
    <w:rsid w:val="00200DB1"/>
    <w:rsid w:val="00202C2C"/>
    <w:rsid w:val="00203050"/>
    <w:rsid w:val="002033E3"/>
    <w:rsid w:val="00205B59"/>
    <w:rsid w:val="002135AB"/>
    <w:rsid w:val="002144BE"/>
    <w:rsid w:val="002221A8"/>
    <w:rsid w:val="002235F6"/>
    <w:rsid w:val="002243D1"/>
    <w:rsid w:val="00232238"/>
    <w:rsid w:val="00232BBC"/>
    <w:rsid w:val="00236559"/>
    <w:rsid w:val="00236D35"/>
    <w:rsid w:val="00240AF8"/>
    <w:rsid w:val="00242279"/>
    <w:rsid w:val="00243997"/>
    <w:rsid w:val="0024516C"/>
    <w:rsid w:val="00245C82"/>
    <w:rsid w:val="0024796D"/>
    <w:rsid w:val="00256CBA"/>
    <w:rsid w:val="00263AF0"/>
    <w:rsid w:val="00266034"/>
    <w:rsid w:val="002724BA"/>
    <w:rsid w:val="00280022"/>
    <w:rsid w:val="00280782"/>
    <w:rsid w:val="00281308"/>
    <w:rsid w:val="00291B40"/>
    <w:rsid w:val="00293085"/>
    <w:rsid w:val="00297448"/>
    <w:rsid w:val="002A2672"/>
    <w:rsid w:val="002A3871"/>
    <w:rsid w:val="002A4940"/>
    <w:rsid w:val="002A78F1"/>
    <w:rsid w:val="002A7AF0"/>
    <w:rsid w:val="002B1083"/>
    <w:rsid w:val="002B2402"/>
    <w:rsid w:val="002B2424"/>
    <w:rsid w:val="002B31DB"/>
    <w:rsid w:val="002B34AB"/>
    <w:rsid w:val="002B4008"/>
    <w:rsid w:val="002B6764"/>
    <w:rsid w:val="002B6EDE"/>
    <w:rsid w:val="002C0C85"/>
    <w:rsid w:val="002C0ED0"/>
    <w:rsid w:val="002C19EE"/>
    <w:rsid w:val="002C311B"/>
    <w:rsid w:val="002C439F"/>
    <w:rsid w:val="002C6D9F"/>
    <w:rsid w:val="002D0C42"/>
    <w:rsid w:val="002D0E8E"/>
    <w:rsid w:val="002D45B7"/>
    <w:rsid w:val="002D4B9F"/>
    <w:rsid w:val="002D5322"/>
    <w:rsid w:val="002D5A04"/>
    <w:rsid w:val="002D5DD1"/>
    <w:rsid w:val="002D723B"/>
    <w:rsid w:val="002D7BE7"/>
    <w:rsid w:val="002E3EE9"/>
    <w:rsid w:val="002F2CB5"/>
    <w:rsid w:val="00301189"/>
    <w:rsid w:val="00301E4A"/>
    <w:rsid w:val="00304169"/>
    <w:rsid w:val="0031153A"/>
    <w:rsid w:val="00313C93"/>
    <w:rsid w:val="00313FD4"/>
    <w:rsid w:val="00315059"/>
    <w:rsid w:val="003168B8"/>
    <w:rsid w:val="003223A1"/>
    <w:rsid w:val="00322D64"/>
    <w:rsid w:val="00323CA0"/>
    <w:rsid w:val="00323E09"/>
    <w:rsid w:val="0032649C"/>
    <w:rsid w:val="00331716"/>
    <w:rsid w:val="00332C28"/>
    <w:rsid w:val="00333932"/>
    <w:rsid w:val="00335F0F"/>
    <w:rsid w:val="0034163E"/>
    <w:rsid w:val="00350491"/>
    <w:rsid w:val="003518AA"/>
    <w:rsid w:val="00351E7D"/>
    <w:rsid w:val="00352165"/>
    <w:rsid w:val="00353182"/>
    <w:rsid w:val="003565D9"/>
    <w:rsid w:val="00356F1D"/>
    <w:rsid w:val="00357AC2"/>
    <w:rsid w:val="003602E1"/>
    <w:rsid w:val="0037026F"/>
    <w:rsid w:val="00371240"/>
    <w:rsid w:val="003728BD"/>
    <w:rsid w:val="00372FFD"/>
    <w:rsid w:val="003731B2"/>
    <w:rsid w:val="00374731"/>
    <w:rsid w:val="00376E59"/>
    <w:rsid w:val="00377EC1"/>
    <w:rsid w:val="00380340"/>
    <w:rsid w:val="00381620"/>
    <w:rsid w:val="00383539"/>
    <w:rsid w:val="003919F9"/>
    <w:rsid w:val="00391B1E"/>
    <w:rsid w:val="003920CF"/>
    <w:rsid w:val="003A00B7"/>
    <w:rsid w:val="003A11C3"/>
    <w:rsid w:val="003A43B7"/>
    <w:rsid w:val="003A5F20"/>
    <w:rsid w:val="003B23C2"/>
    <w:rsid w:val="003B4D3F"/>
    <w:rsid w:val="003B6D36"/>
    <w:rsid w:val="003C054D"/>
    <w:rsid w:val="003C0CDB"/>
    <w:rsid w:val="003C2B23"/>
    <w:rsid w:val="003C38B5"/>
    <w:rsid w:val="003C5D99"/>
    <w:rsid w:val="003C7B5C"/>
    <w:rsid w:val="003D1087"/>
    <w:rsid w:val="003D361D"/>
    <w:rsid w:val="003D37E1"/>
    <w:rsid w:val="003D5ECA"/>
    <w:rsid w:val="003E0B83"/>
    <w:rsid w:val="003E0C21"/>
    <w:rsid w:val="003E100A"/>
    <w:rsid w:val="003E1CB4"/>
    <w:rsid w:val="003E2F59"/>
    <w:rsid w:val="003E5161"/>
    <w:rsid w:val="003E632F"/>
    <w:rsid w:val="003E746B"/>
    <w:rsid w:val="003E75C3"/>
    <w:rsid w:val="003E7ACA"/>
    <w:rsid w:val="003F0789"/>
    <w:rsid w:val="003F1031"/>
    <w:rsid w:val="003F14DD"/>
    <w:rsid w:val="003F24B2"/>
    <w:rsid w:val="003F37B7"/>
    <w:rsid w:val="003F3EC7"/>
    <w:rsid w:val="003F5B14"/>
    <w:rsid w:val="003F68BD"/>
    <w:rsid w:val="00401882"/>
    <w:rsid w:val="00402BD4"/>
    <w:rsid w:val="004047B6"/>
    <w:rsid w:val="0040565B"/>
    <w:rsid w:val="004100C8"/>
    <w:rsid w:val="00410D49"/>
    <w:rsid w:val="00411DBD"/>
    <w:rsid w:val="00412ACE"/>
    <w:rsid w:val="004145D2"/>
    <w:rsid w:val="00415F09"/>
    <w:rsid w:val="004213EA"/>
    <w:rsid w:val="00424E82"/>
    <w:rsid w:val="00426CB4"/>
    <w:rsid w:val="00431249"/>
    <w:rsid w:val="00431F99"/>
    <w:rsid w:val="004325F0"/>
    <w:rsid w:val="00434C19"/>
    <w:rsid w:val="00434C4E"/>
    <w:rsid w:val="00437031"/>
    <w:rsid w:val="00440F8A"/>
    <w:rsid w:val="0044228F"/>
    <w:rsid w:val="00442BA5"/>
    <w:rsid w:val="00443592"/>
    <w:rsid w:val="00446647"/>
    <w:rsid w:val="004469CC"/>
    <w:rsid w:val="00450756"/>
    <w:rsid w:val="00450810"/>
    <w:rsid w:val="0045149F"/>
    <w:rsid w:val="00451905"/>
    <w:rsid w:val="00452B58"/>
    <w:rsid w:val="0045759A"/>
    <w:rsid w:val="00461739"/>
    <w:rsid w:val="00462A56"/>
    <w:rsid w:val="00462C59"/>
    <w:rsid w:val="00464C37"/>
    <w:rsid w:val="00466F68"/>
    <w:rsid w:val="00470737"/>
    <w:rsid w:val="00472A64"/>
    <w:rsid w:val="00473439"/>
    <w:rsid w:val="00473908"/>
    <w:rsid w:val="0047512A"/>
    <w:rsid w:val="00476D84"/>
    <w:rsid w:val="00477144"/>
    <w:rsid w:val="00477361"/>
    <w:rsid w:val="004844AB"/>
    <w:rsid w:val="00484585"/>
    <w:rsid w:val="0048481E"/>
    <w:rsid w:val="004903F4"/>
    <w:rsid w:val="004909B7"/>
    <w:rsid w:val="0049104D"/>
    <w:rsid w:val="00491380"/>
    <w:rsid w:val="00491D81"/>
    <w:rsid w:val="0049459F"/>
    <w:rsid w:val="004A1B74"/>
    <w:rsid w:val="004A38DD"/>
    <w:rsid w:val="004A3B62"/>
    <w:rsid w:val="004A4522"/>
    <w:rsid w:val="004A7976"/>
    <w:rsid w:val="004B43AE"/>
    <w:rsid w:val="004C199D"/>
    <w:rsid w:val="004C1F38"/>
    <w:rsid w:val="004C30ED"/>
    <w:rsid w:val="004C5973"/>
    <w:rsid w:val="004D16D2"/>
    <w:rsid w:val="004D3986"/>
    <w:rsid w:val="004D3B72"/>
    <w:rsid w:val="004D544B"/>
    <w:rsid w:val="004D5675"/>
    <w:rsid w:val="004E014C"/>
    <w:rsid w:val="004E7A7F"/>
    <w:rsid w:val="004F04B5"/>
    <w:rsid w:val="004F300A"/>
    <w:rsid w:val="004F6809"/>
    <w:rsid w:val="00500699"/>
    <w:rsid w:val="0050236B"/>
    <w:rsid w:val="005063E0"/>
    <w:rsid w:val="005064DD"/>
    <w:rsid w:val="0050771B"/>
    <w:rsid w:val="00513C83"/>
    <w:rsid w:val="005144FF"/>
    <w:rsid w:val="00517795"/>
    <w:rsid w:val="00521396"/>
    <w:rsid w:val="00522C2C"/>
    <w:rsid w:val="00523639"/>
    <w:rsid w:val="00523D2A"/>
    <w:rsid w:val="00531FE5"/>
    <w:rsid w:val="00533542"/>
    <w:rsid w:val="005357BC"/>
    <w:rsid w:val="005402FA"/>
    <w:rsid w:val="005409EC"/>
    <w:rsid w:val="0054255E"/>
    <w:rsid w:val="005450C6"/>
    <w:rsid w:val="0054697D"/>
    <w:rsid w:val="00550728"/>
    <w:rsid w:val="00550806"/>
    <w:rsid w:val="00551DB2"/>
    <w:rsid w:val="005523C1"/>
    <w:rsid w:val="00552505"/>
    <w:rsid w:val="0055495C"/>
    <w:rsid w:val="005561C6"/>
    <w:rsid w:val="0055695F"/>
    <w:rsid w:val="00561365"/>
    <w:rsid w:val="00570837"/>
    <w:rsid w:val="005712E6"/>
    <w:rsid w:val="005713CE"/>
    <w:rsid w:val="005729BD"/>
    <w:rsid w:val="00580154"/>
    <w:rsid w:val="00582566"/>
    <w:rsid w:val="00583C39"/>
    <w:rsid w:val="00586A90"/>
    <w:rsid w:val="00587F28"/>
    <w:rsid w:val="00590734"/>
    <w:rsid w:val="005909CF"/>
    <w:rsid w:val="00591DAF"/>
    <w:rsid w:val="00591E71"/>
    <w:rsid w:val="005956B8"/>
    <w:rsid w:val="00595AFD"/>
    <w:rsid w:val="00597D38"/>
    <w:rsid w:val="005A03DE"/>
    <w:rsid w:val="005A0D41"/>
    <w:rsid w:val="005A3493"/>
    <w:rsid w:val="005A6FCA"/>
    <w:rsid w:val="005B0434"/>
    <w:rsid w:val="005B1AD3"/>
    <w:rsid w:val="005B55C1"/>
    <w:rsid w:val="005C0EFA"/>
    <w:rsid w:val="005C2F45"/>
    <w:rsid w:val="005C2FEB"/>
    <w:rsid w:val="005C4E19"/>
    <w:rsid w:val="005C71C5"/>
    <w:rsid w:val="005C7DBE"/>
    <w:rsid w:val="005D21EB"/>
    <w:rsid w:val="005D30C5"/>
    <w:rsid w:val="005D329F"/>
    <w:rsid w:val="005E18FC"/>
    <w:rsid w:val="005E6533"/>
    <w:rsid w:val="005E7AC0"/>
    <w:rsid w:val="005F48ED"/>
    <w:rsid w:val="00600C75"/>
    <w:rsid w:val="0060177C"/>
    <w:rsid w:val="00605191"/>
    <w:rsid w:val="00606E78"/>
    <w:rsid w:val="00607229"/>
    <w:rsid w:val="00607BF1"/>
    <w:rsid w:val="00611CBF"/>
    <w:rsid w:val="00615B32"/>
    <w:rsid w:val="006162B3"/>
    <w:rsid w:val="00617663"/>
    <w:rsid w:val="00617F65"/>
    <w:rsid w:val="006219B1"/>
    <w:rsid w:val="00624D3F"/>
    <w:rsid w:val="00630D4D"/>
    <w:rsid w:val="00632167"/>
    <w:rsid w:val="00632A74"/>
    <w:rsid w:val="00632E76"/>
    <w:rsid w:val="00633978"/>
    <w:rsid w:val="00634EFC"/>
    <w:rsid w:val="00635EAF"/>
    <w:rsid w:val="006361C1"/>
    <w:rsid w:val="00640B46"/>
    <w:rsid w:val="006452B7"/>
    <w:rsid w:val="00646308"/>
    <w:rsid w:val="00654D42"/>
    <w:rsid w:val="00664B12"/>
    <w:rsid w:val="0066611E"/>
    <w:rsid w:val="00666E02"/>
    <w:rsid w:val="0067025F"/>
    <w:rsid w:val="00671819"/>
    <w:rsid w:val="0067327C"/>
    <w:rsid w:val="00677BD0"/>
    <w:rsid w:val="00677DE5"/>
    <w:rsid w:val="0068134E"/>
    <w:rsid w:val="00681AD9"/>
    <w:rsid w:val="00685D26"/>
    <w:rsid w:val="0069485C"/>
    <w:rsid w:val="00695662"/>
    <w:rsid w:val="006A056D"/>
    <w:rsid w:val="006A4655"/>
    <w:rsid w:val="006A5088"/>
    <w:rsid w:val="006A654A"/>
    <w:rsid w:val="006B0F89"/>
    <w:rsid w:val="006B2B3C"/>
    <w:rsid w:val="006B7CFC"/>
    <w:rsid w:val="006C1D81"/>
    <w:rsid w:val="006C3C17"/>
    <w:rsid w:val="006C4C4F"/>
    <w:rsid w:val="006C7038"/>
    <w:rsid w:val="006D03C4"/>
    <w:rsid w:val="006D1B6E"/>
    <w:rsid w:val="006D3F4F"/>
    <w:rsid w:val="006D50F8"/>
    <w:rsid w:val="006E1783"/>
    <w:rsid w:val="006E6BE6"/>
    <w:rsid w:val="006E73EF"/>
    <w:rsid w:val="006F2A00"/>
    <w:rsid w:val="006F5006"/>
    <w:rsid w:val="00701A93"/>
    <w:rsid w:val="007021AB"/>
    <w:rsid w:val="007079C9"/>
    <w:rsid w:val="007101CC"/>
    <w:rsid w:val="00711691"/>
    <w:rsid w:val="00712664"/>
    <w:rsid w:val="00714D4D"/>
    <w:rsid w:val="007152DC"/>
    <w:rsid w:val="007171DE"/>
    <w:rsid w:val="007234A3"/>
    <w:rsid w:val="007240A1"/>
    <w:rsid w:val="00725B4A"/>
    <w:rsid w:val="007266D3"/>
    <w:rsid w:val="00732029"/>
    <w:rsid w:val="00734485"/>
    <w:rsid w:val="00740F1F"/>
    <w:rsid w:val="00742F7E"/>
    <w:rsid w:val="00746655"/>
    <w:rsid w:val="007473A3"/>
    <w:rsid w:val="00747716"/>
    <w:rsid w:val="00752756"/>
    <w:rsid w:val="007568EE"/>
    <w:rsid w:val="007604BB"/>
    <w:rsid w:val="00760E4A"/>
    <w:rsid w:val="00764AB1"/>
    <w:rsid w:val="00764E10"/>
    <w:rsid w:val="007669D8"/>
    <w:rsid w:val="00770158"/>
    <w:rsid w:val="00770AF4"/>
    <w:rsid w:val="007711AF"/>
    <w:rsid w:val="00772909"/>
    <w:rsid w:val="0078322D"/>
    <w:rsid w:val="00783878"/>
    <w:rsid w:val="00785232"/>
    <w:rsid w:val="0079252E"/>
    <w:rsid w:val="007930D5"/>
    <w:rsid w:val="00793243"/>
    <w:rsid w:val="007963C5"/>
    <w:rsid w:val="0079701E"/>
    <w:rsid w:val="007A0DF7"/>
    <w:rsid w:val="007A21EB"/>
    <w:rsid w:val="007A433C"/>
    <w:rsid w:val="007A5FCF"/>
    <w:rsid w:val="007B1A93"/>
    <w:rsid w:val="007B3B7C"/>
    <w:rsid w:val="007B6C77"/>
    <w:rsid w:val="007C08DE"/>
    <w:rsid w:val="007C36C9"/>
    <w:rsid w:val="007C38D2"/>
    <w:rsid w:val="007D3AE3"/>
    <w:rsid w:val="007D4941"/>
    <w:rsid w:val="007D5285"/>
    <w:rsid w:val="007D5B29"/>
    <w:rsid w:val="007D6401"/>
    <w:rsid w:val="007D69DD"/>
    <w:rsid w:val="007E01E4"/>
    <w:rsid w:val="007E11EF"/>
    <w:rsid w:val="007E3FB2"/>
    <w:rsid w:val="007E57CC"/>
    <w:rsid w:val="007E61A8"/>
    <w:rsid w:val="007E7A12"/>
    <w:rsid w:val="007F5860"/>
    <w:rsid w:val="007F7107"/>
    <w:rsid w:val="00800D4C"/>
    <w:rsid w:val="008065D4"/>
    <w:rsid w:val="0081030F"/>
    <w:rsid w:val="00810312"/>
    <w:rsid w:val="00812F4A"/>
    <w:rsid w:val="008133C0"/>
    <w:rsid w:val="00813E95"/>
    <w:rsid w:val="00815036"/>
    <w:rsid w:val="00815CB7"/>
    <w:rsid w:val="0082087D"/>
    <w:rsid w:val="008222E2"/>
    <w:rsid w:val="0083411E"/>
    <w:rsid w:val="0083551B"/>
    <w:rsid w:val="00835771"/>
    <w:rsid w:val="00842933"/>
    <w:rsid w:val="00843AE2"/>
    <w:rsid w:val="0084476F"/>
    <w:rsid w:val="00844833"/>
    <w:rsid w:val="00845C84"/>
    <w:rsid w:val="00847FCA"/>
    <w:rsid w:val="00855C9D"/>
    <w:rsid w:val="00856587"/>
    <w:rsid w:val="0086082C"/>
    <w:rsid w:val="00864ADC"/>
    <w:rsid w:val="00872E65"/>
    <w:rsid w:val="00873FEE"/>
    <w:rsid w:val="00875616"/>
    <w:rsid w:val="00880153"/>
    <w:rsid w:val="008803FB"/>
    <w:rsid w:val="00880F97"/>
    <w:rsid w:val="0088133A"/>
    <w:rsid w:val="008829D8"/>
    <w:rsid w:val="008830BD"/>
    <w:rsid w:val="0089285E"/>
    <w:rsid w:val="00892B71"/>
    <w:rsid w:val="0089399C"/>
    <w:rsid w:val="00893C05"/>
    <w:rsid w:val="0089436C"/>
    <w:rsid w:val="00894431"/>
    <w:rsid w:val="008A10AA"/>
    <w:rsid w:val="008A7382"/>
    <w:rsid w:val="008B13F6"/>
    <w:rsid w:val="008B2F5A"/>
    <w:rsid w:val="008B4AE7"/>
    <w:rsid w:val="008B4D98"/>
    <w:rsid w:val="008B6CB1"/>
    <w:rsid w:val="008B7D8F"/>
    <w:rsid w:val="008C6E3F"/>
    <w:rsid w:val="008D0D61"/>
    <w:rsid w:val="008D164A"/>
    <w:rsid w:val="008D1CE6"/>
    <w:rsid w:val="008D365C"/>
    <w:rsid w:val="008D5539"/>
    <w:rsid w:val="008D609B"/>
    <w:rsid w:val="008D6D78"/>
    <w:rsid w:val="008D7622"/>
    <w:rsid w:val="008E0CD4"/>
    <w:rsid w:val="008E2D94"/>
    <w:rsid w:val="008E34C5"/>
    <w:rsid w:val="008E3566"/>
    <w:rsid w:val="008E4AB1"/>
    <w:rsid w:val="008E568D"/>
    <w:rsid w:val="008E7057"/>
    <w:rsid w:val="008E71AE"/>
    <w:rsid w:val="009021A6"/>
    <w:rsid w:val="00902EC7"/>
    <w:rsid w:val="009030BF"/>
    <w:rsid w:val="00903B52"/>
    <w:rsid w:val="009048B7"/>
    <w:rsid w:val="00905495"/>
    <w:rsid w:val="0090600E"/>
    <w:rsid w:val="009073C1"/>
    <w:rsid w:val="0091032F"/>
    <w:rsid w:val="0091152C"/>
    <w:rsid w:val="00914368"/>
    <w:rsid w:val="009179C0"/>
    <w:rsid w:val="00923FCD"/>
    <w:rsid w:val="00931076"/>
    <w:rsid w:val="0093127D"/>
    <w:rsid w:val="009345D9"/>
    <w:rsid w:val="00934B15"/>
    <w:rsid w:val="00937EF1"/>
    <w:rsid w:val="00940C87"/>
    <w:rsid w:val="00942B62"/>
    <w:rsid w:val="00943A62"/>
    <w:rsid w:val="009454A5"/>
    <w:rsid w:val="00945C77"/>
    <w:rsid w:val="0095116F"/>
    <w:rsid w:val="00952AE6"/>
    <w:rsid w:val="0095323B"/>
    <w:rsid w:val="00954AD9"/>
    <w:rsid w:val="0095545C"/>
    <w:rsid w:val="00955ED0"/>
    <w:rsid w:val="00956A0C"/>
    <w:rsid w:val="00956BD9"/>
    <w:rsid w:val="009578F0"/>
    <w:rsid w:val="00961F5A"/>
    <w:rsid w:val="00962489"/>
    <w:rsid w:val="00967CD3"/>
    <w:rsid w:val="00970705"/>
    <w:rsid w:val="00972A3B"/>
    <w:rsid w:val="00973578"/>
    <w:rsid w:val="00976A0B"/>
    <w:rsid w:val="00983EB4"/>
    <w:rsid w:val="0098529B"/>
    <w:rsid w:val="009869AD"/>
    <w:rsid w:val="00990C2C"/>
    <w:rsid w:val="009934F6"/>
    <w:rsid w:val="00996548"/>
    <w:rsid w:val="009A5171"/>
    <w:rsid w:val="009B01E9"/>
    <w:rsid w:val="009B09A0"/>
    <w:rsid w:val="009B12C9"/>
    <w:rsid w:val="009B1393"/>
    <w:rsid w:val="009B2366"/>
    <w:rsid w:val="009B38F1"/>
    <w:rsid w:val="009C0221"/>
    <w:rsid w:val="009C13F9"/>
    <w:rsid w:val="009C5035"/>
    <w:rsid w:val="009D1458"/>
    <w:rsid w:val="009D32C2"/>
    <w:rsid w:val="009D393A"/>
    <w:rsid w:val="009D4A04"/>
    <w:rsid w:val="009D5118"/>
    <w:rsid w:val="009D667E"/>
    <w:rsid w:val="009D7B39"/>
    <w:rsid w:val="009E1844"/>
    <w:rsid w:val="009E1A3D"/>
    <w:rsid w:val="009E232A"/>
    <w:rsid w:val="009E59B8"/>
    <w:rsid w:val="009F0D1B"/>
    <w:rsid w:val="009F5BBD"/>
    <w:rsid w:val="009F6779"/>
    <w:rsid w:val="009F6826"/>
    <w:rsid w:val="009F696D"/>
    <w:rsid w:val="009F6BC6"/>
    <w:rsid w:val="009F74EF"/>
    <w:rsid w:val="00A00F0E"/>
    <w:rsid w:val="00A02826"/>
    <w:rsid w:val="00A03CEC"/>
    <w:rsid w:val="00A03D96"/>
    <w:rsid w:val="00A05966"/>
    <w:rsid w:val="00A06D03"/>
    <w:rsid w:val="00A10839"/>
    <w:rsid w:val="00A1087E"/>
    <w:rsid w:val="00A15D5A"/>
    <w:rsid w:val="00A17328"/>
    <w:rsid w:val="00A17905"/>
    <w:rsid w:val="00A20C63"/>
    <w:rsid w:val="00A23A20"/>
    <w:rsid w:val="00A24238"/>
    <w:rsid w:val="00A24443"/>
    <w:rsid w:val="00A24776"/>
    <w:rsid w:val="00A268B9"/>
    <w:rsid w:val="00A2703A"/>
    <w:rsid w:val="00A27E57"/>
    <w:rsid w:val="00A30D38"/>
    <w:rsid w:val="00A3286B"/>
    <w:rsid w:val="00A33DFF"/>
    <w:rsid w:val="00A35115"/>
    <w:rsid w:val="00A36D9A"/>
    <w:rsid w:val="00A40158"/>
    <w:rsid w:val="00A44E4A"/>
    <w:rsid w:val="00A451DC"/>
    <w:rsid w:val="00A501E6"/>
    <w:rsid w:val="00A503F5"/>
    <w:rsid w:val="00A54442"/>
    <w:rsid w:val="00A5531A"/>
    <w:rsid w:val="00A554AB"/>
    <w:rsid w:val="00A55E9A"/>
    <w:rsid w:val="00A57062"/>
    <w:rsid w:val="00A67781"/>
    <w:rsid w:val="00A71ACC"/>
    <w:rsid w:val="00A71E5F"/>
    <w:rsid w:val="00A73A15"/>
    <w:rsid w:val="00A747B3"/>
    <w:rsid w:val="00A761F9"/>
    <w:rsid w:val="00A807DF"/>
    <w:rsid w:val="00A831F7"/>
    <w:rsid w:val="00A92B53"/>
    <w:rsid w:val="00A94908"/>
    <w:rsid w:val="00A94FA6"/>
    <w:rsid w:val="00AA171F"/>
    <w:rsid w:val="00AA2465"/>
    <w:rsid w:val="00AA49A0"/>
    <w:rsid w:val="00AA6710"/>
    <w:rsid w:val="00AB0681"/>
    <w:rsid w:val="00AB0885"/>
    <w:rsid w:val="00AB3F7A"/>
    <w:rsid w:val="00AB65F5"/>
    <w:rsid w:val="00AC0346"/>
    <w:rsid w:val="00AC23AC"/>
    <w:rsid w:val="00AC2C69"/>
    <w:rsid w:val="00AC3A15"/>
    <w:rsid w:val="00AC45A5"/>
    <w:rsid w:val="00AC68C7"/>
    <w:rsid w:val="00AD3E8E"/>
    <w:rsid w:val="00AD46C7"/>
    <w:rsid w:val="00AD5149"/>
    <w:rsid w:val="00AD520B"/>
    <w:rsid w:val="00AD723F"/>
    <w:rsid w:val="00AE3BCC"/>
    <w:rsid w:val="00AE3DF9"/>
    <w:rsid w:val="00AE4742"/>
    <w:rsid w:val="00AF1ACF"/>
    <w:rsid w:val="00B04A1A"/>
    <w:rsid w:val="00B118A1"/>
    <w:rsid w:val="00B13670"/>
    <w:rsid w:val="00B142D0"/>
    <w:rsid w:val="00B14A90"/>
    <w:rsid w:val="00B14F3C"/>
    <w:rsid w:val="00B1791A"/>
    <w:rsid w:val="00B205A9"/>
    <w:rsid w:val="00B20991"/>
    <w:rsid w:val="00B2120F"/>
    <w:rsid w:val="00B23411"/>
    <w:rsid w:val="00B26758"/>
    <w:rsid w:val="00B31398"/>
    <w:rsid w:val="00B31E01"/>
    <w:rsid w:val="00B3260C"/>
    <w:rsid w:val="00B371BC"/>
    <w:rsid w:val="00B41D87"/>
    <w:rsid w:val="00B425C3"/>
    <w:rsid w:val="00B440AD"/>
    <w:rsid w:val="00B465AC"/>
    <w:rsid w:val="00B479BB"/>
    <w:rsid w:val="00B53006"/>
    <w:rsid w:val="00B53E7E"/>
    <w:rsid w:val="00B57EAB"/>
    <w:rsid w:val="00B627D4"/>
    <w:rsid w:val="00B6342E"/>
    <w:rsid w:val="00B6779C"/>
    <w:rsid w:val="00B7113F"/>
    <w:rsid w:val="00B733A6"/>
    <w:rsid w:val="00B74142"/>
    <w:rsid w:val="00B74172"/>
    <w:rsid w:val="00B746F0"/>
    <w:rsid w:val="00B75683"/>
    <w:rsid w:val="00B77494"/>
    <w:rsid w:val="00B90069"/>
    <w:rsid w:val="00B907E9"/>
    <w:rsid w:val="00B94C72"/>
    <w:rsid w:val="00B95AFC"/>
    <w:rsid w:val="00BA1F94"/>
    <w:rsid w:val="00BA2BCF"/>
    <w:rsid w:val="00BA5B14"/>
    <w:rsid w:val="00BA73B6"/>
    <w:rsid w:val="00BA7E27"/>
    <w:rsid w:val="00BB1328"/>
    <w:rsid w:val="00BB1A9C"/>
    <w:rsid w:val="00BB20E6"/>
    <w:rsid w:val="00BB24D6"/>
    <w:rsid w:val="00BB2603"/>
    <w:rsid w:val="00BB2ABC"/>
    <w:rsid w:val="00BB4FCD"/>
    <w:rsid w:val="00BC04E9"/>
    <w:rsid w:val="00BC3A31"/>
    <w:rsid w:val="00BC4902"/>
    <w:rsid w:val="00BC5DD3"/>
    <w:rsid w:val="00BC6C9D"/>
    <w:rsid w:val="00BD02AE"/>
    <w:rsid w:val="00BD0F3E"/>
    <w:rsid w:val="00BD13EA"/>
    <w:rsid w:val="00BD1BFF"/>
    <w:rsid w:val="00BD4282"/>
    <w:rsid w:val="00BD5632"/>
    <w:rsid w:val="00BD57A1"/>
    <w:rsid w:val="00BE3808"/>
    <w:rsid w:val="00BE6326"/>
    <w:rsid w:val="00BE706B"/>
    <w:rsid w:val="00BF044B"/>
    <w:rsid w:val="00BF14F0"/>
    <w:rsid w:val="00C03B88"/>
    <w:rsid w:val="00C05D50"/>
    <w:rsid w:val="00C062E9"/>
    <w:rsid w:val="00C07B64"/>
    <w:rsid w:val="00C07D7A"/>
    <w:rsid w:val="00C13721"/>
    <w:rsid w:val="00C14FE4"/>
    <w:rsid w:val="00C169DA"/>
    <w:rsid w:val="00C17909"/>
    <w:rsid w:val="00C17BA3"/>
    <w:rsid w:val="00C21623"/>
    <w:rsid w:val="00C2725A"/>
    <w:rsid w:val="00C3066D"/>
    <w:rsid w:val="00C32BED"/>
    <w:rsid w:val="00C32EB3"/>
    <w:rsid w:val="00C41950"/>
    <w:rsid w:val="00C464F6"/>
    <w:rsid w:val="00C475BF"/>
    <w:rsid w:val="00C47D14"/>
    <w:rsid w:val="00C508B0"/>
    <w:rsid w:val="00C515E2"/>
    <w:rsid w:val="00C52416"/>
    <w:rsid w:val="00C543F4"/>
    <w:rsid w:val="00C6261F"/>
    <w:rsid w:val="00C62695"/>
    <w:rsid w:val="00C6291C"/>
    <w:rsid w:val="00C633CB"/>
    <w:rsid w:val="00C664CD"/>
    <w:rsid w:val="00C668F9"/>
    <w:rsid w:val="00C715FF"/>
    <w:rsid w:val="00C736B7"/>
    <w:rsid w:val="00C81D4A"/>
    <w:rsid w:val="00C8232C"/>
    <w:rsid w:val="00C82B20"/>
    <w:rsid w:val="00C8401D"/>
    <w:rsid w:val="00C84484"/>
    <w:rsid w:val="00C86114"/>
    <w:rsid w:val="00C8762C"/>
    <w:rsid w:val="00C90792"/>
    <w:rsid w:val="00C94666"/>
    <w:rsid w:val="00CA00F9"/>
    <w:rsid w:val="00CA2961"/>
    <w:rsid w:val="00CA350F"/>
    <w:rsid w:val="00CA45E0"/>
    <w:rsid w:val="00CA5AC3"/>
    <w:rsid w:val="00CA64BC"/>
    <w:rsid w:val="00CB50D7"/>
    <w:rsid w:val="00CB7177"/>
    <w:rsid w:val="00CB7CED"/>
    <w:rsid w:val="00CC070F"/>
    <w:rsid w:val="00CC1998"/>
    <w:rsid w:val="00CC39DC"/>
    <w:rsid w:val="00CC4430"/>
    <w:rsid w:val="00CC4946"/>
    <w:rsid w:val="00CC64A1"/>
    <w:rsid w:val="00CD2DB7"/>
    <w:rsid w:val="00CD41FC"/>
    <w:rsid w:val="00CD5033"/>
    <w:rsid w:val="00CE0CE3"/>
    <w:rsid w:val="00CE69D4"/>
    <w:rsid w:val="00CE72FC"/>
    <w:rsid w:val="00CE7D6A"/>
    <w:rsid w:val="00CF1961"/>
    <w:rsid w:val="00CF2F71"/>
    <w:rsid w:val="00CF3923"/>
    <w:rsid w:val="00CF3B11"/>
    <w:rsid w:val="00D0047B"/>
    <w:rsid w:val="00D047F2"/>
    <w:rsid w:val="00D04AB5"/>
    <w:rsid w:val="00D10872"/>
    <w:rsid w:val="00D111C0"/>
    <w:rsid w:val="00D11EE9"/>
    <w:rsid w:val="00D13B41"/>
    <w:rsid w:val="00D1463A"/>
    <w:rsid w:val="00D249E4"/>
    <w:rsid w:val="00D270A4"/>
    <w:rsid w:val="00D272D4"/>
    <w:rsid w:val="00D31FE9"/>
    <w:rsid w:val="00D34E1B"/>
    <w:rsid w:val="00D372A1"/>
    <w:rsid w:val="00D376BA"/>
    <w:rsid w:val="00D40484"/>
    <w:rsid w:val="00D434A0"/>
    <w:rsid w:val="00D44F1D"/>
    <w:rsid w:val="00D45634"/>
    <w:rsid w:val="00D55213"/>
    <w:rsid w:val="00D5568A"/>
    <w:rsid w:val="00D567F3"/>
    <w:rsid w:val="00D57E8C"/>
    <w:rsid w:val="00D6067E"/>
    <w:rsid w:val="00D61829"/>
    <w:rsid w:val="00D63D73"/>
    <w:rsid w:val="00D64452"/>
    <w:rsid w:val="00D66B6B"/>
    <w:rsid w:val="00D66E1E"/>
    <w:rsid w:val="00D6774D"/>
    <w:rsid w:val="00D70696"/>
    <w:rsid w:val="00D75722"/>
    <w:rsid w:val="00D800D7"/>
    <w:rsid w:val="00D80CF5"/>
    <w:rsid w:val="00D812FF"/>
    <w:rsid w:val="00D81D4E"/>
    <w:rsid w:val="00D83541"/>
    <w:rsid w:val="00D83B68"/>
    <w:rsid w:val="00D8774E"/>
    <w:rsid w:val="00D87CCD"/>
    <w:rsid w:val="00D915B5"/>
    <w:rsid w:val="00D964AE"/>
    <w:rsid w:val="00DA3495"/>
    <w:rsid w:val="00DA5BBA"/>
    <w:rsid w:val="00DA7054"/>
    <w:rsid w:val="00DB1A65"/>
    <w:rsid w:val="00DB26D2"/>
    <w:rsid w:val="00DB3E80"/>
    <w:rsid w:val="00DB67C9"/>
    <w:rsid w:val="00DC0C95"/>
    <w:rsid w:val="00DC3320"/>
    <w:rsid w:val="00DC4F0B"/>
    <w:rsid w:val="00DC4F7C"/>
    <w:rsid w:val="00DD1D52"/>
    <w:rsid w:val="00DD2BEC"/>
    <w:rsid w:val="00DD6580"/>
    <w:rsid w:val="00DD757C"/>
    <w:rsid w:val="00DE2804"/>
    <w:rsid w:val="00DF232D"/>
    <w:rsid w:val="00DF5213"/>
    <w:rsid w:val="00DF7A37"/>
    <w:rsid w:val="00E01D7F"/>
    <w:rsid w:val="00E05C03"/>
    <w:rsid w:val="00E07871"/>
    <w:rsid w:val="00E13EE7"/>
    <w:rsid w:val="00E1798E"/>
    <w:rsid w:val="00E17C72"/>
    <w:rsid w:val="00E21FC6"/>
    <w:rsid w:val="00E2398C"/>
    <w:rsid w:val="00E23E9D"/>
    <w:rsid w:val="00E249FB"/>
    <w:rsid w:val="00E31192"/>
    <w:rsid w:val="00E35A6D"/>
    <w:rsid w:val="00E41FFA"/>
    <w:rsid w:val="00E431A9"/>
    <w:rsid w:val="00E516C0"/>
    <w:rsid w:val="00E62622"/>
    <w:rsid w:val="00E669E2"/>
    <w:rsid w:val="00E67058"/>
    <w:rsid w:val="00E67CB7"/>
    <w:rsid w:val="00E722E8"/>
    <w:rsid w:val="00E72F29"/>
    <w:rsid w:val="00E7305F"/>
    <w:rsid w:val="00E756B0"/>
    <w:rsid w:val="00E75A8E"/>
    <w:rsid w:val="00E76135"/>
    <w:rsid w:val="00E779CF"/>
    <w:rsid w:val="00E82F4F"/>
    <w:rsid w:val="00E82F9F"/>
    <w:rsid w:val="00E83422"/>
    <w:rsid w:val="00E849B4"/>
    <w:rsid w:val="00E864DF"/>
    <w:rsid w:val="00E8668F"/>
    <w:rsid w:val="00E91181"/>
    <w:rsid w:val="00E911E6"/>
    <w:rsid w:val="00E9403E"/>
    <w:rsid w:val="00E94149"/>
    <w:rsid w:val="00E95EDE"/>
    <w:rsid w:val="00E95F5C"/>
    <w:rsid w:val="00EA228D"/>
    <w:rsid w:val="00EA5506"/>
    <w:rsid w:val="00EB06BF"/>
    <w:rsid w:val="00EB2CC3"/>
    <w:rsid w:val="00EB5748"/>
    <w:rsid w:val="00EB5FCC"/>
    <w:rsid w:val="00EB7787"/>
    <w:rsid w:val="00EC0D36"/>
    <w:rsid w:val="00EC2844"/>
    <w:rsid w:val="00EC5500"/>
    <w:rsid w:val="00EC64C1"/>
    <w:rsid w:val="00EC7C12"/>
    <w:rsid w:val="00ED18F8"/>
    <w:rsid w:val="00ED2F95"/>
    <w:rsid w:val="00ED46B9"/>
    <w:rsid w:val="00ED4C08"/>
    <w:rsid w:val="00ED617C"/>
    <w:rsid w:val="00EE073B"/>
    <w:rsid w:val="00EE12DC"/>
    <w:rsid w:val="00EE183E"/>
    <w:rsid w:val="00EE3024"/>
    <w:rsid w:val="00EE6EDA"/>
    <w:rsid w:val="00EE778E"/>
    <w:rsid w:val="00EF179B"/>
    <w:rsid w:val="00EF6719"/>
    <w:rsid w:val="00EF6C6C"/>
    <w:rsid w:val="00F045E3"/>
    <w:rsid w:val="00F0521F"/>
    <w:rsid w:val="00F056FC"/>
    <w:rsid w:val="00F0632F"/>
    <w:rsid w:val="00F069AE"/>
    <w:rsid w:val="00F10476"/>
    <w:rsid w:val="00F106C4"/>
    <w:rsid w:val="00F12270"/>
    <w:rsid w:val="00F135D8"/>
    <w:rsid w:val="00F2191F"/>
    <w:rsid w:val="00F23553"/>
    <w:rsid w:val="00F24BD6"/>
    <w:rsid w:val="00F2764A"/>
    <w:rsid w:val="00F31299"/>
    <w:rsid w:val="00F3534A"/>
    <w:rsid w:val="00F354D4"/>
    <w:rsid w:val="00F35BFB"/>
    <w:rsid w:val="00F36ACC"/>
    <w:rsid w:val="00F37551"/>
    <w:rsid w:val="00F3780E"/>
    <w:rsid w:val="00F40058"/>
    <w:rsid w:val="00F40577"/>
    <w:rsid w:val="00F51609"/>
    <w:rsid w:val="00F5295C"/>
    <w:rsid w:val="00F53239"/>
    <w:rsid w:val="00F55C25"/>
    <w:rsid w:val="00F561C3"/>
    <w:rsid w:val="00F564B8"/>
    <w:rsid w:val="00F5721D"/>
    <w:rsid w:val="00F60F4B"/>
    <w:rsid w:val="00F61325"/>
    <w:rsid w:val="00F62C92"/>
    <w:rsid w:val="00F635A3"/>
    <w:rsid w:val="00F645EB"/>
    <w:rsid w:val="00F70790"/>
    <w:rsid w:val="00F70AB7"/>
    <w:rsid w:val="00F718BE"/>
    <w:rsid w:val="00F73727"/>
    <w:rsid w:val="00F766A7"/>
    <w:rsid w:val="00F808D3"/>
    <w:rsid w:val="00F81006"/>
    <w:rsid w:val="00F813E4"/>
    <w:rsid w:val="00F85325"/>
    <w:rsid w:val="00F86AE8"/>
    <w:rsid w:val="00F87823"/>
    <w:rsid w:val="00F902EB"/>
    <w:rsid w:val="00F93621"/>
    <w:rsid w:val="00F97948"/>
    <w:rsid w:val="00FA1970"/>
    <w:rsid w:val="00FA722C"/>
    <w:rsid w:val="00FB0AB2"/>
    <w:rsid w:val="00FB56F9"/>
    <w:rsid w:val="00FB5FF1"/>
    <w:rsid w:val="00FB6D97"/>
    <w:rsid w:val="00FD1362"/>
    <w:rsid w:val="00FD22B1"/>
    <w:rsid w:val="00FD2BFB"/>
    <w:rsid w:val="00FD33F1"/>
    <w:rsid w:val="00FD3566"/>
    <w:rsid w:val="00FD3DAE"/>
    <w:rsid w:val="00FE1280"/>
    <w:rsid w:val="00FE4937"/>
    <w:rsid w:val="00FE5397"/>
    <w:rsid w:val="00FE61AA"/>
    <w:rsid w:val="00FE6495"/>
    <w:rsid w:val="00FF0048"/>
    <w:rsid w:val="00FF01FA"/>
    <w:rsid w:val="00FF0EDF"/>
    <w:rsid w:val="00FF669D"/>
    <w:rsid w:val="00FF6DE4"/>
    <w:rsid w:val="00FF7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1EB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5FCF"/>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mmentTextChar">
    <w:name w:val="Comment Text Char"/>
    <w:basedOn w:val="DefaultParagraphFont"/>
    <w:link w:val="CommentText"/>
    <w:semiHidden/>
    <w:rsid w:val="007A5FCF"/>
    <w:rPr>
      <w:szCs w:val="24"/>
    </w:rPr>
  </w:style>
  <w:style w:type="paragraph" w:styleId="CommentSubject">
    <w:name w:val="annotation subject"/>
    <w:basedOn w:val="CommentText"/>
    <w:next w:val="CommentText"/>
    <w:link w:val="CommentSubjectChar"/>
    <w:rsid w:val="003728BD"/>
    <w:pPr>
      <w:spacing w:before="0" w:line="240" w:lineRule="auto"/>
      <w:ind w:left="0" w:firstLine="0"/>
    </w:pPr>
    <w:rPr>
      <w:b/>
      <w:bCs/>
      <w:szCs w:val="20"/>
    </w:rPr>
  </w:style>
  <w:style w:type="character" w:customStyle="1" w:styleId="CommentSubjectChar">
    <w:name w:val="Comment Subject Char"/>
    <w:basedOn w:val="CommentTextChar"/>
    <w:link w:val="CommentSubject"/>
    <w:rsid w:val="003728BD"/>
    <w:rPr>
      <w:b/>
      <w:bCs/>
      <w:szCs w:val="24"/>
    </w:rPr>
  </w:style>
  <w:style w:type="paragraph" w:styleId="ListParagraph">
    <w:name w:val="List Paragraph"/>
    <w:basedOn w:val="Normal"/>
    <w:uiPriority w:val="34"/>
    <w:qFormat/>
    <w:rsid w:val="00A1087E"/>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E756B0"/>
    <w:rPr>
      <w:sz w:val="24"/>
      <w:szCs w:val="24"/>
    </w:rPr>
  </w:style>
  <w:style w:type="character" w:styleId="EndnoteReference">
    <w:name w:val="endnote reference"/>
    <w:basedOn w:val="DefaultParagraphFont"/>
    <w:rsid w:val="005063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5FCF"/>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mmentTextChar">
    <w:name w:val="Comment Text Char"/>
    <w:basedOn w:val="DefaultParagraphFont"/>
    <w:link w:val="CommentText"/>
    <w:semiHidden/>
    <w:rsid w:val="007A5FCF"/>
    <w:rPr>
      <w:szCs w:val="24"/>
    </w:rPr>
  </w:style>
  <w:style w:type="paragraph" w:styleId="CommentSubject">
    <w:name w:val="annotation subject"/>
    <w:basedOn w:val="CommentText"/>
    <w:next w:val="CommentText"/>
    <w:link w:val="CommentSubjectChar"/>
    <w:rsid w:val="003728BD"/>
    <w:pPr>
      <w:spacing w:before="0" w:line="240" w:lineRule="auto"/>
      <w:ind w:left="0" w:firstLine="0"/>
    </w:pPr>
    <w:rPr>
      <w:b/>
      <w:bCs/>
      <w:szCs w:val="20"/>
    </w:rPr>
  </w:style>
  <w:style w:type="character" w:customStyle="1" w:styleId="CommentSubjectChar">
    <w:name w:val="Comment Subject Char"/>
    <w:basedOn w:val="CommentTextChar"/>
    <w:link w:val="CommentSubject"/>
    <w:rsid w:val="003728BD"/>
    <w:rPr>
      <w:b/>
      <w:bCs/>
      <w:szCs w:val="24"/>
    </w:rPr>
  </w:style>
  <w:style w:type="paragraph" w:styleId="ListParagraph">
    <w:name w:val="List Paragraph"/>
    <w:basedOn w:val="Normal"/>
    <w:uiPriority w:val="34"/>
    <w:qFormat/>
    <w:rsid w:val="00A1087E"/>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E756B0"/>
    <w:rPr>
      <w:sz w:val="24"/>
      <w:szCs w:val="24"/>
    </w:rPr>
  </w:style>
  <w:style w:type="character" w:styleId="EndnoteReference">
    <w:name w:val="endnote reference"/>
    <w:basedOn w:val="DefaultParagraphFont"/>
    <w:rsid w:val="005063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183">
      <w:bodyDiv w:val="1"/>
      <w:marLeft w:val="0"/>
      <w:marRight w:val="0"/>
      <w:marTop w:val="0"/>
      <w:marBottom w:val="0"/>
      <w:divBdr>
        <w:top w:val="none" w:sz="0" w:space="0" w:color="auto"/>
        <w:left w:val="none" w:sz="0" w:space="0" w:color="auto"/>
        <w:bottom w:val="none" w:sz="0" w:space="0" w:color="auto"/>
        <w:right w:val="none" w:sz="0" w:space="0" w:color="auto"/>
      </w:divBdr>
    </w:div>
    <w:div w:id="22947155">
      <w:bodyDiv w:val="1"/>
      <w:marLeft w:val="0"/>
      <w:marRight w:val="0"/>
      <w:marTop w:val="0"/>
      <w:marBottom w:val="0"/>
      <w:divBdr>
        <w:top w:val="none" w:sz="0" w:space="0" w:color="auto"/>
        <w:left w:val="none" w:sz="0" w:space="0" w:color="auto"/>
        <w:bottom w:val="none" w:sz="0" w:space="0" w:color="auto"/>
        <w:right w:val="none" w:sz="0" w:space="0" w:color="auto"/>
      </w:divBdr>
    </w:div>
    <w:div w:id="26680111">
      <w:bodyDiv w:val="1"/>
      <w:marLeft w:val="0"/>
      <w:marRight w:val="0"/>
      <w:marTop w:val="0"/>
      <w:marBottom w:val="0"/>
      <w:divBdr>
        <w:top w:val="none" w:sz="0" w:space="0" w:color="auto"/>
        <w:left w:val="none" w:sz="0" w:space="0" w:color="auto"/>
        <w:bottom w:val="none" w:sz="0" w:space="0" w:color="auto"/>
        <w:right w:val="none" w:sz="0" w:space="0" w:color="auto"/>
      </w:divBdr>
    </w:div>
    <w:div w:id="83693956">
      <w:bodyDiv w:val="1"/>
      <w:marLeft w:val="0"/>
      <w:marRight w:val="0"/>
      <w:marTop w:val="0"/>
      <w:marBottom w:val="0"/>
      <w:divBdr>
        <w:top w:val="none" w:sz="0" w:space="0" w:color="auto"/>
        <w:left w:val="none" w:sz="0" w:space="0" w:color="auto"/>
        <w:bottom w:val="none" w:sz="0" w:space="0" w:color="auto"/>
        <w:right w:val="none" w:sz="0" w:space="0" w:color="auto"/>
      </w:divBdr>
    </w:div>
    <w:div w:id="176584598">
      <w:bodyDiv w:val="1"/>
      <w:marLeft w:val="0"/>
      <w:marRight w:val="0"/>
      <w:marTop w:val="0"/>
      <w:marBottom w:val="0"/>
      <w:divBdr>
        <w:top w:val="none" w:sz="0" w:space="0" w:color="auto"/>
        <w:left w:val="none" w:sz="0" w:space="0" w:color="auto"/>
        <w:bottom w:val="none" w:sz="0" w:space="0" w:color="auto"/>
        <w:right w:val="none" w:sz="0" w:space="0" w:color="auto"/>
      </w:divBdr>
    </w:div>
    <w:div w:id="273443291">
      <w:bodyDiv w:val="1"/>
      <w:marLeft w:val="0"/>
      <w:marRight w:val="0"/>
      <w:marTop w:val="0"/>
      <w:marBottom w:val="0"/>
      <w:divBdr>
        <w:top w:val="none" w:sz="0" w:space="0" w:color="auto"/>
        <w:left w:val="none" w:sz="0" w:space="0" w:color="auto"/>
        <w:bottom w:val="none" w:sz="0" w:space="0" w:color="auto"/>
        <w:right w:val="none" w:sz="0" w:space="0" w:color="auto"/>
      </w:divBdr>
    </w:div>
    <w:div w:id="277179704">
      <w:bodyDiv w:val="1"/>
      <w:marLeft w:val="0"/>
      <w:marRight w:val="0"/>
      <w:marTop w:val="0"/>
      <w:marBottom w:val="0"/>
      <w:divBdr>
        <w:top w:val="none" w:sz="0" w:space="0" w:color="auto"/>
        <w:left w:val="none" w:sz="0" w:space="0" w:color="auto"/>
        <w:bottom w:val="none" w:sz="0" w:space="0" w:color="auto"/>
        <w:right w:val="none" w:sz="0" w:space="0" w:color="auto"/>
      </w:divBdr>
    </w:div>
    <w:div w:id="301423106">
      <w:bodyDiv w:val="1"/>
      <w:marLeft w:val="0"/>
      <w:marRight w:val="0"/>
      <w:marTop w:val="0"/>
      <w:marBottom w:val="0"/>
      <w:divBdr>
        <w:top w:val="none" w:sz="0" w:space="0" w:color="auto"/>
        <w:left w:val="none" w:sz="0" w:space="0" w:color="auto"/>
        <w:bottom w:val="none" w:sz="0" w:space="0" w:color="auto"/>
        <w:right w:val="none" w:sz="0" w:space="0" w:color="auto"/>
      </w:divBdr>
    </w:div>
    <w:div w:id="316613428">
      <w:bodyDiv w:val="1"/>
      <w:marLeft w:val="0"/>
      <w:marRight w:val="0"/>
      <w:marTop w:val="0"/>
      <w:marBottom w:val="0"/>
      <w:divBdr>
        <w:top w:val="none" w:sz="0" w:space="0" w:color="auto"/>
        <w:left w:val="none" w:sz="0" w:space="0" w:color="auto"/>
        <w:bottom w:val="none" w:sz="0" w:space="0" w:color="auto"/>
        <w:right w:val="none" w:sz="0" w:space="0" w:color="auto"/>
      </w:divBdr>
    </w:div>
    <w:div w:id="333841704">
      <w:bodyDiv w:val="1"/>
      <w:marLeft w:val="0"/>
      <w:marRight w:val="0"/>
      <w:marTop w:val="0"/>
      <w:marBottom w:val="0"/>
      <w:divBdr>
        <w:top w:val="none" w:sz="0" w:space="0" w:color="auto"/>
        <w:left w:val="none" w:sz="0" w:space="0" w:color="auto"/>
        <w:bottom w:val="none" w:sz="0" w:space="0" w:color="auto"/>
        <w:right w:val="none" w:sz="0" w:space="0" w:color="auto"/>
      </w:divBdr>
    </w:div>
    <w:div w:id="334460806">
      <w:bodyDiv w:val="1"/>
      <w:marLeft w:val="0"/>
      <w:marRight w:val="0"/>
      <w:marTop w:val="0"/>
      <w:marBottom w:val="0"/>
      <w:divBdr>
        <w:top w:val="none" w:sz="0" w:space="0" w:color="auto"/>
        <w:left w:val="none" w:sz="0" w:space="0" w:color="auto"/>
        <w:bottom w:val="none" w:sz="0" w:space="0" w:color="auto"/>
        <w:right w:val="none" w:sz="0" w:space="0" w:color="auto"/>
      </w:divBdr>
    </w:div>
    <w:div w:id="399015882">
      <w:bodyDiv w:val="1"/>
      <w:marLeft w:val="0"/>
      <w:marRight w:val="0"/>
      <w:marTop w:val="0"/>
      <w:marBottom w:val="0"/>
      <w:divBdr>
        <w:top w:val="none" w:sz="0" w:space="0" w:color="auto"/>
        <w:left w:val="none" w:sz="0" w:space="0" w:color="auto"/>
        <w:bottom w:val="none" w:sz="0" w:space="0" w:color="auto"/>
        <w:right w:val="none" w:sz="0" w:space="0" w:color="auto"/>
      </w:divBdr>
    </w:div>
    <w:div w:id="443231050">
      <w:bodyDiv w:val="1"/>
      <w:marLeft w:val="0"/>
      <w:marRight w:val="0"/>
      <w:marTop w:val="0"/>
      <w:marBottom w:val="0"/>
      <w:divBdr>
        <w:top w:val="none" w:sz="0" w:space="0" w:color="auto"/>
        <w:left w:val="none" w:sz="0" w:space="0" w:color="auto"/>
        <w:bottom w:val="none" w:sz="0" w:space="0" w:color="auto"/>
        <w:right w:val="none" w:sz="0" w:space="0" w:color="auto"/>
      </w:divBdr>
    </w:div>
    <w:div w:id="608241464">
      <w:bodyDiv w:val="1"/>
      <w:marLeft w:val="0"/>
      <w:marRight w:val="0"/>
      <w:marTop w:val="0"/>
      <w:marBottom w:val="0"/>
      <w:divBdr>
        <w:top w:val="none" w:sz="0" w:space="0" w:color="auto"/>
        <w:left w:val="none" w:sz="0" w:space="0" w:color="auto"/>
        <w:bottom w:val="none" w:sz="0" w:space="0" w:color="auto"/>
        <w:right w:val="none" w:sz="0" w:space="0" w:color="auto"/>
      </w:divBdr>
    </w:div>
    <w:div w:id="726338670">
      <w:bodyDiv w:val="1"/>
      <w:marLeft w:val="0"/>
      <w:marRight w:val="0"/>
      <w:marTop w:val="0"/>
      <w:marBottom w:val="0"/>
      <w:divBdr>
        <w:top w:val="none" w:sz="0" w:space="0" w:color="auto"/>
        <w:left w:val="none" w:sz="0" w:space="0" w:color="auto"/>
        <w:bottom w:val="none" w:sz="0" w:space="0" w:color="auto"/>
        <w:right w:val="none" w:sz="0" w:space="0" w:color="auto"/>
      </w:divBdr>
    </w:div>
    <w:div w:id="816339920">
      <w:bodyDiv w:val="1"/>
      <w:marLeft w:val="0"/>
      <w:marRight w:val="0"/>
      <w:marTop w:val="0"/>
      <w:marBottom w:val="0"/>
      <w:divBdr>
        <w:top w:val="none" w:sz="0" w:space="0" w:color="auto"/>
        <w:left w:val="none" w:sz="0" w:space="0" w:color="auto"/>
        <w:bottom w:val="none" w:sz="0" w:space="0" w:color="auto"/>
        <w:right w:val="none" w:sz="0" w:space="0" w:color="auto"/>
      </w:divBdr>
    </w:div>
    <w:div w:id="1011613981">
      <w:bodyDiv w:val="1"/>
      <w:marLeft w:val="0"/>
      <w:marRight w:val="0"/>
      <w:marTop w:val="0"/>
      <w:marBottom w:val="0"/>
      <w:divBdr>
        <w:top w:val="none" w:sz="0" w:space="0" w:color="auto"/>
        <w:left w:val="none" w:sz="0" w:space="0" w:color="auto"/>
        <w:bottom w:val="none" w:sz="0" w:space="0" w:color="auto"/>
        <w:right w:val="none" w:sz="0" w:space="0" w:color="auto"/>
      </w:divBdr>
    </w:div>
    <w:div w:id="1089153932">
      <w:bodyDiv w:val="1"/>
      <w:marLeft w:val="0"/>
      <w:marRight w:val="0"/>
      <w:marTop w:val="0"/>
      <w:marBottom w:val="0"/>
      <w:divBdr>
        <w:top w:val="none" w:sz="0" w:space="0" w:color="auto"/>
        <w:left w:val="none" w:sz="0" w:space="0" w:color="auto"/>
        <w:bottom w:val="none" w:sz="0" w:space="0" w:color="auto"/>
        <w:right w:val="none" w:sz="0" w:space="0" w:color="auto"/>
      </w:divBdr>
    </w:div>
    <w:div w:id="1089349448">
      <w:bodyDiv w:val="1"/>
      <w:marLeft w:val="0"/>
      <w:marRight w:val="0"/>
      <w:marTop w:val="0"/>
      <w:marBottom w:val="0"/>
      <w:divBdr>
        <w:top w:val="none" w:sz="0" w:space="0" w:color="auto"/>
        <w:left w:val="none" w:sz="0" w:space="0" w:color="auto"/>
        <w:bottom w:val="none" w:sz="0" w:space="0" w:color="auto"/>
        <w:right w:val="none" w:sz="0" w:space="0" w:color="auto"/>
      </w:divBdr>
    </w:div>
    <w:div w:id="1111509036">
      <w:bodyDiv w:val="1"/>
      <w:marLeft w:val="0"/>
      <w:marRight w:val="0"/>
      <w:marTop w:val="0"/>
      <w:marBottom w:val="0"/>
      <w:divBdr>
        <w:top w:val="none" w:sz="0" w:space="0" w:color="auto"/>
        <w:left w:val="none" w:sz="0" w:space="0" w:color="auto"/>
        <w:bottom w:val="none" w:sz="0" w:space="0" w:color="auto"/>
        <w:right w:val="none" w:sz="0" w:space="0" w:color="auto"/>
      </w:divBdr>
    </w:div>
    <w:div w:id="1126460569">
      <w:bodyDiv w:val="1"/>
      <w:marLeft w:val="0"/>
      <w:marRight w:val="0"/>
      <w:marTop w:val="0"/>
      <w:marBottom w:val="0"/>
      <w:divBdr>
        <w:top w:val="none" w:sz="0" w:space="0" w:color="auto"/>
        <w:left w:val="none" w:sz="0" w:space="0" w:color="auto"/>
        <w:bottom w:val="none" w:sz="0" w:space="0" w:color="auto"/>
        <w:right w:val="none" w:sz="0" w:space="0" w:color="auto"/>
      </w:divBdr>
    </w:div>
    <w:div w:id="1134443881">
      <w:bodyDiv w:val="1"/>
      <w:marLeft w:val="0"/>
      <w:marRight w:val="0"/>
      <w:marTop w:val="0"/>
      <w:marBottom w:val="0"/>
      <w:divBdr>
        <w:top w:val="none" w:sz="0" w:space="0" w:color="auto"/>
        <w:left w:val="none" w:sz="0" w:space="0" w:color="auto"/>
        <w:bottom w:val="none" w:sz="0" w:space="0" w:color="auto"/>
        <w:right w:val="none" w:sz="0" w:space="0" w:color="auto"/>
      </w:divBdr>
    </w:div>
    <w:div w:id="1159613539">
      <w:bodyDiv w:val="1"/>
      <w:marLeft w:val="0"/>
      <w:marRight w:val="0"/>
      <w:marTop w:val="0"/>
      <w:marBottom w:val="0"/>
      <w:divBdr>
        <w:top w:val="none" w:sz="0" w:space="0" w:color="auto"/>
        <w:left w:val="none" w:sz="0" w:space="0" w:color="auto"/>
        <w:bottom w:val="none" w:sz="0" w:space="0" w:color="auto"/>
        <w:right w:val="none" w:sz="0" w:space="0" w:color="auto"/>
      </w:divBdr>
    </w:div>
    <w:div w:id="1186795366">
      <w:bodyDiv w:val="1"/>
      <w:marLeft w:val="0"/>
      <w:marRight w:val="0"/>
      <w:marTop w:val="0"/>
      <w:marBottom w:val="0"/>
      <w:divBdr>
        <w:top w:val="none" w:sz="0" w:space="0" w:color="auto"/>
        <w:left w:val="none" w:sz="0" w:space="0" w:color="auto"/>
        <w:bottom w:val="none" w:sz="0" w:space="0" w:color="auto"/>
        <w:right w:val="none" w:sz="0" w:space="0" w:color="auto"/>
      </w:divBdr>
    </w:div>
    <w:div w:id="1262452207">
      <w:bodyDiv w:val="1"/>
      <w:marLeft w:val="0"/>
      <w:marRight w:val="0"/>
      <w:marTop w:val="0"/>
      <w:marBottom w:val="0"/>
      <w:divBdr>
        <w:top w:val="none" w:sz="0" w:space="0" w:color="auto"/>
        <w:left w:val="none" w:sz="0" w:space="0" w:color="auto"/>
        <w:bottom w:val="none" w:sz="0" w:space="0" w:color="auto"/>
        <w:right w:val="none" w:sz="0" w:space="0" w:color="auto"/>
      </w:divBdr>
    </w:div>
    <w:div w:id="1358194669">
      <w:bodyDiv w:val="1"/>
      <w:marLeft w:val="0"/>
      <w:marRight w:val="0"/>
      <w:marTop w:val="0"/>
      <w:marBottom w:val="0"/>
      <w:divBdr>
        <w:top w:val="none" w:sz="0" w:space="0" w:color="auto"/>
        <w:left w:val="none" w:sz="0" w:space="0" w:color="auto"/>
        <w:bottom w:val="none" w:sz="0" w:space="0" w:color="auto"/>
        <w:right w:val="none" w:sz="0" w:space="0" w:color="auto"/>
      </w:divBdr>
    </w:div>
    <w:div w:id="1443769032">
      <w:bodyDiv w:val="1"/>
      <w:marLeft w:val="0"/>
      <w:marRight w:val="0"/>
      <w:marTop w:val="0"/>
      <w:marBottom w:val="0"/>
      <w:divBdr>
        <w:top w:val="none" w:sz="0" w:space="0" w:color="auto"/>
        <w:left w:val="none" w:sz="0" w:space="0" w:color="auto"/>
        <w:bottom w:val="none" w:sz="0" w:space="0" w:color="auto"/>
        <w:right w:val="none" w:sz="0" w:space="0" w:color="auto"/>
      </w:divBdr>
    </w:div>
    <w:div w:id="1480538201">
      <w:bodyDiv w:val="1"/>
      <w:marLeft w:val="0"/>
      <w:marRight w:val="0"/>
      <w:marTop w:val="0"/>
      <w:marBottom w:val="0"/>
      <w:divBdr>
        <w:top w:val="none" w:sz="0" w:space="0" w:color="auto"/>
        <w:left w:val="none" w:sz="0" w:space="0" w:color="auto"/>
        <w:bottom w:val="none" w:sz="0" w:space="0" w:color="auto"/>
        <w:right w:val="none" w:sz="0" w:space="0" w:color="auto"/>
      </w:divBdr>
    </w:div>
    <w:div w:id="1676833897">
      <w:bodyDiv w:val="1"/>
      <w:marLeft w:val="0"/>
      <w:marRight w:val="0"/>
      <w:marTop w:val="0"/>
      <w:marBottom w:val="0"/>
      <w:divBdr>
        <w:top w:val="none" w:sz="0" w:space="0" w:color="auto"/>
        <w:left w:val="none" w:sz="0" w:space="0" w:color="auto"/>
        <w:bottom w:val="none" w:sz="0" w:space="0" w:color="auto"/>
        <w:right w:val="none" w:sz="0" w:space="0" w:color="auto"/>
      </w:divBdr>
    </w:div>
    <w:div w:id="1697272536">
      <w:bodyDiv w:val="1"/>
      <w:marLeft w:val="0"/>
      <w:marRight w:val="0"/>
      <w:marTop w:val="0"/>
      <w:marBottom w:val="0"/>
      <w:divBdr>
        <w:top w:val="none" w:sz="0" w:space="0" w:color="auto"/>
        <w:left w:val="none" w:sz="0" w:space="0" w:color="auto"/>
        <w:bottom w:val="none" w:sz="0" w:space="0" w:color="auto"/>
        <w:right w:val="none" w:sz="0" w:space="0" w:color="auto"/>
      </w:divBdr>
    </w:div>
    <w:div w:id="1737975384">
      <w:bodyDiv w:val="1"/>
      <w:marLeft w:val="0"/>
      <w:marRight w:val="0"/>
      <w:marTop w:val="0"/>
      <w:marBottom w:val="0"/>
      <w:divBdr>
        <w:top w:val="none" w:sz="0" w:space="0" w:color="auto"/>
        <w:left w:val="none" w:sz="0" w:space="0" w:color="auto"/>
        <w:bottom w:val="none" w:sz="0" w:space="0" w:color="auto"/>
        <w:right w:val="none" w:sz="0" w:space="0" w:color="auto"/>
      </w:divBdr>
    </w:div>
    <w:div w:id="1839736119">
      <w:bodyDiv w:val="1"/>
      <w:marLeft w:val="0"/>
      <w:marRight w:val="0"/>
      <w:marTop w:val="0"/>
      <w:marBottom w:val="0"/>
      <w:divBdr>
        <w:top w:val="none" w:sz="0" w:space="0" w:color="auto"/>
        <w:left w:val="none" w:sz="0" w:space="0" w:color="auto"/>
        <w:bottom w:val="none" w:sz="0" w:space="0" w:color="auto"/>
        <w:right w:val="none" w:sz="0" w:space="0" w:color="auto"/>
      </w:divBdr>
    </w:div>
    <w:div w:id="186243091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00308239">
      <w:bodyDiv w:val="1"/>
      <w:marLeft w:val="0"/>
      <w:marRight w:val="0"/>
      <w:marTop w:val="0"/>
      <w:marBottom w:val="0"/>
      <w:divBdr>
        <w:top w:val="none" w:sz="0" w:space="0" w:color="auto"/>
        <w:left w:val="none" w:sz="0" w:space="0" w:color="auto"/>
        <w:bottom w:val="none" w:sz="0" w:space="0" w:color="auto"/>
        <w:right w:val="none" w:sz="0" w:space="0" w:color="auto"/>
      </w:divBdr>
    </w:div>
    <w:div w:id="2028825409">
      <w:bodyDiv w:val="1"/>
      <w:marLeft w:val="0"/>
      <w:marRight w:val="0"/>
      <w:marTop w:val="0"/>
      <w:marBottom w:val="0"/>
      <w:divBdr>
        <w:top w:val="none" w:sz="0" w:space="0" w:color="auto"/>
        <w:left w:val="none" w:sz="0" w:space="0" w:color="auto"/>
        <w:bottom w:val="none" w:sz="0" w:space="0" w:color="auto"/>
        <w:right w:val="none" w:sz="0" w:space="0" w:color="auto"/>
      </w:divBdr>
    </w:div>
    <w:div w:id="20521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png"/><Relationship Id="rId7" Type="http://schemas.openxmlformats.org/officeDocument/2006/relationships/numbering" Target="numbering.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61" Type="http://schemas.openxmlformats.org/officeDocument/2006/relationships/image" Target="media/image48.png"/><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styles" Target="styles.xml"/><Relationship Id="rId51" Type="http://schemas.openxmlformats.org/officeDocument/2006/relationships/image" Target="media/image38.png"/><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l Report" ma:contentTypeID="0x01010066EDC8E18BFE9C418F00295EA55D44EA00BC1898756A9F48459333297EB68257DD00D893E0118BE45C43A85193F785B6B353" ma:contentTypeVersion="0" ma:contentTypeDescription="" ma:contentTypeScope="" ma:versionID="072ac542be0e927197f8bd54dfbe1775">
  <xsd:schema xmlns:xsd="http://www.w3.org/2001/XMLSchema" xmlns:xs="http://www.w3.org/2001/XMLSchema" xmlns:p="http://schemas.microsoft.com/office/2006/metadata/properties" targetNamespace="http://schemas.microsoft.com/office/2006/metadata/properties" ma:root="true" ma:fieldsID="35d2ceaebb5480c207606bbce77f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2839-C6B9-499A-B200-2F272C624A2A}">
  <ds:schemaRefs>
    <ds:schemaRef ds:uri="http://schemas.microsoft.com/office/2006/metadata/customXsn"/>
  </ds:schemaRefs>
</ds:datastoreItem>
</file>

<file path=customXml/itemProps2.xml><?xml version="1.0" encoding="utf-8"?>
<ds:datastoreItem xmlns:ds="http://schemas.openxmlformats.org/officeDocument/2006/customXml" ds:itemID="{90CD3ACA-AC8B-485E-87FD-B62A34797EB9}">
  <ds:schemaRefs>
    <ds:schemaRef ds:uri="http://schemas.microsoft.com/sharepoint/events"/>
  </ds:schemaRefs>
</ds:datastoreItem>
</file>

<file path=customXml/itemProps3.xml><?xml version="1.0" encoding="utf-8"?>
<ds:datastoreItem xmlns:ds="http://schemas.openxmlformats.org/officeDocument/2006/customXml" ds:itemID="{11C2633E-95D2-41DB-AD35-9ABEB6C64506}">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C6A6C1B-B8C3-4DAB-B570-A983960C1FE6}">
  <ds:schemaRefs>
    <ds:schemaRef ds:uri="http://schemas.microsoft.com/sharepoint/v3/contenttype/forms"/>
  </ds:schemaRefs>
</ds:datastoreItem>
</file>

<file path=customXml/itemProps5.xml><?xml version="1.0" encoding="utf-8"?>
<ds:datastoreItem xmlns:ds="http://schemas.openxmlformats.org/officeDocument/2006/customXml" ds:itemID="{D704D518-05E9-4624-939C-0C1E60C8D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C985B90-0A28-44D4-80D6-9EB03644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25</Pages>
  <Words>5398</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Sensitivity analysis</vt:lpstr>
    </vt:vector>
  </TitlesOfParts>
  <Company>Productivity Commission</Company>
  <LinksUpToDate>false</LinksUpToDate>
  <CharactersWithSpaces>35962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Sensitivity analysis</dc:title>
  <dc:subject>Impediments to efficient gas markets</dc:subject>
  <dc:creator>Productivity Commission</dc:creator>
  <dc:description>C.</dc:description>
  <cp:lastModifiedBy>Productivity Commission</cp:lastModifiedBy>
  <cp:revision>2</cp:revision>
  <cp:lastPrinted>2015-03-30T04:04:00Z</cp:lastPrinted>
  <dcterms:created xsi:type="dcterms:W3CDTF">2015-04-13T06:53:00Z</dcterms:created>
  <dcterms:modified xsi:type="dcterms:W3CDTF">2015-04-13T06:53:00Z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0x01010066EDC8E18BFE9C418F00295EA55D44EA00BC1898756A9F48459333297EB68257DD00D893E0118BE45C43A85193F785B6B353</vt:lpwstr>
  </property>
  <property fmtid="{D5CDD505-2E9C-101B-9397-08002B2CF9AE}" pid="3" name="RecordPoint_ActiveItemUniqueId">
    <vt:lpwstr>{c7a71638-6d4c-4834-9491-51b86794b29e}</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{48b085b3-39a2-4914-b617-b78d4560cce6}</vt:lpwstr>
  </property>
  <property fmtid="{D5CDD505-2E9C-101B-9397-08002B2CF9AE}" pid="7" name="RecordPoint_ActiveItemWebId">
    <vt:lpwstr>{b7c039af-f7f5-4da5-85d1-e8d35c7b40e5}</vt:lpwstr>
  </property>
  <property fmtid="{D5CDD505-2E9C-101B-9397-08002B2CF9AE}" pid="8" name="IconOverlay">
    <vt:lpwstr/>
  </property>
  <property fmtid="{D5CDD505-2E9C-101B-9397-08002B2CF9AE}" pid="9" name="RecordPoint_RecordNumberSubmitted">
    <vt:lpwstr>R0000011438</vt:lpwstr>
  </property>
  <property fmtid="{D5CDD505-2E9C-101B-9397-08002B2CF9AE}" pid="10" name="ZOTERO_PREF_2">
    <vt:lpwstr>lue="true"/&gt;&lt;pref name="automaticJournalAbbreviations" value="true"/&gt;&lt;pref name="noteType" value="0"/&gt;&lt;/prefs&gt;&lt;/data&gt;</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ZOTERO_PREF_1">
    <vt:lpwstr>&lt;data data-version="3" zotero-version="4.0.20"&gt;&lt;session id="8Azo6pv0"/&gt;&lt;style id="http://www.zotero.org/styles/unisa-harvard" hasBibliography="1" bibliographyStyleHasBeenSet="0"/&gt;&lt;prefs&gt;&lt;pref name="fieldType" value="Field"/&gt;&lt;pref name="storeReferences" va</vt:lpwstr>
  </property>
  <property fmtid="{D5CDD505-2E9C-101B-9397-08002B2CF9AE}" pid="15" name="RecordPoint_SubmissionCompleted">
    <vt:lpwstr>2015-04-13T14:05:39.9737651+10:00</vt:lpwstr>
  </property>
</Properties>
</file>