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D3AB7C" w14:textId="56B346F2" w:rsidR="000F2637" w:rsidRPr="000F2637" w:rsidRDefault="000F2637" w:rsidP="000F2637">
      <w:pPr>
        <w:pStyle w:val="Heading1"/>
        <w:rPr>
          <w:color w:val="FFFFFF" w:themeColor="background1"/>
          <w:sz w:val="12"/>
          <w:szCs w:val="12"/>
        </w:rPr>
      </w:pPr>
      <w:proofErr w:type="gramStart"/>
      <w:r w:rsidRPr="000F2637">
        <w:rPr>
          <w:color w:val="FFFFFF" w:themeColor="background1"/>
          <w:sz w:val="12"/>
          <w:szCs w:val="12"/>
        </w:rPr>
        <w:t>Examining Barriers to More Efficient Gas Markets.</w:t>
      </w:r>
      <w:proofErr w:type="gramEnd"/>
      <w:r w:rsidRPr="000F2637">
        <w:rPr>
          <w:color w:val="FFFFFF" w:themeColor="background1"/>
          <w:sz w:val="12"/>
          <w:szCs w:val="12"/>
        </w:rPr>
        <w:t xml:space="preserve"> </w:t>
      </w:r>
      <w:proofErr w:type="gramStart"/>
      <w:r w:rsidRPr="000F2637">
        <w:rPr>
          <w:color w:val="FFFFFF" w:themeColor="background1"/>
          <w:sz w:val="12"/>
          <w:szCs w:val="12"/>
        </w:rPr>
        <w:t>Productivity Commission Research Paper.</w:t>
      </w:r>
      <w:proofErr w:type="gramEnd"/>
      <w:r w:rsidRPr="000F2637">
        <w:rPr>
          <w:color w:val="FFFFFF" w:themeColor="background1"/>
          <w:sz w:val="12"/>
          <w:szCs w:val="12"/>
        </w:rPr>
        <w:t xml:space="preserve"> March 2015.</w:t>
      </w:r>
      <w:bookmarkStart w:id="0" w:name="_GoBack"/>
      <w:bookmarkEnd w:id="0"/>
    </w:p>
    <w:p w14:paraId="7907FD7D" w14:textId="31533F09" w:rsidR="00B04D19" w:rsidRDefault="000F2637" w:rsidP="00CD5E6B">
      <w:pPr>
        <w:pStyle w:val="BodyText"/>
        <w:rPr>
          <w:b/>
          <w:szCs w:val="26"/>
        </w:rPr>
      </w:pPr>
      <w:r>
        <w:rPr>
          <w:noProof/>
        </w:rPr>
        <w:drawing>
          <wp:anchor distT="0" distB="0" distL="114300" distR="114300" simplePos="0" relativeHeight="251658240" behindDoc="0" locked="0" layoutInCell="1" allowOverlap="1" wp14:anchorId="4E963BD3" wp14:editId="1AE99905">
            <wp:simplePos x="0" y="0"/>
            <wp:positionH relativeFrom="page">
              <wp:align>center</wp:align>
            </wp:positionH>
            <wp:positionV relativeFrom="page">
              <wp:align>center</wp:align>
            </wp:positionV>
            <wp:extent cx="7527600" cy="10692000"/>
            <wp:effectExtent l="0" t="0" r="0" b="0"/>
            <wp:wrapNone/>
            <wp:docPr id="1" name="Picture 1" descr="Cover for Examining Barriers to More Efficient Gas Markets. Productivity Commission Research Paper. March 2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paper-gas-cover-web.png"/>
                    <pic:cNvPicPr/>
                  </pic:nvPicPr>
                  <pic:blipFill>
                    <a:blip r:embed="rId14">
                      <a:extLst>
                        <a:ext uri="{28A0092B-C50C-407E-A947-70E740481C1C}">
                          <a14:useLocalDpi xmlns:a14="http://schemas.microsoft.com/office/drawing/2010/main" val="0"/>
                        </a:ext>
                      </a:extLst>
                    </a:blip>
                    <a:stretch>
                      <a:fillRect/>
                    </a:stretch>
                  </pic:blipFill>
                  <pic:spPr>
                    <a:xfrm>
                      <a:off x="0" y="0"/>
                      <a:ext cx="7527600" cy="10692000"/>
                    </a:xfrm>
                    <a:prstGeom prst="rect">
                      <a:avLst/>
                    </a:prstGeom>
                  </pic:spPr>
                </pic:pic>
              </a:graphicData>
            </a:graphic>
            <wp14:sizeRelH relativeFrom="page">
              <wp14:pctWidth>0</wp14:pctWidth>
            </wp14:sizeRelH>
            <wp14:sizeRelV relativeFrom="page">
              <wp14:pctHeight>0</wp14:pctHeight>
            </wp14:sizeRelV>
          </wp:anchor>
        </w:drawing>
      </w:r>
      <w:r w:rsidR="00B04D19">
        <w:br w:type="page"/>
      </w:r>
    </w:p>
    <w:p w14:paraId="2D5D6CE8" w14:textId="77777777"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0779EB">
        <w:t>5</w:t>
      </w:r>
    </w:p>
    <w:p w14:paraId="1E26EE67" w14:textId="43988D77" w:rsidR="00B765D5" w:rsidRPr="007809B8" w:rsidRDefault="00496B63">
      <w:pPr>
        <w:pStyle w:val="BodyText"/>
        <w:tabs>
          <w:tab w:val="left" w:pos="851"/>
        </w:tabs>
        <w:spacing w:before="200" w:after="120"/>
        <w:jc w:val="left"/>
        <w:rPr>
          <w:b/>
        </w:rPr>
      </w:pPr>
      <w:bookmarkStart w:id="1" w:name="ISSN"/>
      <w:bookmarkEnd w:id="1"/>
      <w:r>
        <w:rPr>
          <w:b/>
        </w:rPr>
        <w:t>ISBN</w:t>
      </w:r>
      <w:r>
        <w:rPr>
          <w:b/>
        </w:rPr>
        <w:tab/>
        <w:t>978-1-74037-538-2 (PDF</w:t>
      </w:r>
      <w:proofErr w:type="gramStart"/>
      <w:r>
        <w:rPr>
          <w:b/>
        </w:rPr>
        <w:t>)</w:t>
      </w:r>
      <w:proofErr w:type="gramEnd"/>
      <w:r w:rsidR="00B765D5">
        <w:rPr>
          <w:b/>
        </w:rPr>
        <w:br/>
        <w:t>ISBN</w:t>
      </w:r>
      <w:r w:rsidR="00B765D5">
        <w:rPr>
          <w:b/>
        </w:rPr>
        <w:tab/>
      </w:r>
      <w:r>
        <w:rPr>
          <w:b/>
        </w:rPr>
        <w:t>978-1-74037-539-9 (Print)</w:t>
      </w:r>
    </w:p>
    <w:p w14:paraId="0F109F6C" w14:textId="77777777" w:rsidR="008A3857" w:rsidRDefault="008A3857" w:rsidP="008E242D">
      <w:pPr>
        <w:pStyle w:val="BodyText"/>
        <w:spacing w:after="120"/>
      </w:pPr>
      <w:r w:rsidRPr="00862D8F">
        <w:rPr>
          <w:noProof/>
          <w:sz w:val="22"/>
          <w:szCs w:val="22"/>
        </w:rPr>
        <w:drawing>
          <wp:inline distT="0" distB="0" distL="0" distR="0" wp14:anchorId="6FEC8BED" wp14:editId="60C0F7FC">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30DBBA76"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w:t>
      </w:r>
      <w:proofErr w:type="gramStart"/>
      <w:r w:rsidRPr="008A3857">
        <w:t xml:space="preserve">visit </w:t>
      </w:r>
      <w:proofErr w:type="gramEnd"/>
      <w:r w:rsidR="003F33FB">
        <w:fldChar w:fldCharType="begin"/>
      </w:r>
      <w:r w:rsidR="003F33FB">
        <w:instrText xml:space="preserve"> HYPE</w:instrText>
      </w:r>
      <w:r w:rsidR="003F33FB">
        <w:instrText xml:space="preserve">RLINK "http://creativecommons.org/licenses/by/3.0/au" </w:instrText>
      </w:r>
      <w:r w:rsidR="003F33FB">
        <w:fldChar w:fldCharType="separate"/>
      </w:r>
      <w:hyperlink r:id="rId16" w:history="1">
        <w:r w:rsidRPr="00805FD7">
          <w:t>http://creativecommons.org/licenses/by/3.0/au</w:t>
        </w:r>
      </w:hyperlink>
      <w:r w:rsidR="003F33FB">
        <w:fldChar w:fldCharType="end"/>
      </w:r>
      <w:r w:rsidRPr="008A3857">
        <w:rPr>
          <w:sz w:val="24"/>
          <w:szCs w:val="24"/>
        </w:rPr>
        <w:t>.</w:t>
      </w:r>
      <w:r w:rsidRPr="008A3857">
        <w:t xml:space="preserve"> In essence, you are free to copy, communicate and adapt the work, as long as you attribute the work to the Productivity Commission (but not in any way that suggests the Commission </w:t>
      </w:r>
      <w:proofErr w:type="gramStart"/>
      <w:r w:rsidRPr="008A3857">
        <w:t>endorses</w:t>
      </w:r>
      <w:proofErr w:type="gramEnd"/>
      <w:r w:rsidRPr="008A3857">
        <w:t xml:space="preserve"> you or your use) and abide by the other licence terms.</w:t>
      </w:r>
    </w:p>
    <w:p w14:paraId="2C1553FB" w14:textId="77777777" w:rsidR="008A3857" w:rsidRPr="008A3857" w:rsidRDefault="008A3857" w:rsidP="008A3857">
      <w:pPr>
        <w:pStyle w:val="Copyrightsubtitle"/>
      </w:pPr>
      <w:r w:rsidRPr="008A3857">
        <w:t>Use of the Commonwealth Coat of Arms</w:t>
      </w:r>
    </w:p>
    <w:p w14:paraId="6910B9F6" w14:textId="4471F8C5" w:rsidR="008A3857" w:rsidRPr="008A3857" w:rsidRDefault="008A3857" w:rsidP="00BA0B81">
      <w:pPr>
        <w:pStyle w:val="Copyrightbodytext"/>
      </w:pPr>
      <w:r w:rsidRPr="008A3857">
        <w:t>For terms of use of the Coat of Arms visit the ‘</w:t>
      </w:r>
      <w:hyperlink r:id="rId17" w:history="1">
        <w:r w:rsidRPr="00805FD7">
          <w:t>It’s an Honour</w:t>
        </w:r>
      </w:hyperlink>
      <w:r w:rsidRPr="008A3857">
        <w:t>’ website</w:t>
      </w:r>
      <w:r w:rsidR="00122FE9" w:rsidRPr="00BA0B81">
        <w:t>:</w:t>
      </w:r>
      <w:r w:rsidRPr="00BA0B81">
        <w:t xml:space="preserve"> </w:t>
      </w:r>
      <w:r w:rsidR="00BA0B81" w:rsidRPr="00805FD7">
        <w:t>http://www.itsanhonour.gov.au</w:t>
      </w:r>
    </w:p>
    <w:p w14:paraId="3CB02C6B" w14:textId="77777777" w:rsidR="008A3857" w:rsidRPr="008A3857" w:rsidRDefault="008A3857" w:rsidP="008A3857">
      <w:pPr>
        <w:pStyle w:val="Copyrightsubtitle"/>
      </w:pPr>
      <w:r w:rsidRPr="008A3857">
        <w:t>Third party copyright</w:t>
      </w:r>
    </w:p>
    <w:p w14:paraId="002D26D7"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58A92BED" w14:textId="77777777" w:rsidR="008A3857" w:rsidRPr="008A3857" w:rsidRDefault="008A3857" w:rsidP="008A3857">
      <w:pPr>
        <w:pStyle w:val="Copyrightsubtitle"/>
      </w:pPr>
      <w:r w:rsidRPr="008A3857">
        <w:t>Attribution</w:t>
      </w:r>
    </w:p>
    <w:p w14:paraId="1211D752" w14:textId="66E074EF" w:rsidR="008A3857" w:rsidRPr="008A3857" w:rsidRDefault="008A3857" w:rsidP="00BA0B81">
      <w:pPr>
        <w:pStyle w:val="Copyrightbodytext"/>
      </w:pPr>
      <w:r w:rsidRPr="008A3857">
        <w:t xml:space="preserve">This work should be attributed as follows, </w:t>
      </w:r>
      <w:r w:rsidRPr="008E242D">
        <w:rPr>
          <w:i/>
        </w:rPr>
        <w:t xml:space="preserve">Source: Productivity Commission, </w:t>
      </w:r>
      <w:r w:rsidR="001F43F5">
        <w:rPr>
          <w:i/>
        </w:rPr>
        <w:t>Examining Barriers to More Efficient Gas Markets</w:t>
      </w:r>
      <w:r w:rsidRPr="008A3857">
        <w:t>.</w:t>
      </w:r>
    </w:p>
    <w:p w14:paraId="45622277" w14:textId="07B558E6" w:rsidR="008A3857" w:rsidRP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8E242D" w:rsidRPr="008E242D">
        <w:rPr>
          <w:i/>
        </w:rPr>
        <w:t xml:space="preserve">, </w:t>
      </w:r>
      <w:r w:rsidR="001F43F5">
        <w:rPr>
          <w:i/>
        </w:rPr>
        <w:t>Examining Barriers to More Efficient Gas Markets</w:t>
      </w:r>
      <w:r w:rsidRPr="008A3857">
        <w:t>.</w:t>
      </w:r>
    </w:p>
    <w:p w14:paraId="3AB0B864" w14:textId="77777777" w:rsidR="008A3857" w:rsidRPr="008A3857" w:rsidRDefault="008A3857" w:rsidP="008A3857">
      <w:pPr>
        <w:pStyle w:val="Copyrightsubtitle"/>
      </w:pPr>
      <w:r w:rsidRPr="008A3857">
        <w:t xml:space="preserve">An appropriate </w:t>
      </w:r>
      <w:r w:rsidR="00122FE9">
        <w:t>reference</w:t>
      </w:r>
      <w:r w:rsidRPr="008A3857">
        <w:t xml:space="preserve"> for this publication is:</w:t>
      </w:r>
    </w:p>
    <w:p w14:paraId="20567878" w14:textId="7629164B" w:rsidR="008A3857" w:rsidRPr="008A3857" w:rsidRDefault="001F43F5" w:rsidP="008A3857">
      <w:pPr>
        <w:pStyle w:val="Copyrightbodytext"/>
      </w:pPr>
      <w:proofErr w:type="gramStart"/>
      <w:r>
        <w:t>Productivity Commission 2015</w:t>
      </w:r>
      <w:r>
        <w:rPr>
          <w:sz w:val="23"/>
          <w:szCs w:val="23"/>
        </w:rPr>
        <w:t xml:space="preserve">, </w:t>
      </w:r>
      <w:r>
        <w:rPr>
          <w:i/>
        </w:rPr>
        <w:t>Examining Barriers to More Efficient Gas Markets</w:t>
      </w:r>
      <w:r>
        <w:rPr>
          <w:sz w:val="23"/>
          <w:szCs w:val="23"/>
        </w:rPr>
        <w:t xml:space="preserve">, </w:t>
      </w:r>
      <w:r>
        <w:t>Commi</w:t>
      </w:r>
      <w:r w:rsidR="006C451C">
        <w:t>ssion Research Paper, Canberra.</w:t>
      </w:r>
      <w:proofErr w:type="gramEnd"/>
    </w:p>
    <w:p w14:paraId="7E5E4CFD" w14:textId="77777777" w:rsidR="008A3857" w:rsidRPr="008A3857" w:rsidRDefault="008A3857" w:rsidP="008A3857">
      <w:pPr>
        <w:pStyle w:val="Copyrightsubtitle"/>
      </w:pPr>
      <w:bookmarkStart w:id="2" w:name="JEL"/>
      <w:bookmarkEnd w:id="2"/>
      <w:r w:rsidRPr="008A3857">
        <w:t>Publications enquiries</w:t>
      </w:r>
    </w:p>
    <w:p w14:paraId="30887048"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maps@pc.gov.au</w:t>
      </w:r>
    </w:p>
    <w:p w14:paraId="06C66014"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8A3857" w14:paraId="52298D59" w14:textId="77777777" w:rsidTr="002D5890">
        <w:tc>
          <w:tcPr>
            <w:tcW w:w="8771" w:type="dxa"/>
            <w:tcBorders>
              <w:top w:val="single" w:sz="6" w:space="0" w:color="78A22F"/>
              <w:left w:val="nil"/>
              <w:bottom w:val="nil"/>
              <w:right w:val="nil"/>
            </w:tcBorders>
            <w:shd w:val="clear" w:color="auto" w:fill="F2F2F2" w:themeFill="background1" w:themeFillShade="F2"/>
          </w:tcPr>
          <w:p w14:paraId="3C03356E"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1D5A6B3A" w14:textId="77777777" w:rsidTr="002D5890">
        <w:trPr>
          <w:cantSplit/>
        </w:trPr>
        <w:tc>
          <w:tcPr>
            <w:tcW w:w="8771" w:type="dxa"/>
            <w:tcBorders>
              <w:top w:val="nil"/>
              <w:left w:val="nil"/>
              <w:bottom w:val="nil"/>
              <w:right w:val="nil"/>
            </w:tcBorders>
            <w:shd w:val="clear" w:color="auto" w:fill="F2F2F2" w:themeFill="background1" w:themeFillShade="F2"/>
          </w:tcPr>
          <w:p w14:paraId="1B51D869"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57E13BAA"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051B6639" w14:textId="2C4B8CAC" w:rsidR="008A3857" w:rsidRDefault="008A3857" w:rsidP="00EC38C1">
            <w:pPr>
              <w:pStyle w:val="Box"/>
            </w:pPr>
            <w:r w:rsidRPr="00BB5DCF">
              <w:rPr>
                <w:szCs w:val="24"/>
              </w:rPr>
              <w:t>Further information on the Productivity Commission can be obtained from the Commission’s website (</w:t>
            </w:r>
            <w:r w:rsidRPr="00805FD7">
              <w:t>www.pc.gov.au</w:t>
            </w:r>
            <w:r w:rsidRPr="00BB5DCF">
              <w:rPr>
                <w:szCs w:val="24"/>
              </w:rPr>
              <w:t>)</w:t>
            </w:r>
            <w:r w:rsidR="00EC38C1">
              <w:rPr>
                <w:szCs w:val="24"/>
              </w:rPr>
              <w:t>.</w:t>
            </w:r>
          </w:p>
        </w:tc>
      </w:tr>
      <w:tr w:rsidR="008A3857" w14:paraId="35E256C9" w14:textId="77777777" w:rsidTr="002D5890">
        <w:trPr>
          <w:cantSplit/>
        </w:trPr>
        <w:tc>
          <w:tcPr>
            <w:tcW w:w="8771" w:type="dxa"/>
            <w:tcBorders>
              <w:top w:val="nil"/>
              <w:left w:val="nil"/>
              <w:bottom w:val="single" w:sz="6" w:space="0" w:color="78A22F"/>
              <w:right w:val="nil"/>
            </w:tcBorders>
            <w:shd w:val="clear" w:color="auto" w:fill="F2F2F2" w:themeFill="background1" w:themeFillShade="F2"/>
          </w:tcPr>
          <w:p w14:paraId="6B386294" w14:textId="77777777" w:rsidR="008A3857" w:rsidRDefault="008A3857" w:rsidP="002D5890">
            <w:pPr>
              <w:pStyle w:val="Box"/>
              <w:spacing w:before="0" w:line="120" w:lineRule="exact"/>
            </w:pPr>
          </w:p>
        </w:tc>
      </w:tr>
    </w:tbl>
    <w:p w14:paraId="15F4BAA8" w14:textId="77777777" w:rsidR="00735FEA" w:rsidRDefault="00735FEA">
      <w:pPr>
        <w:pStyle w:val="BodyText"/>
        <w:sectPr w:rsidR="00735FEA" w:rsidSect="00122FE9">
          <w:headerReference w:type="even" r:id="rId18"/>
          <w:headerReference w:type="default" r:id="rId19"/>
          <w:footerReference w:type="even" r:id="rId20"/>
          <w:footerReference w:type="default" r:id="rId21"/>
          <w:headerReference w:type="first" r:id="rId22"/>
          <w:footerReference w:type="first" r:id="rId23"/>
          <w:type w:val="oddPage"/>
          <w:pgSz w:w="11907" w:h="16840" w:code="9"/>
          <w:pgMar w:top="1304" w:right="1304" w:bottom="567" w:left="1814" w:header="1701" w:footer="397" w:gutter="0"/>
          <w:pgNumType w:fmt="lowerRoman" w:start="1"/>
          <w:cols w:space="720"/>
          <w:titlePg/>
        </w:sectPr>
      </w:pPr>
      <w:bookmarkStart w:id="3" w:name="cov"/>
      <w:bookmarkEnd w:id="3"/>
    </w:p>
    <w:p w14:paraId="686A45F1" w14:textId="6EE9EB00" w:rsidR="000D662E" w:rsidRDefault="00735FEA" w:rsidP="008206EE">
      <w:pPr>
        <w:pStyle w:val="Heading1NotTOC"/>
        <w:rPr>
          <w:noProof/>
        </w:rPr>
      </w:pPr>
      <w:bookmarkStart w:id="4" w:name="Contents"/>
      <w:bookmarkEnd w:id="4"/>
      <w:r w:rsidRPr="00B153C3">
        <w:lastRenderedPageBreak/>
        <w:t>Contents</w:t>
      </w:r>
      <w:bookmarkStart w:id="5" w:name="InsertContents"/>
      <w:bookmarkEnd w:id="5"/>
    </w:p>
    <w:p w14:paraId="132A0C15" w14:textId="62173676" w:rsidR="000D662E" w:rsidRDefault="000D662E" w:rsidP="000D662E">
      <w:pPr>
        <w:pStyle w:val="TOC1"/>
        <w:rPr>
          <w:rFonts w:asciiTheme="minorHAnsi" w:eastAsiaTheme="minorEastAsia" w:hAnsiTheme="minorHAnsi" w:cstheme="minorBidi"/>
          <w:b w:val="0"/>
          <w:noProof/>
          <w:sz w:val="22"/>
          <w:szCs w:val="22"/>
          <w:lang w:eastAsia="en-AU"/>
        </w:rPr>
      </w:pPr>
      <w:r>
        <w:rPr>
          <w:noProof/>
        </w:rPr>
        <w:t>Acknowledgments</w:t>
      </w:r>
      <w:r>
        <w:rPr>
          <w:noProof/>
        </w:rPr>
        <w:tab/>
        <w:t>v</w:t>
      </w:r>
    </w:p>
    <w:p w14:paraId="4F1E2DC3" w14:textId="01145487" w:rsidR="000D662E" w:rsidRDefault="000D662E" w:rsidP="000D662E">
      <w:pPr>
        <w:pStyle w:val="TOC1"/>
        <w:rPr>
          <w:rFonts w:asciiTheme="minorHAnsi" w:eastAsiaTheme="minorEastAsia" w:hAnsiTheme="minorHAnsi" w:cstheme="minorBidi"/>
          <w:b w:val="0"/>
          <w:noProof/>
          <w:sz w:val="22"/>
          <w:szCs w:val="22"/>
          <w:lang w:eastAsia="en-AU"/>
        </w:rPr>
      </w:pPr>
      <w:r>
        <w:rPr>
          <w:noProof/>
        </w:rPr>
        <w:t>Abbreviations and explanations</w:t>
      </w:r>
      <w:r>
        <w:rPr>
          <w:noProof/>
        </w:rPr>
        <w:tab/>
        <w:t>vi</w:t>
      </w:r>
    </w:p>
    <w:p w14:paraId="2DE4DF80" w14:textId="637DCB7F" w:rsidR="000D662E" w:rsidRDefault="00DA0848">
      <w:pPr>
        <w:pStyle w:val="TOC1"/>
        <w:rPr>
          <w:rFonts w:asciiTheme="minorHAnsi" w:eastAsiaTheme="minorEastAsia" w:hAnsiTheme="minorHAnsi" w:cstheme="minorBidi"/>
          <w:b w:val="0"/>
          <w:noProof/>
          <w:sz w:val="22"/>
          <w:szCs w:val="22"/>
          <w:lang w:eastAsia="en-AU"/>
        </w:rPr>
      </w:pPr>
      <w:r>
        <w:rPr>
          <w:noProof/>
        </w:rPr>
        <w:t>Overview</w:t>
      </w:r>
      <w:r>
        <w:rPr>
          <w:noProof/>
        </w:rPr>
        <w:tab/>
      </w:r>
      <w:r w:rsidR="002D6681">
        <w:rPr>
          <w:noProof/>
        </w:rPr>
        <w:t>1</w:t>
      </w:r>
    </w:p>
    <w:p w14:paraId="51569C23" w14:textId="77777777" w:rsidR="000D662E" w:rsidRDefault="000D662E">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About this report</w:t>
      </w:r>
      <w:r>
        <w:rPr>
          <w:noProof/>
        </w:rPr>
        <w:tab/>
        <w:t>25</w:t>
      </w:r>
    </w:p>
    <w:p w14:paraId="02B0C83B"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The eastern Australian gas market is changing</w:t>
      </w:r>
      <w:r>
        <w:rPr>
          <w:noProof/>
        </w:rPr>
        <w:tab/>
        <w:t>25</w:t>
      </w:r>
    </w:p>
    <w:p w14:paraId="52FE26EC"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Analytical approach</w:t>
      </w:r>
      <w:r>
        <w:rPr>
          <w:noProof/>
        </w:rPr>
        <w:tab/>
        <w:t>25</w:t>
      </w:r>
    </w:p>
    <w:p w14:paraId="7B27FB02"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Conduct of the project</w:t>
      </w:r>
      <w:r>
        <w:rPr>
          <w:noProof/>
        </w:rPr>
        <w:tab/>
        <w:t>26</w:t>
      </w:r>
    </w:p>
    <w:p w14:paraId="47D57350" w14:textId="77777777" w:rsidR="000D662E" w:rsidRDefault="000D662E">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Framework for analysis</w:t>
      </w:r>
      <w:r>
        <w:rPr>
          <w:noProof/>
        </w:rPr>
        <w:tab/>
        <w:t>29</w:t>
      </w:r>
    </w:p>
    <w:p w14:paraId="62B59A01"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Characteristics of a well</w:t>
      </w:r>
      <w:r>
        <w:rPr>
          <w:noProof/>
        </w:rPr>
        <w:noBreakHyphen/>
        <w:t>functioning market</w:t>
      </w:r>
      <w:r>
        <w:rPr>
          <w:noProof/>
        </w:rPr>
        <w:tab/>
        <w:t>29</w:t>
      </w:r>
    </w:p>
    <w:p w14:paraId="6BE1FF50"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Putting issues in gas markets into an economic context</w:t>
      </w:r>
      <w:r>
        <w:rPr>
          <w:noProof/>
        </w:rPr>
        <w:tab/>
        <w:t>31</w:t>
      </w:r>
    </w:p>
    <w:p w14:paraId="580C8FEE" w14:textId="77777777" w:rsidR="000D662E" w:rsidRDefault="000D662E">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Overview of Australian gas markets</w:t>
      </w:r>
      <w:r>
        <w:rPr>
          <w:noProof/>
        </w:rPr>
        <w:tab/>
        <w:t>35</w:t>
      </w:r>
    </w:p>
    <w:p w14:paraId="74FA7EA4"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Australian gas markets</w:t>
      </w:r>
      <w:r>
        <w:rPr>
          <w:noProof/>
        </w:rPr>
        <w:tab/>
        <w:t>35</w:t>
      </w:r>
    </w:p>
    <w:p w14:paraId="48D949F8" w14:textId="6EBA65DC"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 xml:space="preserve">Growth in LNG exports and </w:t>
      </w:r>
      <w:r w:rsidR="003A1621">
        <w:rPr>
          <w:noProof/>
        </w:rPr>
        <w:t>linkage to the Asia</w:t>
      </w:r>
      <w:r w:rsidR="003A1621">
        <w:rPr>
          <w:noProof/>
        </w:rPr>
        <w:noBreakHyphen/>
        <w:t>Pacific</w:t>
      </w:r>
      <w:r>
        <w:rPr>
          <w:noProof/>
        </w:rPr>
        <w:tab/>
        <w:t>43</w:t>
      </w:r>
    </w:p>
    <w:p w14:paraId="52F79A9D" w14:textId="77777777" w:rsidR="000D662E" w:rsidRDefault="000D662E">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Designing and allocating gas exploration and production rights</w:t>
      </w:r>
      <w:r>
        <w:rPr>
          <w:noProof/>
        </w:rPr>
        <w:tab/>
        <w:t>55</w:t>
      </w:r>
    </w:p>
    <w:p w14:paraId="7FF36BF9"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What is a tenement?</w:t>
      </w:r>
      <w:r>
        <w:rPr>
          <w:noProof/>
        </w:rPr>
        <w:tab/>
        <w:t>56</w:t>
      </w:r>
    </w:p>
    <w:p w14:paraId="388221B9"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Tenement design and the timing of exploration and production</w:t>
      </w:r>
      <w:r>
        <w:rPr>
          <w:noProof/>
        </w:rPr>
        <w:tab/>
        <w:t>58</w:t>
      </w:r>
    </w:p>
    <w:p w14:paraId="73549031"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4.3</w:t>
      </w:r>
      <w:r>
        <w:rPr>
          <w:rFonts w:asciiTheme="minorHAnsi" w:eastAsiaTheme="minorEastAsia" w:hAnsiTheme="minorHAnsi" w:cstheme="minorBidi"/>
          <w:noProof/>
          <w:sz w:val="22"/>
          <w:szCs w:val="22"/>
          <w:lang w:eastAsia="en-AU"/>
        </w:rPr>
        <w:tab/>
      </w:r>
      <w:r>
        <w:rPr>
          <w:noProof/>
        </w:rPr>
        <w:t>Allocation of exploration licences</w:t>
      </w:r>
      <w:r>
        <w:rPr>
          <w:noProof/>
        </w:rPr>
        <w:tab/>
        <w:t>64</w:t>
      </w:r>
    </w:p>
    <w:p w14:paraId="0E2CADC7" w14:textId="77777777" w:rsidR="000D662E" w:rsidRDefault="000D662E">
      <w:pPr>
        <w:pStyle w:val="TOC1"/>
        <w:rPr>
          <w:rFonts w:asciiTheme="minorHAnsi" w:eastAsiaTheme="minorEastAsia" w:hAnsiTheme="minorHAnsi" w:cstheme="minorBidi"/>
          <w:b w:val="0"/>
          <w:noProof/>
          <w:sz w:val="22"/>
          <w:szCs w:val="22"/>
          <w:lang w:eastAsia="en-AU"/>
        </w:rPr>
      </w:pPr>
      <w:r>
        <w:rPr>
          <w:noProof/>
        </w:rPr>
        <w:t>5</w:t>
      </w:r>
      <w:r>
        <w:rPr>
          <w:rFonts w:asciiTheme="minorHAnsi" w:eastAsiaTheme="minorEastAsia" w:hAnsiTheme="minorHAnsi" w:cstheme="minorBidi"/>
          <w:b w:val="0"/>
          <w:noProof/>
          <w:sz w:val="22"/>
          <w:szCs w:val="22"/>
          <w:lang w:eastAsia="en-AU"/>
        </w:rPr>
        <w:tab/>
      </w:r>
      <w:r>
        <w:rPr>
          <w:noProof/>
        </w:rPr>
        <w:t>Managing conflicting land uses</w:t>
      </w:r>
      <w:r>
        <w:rPr>
          <w:noProof/>
        </w:rPr>
        <w:tab/>
        <w:t>77</w:t>
      </w:r>
    </w:p>
    <w:p w14:paraId="63135613"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Managing the effects on directly affected landholders</w:t>
      </w:r>
      <w:r>
        <w:rPr>
          <w:noProof/>
        </w:rPr>
        <w:tab/>
        <w:t>78</w:t>
      </w:r>
    </w:p>
    <w:p w14:paraId="77DA0C3D" w14:textId="777777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Managing the effects of gas exploration and production on the broader community</w:t>
      </w:r>
      <w:r>
        <w:rPr>
          <w:noProof/>
        </w:rPr>
        <w:tab/>
        <w:t>86</w:t>
      </w:r>
    </w:p>
    <w:p w14:paraId="4162A601" w14:textId="3CE527C1" w:rsidR="000D662E" w:rsidRDefault="000D662E">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Policy issues in markets for transmission pipeline capacity</w:t>
      </w:r>
      <w:r>
        <w:rPr>
          <w:noProof/>
        </w:rPr>
        <w:tab/>
        <w:t>10</w:t>
      </w:r>
      <w:r w:rsidR="00A76DAA">
        <w:rPr>
          <w:noProof/>
        </w:rPr>
        <w:t>5</w:t>
      </w:r>
    </w:p>
    <w:p w14:paraId="0087399B" w14:textId="42303F60"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Pipeline capacity allocation and investment</w:t>
      </w:r>
      <w:r>
        <w:rPr>
          <w:noProof/>
        </w:rPr>
        <w:tab/>
        <w:t>10</w:t>
      </w:r>
      <w:r w:rsidR="00A76DAA">
        <w:rPr>
          <w:noProof/>
        </w:rPr>
        <w:t>6</w:t>
      </w:r>
    </w:p>
    <w:p w14:paraId="5EB98D21" w14:textId="156AEBE4"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Potential barriers to efficiency in transmission pipeline capacity markets</w:t>
      </w:r>
      <w:r>
        <w:rPr>
          <w:noProof/>
        </w:rPr>
        <w:tab/>
        <w:t>11</w:t>
      </w:r>
      <w:r w:rsidR="00A76DAA">
        <w:rPr>
          <w:noProof/>
        </w:rPr>
        <w:t>2</w:t>
      </w:r>
    </w:p>
    <w:p w14:paraId="0F681012" w14:textId="04F7D159"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lastRenderedPageBreak/>
        <w:t>6.3</w:t>
      </w:r>
      <w:r>
        <w:rPr>
          <w:rFonts w:asciiTheme="minorHAnsi" w:eastAsiaTheme="minorEastAsia" w:hAnsiTheme="minorHAnsi" w:cstheme="minorBidi"/>
          <w:noProof/>
          <w:sz w:val="22"/>
          <w:szCs w:val="22"/>
          <w:lang w:eastAsia="en-AU"/>
        </w:rPr>
        <w:tab/>
      </w:r>
      <w:r>
        <w:rPr>
          <w:noProof/>
        </w:rPr>
        <w:t>Assessing the case for policy change</w:t>
      </w:r>
      <w:r>
        <w:rPr>
          <w:noProof/>
        </w:rPr>
        <w:tab/>
        <w:t>11</w:t>
      </w:r>
      <w:r w:rsidR="00A76DAA">
        <w:rPr>
          <w:noProof/>
        </w:rPr>
        <w:t>7</w:t>
      </w:r>
    </w:p>
    <w:p w14:paraId="263D42C1" w14:textId="1D4A0431" w:rsidR="000D662E" w:rsidRDefault="000D662E">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A broad perspective on the case for policy reform</w:t>
      </w:r>
      <w:r>
        <w:rPr>
          <w:noProof/>
        </w:rPr>
        <w:tab/>
        <w:t>12</w:t>
      </w:r>
      <w:r w:rsidR="00A76DAA">
        <w:rPr>
          <w:noProof/>
        </w:rPr>
        <w:t>3</w:t>
      </w:r>
    </w:p>
    <w:p w14:paraId="1736B324" w14:textId="0BD32FCE"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Structural adjustment and policy reform</w:t>
      </w:r>
      <w:r>
        <w:rPr>
          <w:noProof/>
        </w:rPr>
        <w:tab/>
        <w:t>12</w:t>
      </w:r>
      <w:r w:rsidR="00A76DAA">
        <w:rPr>
          <w:noProof/>
        </w:rPr>
        <w:t>4</w:t>
      </w:r>
    </w:p>
    <w:p w14:paraId="28833B6E" w14:textId="5EB27077"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 xml:space="preserve">Market power </w:t>
      </w:r>
      <w:r w:rsidR="00A76DAA">
        <w:rPr>
          <w:noProof/>
        </w:rPr>
        <w:t>and policy reform</w:t>
      </w:r>
      <w:r w:rsidR="00A76DAA">
        <w:rPr>
          <w:noProof/>
        </w:rPr>
        <w:tab/>
        <w:t>129</w:t>
      </w:r>
    </w:p>
    <w:p w14:paraId="4D8BAC26" w14:textId="2C99A8F3" w:rsidR="000D662E" w:rsidRDefault="000D662E">
      <w:pPr>
        <w:pStyle w:val="TOC2"/>
        <w:tabs>
          <w:tab w:val="left" w:pos="1190"/>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What role then for policy reform?</w:t>
      </w:r>
      <w:r>
        <w:rPr>
          <w:noProof/>
        </w:rPr>
        <w:tab/>
        <w:t>13</w:t>
      </w:r>
      <w:r w:rsidR="00A76DAA">
        <w:rPr>
          <w:noProof/>
        </w:rPr>
        <w:t>3</w:t>
      </w:r>
    </w:p>
    <w:p w14:paraId="025808B2" w14:textId="18E17667" w:rsidR="000D662E" w:rsidRDefault="000D662E">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 xml:space="preserve">Conduct of the </w:t>
      </w:r>
      <w:r w:rsidR="00F763C1">
        <w:rPr>
          <w:noProof/>
        </w:rPr>
        <w:t>project</w:t>
      </w:r>
      <w:r>
        <w:rPr>
          <w:noProof/>
        </w:rPr>
        <w:tab/>
        <w:t>13</w:t>
      </w:r>
      <w:r w:rsidR="00A76DAA">
        <w:rPr>
          <w:noProof/>
        </w:rPr>
        <w:t>7</w:t>
      </w:r>
    </w:p>
    <w:p w14:paraId="065254CE" w14:textId="297758C7" w:rsidR="000D662E" w:rsidRDefault="000D662E">
      <w:pPr>
        <w:pStyle w:val="TOC1"/>
        <w:rPr>
          <w:rFonts w:asciiTheme="minorHAnsi" w:eastAsiaTheme="minorEastAsia" w:hAnsiTheme="minorHAnsi" w:cstheme="minorBidi"/>
          <w:b w:val="0"/>
          <w:noProof/>
          <w:sz w:val="22"/>
          <w:szCs w:val="22"/>
          <w:lang w:eastAsia="en-AU"/>
        </w:rPr>
      </w:pPr>
      <w:r>
        <w:rPr>
          <w:noProof/>
        </w:rPr>
        <w:t>References</w:t>
      </w:r>
      <w:r>
        <w:rPr>
          <w:noProof/>
        </w:rPr>
        <w:tab/>
        <w:t>14</w:t>
      </w:r>
      <w:r w:rsidR="00A76DAA">
        <w:rPr>
          <w:noProof/>
        </w:rPr>
        <w:t>1</w:t>
      </w:r>
    </w:p>
    <w:p w14:paraId="7071AC35" w14:textId="77777777" w:rsidR="000D662E" w:rsidRDefault="000D662E">
      <w:pPr>
        <w:pStyle w:val="BodyText"/>
      </w:pPr>
    </w:p>
    <w:p w14:paraId="53E854BB" w14:textId="77777777" w:rsidR="000D662E" w:rsidRDefault="000D662E">
      <w:pPr>
        <w:pStyle w:val="BodyText"/>
        <w:sectPr w:rsidR="000D662E" w:rsidSect="007448F7">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fmt="lowerRoman"/>
          <w:cols w:space="720"/>
        </w:sectPr>
      </w:pPr>
    </w:p>
    <w:p w14:paraId="15E9227F" w14:textId="77777777" w:rsidR="00B765D5" w:rsidRDefault="00B765D5">
      <w:pPr>
        <w:pStyle w:val="Heading1"/>
      </w:pPr>
      <w:bookmarkStart w:id="6" w:name="Abbreviations"/>
      <w:bookmarkStart w:id="7" w:name="RDnote"/>
      <w:bookmarkStart w:id="8" w:name="_Toc414873659"/>
      <w:bookmarkEnd w:id="6"/>
      <w:bookmarkEnd w:id="7"/>
      <w:r>
        <w:lastRenderedPageBreak/>
        <w:t>Acknowledgments</w:t>
      </w:r>
      <w:bookmarkEnd w:id="8"/>
    </w:p>
    <w:p w14:paraId="6C31EA87" w14:textId="7B523FF9" w:rsidR="00323868" w:rsidRPr="00323868" w:rsidRDefault="00323868" w:rsidP="00920745">
      <w:pPr>
        <w:pStyle w:val="BodyText"/>
      </w:pPr>
      <w:r w:rsidRPr="00323868">
        <w:t>The Commission is grateful to everyone who has taken the time to discuss the issues canvassed in this research project. Particular thanks</w:t>
      </w:r>
      <w:r w:rsidR="00560BAF">
        <w:t xml:space="preserve"> are</w:t>
      </w:r>
      <w:r w:rsidRPr="00323868">
        <w:t xml:space="preserve"> extended to those who participated in the Commission’s gas modelling </w:t>
      </w:r>
      <w:r w:rsidR="007C4F56">
        <w:t>workshop</w:t>
      </w:r>
      <w:r w:rsidR="007C4F56" w:rsidRPr="00323868">
        <w:t xml:space="preserve"> </w:t>
      </w:r>
      <w:r w:rsidRPr="00323868">
        <w:t xml:space="preserve">held in Melbourne on 4 February 2015 and the two </w:t>
      </w:r>
      <w:r w:rsidR="00560BAF">
        <w:t xml:space="preserve">external </w:t>
      </w:r>
      <w:r w:rsidRPr="00323868">
        <w:t>referees for the Commission’s gas model, Emeritus Professor Gordon MacAulay and Dr Graeme Bethune.</w:t>
      </w:r>
    </w:p>
    <w:p w14:paraId="44D54E8D" w14:textId="77777777" w:rsidR="00323868" w:rsidRPr="006C451C" w:rsidRDefault="00323868" w:rsidP="00920745">
      <w:pPr>
        <w:pStyle w:val="BodyText"/>
        <w:rPr>
          <w:spacing w:val="-2"/>
          <w:szCs w:val="24"/>
        </w:rPr>
      </w:pPr>
      <w:r w:rsidRPr="006C451C">
        <w:rPr>
          <w:spacing w:val="-2"/>
          <w:szCs w:val="24"/>
        </w:rPr>
        <w:t>The Commission would also like to thank officers of the Australian Energy Market Operator and the Core Energy Group for their assistance in providing detailed gas market data.</w:t>
      </w:r>
    </w:p>
    <w:p w14:paraId="3AB978FA" w14:textId="77777777" w:rsidR="00323868" w:rsidRDefault="00323868" w:rsidP="00920745">
      <w:pPr>
        <w:pStyle w:val="BodyText"/>
        <w:rPr>
          <w:szCs w:val="24"/>
        </w:rPr>
      </w:pPr>
      <w:r w:rsidRPr="00323868">
        <w:rPr>
          <w:szCs w:val="24"/>
        </w:rPr>
        <w:t>Finally, special thanks go to Commissioner Philip Weickhardt, who initiated the project and took it forward until his retirement from the Commission in December 2014.</w:t>
      </w:r>
    </w:p>
    <w:p w14:paraId="00096680" w14:textId="131E5FF4" w:rsidR="00CD7AE9" w:rsidRDefault="00CD7AE9" w:rsidP="00920745">
      <w:pPr>
        <w:pStyle w:val="BodyText"/>
        <w:rPr>
          <w:szCs w:val="24"/>
        </w:rPr>
      </w:pPr>
      <w:r>
        <w:rPr>
          <w:szCs w:val="24"/>
        </w:rPr>
        <w:t>Paul Lindwall</w:t>
      </w:r>
    </w:p>
    <w:p w14:paraId="433BEA47" w14:textId="6C976F4C" w:rsidR="00CD7AE9" w:rsidRDefault="00CD7AE9" w:rsidP="00CD7AE9">
      <w:pPr>
        <w:pStyle w:val="BodyText"/>
        <w:spacing w:before="20"/>
        <w:rPr>
          <w:szCs w:val="24"/>
        </w:rPr>
      </w:pPr>
      <w:r>
        <w:rPr>
          <w:szCs w:val="24"/>
        </w:rPr>
        <w:t>Commissioner</w:t>
      </w:r>
    </w:p>
    <w:p w14:paraId="6629B723" w14:textId="69639EF1" w:rsidR="00CD7AE9" w:rsidRPr="00323868" w:rsidRDefault="00CD7AE9" w:rsidP="00920745">
      <w:pPr>
        <w:pStyle w:val="BodyText"/>
        <w:rPr>
          <w:szCs w:val="24"/>
        </w:rPr>
      </w:pPr>
      <w:r>
        <w:rPr>
          <w:szCs w:val="24"/>
        </w:rPr>
        <w:t>31 March 2015</w:t>
      </w:r>
    </w:p>
    <w:p w14:paraId="39D8D70B" w14:textId="77777777" w:rsidR="00B765D5" w:rsidRPr="00883E8C" w:rsidRDefault="00B765D5" w:rsidP="00883E8C">
      <w:pPr>
        <w:pStyle w:val="BodyText"/>
        <w:rPr>
          <w:lang w:eastAsia="en-US"/>
        </w:rPr>
      </w:pPr>
    </w:p>
    <w:p w14:paraId="617CC9B6" w14:textId="77777777" w:rsidR="00B765D5" w:rsidRDefault="00B765D5">
      <w:pPr>
        <w:pStyle w:val="BodyText"/>
        <w:sectPr w:rsidR="00B765D5" w:rsidSect="00883E8C">
          <w:headerReference w:type="even" r:id="rId28"/>
          <w:headerReference w:type="default" r:id="rId29"/>
          <w:footerReference w:type="even" r:id="rId30"/>
          <w:footerReference w:type="default" r:id="rId31"/>
          <w:pgSz w:w="11906" w:h="16838" w:code="9"/>
          <w:pgMar w:top="1985" w:right="1304" w:bottom="1247" w:left="1814" w:header="1701" w:footer="397" w:gutter="0"/>
          <w:pgNumType w:fmt="lowerRoman"/>
          <w:cols w:space="708"/>
          <w:docGrid w:linePitch="360"/>
        </w:sectPr>
      </w:pPr>
    </w:p>
    <w:p w14:paraId="0792EB74" w14:textId="77777777" w:rsidR="00735FEA" w:rsidRDefault="00735FEA" w:rsidP="00F7477E">
      <w:pPr>
        <w:pStyle w:val="Heading1"/>
      </w:pPr>
      <w:bookmarkStart w:id="9" w:name="EndContents"/>
      <w:bookmarkStart w:id="10" w:name="_Toc414873660"/>
      <w:bookmarkEnd w:id="9"/>
      <w:r>
        <w:lastRenderedPageBreak/>
        <w:t>Abbreviations and explanations</w:t>
      </w:r>
      <w:bookmarkEnd w:id="10"/>
    </w:p>
    <w:p w14:paraId="5E2B94AC" w14:textId="77777777" w:rsidR="00735FEA" w:rsidRDefault="00735FEA" w:rsidP="00F7477E">
      <w:pPr>
        <w:pStyle w:val="Heading2NotTOC"/>
      </w:pPr>
      <w:r>
        <w:t>Abbrevia</w:t>
      </w:r>
      <w:r w:rsidRPr="00F85393">
        <w:t>t</w:t>
      </w:r>
      <w:r>
        <w:t>ions</w:t>
      </w:r>
    </w:p>
    <w:p w14:paraId="6CA186CB" w14:textId="1C8B4996" w:rsidR="002C0857" w:rsidRDefault="002C0857">
      <w:pPr>
        <w:pStyle w:val="Abbreviation"/>
      </w:pPr>
      <w:r>
        <w:t>ABS</w:t>
      </w:r>
      <w:r>
        <w:tab/>
        <w:t>Australian Bureau of Statistics</w:t>
      </w:r>
    </w:p>
    <w:p w14:paraId="2A2838E4" w14:textId="641B4DD4" w:rsidR="002C0857" w:rsidRDefault="002C0857">
      <w:pPr>
        <w:pStyle w:val="Abbreviation"/>
      </w:pPr>
      <w:r>
        <w:t>ACCC</w:t>
      </w:r>
      <w:r>
        <w:tab/>
        <w:t>Australian Competition and Consumer Commission</w:t>
      </w:r>
    </w:p>
    <w:p w14:paraId="111E5136" w14:textId="162EE94A" w:rsidR="00932F99" w:rsidRDefault="00932F99">
      <w:pPr>
        <w:pStyle w:val="Abbreviation"/>
      </w:pPr>
      <w:r>
        <w:t>AEMC</w:t>
      </w:r>
      <w:r>
        <w:tab/>
        <w:t>Australian Energy Market Commission</w:t>
      </w:r>
    </w:p>
    <w:p w14:paraId="507024B3" w14:textId="6F5A066D" w:rsidR="008B5000" w:rsidRDefault="008B5000">
      <w:pPr>
        <w:pStyle w:val="Abbreviation"/>
      </w:pPr>
      <w:r>
        <w:t>AEMO</w:t>
      </w:r>
      <w:r>
        <w:tab/>
        <w:t>Australian Energy Market Operator</w:t>
      </w:r>
    </w:p>
    <w:p w14:paraId="619D141E" w14:textId="531E41FC" w:rsidR="00932F99" w:rsidRDefault="00932F99">
      <w:pPr>
        <w:pStyle w:val="Abbreviation"/>
      </w:pPr>
      <w:r>
        <w:t>AER</w:t>
      </w:r>
      <w:r>
        <w:tab/>
        <w:t>Australian Energy Regulator</w:t>
      </w:r>
    </w:p>
    <w:p w14:paraId="21A49708" w14:textId="6E51C4E7" w:rsidR="00162B69" w:rsidRDefault="00162B69">
      <w:pPr>
        <w:pStyle w:val="Abbreviation"/>
      </w:pPr>
      <w:r>
        <w:t>AIG</w:t>
      </w:r>
      <w:r>
        <w:tab/>
        <w:t>Australian Industry Group</w:t>
      </w:r>
    </w:p>
    <w:p w14:paraId="489EC8B4" w14:textId="0E24AD1F" w:rsidR="00B76D1D" w:rsidRDefault="00B76D1D">
      <w:pPr>
        <w:pStyle w:val="Abbreviation"/>
      </w:pPr>
      <w:r>
        <w:t>AMDQ</w:t>
      </w:r>
      <w:r>
        <w:tab/>
        <w:t>Authorised Maximum Daily Quantity</w:t>
      </w:r>
    </w:p>
    <w:p w14:paraId="33B3D19A" w14:textId="42BE65D7" w:rsidR="003957CA" w:rsidRDefault="003957CA">
      <w:pPr>
        <w:pStyle w:val="Abbreviation"/>
      </w:pPr>
      <w:r>
        <w:t>APIA</w:t>
      </w:r>
      <w:r>
        <w:tab/>
        <w:t>Australian Pipeline Industry Association</w:t>
      </w:r>
    </w:p>
    <w:p w14:paraId="6119DC16" w14:textId="1FFB895B" w:rsidR="00A115A8" w:rsidRDefault="00A115A8">
      <w:pPr>
        <w:pStyle w:val="Abbreviation"/>
      </w:pPr>
      <w:r>
        <w:t>APPEA</w:t>
      </w:r>
      <w:r>
        <w:tab/>
        <w:t>Australian Petroleum Production and Exploration Association</w:t>
      </w:r>
    </w:p>
    <w:p w14:paraId="6BB56633" w14:textId="63C67F32" w:rsidR="008B5000" w:rsidRDefault="008B5000">
      <w:pPr>
        <w:pStyle w:val="Abbreviation"/>
      </w:pPr>
      <w:r>
        <w:t>BREE</w:t>
      </w:r>
      <w:r>
        <w:tab/>
        <w:t>Bureau of Resources and Energy Economics</w:t>
      </w:r>
    </w:p>
    <w:p w14:paraId="502FD849" w14:textId="3A38803F" w:rsidR="00EF0A6B" w:rsidRDefault="00EF0A6B">
      <w:pPr>
        <w:pStyle w:val="Abbreviation"/>
      </w:pPr>
      <w:r>
        <w:t>CGE</w:t>
      </w:r>
      <w:r>
        <w:tab/>
        <w:t xml:space="preserve">Computable general equilibrium </w:t>
      </w:r>
    </w:p>
    <w:p w14:paraId="48860D0A" w14:textId="6219BFBA" w:rsidR="00932F99" w:rsidRDefault="00932F99">
      <w:pPr>
        <w:pStyle w:val="Abbreviation"/>
      </w:pPr>
      <w:r>
        <w:t>COAG</w:t>
      </w:r>
      <w:r>
        <w:tab/>
        <w:t>Council of Australian Governments</w:t>
      </w:r>
    </w:p>
    <w:p w14:paraId="6C693E63" w14:textId="15D9E363" w:rsidR="002C0857" w:rsidRDefault="002C0857">
      <w:pPr>
        <w:pStyle w:val="Abbreviation"/>
      </w:pPr>
      <w:r>
        <w:t>CSG</w:t>
      </w:r>
      <w:r>
        <w:tab/>
        <w:t>Coal seam gas</w:t>
      </w:r>
    </w:p>
    <w:p w14:paraId="510A99F3" w14:textId="3F0C814A" w:rsidR="008B5000" w:rsidRDefault="008B5000">
      <w:pPr>
        <w:pStyle w:val="Abbreviation"/>
      </w:pPr>
      <w:r>
        <w:t>DTS</w:t>
      </w:r>
      <w:r>
        <w:tab/>
        <w:t>Declared Transmission System</w:t>
      </w:r>
    </w:p>
    <w:p w14:paraId="09841E62" w14:textId="674F4FE1" w:rsidR="00C679DE" w:rsidRDefault="00C679DE">
      <w:pPr>
        <w:pStyle w:val="Abbreviation"/>
      </w:pPr>
      <w:r>
        <w:t>DWGM</w:t>
      </w:r>
      <w:r>
        <w:tab/>
        <w:t>Declared Wholesale Gas Market</w:t>
      </w:r>
    </w:p>
    <w:p w14:paraId="68B85FA0" w14:textId="57AB8BBB" w:rsidR="00C679DE" w:rsidRDefault="00C679DE">
      <w:pPr>
        <w:pStyle w:val="Abbreviation"/>
      </w:pPr>
      <w:r>
        <w:t>ESAA</w:t>
      </w:r>
      <w:r>
        <w:tab/>
        <w:t>Energy Supply Association of Australia</w:t>
      </w:r>
    </w:p>
    <w:p w14:paraId="61D0D315" w14:textId="28BE5863" w:rsidR="003952D4" w:rsidRDefault="003952D4">
      <w:pPr>
        <w:pStyle w:val="Abbreviation"/>
      </w:pPr>
      <w:r>
        <w:t>EUAA</w:t>
      </w:r>
      <w:r>
        <w:tab/>
        <w:t>Energy Users Association of Australia</w:t>
      </w:r>
    </w:p>
    <w:p w14:paraId="20B86ED6" w14:textId="128516FB" w:rsidR="00932F99" w:rsidRDefault="00932F99">
      <w:pPr>
        <w:pStyle w:val="Abbreviation"/>
      </w:pPr>
      <w:r>
        <w:t>GDP</w:t>
      </w:r>
      <w:r>
        <w:tab/>
        <w:t>Gross domestic product</w:t>
      </w:r>
    </w:p>
    <w:p w14:paraId="02D81489" w14:textId="1C5F953A" w:rsidR="00E531CF" w:rsidRDefault="00E531CF">
      <w:pPr>
        <w:pStyle w:val="Abbreviation"/>
      </w:pPr>
      <w:r>
        <w:t>GJ</w:t>
      </w:r>
      <w:r>
        <w:tab/>
        <w:t>Gigajoule</w:t>
      </w:r>
    </w:p>
    <w:p w14:paraId="45439A88" w14:textId="0891AD48" w:rsidR="00A36966" w:rsidRDefault="00A36966">
      <w:pPr>
        <w:pStyle w:val="Abbreviation"/>
      </w:pPr>
      <w:r>
        <w:t>IPART</w:t>
      </w:r>
      <w:r>
        <w:tab/>
        <w:t>Independent Pricing and Regulatory Tribunal</w:t>
      </w:r>
    </w:p>
    <w:p w14:paraId="0C90F6C9" w14:textId="66F1D2A6" w:rsidR="00A24040" w:rsidRDefault="00A24040">
      <w:pPr>
        <w:pStyle w:val="Abbreviation"/>
      </w:pPr>
      <w:r>
        <w:t>JCC</w:t>
      </w:r>
      <w:r>
        <w:tab/>
        <w:t>Japan Customs-cleared Crude</w:t>
      </w:r>
    </w:p>
    <w:p w14:paraId="3A8B877F" w14:textId="0685B767" w:rsidR="002C0857" w:rsidRDefault="002C0857">
      <w:pPr>
        <w:pStyle w:val="Abbreviation"/>
      </w:pPr>
      <w:r>
        <w:t>LNG</w:t>
      </w:r>
      <w:r>
        <w:tab/>
        <w:t>Liquefied natural gas</w:t>
      </w:r>
    </w:p>
    <w:p w14:paraId="46E6AF6C" w14:textId="0D62C8A5" w:rsidR="007751DD" w:rsidRDefault="007751DD">
      <w:pPr>
        <w:pStyle w:val="Abbreviation"/>
      </w:pPr>
      <w:r>
        <w:t>MLUF</w:t>
      </w:r>
      <w:r>
        <w:tab/>
        <w:t>Multiple Land Use Framework</w:t>
      </w:r>
    </w:p>
    <w:p w14:paraId="3D62FBC0" w14:textId="7DACF6E8" w:rsidR="001C64A4" w:rsidRDefault="001C64A4">
      <w:pPr>
        <w:pStyle w:val="Abbreviation"/>
      </w:pPr>
      <w:proofErr w:type="spellStart"/>
      <w:r>
        <w:t>MMBtu</w:t>
      </w:r>
      <w:proofErr w:type="spellEnd"/>
      <w:r>
        <w:tab/>
        <w:t>Million British Thermal Units</w:t>
      </w:r>
    </w:p>
    <w:p w14:paraId="0A2048DD" w14:textId="52CEC2F4" w:rsidR="00A115A8" w:rsidRDefault="00A115A8">
      <w:pPr>
        <w:pStyle w:val="Abbreviation"/>
      </w:pPr>
      <w:proofErr w:type="spellStart"/>
      <w:r>
        <w:t>Mtpa</w:t>
      </w:r>
      <w:proofErr w:type="spellEnd"/>
      <w:r>
        <w:tab/>
        <w:t>Million tonnes per annum</w:t>
      </w:r>
    </w:p>
    <w:p w14:paraId="621313C2" w14:textId="455D423F" w:rsidR="00D74C6E" w:rsidRDefault="00D74C6E">
      <w:pPr>
        <w:pStyle w:val="Abbreviation"/>
      </w:pPr>
      <w:r>
        <w:t>NCC</w:t>
      </w:r>
      <w:r>
        <w:tab/>
        <w:t>National Competition Council</w:t>
      </w:r>
    </w:p>
    <w:p w14:paraId="7E7D6524" w14:textId="11CE6A0E" w:rsidR="00205560" w:rsidRDefault="00205560">
      <w:pPr>
        <w:pStyle w:val="Abbreviation"/>
      </w:pPr>
      <w:r>
        <w:lastRenderedPageBreak/>
        <w:t>NGL</w:t>
      </w:r>
      <w:r>
        <w:tab/>
        <w:t>National Gas Law</w:t>
      </w:r>
    </w:p>
    <w:p w14:paraId="4CB3D97B" w14:textId="1089591F" w:rsidR="00CB0AA7" w:rsidRDefault="00CB0AA7">
      <w:pPr>
        <w:pStyle w:val="Abbreviation"/>
      </w:pPr>
      <w:r>
        <w:t>NGR</w:t>
      </w:r>
      <w:r>
        <w:tab/>
        <w:t>National Gas Rules</w:t>
      </w:r>
    </w:p>
    <w:p w14:paraId="41249B85" w14:textId="77777777" w:rsidR="00735FEA" w:rsidRDefault="00735FEA">
      <w:pPr>
        <w:pStyle w:val="Abbreviation"/>
      </w:pPr>
      <w:r>
        <w:t>PC</w:t>
      </w:r>
      <w:r>
        <w:tab/>
        <w:t>Productivity Commission</w:t>
      </w:r>
    </w:p>
    <w:p w14:paraId="6D01FAB0" w14:textId="661C2AA6" w:rsidR="00932F99" w:rsidRDefault="00932F99">
      <w:pPr>
        <w:pStyle w:val="Abbreviation"/>
      </w:pPr>
      <w:r>
        <w:t>PJ</w:t>
      </w:r>
      <w:r>
        <w:tab/>
        <w:t xml:space="preserve">Petajoule </w:t>
      </w:r>
    </w:p>
    <w:p w14:paraId="5B84F946" w14:textId="136D5EDB" w:rsidR="00D61449" w:rsidRDefault="00D61449">
      <w:pPr>
        <w:pStyle w:val="Abbreviation"/>
      </w:pPr>
      <w:r>
        <w:t>SCER</w:t>
      </w:r>
      <w:r>
        <w:tab/>
        <w:t>Standing Council on Energy and Resources</w:t>
      </w:r>
    </w:p>
    <w:p w14:paraId="5DF87943" w14:textId="31AA56F0" w:rsidR="00E42D8B" w:rsidRDefault="00E42D8B">
      <w:pPr>
        <w:pStyle w:val="Abbreviation"/>
      </w:pPr>
      <w:r>
        <w:t>TJ</w:t>
      </w:r>
      <w:r>
        <w:tab/>
      </w:r>
      <w:proofErr w:type="spellStart"/>
      <w:r>
        <w:t>Terajoule</w:t>
      </w:r>
      <w:proofErr w:type="spellEnd"/>
    </w:p>
    <w:p w14:paraId="50021205" w14:textId="6C2D0075" w:rsidR="00735FEA" w:rsidRDefault="00735FEA" w:rsidP="00F7477E">
      <w:pPr>
        <w:pStyle w:val="Heading2NotTOC"/>
      </w:pPr>
      <w:r>
        <w:t>Explanations</w:t>
      </w:r>
    </w:p>
    <w:tbl>
      <w:tblPr>
        <w:tblW w:w="0" w:type="auto"/>
        <w:tblCellMar>
          <w:left w:w="0" w:type="dxa"/>
          <w:right w:w="0" w:type="dxa"/>
        </w:tblCellMar>
        <w:tblLook w:val="0000" w:firstRow="0" w:lastRow="0" w:firstColumn="0" w:lastColumn="0" w:noHBand="0" w:noVBand="0"/>
      </w:tblPr>
      <w:tblGrid>
        <w:gridCol w:w="2410"/>
        <w:gridCol w:w="6379"/>
      </w:tblGrid>
      <w:tr w:rsidR="00735FEA" w14:paraId="3D777768" w14:textId="77777777" w:rsidTr="000A5E12">
        <w:tc>
          <w:tcPr>
            <w:tcW w:w="2410" w:type="dxa"/>
          </w:tcPr>
          <w:p w14:paraId="521459BC" w14:textId="77777777" w:rsidR="00735FEA" w:rsidRDefault="00735FEA">
            <w:pPr>
              <w:pStyle w:val="BodyText"/>
              <w:spacing w:before="120"/>
              <w:ind w:right="6"/>
            </w:pPr>
            <w:r>
              <w:t>Billion</w:t>
            </w:r>
          </w:p>
        </w:tc>
        <w:tc>
          <w:tcPr>
            <w:tcW w:w="6379" w:type="dxa"/>
          </w:tcPr>
          <w:p w14:paraId="7D95703E" w14:textId="77777777" w:rsidR="00735FEA" w:rsidRDefault="00735FEA" w:rsidP="00F025C3">
            <w:pPr>
              <w:pStyle w:val="BodyText"/>
              <w:spacing w:before="120"/>
              <w:ind w:right="6"/>
            </w:pPr>
            <w:r>
              <w:t>The convention used for a billion is a thousand million (10</w:t>
            </w:r>
            <w:r>
              <w:rPr>
                <w:position w:val="6"/>
                <w:sz w:val="22"/>
              </w:rPr>
              <w:t>9</w:t>
            </w:r>
            <w:r>
              <w:t>).</w:t>
            </w:r>
          </w:p>
        </w:tc>
      </w:tr>
      <w:tr w:rsidR="00D87716" w14:paraId="75C5D0C5" w14:textId="77777777" w:rsidTr="000A5E12">
        <w:tc>
          <w:tcPr>
            <w:tcW w:w="2410" w:type="dxa"/>
          </w:tcPr>
          <w:p w14:paraId="68D2D721" w14:textId="27377C79" w:rsidR="00D87716" w:rsidRDefault="00D87716">
            <w:pPr>
              <w:pStyle w:val="BodyText"/>
              <w:spacing w:before="120"/>
              <w:ind w:right="6"/>
            </w:pPr>
            <w:r>
              <w:t>Btu</w:t>
            </w:r>
          </w:p>
        </w:tc>
        <w:tc>
          <w:tcPr>
            <w:tcW w:w="6379" w:type="dxa"/>
          </w:tcPr>
          <w:p w14:paraId="7B93F25D" w14:textId="0A0E4897" w:rsidR="00D87716" w:rsidRDefault="00D87716" w:rsidP="00F025C3">
            <w:pPr>
              <w:pStyle w:val="BodyText"/>
              <w:spacing w:before="120"/>
              <w:ind w:right="6"/>
            </w:pPr>
            <w:r>
              <w:t>British thermal unit, a measure of energy equivalent to 1055 joules</w:t>
            </w:r>
            <w:r w:rsidR="007B7CB5">
              <w:t>.</w:t>
            </w:r>
          </w:p>
        </w:tc>
      </w:tr>
      <w:tr w:rsidR="0029148E" w14:paraId="55B893E8" w14:textId="77777777" w:rsidTr="000A5E12">
        <w:tc>
          <w:tcPr>
            <w:tcW w:w="2410" w:type="dxa"/>
          </w:tcPr>
          <w:p w14:paraId="50FEA53A" w14:textId="236AFAFD" w:rsidR="0029148E" w:rsidRDefault="0029148E">
            <w:pPr>
              <w:pStyle w:val="BodyText"/>
              <w:spacing w:before="120"/>
              <w:ind w:right="6"/>
            </w:pPr>
            <w:r>
              <w:t>Gigajoule</w:t>
            </w:r>
          </w:p>
        </w:tc>
        <w:tc>
          <w:tcPr>
            <w:tcW w:w="6379" w:type="dxa"/>
          </w:tcPr>
          <w:p w14:paraId="541571B8" w14:textId="11EA00C4" w:rsidR="0029148E" w:rsidRDefault="0029148E" w:rsidP="00F025C3">
            <w:pPr>
              <w:pStyle w:val="BodyText"/>
              <w:spacing w:before="120"/>
              <w:ind w:right="6"/>
            </w:pPr>
            <w:r>
              <w:t>A measure of energy equivalent to one billion (10</w:t>
            </w:r>
            <w:r>
              <w:rPr>
                <w:position w:val="6"/>
                <w:sz w:val="22"/>
              </w:rPr>
              <w:t>9</w:t>
            </w:r>
            <w:r>
              <w:t xml:space="preserve">) joules </w:t>
            </w:r>
          </w:p>
        </w:tc>
      </w:tr>
      <w:tr w:rsidR="00181188" w14:paraId="5550C85A" w14:textId="77777777" w:rsidTr="000A5E12">
        <w:tc>
          <w:tcPr>
            <w:tcW w:w="2410" w:type="dxa"/>
          </w:tcPr>
          <w:p w14:paraId="23378D5F" w14:textId="15A64340" w:rsidR="00181188" w:rsidRDefault="009D7C61">
            <w:pPr>
              <w:pStyle w:val="BodyText"/>
              <w:spacing w:before="120"/>
              <w:ind w:right="6"/>
            </w:pPr>
            <w:r>
              <w:t>Joule</w:t>
            </w:r>
          </w:p>
        </w:tc>
        <w:tc>
          <w:tcPr>
            <w:tcW w:w="6379" w:type="dxa"/>
          </w:tcPr>
          <w:p w14:paraId="25374B4E" w14:textId="1B8D6A7C" w:rsidR="00181188" w:rsidRDefault="009D7C61" w:rsidP="00F025C3">
            <w:pPr>
              <w:pStyle w:val="BodyText"/>
              <w:spacing w:before="120"/>
              <w:ind w:right="6"/>
            </w:pPr>
            <w:r>
              <w:t>A unit of energy</w:t>
            </w:r>
            <w:r w:rsidR="008308BF">
              <w:t>; 4184 joules are required to raise the temperature of one kilogram of water by one degree Celsius</w:t>
            </w:r>
            <w:r w:rsidR="007B7CB5">
              <w:t>.</w:t>
            </w:r>
          </w:p>
        </w:tc>
      </w:tr>
      <w:tr w:rsidR="00691C00" w14:paraId="16E7B9B9" w14:textId="77777777" w:rsidTr="000A5E12">
        <w:tc>
          <w:tcPr>
            <w:tcW w:w="2410" w:type="dxa"/>
          </w:tcPr>
          <w:p w14:paraId="4D7394BA" w14:textId="0E583447" w:rsidR="00691C00" w:rsidRDefault="00691C00">
            <w:pPr>
              <w:pStyle w:val="BodyText"/>
              <w:spacing w:before="120"/>
              <w:ind w:right="6"/>
            </w:pPr>
            <w:r>
              <w:t>Megajoule</w:t>
            </w:r>
          </w:p>
        </w:tc>
        <w:tc>
          <w:tcPr>
            <w:tcW w:w="6379" w:type="dxa"/>
          </w:tcPr>
          <w:p w14:paraId="661D8E44" w14:textId="41F4E6E9" w:rsidR="00691C00" w:rsidRDefault="00691C00" w:rsidP="00F025C3">
            <w:pPr>
              <w:pStyle w:val="BodyText"/>
              <w:spacing w:before="120"/>
              <w:ind w:right="6"/>
            </w:pPr>
            <w:r>
              <w:t>A measure of energy equivalent to one million (10</w:t>
            </w:r>
            <w:r>
              <w:rPr>
                <w:position w:val="6"/>
                <w:sz w:val="22"/>
              </w:rPr>
              <w:t>6</w:t>
            </w:r>
            <w:r>
              <w:t>) joules.</w:t>
            </w:r>
          </w:p>
        </w:tc>
      </w:tr>
      <w:tr w:rsidR="006417F3" w14:paraId="18E8BA52" w14:textId="77777777" w:rsidTr="000A5E12">
        <w:tc>
          <w:tcPr>
            <w:tcW w:w="2410" w:type="dxa"/>
          </w:tcPr>
          <w:p w14:paraId="6557F156" w14:textId="37C502F6" w:rsidR="006417F3" w:rsidRDefault="006417F3">
            <w:pPr>
              <w:pStyle w:val="BodyText"/>
              <w:spacing w:before="120"/>
              <w:ind w:right="6"/>
            </w:pPr>
            <w:proofErr w:type="spellStart"/>
            <w:r>
              <w:t>MMBtu</w:t>
            </w:r>
            <w:proofErr w:type="spellEnd"/>
          </w:p>
        </w:tc>
        <w:tc>
          <w:tcPr>
            <w:tcW w:w="6379" w:type="dxa"/>
          </w:tcPr>
          <w:p w14:paraId="79D26E91" w14:textId="29281F52" w:rsidR="006417F3" w:rsidRDefault="006F1DA0" w:rsidP="00F025C3">
            <w:pPr>
              <w:pStyle w:val="BodyText"/>
              <w:spacing w:before="120"/>
              <w:ind w:right="6"/>
            </w:pPr>
            <w:r>
              <w:t>One million British thermal units, a</w:t>
            </w:r>
            <w:r w:rsidR="003A049D">
              <w:t xml:space="preserve"> measure of energy equivalent to 1.0551 × 10</w:t>
            </w:r>
            <w:r w:rsidR="003A049D" w:rsidRPr="003A049D">
              <w:rPr>
                <w:vertAlign w:val="superscript"/>
              </w:rPr>
              <w:t>9</w:t>
            </w:r>
            <w:r w:rsidR="003A049D">
              <w:t xml:space="preserve"> joules</w:t>
            </w:r>
            <w:r w:rsidR="00CA2787">
              <w:t>,</w:t>
            </w:r>
            <w:r w:rsidR="007B7CB5">
              <w:t xml:space="preserve"> or 1.0551 gigajoules.</w:t>
            </w:r>
          </w:p>
        </w:tc>
      </w:tr>
      <w:tr w:rsidR="00181188" w14:paraId="597C02D0" w14:textId="77777777" w:rsidTr="000A5E12">
        <w:tc>
          <w:tcPr>
            <w:tcW w:w="2410" w:type="dxa"/>
          </w:tcPr>
          <w:p w14:paraId="3A145FB2" w14:textId="0F8B3CE7" w:rsidR="00181188" w:rsidRDefault="009D7C61">
            <w:pPr>
              <w:pStyle w:val="BodyText"/>
              <w:spacing w:before="120"/>
              <w:ind w:right="6"/>
            </w:pPr>
            <w:r>
              <w:t>Petajoule</w:t>
            </w:r>
          </w:p>
        </w:tc>
        <w:tc>
          <w:tcPr>
            <w:tcW w:w="6379" w:type="dxa"/>
          </w:tcPr>
          <w:p w14:paraId="3AA7FC04" w14:textId="177F42A7" w:rsidR="00181188" w:rsidRDefault="009D7C61" w:rsidP="00F025C3">
            <w:pPr>
              <w:pStyle w:val="BodyText"/>
              <w:spacing w:before="120"/>
              <w:ind w:right="6"/>
            </w:pPr>
            <w:r>
              <w:t>A measure of energy equivalent to one quadrillion (10</w:t>
            </w:r>
            <w:r w:rsidRPr="0035416C">
              <w:rPr>
                <w:vertAlign w:val="superscript"/>
              </w:rPr>
              <w:t>15</w:t>
            </w:r>
            <w:r>
              <w:t>) joules</w:t>
            </w:r>
            <w:r w:rsidR="007B7CB5">
              <w:t>.</w:t>
            </w:r>
          </w:p>
        </w:tc>
      </w:tr>
      <w:tr w:rsidR="0035416C" w14:paraId="5056C536" w14:textId="77777777" w:rsidTr="000A5E12">
        <w:tc>
          <w:tcPr>
            <w:tcW w:w="2410" w:type="dxa"/>
          </w:tcPr>
          <w:p w14:paraId="12D43221" w14:textId="7922F9AE" w:rsidR="0035416C" w:rsidRDefault="009E04E1">
            <w:pPr>
              <w:pStyle w:val="BodyText"/>
              <w:spacing w:before="120"/>
              <w:ind w:right="6"/>
            </w:pPr>
            <w:proofErr w:type="spellStart"/>
            <w:r>
              <w:t>Terajoule</w:t>
            </w:r>
            <w:proofErr w:type="spellEnd"/>
          </w:p>
        </w:tc>
        <w:tc>
          <w:tcPr>
            <w:tcW w:w="6379" w:type="dxa"/>
          </w:tcPr>
          <w:p w14:paraId="7193DB73" w14:textId="0ECE4A31" w:rsidR="0035416C" w:rsidRDefault="009E04E1" w:rsidP="00F025C3">
            <w:pPr>
              <w:pStyle w:val="BodyText"/>
              <w:spacing w:before="120"/>
              <w:ind w:right="6"/>
            </w:pPr>
            <w:r>
              <w:t xml:space="preserve">A measure of energy equivalent to one </w:t>
            </w:r>
            <w:r w:rsidR="00281D44">
              <w:t>trillion (10</w:t>
            </w:r>
            <w:r w:rsidR="00281D44" w:rsidRPr="006417F3">
              <w:rPr>
                <w:vertAlign w:val="superscript"/>
              </w:rPr>
              <w:t>12</w:t>
            </w:r>
            <w:r w:rsidR="00281D44">
              <w:t>) joules</w:t>
            </w:r>
            <w:r w:rsidR="007B7CB5">
              <w:t>.</w:t>
            </w:r>
          </w:p>
        </w:tc>
      </w:tr>
    </w:tbl>
    <w:p w14:paraId="6FE458AE" w14:textId="77777777" w:rsidR="000D662E" w:rsidRPr="006C451C" w:rsidRDefault="000D662E" w:rsidP="006C451C">
      <w:pPr>
        <w:pStyle w:val="BodyText"/>
        <w:rPr>
          <w:rStyle w:val="CommentReference"/>
          <w:b w:val="0"/>
          <w:vanish w:val="0"/>
          <w:color w:val="auto"/>
          <w:sz w:val="24"/>
        </w:rPr>
      </w:pPr>
      <w:bookmarkStart w:id="11" w:name="Glossary"/>
      <w:bookmarkEnd w:id="11"/>
    </w:p>
    <w:sectPr w:rsidR="000D662E" w:rsidRPr="006C451C" w:rsidSect="00585B3F">
      <w:headerReference w:type="even" r:id="rId32"/>
      <w:headerReference w:type="default" r:id="rId33"/>
      <w:footerReference w:type="even" r:id="rId34"/>
      <w:footerReference w:type="default" r:id="rId35"/>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A68B3D" w14:textId="77777777" w:rsidR="00B765D5" w:rsidRDefault="00B765D5">
      <w:r>
        <w:separator/>
      </w:r>
    </w:p>
    <w:p w14:paraId="4F9C38C7" w14:textId="77777777" w:rsidR="00B765D5" w:rsidRDefault="00B765D5"/>
    <w:p w14:paraId="12EA1DA9" w14:textId="77777777" w:rsidR="00B765D5" w:rsidRDefault="00B765D5"/>
  </w:endnote>
  <w:endnote w:type="continuationSeparator" w:id="0">
    <w:p w14:paraId="46356270" w14:textId="77777777" w:rsidR="00B765D5" w:rsidRDefault="00B765D5">
      <w:r>
        <w:continuationSeparator/>
      </w:r>
    </w:p>
    <w:p w14:paraId="29F8C6DF" w14:textId="77777777" w:rsidR="00B765D5" w:rsidRDefault="00B765D5"/>
    <w:p w14:paraId="1A3F1FCC" w14:textId="77777777" w:rsidR="00B765D5" w:rsidRDefault="00B765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61BB45" w14:textId="77777777" w:rsidR="006C451C" w:rsidRDefault="006C451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CD31EE" w14:textId="77777777" w:rsidR="006C451C" w:rsidRDefault="006C451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160F29" w14:textId="77777777" w:rsidR="006C451C" w:rsidRDefault="006C451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163915B5" w14:textId="77777777" w:rsidTr="005F48ED">
      <w:trPr>
        <w:trHeight w:hRule="exact" w:val="567"/>
      </w:trPr>
      <w:tc>
        <w:tcPr>
          <w:tcW w:w="510" w:type="dxa"/>
        </w:tcPr>
        <w:p w14:paraId="641CF62F"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F33FB">
            <w:rPr>
              <w:rStyle w:val="PageNumber"/>
              <w:caps w:val="0"/>
              <w:noProof/>
            </w:rPr>
            <w:t>iv</w:t>
          </w:r>
          <w:r w:rsidRPr="00A24443">
            <w:rPr>
              <w:rStyle w:val="PageNumber"/>
              <w:caps w:val="0"/>
            </w:rPr>
            <w:fldChar w:fldCharType="end"/>
          </w:r>
        </w:p>
      </w:tc>
      <w:tc>
        <w:tcPr>
          <w:tcW w:w="7767" w:type="dxa"/>
        </w:tcPr>
        <w:p w14:paraId="03F540A9" w14:textId="210CA859" w:rsidR="004D3F58" w:rsidRPr="0013739A" w:rsidRDefault="006C451C" w:rsidP="0013739A">
          <w:pPr>
            <w:pStyle w:val="Footer"/>
            <w:rPr>
              <w:rFonts w:cs="Arial"/>
            </w:rPr>
          </w:pPr>
          <w:r>
            <w:rPr>
              <w:rFonts w:cs="Arial"/>
            </w:rPr>
            <w:t>Examining barriers to more efficient gas markets</w:t>
          </w:r>
        </w:p>
      </w:tc>
      <w:tc>
        <w:tcPr>
          <w:tcW w:w="510" w:type="dxa"/>
        </w:tcPr>
        <w:p w14:paraId="04DE04DC" w14:textId="77777777" w:rsidR="004D3F58" w:rsidRDefault="004D3F58" w:rsidP="0019293B">
          <w:pPr>
            <w:pStyle w:val="Footer"/>
          </w:pPr>
        </w:p>
      </w:tc>
    </w:tr>
  </w:tbl>
  <w:p w14:paraId="6312951C" w14:textId="77777777" w:rsidR="004D3F58" w:rsidRDefault="004D3F58" w:rsidP="0019293B">
    <w:pPr>
      <w:pStyle w:val="FooterEnd"/>
    </w:pPr>
  </w:p>
  <w:p w14:paraId="6FC9AB20" w14:textId="77777777" w:rsidR="00D37AC2" w:rsidRDefault="00D37AC2">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3FFC36E8" w14:textId="77777777" w:rsidTr="005F48ED">
      <w:trPr>
        <w:trHeight w:hRule="exact" w:val="567"/>
      </w:trPr>
      <w:tc>
        <w:tcPr>
          <w:tcW w:w="510" w:type="dxa"/>
        </w:tcPr>
        <w:p w14:paraId="1F6820A0" w14:textId="77777777" w:rsidR="007448F7" w:rsidRDefault="007448F7">
          <w:pPr>
            <w:pStyle w:val="Footer"/>
            <w:ind w:right="360" w:firstLine="360"/>
          </w:pPr>
        </w:p>
      </w:tc>
      <w:tc>
        <w:tcPr>
          <w:tcW w:w="7767" w:type="dxa"/>
        </w:tcPr>
        <w:p w14:paraId="3573A79E" w14:textId="77777777" w:rsidR="007448F7" w:rsidRPr="00BA5B14" w:rsidRDefault="007448F7" w:rsidP="007448F7">
          <w:pPr>
            <w:pStyle w:val="Footer"/>
            <w:jc w:val="right"/>
            <w:rPr>
              <w:rFonts w:cs="Arial"/>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0356F0" w:rsidRPr="000356F0">
            <w:rPr>
              <w:bCs/>
              <w:noProof/>
            </w:rPr>
            <w:t>Contents</w:t>
          </w:r>
          <w:r w:rsidRPr="008F7DB7">
            <w:rPr>
              <w:noProof/>
            </w:rPr>
            <w:fldChar w:fldCharType="end"/>
          </w:r>
          <w:r>
            <w:rPr>
              <w:rFonts w:cs="Arial"/>
            </w:rPr>
            <w:t xml:space="preserve"> </w:t>
          </w:r>
        </w:p>
      </w:tc>
      <w:tc>
        <w:tcPr>
          <w:tcW w:w="510" w:type="dxa"/>
        </w:tcPr>
        <w:p w14:paraId="0079B8D9"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0356F0">
            <w:rPr>
              <w:rStyle w:val="PageNumber"/>
              <w:caps w:val="0"/>
              <w:noProof/>
            </w:rPr>
            <w:t>iii</w:t>
          </w:r>
          <w:r w:rsidRPr="007448F7">
            <w:rPr>
              <w:rStyle w:val="PageNumber"/>
              <w:caps w:val="0"/>
            </w:rPr>
            <w:fldChar w:fldCharType="end"/>
          </w:r>
        </w:p>
      </w:tc>
    </w:tr>
  </w:tbl>
  <w:p w14:paraId="434F64D6" w14:textId="77777777" w:rsidR="007448F7" w:rsidRDefault="007448F7">
    <w:pPr>
      <w:pStyle w:val="FooterEnd"/>
    </w:pPr>
  </w:p>
  <w:p w14:paraId="1E48DA44" w14:textId="77777777" w:rsidR="00D37AC2" w:rsidRDefault="00D37AC2">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65D5" w14:paraId="284CB9A9" w14:textId="77777777" w:rsidTr="005F48ED">
      <w:trPr>
        <w:trHeight w:hRule="exact" w:val="567"/>
      </w:trPr>
      <w:tc>
        <w:tcPr>
          <w:tcW w:w="510" w:type="dxa"/>
        </w:tcPr>
        <w:p w14:paraId="14F4DFB1" w14:textId="77777777" w:rsidR="00B765D5" w:rsidRPr="00A24443" w:rsidRDefault="00B765D5"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D662E">
            <w:rPr>
              <w:rStyle w:val="PageNumber"/>
              <w:caps w:val="0"/>
              <w:noProof/>
            </w:rPr>
            <w:t>iv</w:t>
          </w:r>
          <w:r w:rsidRPr="00A24443">
            <w:rPr>
              <w:rStyle w:val="PageNumber"/>
              <w:caps w:val="0"/>
            </w:rPr>
            <w:fldChar w:fldCharType="end"/>
          </w:r>
        </w:p>
      </w:tc>
      <w:tc>
        <w:tcPr>
          <w:tcW w:w="7767" w:type="dxa"/>
        </w:tcPr>
        <w:p w14:paraId="28FF4866" w14:textId="77777777" w:rsidR="00B765D5" w:rsidRPr="0013739A" w:rsidRDefault="00B765D5" w:rsidP="00D71ABB">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0F2637">
            <w:rPr>
              <w:rFonts w:cs="Arial"/>
            </w:rPr>
            <w:t>Examining barriers to more efficient gas markets</w:t>
          </w:r>
          <w:r w:rsidRPr="00BA5B14">
            <w:rPr>
              <w:rFonts w:cs="Arial"/>
            </w:rPr>
            <w:fldChar w:fldCharType="end"/>
          </w:r>
        </w:p>
      </w:tc>
      <w:tc>
        <w:tcPr>
          <w:tcW w:w="510" w:type="dxa"/>
        </w:tcPr>
        <w:p w14:paraId="41CFC3F7" w14:textId="77777777" w:rsidR="00B765D5" w:rsidRDefault="00B765D5" w:rsidP="0019293B">
          <w:pPr>
            <w:pStyle w:val="Footer"/>
          </w:pPr>
        </w:p>
      </w:tc>
    </w:tr>
  </w:tbl>
  <w:p w14:paraId="3A292D75" w14:textId="77777777" w:rsidR="00B765D5" w:rsidRDefault="00B765D5" w:rsidP="0019293B">
    <w:pPr>
      <w:pStyle w:val="FooterEnd"/>
    </w:pPr>
  </w:p>
  <w:p w14:paraId="342ACBAD" w14:textId="77777777" w:rsidR="00B765D5" w:rsidRDefault="00B765D5">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B765D5" w14:paraId="3B74019B" w14:textId="77777777" w:rsidTr="005F48ED">
      <w:trPr>
        <w:trHeight w:hRule="exact" w:val="567"/>
      </w:trPr>
      <w:tc>
        <w:tcPr>
          <w:tcW w:w="510" w:type="dxa"/>
        </w:tcPr>
        <w:p w14:paraId="430F1ECE" w14:textId="77777777" w:rsidR="00B765D5" w:rsidRDefault="00B765D5">
          <w:pPr>
            <w:pStyle w:val="Footer"/>
            <w:ind w:right="360" w:firstLine="360"/>
          </w:pPr>
        </w:p>
      </w:tc>
      <w:tc>
        <w:tcPr>
          <w:tcW w:w="7767" w:type="dxa"/>
        </w:tcPr>
        <w:p w14:paraId="641ADF3E" w14:textId="77777777" w:rsidR="00B765D5" w:rsidRPr="00A90DAF" w:rsidRDefault="00B765D5" w:rsidP="00883E8C">
          <w:pPr>
            <w:pStyle w:val="Footer"/>
            <w:jc w:val="right"/>
            <w:rPr>
              <w:rFonts w:cs="Arial"/>
            </w:rPr>
          </w:pPr>
          <w:r w:rsidRPr="00A90DAF">
            <w:rPr>
              <w:noProof/>
            </w:rPr>
            <w:fldChar w:fldCharType="begin"/>
          </w:r>
          <w:r w:rsidRPr="00A90DAF">
            <w:rPr>
              <w:noProof/>
            </w:rPr>
            <w:instrText xml:space="preserve"> STYLEREF "Heading 1" \* MERGEFORMAT </w:instrText>
          </w:r>
          <w:r w:rsidRPr="00A90DAF">
            <w:rPr>
              <w:noProof/>
            </w:rPr>
            <w:fldChar w:fldCharType="separate"/>
          </w:r>
          <w:r w:rsidR="003F33FB" w:rsidRPr="003F33FB">
            <w:rPr>
              <w:bCs/>
              <w:noProof/>
              <w:lang w:val="en-US"/>
            </w:rPr>
            <w:t>Acknowledgments</w:t>
          </w:r>
          <w:r w:rsidRPr="00A90DAF">
            <w:rPr>
              <w:noProof/>
            </w:rPr>
            <w:fldChar w:fldCharType="end"/>
          </w:r>
        </w:p>
      </w:tc>
      <w:tc>
        <w:tcPr>
          <w:tcW w:w="510" w:type="dxa"/>
        </w:tcPr>
        <w:p w14:paraId="182A49B4" w14:textId="77777777" w:rsidR="00B765D5" w:rsidRPr="00A24443" w:rsidRDefault="00B765D5">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3F33FB">
            <w:rPr>
              <w:rStyle w:val="PageNumber"/>
              <w:caps w:val="0"/>
              <w:noProof/>
            </w:rPr>
            <w:t>v</w:t>
          </w:r>
          <w:r w:rsidRPr="00A24443">
            <w:rPr>
              <w:rStyle w:val="PageNumber"/>
              <w:caps w:val="0"/>
            </w:rPr>
            <w:fldChar w:fldCharType="end"/>
          </w:r>
        </w:p>
      </w:tc>
    </w:tr>
  </w:tbl>
  <w:p w14:paraId="17CB7EF9" w14:textId="77777777" w:rsidR="00B765D5" w:rsidRDefault="00B765D5">
    <w:pPr>
      <w:pStyle w:val="FooterEnd"/>
    </w:pPr>
  </w:p>
  <w:p w14:paraId="74EEC246" w14:textId="77777777" w:rsidR="00B765D5" w:rsidRDefault="00B765D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5D9DBB16" w14:textId="77777777" w:rsidTr="005F48ED">
      <w:trPr>
        <w:trHeight w:hRule="exact" w:val="567"/>
      </w:trPr>
      <w:tc>
        <w:tcPr>
          <w:tcW w:w="510" w:type="dxa"/>
        </w:tcPr>
        <w:p w14:paraId="3A8099B0"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3F33FB">
            <w:rPr>
              <w:rStyle w:val="PageNumber"/>
              <w:caps w:val="0"/>
              <w:noProof/>
            </w:rPr>
            <w:t>vi</w:t>
          </w:r>
          <w:r w:rsidRPr="007448F7">
            <w:rPr>
              <w:rStyle w:val="PageNumber"/>
              <w:caps w:val="0"/>
            </w:rPr>
            <w:fldChar w:fldCharType="end"/>
          </w:r>
        </w:p>
      </w:tc>
      <w:tc>
        <w:tcPr>
          <w:tcW w:w="7767" w:type="dxa"/>
        </w:tcPr>
        <w:p w14:paraId="00445A02" w14:textId="685284F8" w:rsidR="007448F7" w:rsidRPr="0013739A" w:rsidRDefault="006C451C" w:rsidP="00271B0C">
          <w:pPr>
            <w:pStyle w:val="Footer"/>
            <w:rPr>
              <w:rFonts w:cs="Arial"/>
            </w:rPr>
          </w:pPr>
          <w:r>
            <w:rPr>
              <w:rFonts w:cs="Arial"/>
            </w:rPr>
            <w:t>Examining barriers to more efficient gas markets</w:t>
          </w:r>
        </w:p>
      </w:tc>
      <w:tc>
        <w:tcPr>
          <w:tcW w:w="510" w:type="dxa"/>
        </w:tcPr>
        <w:p w14:paraId="192AF25A" w14:textId="77777777" w:rsidR="007448F7" w:rsidRDefault="007448F7" w:rsidP="0019293B">
          <w:pPr>
            <w:pStyle w:val="Footer"/>
          </w:pPr>
        </w:p>
      </w:tc>
    </w:tr>
  </w:tbl>
  <w:p w14:paraId="75EA5AB3" w14:textId="77777777" w:rsidR="007448F7" w:rsidRDefault="007448F7" w:rsidP="0019293B">
    <w:pPr>
      <w:pStyle w:val="FooterEnd"/>
    </w:pPr>
  </w:p>
  <w:p w14:paraId="7D04DF5F" w14:textId="77777777" w:rsidR="00D37AC2" w:rsidRDefault="00D37AC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1425049" w14:textId="77777777" w:rsidTr="005F48ED">
      <w:trPr>
        <w:trHeight w:hRule="exact" w:val="567"/>
      </w:trPr>
      <w:tc>
        <w:tcPr>
          <w:tcW w:w="510" w:type="dxa"/>
        </w:tcPr>
        <w:p w14:paraId="4AC0FC18" w14:textId="77777777" w:rsidR="00340511" w:rsidRDefault="00340511">
          <w:pPr>
            <w:pStyle w:val="Footer"/>
            <w:ind w:right="360" w:firstLine="360"/>
          </w:pPr>
        </w:p>
      </w:tc>
      <w:tc>
        <w:tcPr>
          <w:tcW w:w="7767" w:type="dxa"/>
        </w:tcPr>
        <w:p w14:paraId="3A4E6305" w14:textId="77777777" w:rsidR="00340511" w:rsidRPr="00340511" w:rsidRDefault="00340511" w:rsidP="00340511">
          <w:pPr>
            <w:pStyle w:val="Footer"/>
            <w:jc w:val="right"/>
            <w:rPr>
              <w:rFonts w:cs="Arial"/>
            </w:rPr>
          </w:pPr>
          <w:r w:rsidRPr="00340511">
            <w:rPr>
              <w:noProof/>
            </w:rPr>
            <w:fldChar w:fldCharType="begin"/>
          </w:r>
          <w:r w:rsidRPr="00340511">
            <w:rPr>
              <w:noProof/>
            </w:rPr>
            <w:instrText xml:space="preserve"> STYLEREF "Heading 1" \* MERGEFORMAT </w:instrText>
          </w:r>
          <w:r w:rsidRPr="00340511">
            <w:rPr>
              <w:noProof/>
            </w:rPr>
            <w:fldChar w:fldCharType="separate"/>
          </w:r>
          <w:r w:rsidR="000356F0" w:rsidRPr="000356F0">
            <w:rPr>
              <w:bCs/>
              <w:noProof/>
              <w:lang w:val="en-US"/>
            </w:rPr>
            <w:t>Abbreviations</w:t>
          </w:r>
          <w:r w:rsidR="000356F0">
            <w:rPr>
              <w:noProof/>
            </w:rPr>
            <w:t xml:space="preserve"> and explanations</w:t>
          </w:r>
          <w:r w:rsidRPr="00340511">
            <w:rPr>
              <w:noProof/>
            </w:rPr>
            <w:fldChar w:fldCharType="end"/>
          </w:r>
        </w:p>
      </w:tc>
      <w:tc>
        <w:tcPr>
          <w:tcW w:w="510" w:type="dxa"/>
        </w:tcPr>
        <w:p w14:paraId="5B55C765"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0356F0">
            <w:rPr>
              <w:rStyle w:val="PageNumber"/>
              <w:caps w:val="0"/>
              <w:noProof/>
            </w:rPr>
            <w:t>vii</w:t>
          </w:r>
          <w:r w:rsidRPr="00A24443">
            <w:rPr>
              <w:rStyle w:val="PageNumber"/>
              <w:caps w:val="0"/>
            </w:rPr>
            <w:fldChar w:fldCharType="end"/>
          </w:r>
        </w:p>
      </w:tc>
    </w:tr>
  </w:tbl>
  <w:p w14:paraId="647FDA60" w14:textId="77777777" w:rsidR="00340511" w:rsidRDefault="00340511">
    <w:pPr>
      <w:pStyle w:val="FooterEnd"/>
    </w:pPr>
  </w:p>
  <w:p w14:paraId="60B57CD2" w14:textId="77777777"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E28701" w14:textId="77777777" w:rsidR="00B765D5" w:rsidRDefault="00B765D5">
      <w:r>
        <w:separator/>
      </w:r>
    </w:p>
    <w:p w14:paraId="58B4D8FE" w14:textId="77777777" w:rsidR="00B765D5" w:rsidRDefault="00B765D5"/>
    <w:p w14:paraId="7E64A305" w14:textId="77777777" w:rsidR="00B765D5" w:rsidRDefault="00B765D5"/>
  </w:footnote>
  <w:footnote w:type="continuationSeparator" w:id="0">
    <w:p w14:paraId="408F79CE" w14:textId="77777777" w:rsidR="00B765D5" w:rsidRDefault="00B765D5">
      <w:r>
        <w:continuationSeparator/>
      </w:r>
    </w:p>
    <w:p w14:paraId="2CB7ED2B" w14:textId="77777777" w:rsidR="00B765D5" w:rsidRDefault="00B765D5"/>
    <w:p w14:paraId="6848F091" w14:textId="77777777" w:rsidR="00B765D5" w:rsidRDefault="00B765D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FAA38" w14:textId="77777777" w:rsidR="006C451C" w:rsidRDefault="006C45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7C8291" w14:textId="77777777" w:rsidR="006C451C" w:rsidRDefault="006C451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FD8FA1" w14:textId="77777777" w:rsidR="006C451C" w:rsidRDefault="006C451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5273A5F1" w14:textId="77777777">
      <w:tc>
        <w:tcPr>
          <w:tcW w:w="2155" w:type="dxa"/>
          <w:tcBorders>
            <w:top w:val="single" w:sz="24" w:space="0" w:color="auto"/>
          </w:tcBorders>
        </w:tcPr>
        <w:p w14:paraId="20C4E141" w14:textId="77777777" w:rsidR="00D37AC2" w:rsidRDefault="00D37AC2">
          <w:pPr>
            <w:pStyle w:val="Header"/>
          </w:pPr>
        </w:p>
      </w:tc>
      <w:tc>
        <w:tcPr>
          <w:tcW w:w="6634" w:type="dxa"/>
          <w:tcBorders>
            <w:top w:val="single" w:sz="6" w:space="0" w:color="auto"/>
          </w:tcBorders>
        </w:tcPr>
        <w:p w14:paraId="789AFA05" w14:textId="77777777" w:rsidR="00D37AC2" w:rsidRDefault="00D37AC2">
          <w:pPr>
            <w:pStyle w:val="Header"/>
          </w:pPr>
        </w:p>
      </w:tc>
    </w:tr>
  </w:tbl>
  <w:p w14:paraId="490265FD" w14:textId="77777777" w:rsidR="00D37AC2" w:rsidRDefault="00D37AC2">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38EF2AF5" w14:textId="77777777" w:rsidTr="005C68FE">
      <w:tc>
        <w:tcPr>
          <w:tcW w:w="6634" w:type="dxa"/>
          <w:tcBorders>
            <w:top w:val="single" w:sz="6" w:space="0" w:color="auto"/>
          </w:tcBorders>
        </w:tcPr>
        <w:p w14:paraId="106678FF" w14:textId="77777777" w:rsidR="00D37AC2" w:rsidRDefault="00D37AC2" w:rsidP="005C68FE">
          <w:pPr>
            <w:pStyle w:val="HeaderOdd"/>
          </w:pPr>
        </w:p>
      </w:tc>
      <w:tc>
        <w:tcPr>
          <w:tcW w:w="2155" w:type="dxa"/>
          <w:tcBorders>
            <w:top w:val="single" w:sz="24" w:space="0" w:color="auto"/>
          </w:tcBorders>
        </w:tcPr>
        <w:p w14:paraId="3DF12844" w14:textId="77777777" w:rsidR="00D37AC2" w:rsidRDefault="00D37AC2" w:rsidP="005C68FE">
          <w:pPr>
            <w:pStyle w:val="HeaderOdd"/>
          </w:pPr>
        </w:p>
      </w:tc>
    </w:tr>
  </w:tbl>
  <w:p w14:paraId="386FD4BB" w14:textId="77777777" w:rsidR="00D37AC2" w:rsidRPr="005C68FE" w:rsidRDefault="00D37AC2"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B765D5" w14:paraId="7F8290F7" w14:textId="77777777">
      <w:tc>
        <w:tcPr>
          <w:tcW w:w="2155" w:type="dxa"/>
          <w:tcBorders>
            <w:top w:val="single" w:sz="24" w:space="0" w:color="auto"/>
          </w:tcBorders>
        </w:tcPr>
        <w:p w14:paraId="2DD9FDED" w14:textId="77777777" w:rsidR="00B765D5" w:rsidRDefault="00B765D5">
          <w:pPr>
            <w:pStyle w:val="HeaderEven"/>
          </w:pPr>
        </w:p>
      </w:tc>
      <w:tc>
        <w:tcPr>
          <w:tcW w:w="6634" w:type="dxa"/>
          <w:tcBorders>
            <w:top w:val="single" w:sz="6" w:space="0" w:color="auto"/>
          </w:tcBorders>
        </w:tcPr>
        <w:p w14:paraId="0EB402F8" w14:textId="77777777" w:rsidR="00B765D5" w:rsidRDefault="00B765D5">
          <w:pPr>
            <w:pStyle w:val="HeaderEven"/>
          </w:pPr>
        </w:p>
      </w:tc>
    </w:tr>
  </w:tbl>
  <w:p w14:paraId="46E0F7A0" w14:textId="77777777" w:rsidR="00B765D5" w:rsidRDefault="00B765D5">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B765D5" w14:paraId="2236BF06" w14:textId="77777777">
      <w:tc>
        <w:tcPr>
          <w:tcW w:w="6634" w:type="dxa"/>
          <w:tcBorders>
            <w:top w:val="single" w:sz="6" w:space="0" w:color="auto"/>
          </w:tcBorders>
        </w:tcPr>
        <w:p w14:paraId="7980C4E6" w14:textId="77777777" w:rsidR="00B765D5" w:rsidRDefault="00B765D5">
          <w:pPr>
            <w:pStyle w:val="HeaderOdd"/>
          </w:pPr>
        </w:p>
      </w:tc>
      <w:tc>
        <w:tcPr>
          <w:tcW w:w="2155" w:type="dxa"/>
          <w:tcBorders>
            <w:top w:val="single" w:sz="24" w:space="0" w:color="auto"/>
            <w:bottom w:val="nil"/>
          </w:tcBorders>
        </w:tcPr>
        <w:p w14:paraId="368B5907" w14:textId="77777777" w:rsidR="00B765D5" w:rsidRDefault="00B765D5">
          <w:pPr>
            <w:pStyle w:val="HeaderOdd"/>
          </w:pPr>
        </w:p>
      </w:tc>
    </w:tr>
  </w:tbl>
  <w:p w14:paraId="7B665525" w14:textId="77777777" w:rsidR="00B765D5" w:rsidRDefault="00B765D5">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5D4E3E9A" w14:textId="77777777" w:rsidTr="005C68FE">
      <w:tc>
        <w:tcPr>
          <w:tcW w:w="2155" w:type="dxa"/>
          <w:tcBorders>
            <w:top w:val="single" w:sz="24" w:space="0" w:color="auto"/>
          </w:tcBorders>
        </w:tcPr>
        <w:p w14:paraId="7C401FAE" w14:textId="77777777" w:rsidR="00D37AC2" w:rsidRDefault="00D37AC2" w:rsidP="005C68FE">
          <w:pPr>
            <w:pStyle w:val="HeaderEven"/>
          </w:pPr>
        </w:p>
      </w:tc>
      <w:tc>
        <w:tcPr>
          <w:tcW w:w="6634" w:type="dxa"/>
          <w:tcBorders>
            <w:top w:val="single" w:sz="6" w:space="0" w:color="auto"/>
          </w:tcBorders>
        </w:tcPr>
        <w:p w14:paraId="391478AD" w14:textId="77777777" w:rsidR="00D37AC2" w:rsidRDefault="00D37AC2" w:rsidP="005C68FE">
          <w:pPr>
            <w:pStyle w:val="HeaderEven"/>
          </w:pPr>
        </w:p>
      </w:tc>
    </w:tr>
  </w:tbl>
  <w:p w14:paraId="0BBB48B4" w14:textId="77777777" w:rsidR="00D37AC2" w:rsidRDefault="00D37AC2" w:rsidP="00D732FE">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0FB8E5D7" w14:textId="77777777">
      <w:tc>
        <w:tcPr>
          <w:tcW w:w="6634" w:type="dxa"/>
          <w:tcBorders>
            <w:top w:val="single" w:sz="6" w:space="0" w:color="auto"/>
          </w:tcBorders>
        </w:tcPr>
        <w:p w14:paraId="7D5B9DBD" w14:textId="77777777" w:rsidR="00D37AC2" w:rsidRDefault="00D37AC2">
          <w:pPr>
            <w:pStyle w:val="HeaderOdd"/>
          </w:pPr>
        </w:p>
      </w:tc>
      <w:tc>
        <w:tcPr>
          <w:tcW w:w="2155" w:type="dxa"/>
          <w:tcBorders>
            <w:top w:val="single" w:sz="24" w:space="0" w:color="auto"/>
          </w:tcBorders>
        </w:tcPr>
        <w:p w14:paraId="4A3E4471" w14:textId="77777777" w:rsidR="00D37AC2" w:rsidRDefault="00D37AC2">
          <w:pPr>
            <w:pStyle w:val="HeaderOdd"/>
          </w:pPr>
        </w:p>
      </w:tc>
    </w:tr>
  </w:tbl>
  <w:p w14:paraId="4B7A5D3C" w14:textId="77777777"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mirrorMargins/>
  <w:proofState w:spelling="clean" w:grammar="clean"/>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65D5"/>
    <w:rsid w:val="00017AFC"/>
    <w:rsid w:val="00025878"/>
    <w:rsid w:val="00026B38"/>
    <w:rsid w:val="000356F0"/>
    <w:rsid w:val="000502D3"/>
    <w:rsid w:val="00052CB2"/>
    <w:rsid w:val="000623BF"/>
    <w:rsid w:val="000779EB"/>
    <w:rsid w:val="00095EEA"/>
    <w:rsid w:val="00097C15"/>
    <w:rsid w:val="000A0A0E"/>
    <w:rsid w:val="000A5E12"/>
    <w:rsid w:val="000B416E"/>
    <w:rsid w:val="000D662E"/>
    <w:rsid w:val="000F185F"/>
    <w:rsid w:val="000F2637"/>
    <w:rsid w:val="000F2F5F"/>
    <w:rsid w:val="00106041"/>
    <w:rsid w:val="0010611E"/>
    <w:rsid w:val="00122FE9"/>
    <w:rsid w:val="00131572"/>
    <w:rsid w:val="00131D4F"/>
    <w:rsid w:val="0013399B"/>
    <w:rsid w:val="00154FE2"/>
    <w:rsid w:val="00162B69"/>
    <w:rsid w:val="00180515"/>
    <w:rsid w:val="00181188"/>
    <w:rsid w:val="00181F4B"/>
    <w:rsid w:val="00190919"/>
    <w:rsid w:val="00196FB3"/>
    <w:rsid w:val="001A5071"/>
    <w:rsid w:val="001B4E73"/>
    <w:rsid w:val="001B7F1E"/>
    <w:rsid w:val="001C64A4"/>
    <w:rsid w:val="001D4B1F"/>
    <w:rsid w:val="001D6629"/>
    <w:rsid w:val="001E3390"/>
    <w:rsid w:val="001F2270"/>
    <w:rsid w:val="001F27A5"/>
    <w:rsid w:val="001F43F5"/>
    <w:rsid w:val="0020354C"/>
    <w:rsid w:val="00203B40"/>
    <w:rsid w:val="00205560"/>
    <w:rsid w:val="00205A82"/>
    <w:rsid w:val="00211BEE"/>
    <w:rsid w:val="002179C6"/>
    <w:rsid w:val="00261607"/>
    <w:rsid w:val="00263DD1"/>
    <w:rsid w:val="00264D3B"/>
    <w:rsid w:val="00265685"/>
    <w:rsid w:val="00271B0C"/>
    <w:rsid w:val="00281D44"/>
    <w:rsid w:val="00281D5F"/>
    <w:rsid w:val="0029148E"/>
    <w:rsid w:val="002923AD"/>
    <w:rsid w:val="00296592"/>
    <w:rsid w:val="002A0A4B"/>
    <w:rsid w:val="002A499E"/>
    <w:rsid w:val="002B636E"/>
    <w:rsid w:val="002B64D6"/>
    <w:rsid w:val="002C0857"/>
    <w:rsid w:val="002C12F5"/>
    <w:rsid w:val="002D6681"/>
    <w:rsid w:val="002D6FCE"/>
    <w:rsid w:val="00323868"/>
    <w:rsid w:val="00340511"/>
    <w:rsid w:val="0035416C"/>
    <w:rsid w:val="0036112D"/>
    <w:rsid w:val="00383638"/>
    <w:rsid w:val="0038647D"/>
    <w:rsid w:val="00393A49"/>
    <w:rsid w:val="003952D4"/>
    <w:rsid w:val="003957CA"/>
    <w:rsid w:val="003A049D"/>
    <w:rsid w:val="003A1621"/>
    <w:rsid w:val="003B41E0"/>
    <w:rsid w:val="003C3D73"/>
    <w:rsid w:val="003D624D"/>
    <w:rsid w:val="003E7802"/>
    <w:rsid w:val="003F33FB"/>
    <w:rsid w:val="0041001F"/>
    <w:rsid w:val="0042007A"/>
    <w:rsid w:val="00433C81"/>
    <w:rsid w:val="00446D6B"/>
    <w:rsid w:val="00457B3F"/>
    <w:rsid w:val="00463022"/>
    <w:rsid w:val="00481CF0"/>
    <w:rsid w:val="00496B63"/>
    <w:rsid w:val="004B492A"/>
    <w:rsid w:val="004C0B0C"/>
    <w:rsid w:val="004D3F58"/>
    <w:rsid w:val="004E52E2"/>
    <w:rsid w:val="004E6BB4"/>
    <w:rsid w:val="004E7D3C"/>
    <w:rsid w:val="00515D43"/>
    <w:rsid w:val="0052544D"/>
    <w:rsid w:val="00526B19"/>
    <w:rsid w:val="00551FB8"/>
    <w:rsid w:val="005537F6"/>
    <w:rsid w:val="00560BAF"/>
    <w:rsid w:val="00560F43"/>
    <w:rsid w:val="005654D0"/>
    <w:rsid w:val="00585B3F"/>
    <w:rsid w:val="005A6A60"/>
    <w:rsid w:val="005B17AB"/>
    <w:rsid w:val="005C68FE"/>
    <w:rsid w:val="005F7D30"/>
    <w:rsid w:val="00602523"/>
    <w:rsid w:val="006040CB"/>
    <w:rsid w:val="00604351"/>
    <w:rsid w:val="00607D8A"/>
    <w:rsid w:val="0061590F"/>
    <w:rsid w:val="00636497"/>
    <w:rsid w:val="006417F3"/>
    <w:rsid w:val="00641AE2"/>
    <w:rsid w:val="0064456A"/>
    <w:rsid w:val="00650DDA"/>
    <w:rsid w:val="0065126A"/>
    <w:rsid w:val="00653FA6"/>
    <w:rsid w:val="0067557D"/>
    <w:rsid w:val="006802D4"/>
    <w:rsid w:val="00683849"/>
    <w:rsid w:val="00686DF6"/>
    <w:rsid w:val="00691AB5"/>
    <w:rsid w:val="00691C00"/>
    <w:rsid w:val="006C451C"/>
    <w:rsid w:val="006E1E6B"/>
    <w:rsid w:val="006F0EAC"/>
    <w:rsid w:val="006F1DA0"/>
    <w:rsid w:val="006F6A85"/>
    <w:rsid w:val="0070328D"/>
    <w:rsid w:val="00731F96"/>
    <w:rsid w:val="00734127"/>
    <w:rsid w:val="00734820"/>
    <w:rsid w:val="00735FEA"/>
    <w:rsid w:val="00743460"/>
    <w:rsid w:val="00743A27"/>
    <w:rsid w:val="007448F7"/>
    <w:rsid w:val="0075110C"/>
    <w:rsid w:val="00753DC6"/>
    <w:rsid w:val="0075578C"/>
    <w:rsid w:val="00766DFB"/>
    <w:rsid w:val="007734B5"/>
    <w:rsid w:val="007751DD"/>
    <w:rsid w:val="007809B8"/>
    <w:rsid w:val="007813A6"/>
    <w:rsid w:val="007B7CB5"/>
    <w:rsid w:val="007C4F56"/>
    <w:rsid w:val="007D2265"/>
    <w:rsid w:val="007F16A4"/>
    <w:rsid w:val="00805FD7"/>
    <w:rsid w:val="00806E54"/>
    <w:rsid w:val="008206EE"/>
    <w:rsid w:val="008214B1"/>
    <w:rsid w:val="008273A9"/>
    <w:rsid w:val="008308BF"/>
    <w:rsid w:val="00836ED7"/>
    <w:rsid w:val="0084355E"/>
    <w:rsid w:val="008453AC"/>
    <w:rsid w:val="008527D2"/>
    <w:rsid w:val="00860D09"/>
    <w:rsid w:val="00862044"/>
    <w:rsid w:val="00880BF7"/>
    <w:rsid w:val="0089269F"/>
    <w:rsid w:val="008A2133"/>
    <w:rsid w:val="008A3857"/>
    <w:rsid w:val="008B2205"/>
    <w:rsid w:val="008B5000"/>
    <w:rsid w:val="008C305F"/>
    <w:rsid w:val="008C3AD2"/>
    <w:rsid w:val="008C7C3D"/>
    <w:rsid w:val="008D6F66"/>
    <w:rsid w:val="008E1BEA"/>
    <w:rsid w:val="008E242D"/>
    <w:rsid w:val="008E43D2"/>
    <w:rsid w:val="008E5248"/>
    <w:rsid w:val="008F04C9"/>
    <w:rsid w:val="008F15C9"/>
    <w:rsid w:val="008F7C50"/>
    <w:rsid w:val="008F7DB7"/>
    <w:rsid w:val="009064D3"/>
    <w:rsid w:val="00914BFA"/>
    <w:rsid w:val="00915300"/>
    <w:rsid w:val="00915F7F"/>
    <w:rsid w:val="00920745"/>
    <w:rsid w:val="00932F99"/>
    <w:rsid w:val="00933B0C"/>
    <w:rsid w:val="00935676"/>
    <w:rsid w:val="009823ED"/>
    <w:rsid w:val="0098401D"/>
    <w:rsid w:val="009A789F"/>
    <w:rsid w:val="009B12EF"/>
    <w:rsid w:val="009B48F7"/>
    <w:rsid w:val="009B6185"/>
    <w:rsid w:val="009C6C6D"/>
    <w:rsid w:val="009D474B"/>
    <w:rsid w:val="009D7C61"/>
    <w:rsid w:val="009E04E1"/>
    <w:rsid w:val="009E1E78"/>
    <w:rsid w:val="00A115A8"/>
    <w:rsid w:val="00A1597D"/>
    <w:rsid w:val="00A24027"/>
    <w:rsid w:val="00A24040"/>
    <w:rsid w:val="00A36966"/>
    <w:rsid w:val="00A46989"/>
    <w:rsid w:val="00A469AA"/>
    <w:rsid w:val="00A71CE9"/>
    <w:rsid w:val="00A72A19"/>
    <w:rsid w:val="00A75A30"/>
    <w:rsid w:val="00A76DAA"/>
    <w:rsid w:val="00A93C82"/>
    <w:rsid w:val="00AA18DC"/>
    <w:rsid w:val="00AB2A48"/>
    <w:rsid w:val="00AC3236"/>
    <w:rsid w:val="00AD4874"/>
    <w:rsid w:val="00AD6100"/>
    <w:rsid w:val="00AE1F8A"/>
    <w:rsid w:val="00B036B2"/>
    <w:rsid w:val="00B04D19"/>
    <w:rsid w:val="00B153C3"/>
    <w:rsid w:val="00B22087"/>
    <w:rsid w:val="00B71454"/>
    <w:rsid w:val="00B722F2"/>
    <w:rsid w:val="00B765D5"/>
    <w:rsid w:val="00B76D1D"/>
    <w:rsid w:val="00B80355"/>
    <w:rsid w:val="00B90958"/>
    <w:rsid w:val="00B95339"/>
    <w:rsid w:val="00BA0B81"/>
    <w:rsid w:val="00BB334E"/>
    <w:rsid w:val="00BB5DCF"/>
    <w:rsid w:val="00BC2476"/>
    <w:rsid w:val="00BF59EA"/>
    <w:rsid w:val="00BF79CD"/>
    <w:rsid w:val="00C058AB"/>
    <w:rsid w:val="00C0721B"/>
    <w:rsid w:val="00C34C8C"/>
    <w:rsid w:val="00C50792"/>
    <w:rsid w:val="00C51371"/>
    <w:rsid w:val="00C55A45"/>
    <w:rsid w:val="00C679DE"/>
    <w:rsid w:val="00C904D9"/>
    <w:rsid w:val="00C94C06"/>
    <w:rsid w:val="00CA2787"/>
    <w:rsid w:val="00CA48BF"/>
    <w:rsid w:val="00CA6309"/>
    <w:rsid w:val="00CB0AA7"/>
    <w:rsid w:val="00CB3ACC"/>
    <w:rsid w:val="00CB4745"/>
    <w:rsid w:val="00CD2163"/>
    <w:rsid w:val="00CD4FE7"/>
    <w:rsid w:val="00CD5E6B"/>
    <w:rsid w:val="00CD7AE9"/>
    <w:rsid w:val="00CE4FBC"/>
    <w:rsid w:val="00CE5D96"/>
    <w:rsid w:val="00CE7344"/>
    <w:rsid w:val="00CF26EE"/>
    <w:rsid w:val="00D310F0"/>
    <w:rsid w:val="00D37AC2"/>
    <w:rsid w:val="00D500A9"/>
    <w:rsid w:val="00D61180"/>
    <w:rsid w:val="00D61449"/>
    <w:rsid w:val="00D64121"/>
    <w:rsid w:val="00D67119"/>
    <w:rsid w:val="00D732FE"/>
    <w:rsid w:val="00D74C6E"/>
    <w:rsid w:val="00D74E25"/>
    <w:rsid w:val="00D772E9"/>
    <w:rsid w:val="00D82E10"/>
    <w:rsid w:val="00D87716"/>
    <w:rsid w:val="00D969AE"/>
    <w:rsid w:val="00DA0848"/>
    <w:rsid w:val="00DA31AB"/>
    <w:rsid w:val="00DA3281"/>
    <w:rsid w:val="00DA6D3E"/>
    <w:rsid w:val="00DA77BA"/>
    <w:rsid w:val="00DC02E8"/>
    <w:rsid w:val="00DC75C7"/>
    <w:rsid w:val="00DC78D3"/>
    <w:rsid w:val="00DD1077"/>
    <w:rsid w:val="00DD7952"/>
    <w:rsid w:val="00DF00FE"/>
    <w:rsid w:val="00DF4592"/>
    <w:rsid w:val="00E15FDC"/>
    <w:rsid w:val="00E2651B"/>
    <w:rsid w:val="00E30DDB"/>
    <w:rsid w:val="00E324FB"/>
    <w:rsid w:val="00E42D8B"/>
    <w:rsid w:val="00E531CF"/>
    <w:rsid w:val="00E6632E"/>
    <w:rsid w:val="00E75EC3"/>
    <w:rsid w:val="00E90CF2"/>
    <w:rsid w:val="00EB7808"/>
    <w:rsid w:val="00EC38C1"/>
    <w:rsid w:val="00EC628B"/>
    <w:rsid w:val="00ED0F61"/>
    <w:rsid w:val="00EE3F6D"/>
    <w:rsid w:val="00EE73E1"/>
    <w:rsid w:val="00EF0A6B"/>
    <w:rsid w:val="00F025C3"/>
    <w:rsid w:val="00F12107"/>
    <w:rsid w:val="00F13165"/>
    <w:rsid w:val="00F344C8"/>
    <w:rsid w:val="00F4017B"/>
    <w:rsid w:val="00F4234E"/>
    <w:rsid w:val="00F61429"/>
    <w:rsid w:val="00F7477E"/>
    <w:rsid w:val="00F763C1"/>
    <w:rsid w:val="00F85393"/>
    <w:rsid w:val="00F930CE"/>
    <w:rsid w:val="00FA4A24"/>
    <w:rsid w:val="00FC41B4"/>
    <w:rsid w:val="00FC5A6B"/>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1F67D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B765D5"/>
    <w:rPr>
      <w:kern w:val="28"/>
      <w:sz w:val="52"/>
      <w:lang w:eastAsia="en-US"/>
    </w:rPr>
  </w:style>
  <w:style w:type="table" w:styleId="TableGrid">
    <w:name w:val="Table Grid"/>
    <w:basedOn w:val="TableNormal"/>
    <w:rsid w:val="00B76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60BAF"/>
    <w:pPr>
      <w:spacing w:before="0" w:line="240" w:lineRule="auto"/>
      <w:ind w:left="0" w:firstLine="0"/>
    </w:pPr>
    <w:rPr>
      <w:b/>
      <w:bCs/>
    </w:rPr>
  </w:style>
  <w:style w:type="character" w:customStyle="1" w:styleId="CommentTextChar">
    <w:name w:val="Comment Text Char"/>
    <w:basedOn w:val="DefaultParagraphFont"/>
    <w:link w:val="CommentText"/>
    <w:semiHidden/>
    <w:rsid w:val="00560BAF"/>
    <w:rPr>
      <w:lang w:eastAsia="en-US"/>
    </w:rPr>
  </w:style>
  <w:style w:type="character" w:customStyle="1" w:styleId="CommentSubjectChar">
    <w:name w:val="Comment Subject Char"/>
    <w:basedOn w:val="CommentTextChar"/>
    <w:link w:val="CommentSubject"/>
    <w:rsid w:val="00560BAF"/>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tabs>
        <w:tab w:val="clear" w:pos="284"/>
        <w:tab w:val="num" w:pos="360"/>
      </w:tabs>
      <w:spacing w:before="100" w:line="260" w:lineRule="atLeast"/>
      <w:ind w:left="0" w:firstLine="0"/>
    </w:pPr>
    <w:rPr>
      <w:rFonts w:ascii="Arial" w:hAnsi="Arial"/>
      <w:sz w:val="20"/>
    </w:rPr>
  </w:style>
  <w:style w:type="paragraph" w:customStyle="1" w:styleId="BoxListBullet2">
    <w:name w:val="Box List Bullet 2"/>
    <w:basedOn w:val="BoxListBullet"/>
    <w:rsid w:val="0010611E"/>
    <w:pPr>
      <w:numPr>
        <w:numId w:val="33"/>
      </w:numPr>
      <w:tabs>
        <w:tab w:val="clear" w:pos="567"/>
        <w:tab w:val="num" w:pos="360"/>
      </w:tabs>
      <w:ind w:left="0" w:firstLine="0"/>
    </w:pPr>
  </w:style>
  <w:style w:type="paragraph" w:customStyle="1" w:styleId="BoxListNumber">
    <w:name w:val="Box List Number"/>
    <w:basedOn w:val="BodyText"/>
    <w:rsid w:val="0010611E"/>
    <w:pPr>
      <w:keepNext/>
      <w:numPr>
        <w:numId w:val="37"/>
      </w:numPr>
      <w:tabs>
        <w:tab w:val="clear" w:pos="284"/>
        <w:tab w:val="num" w:pos="360"/>
      </w:tabs>
      <w:spacing w:before="100" w:line="260" w:lineRule="atLeast"/>
      <w:ind w:left="0" w:firstLine="0"/>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tabs>
        <w:tab w:val="clear" w:pos="794"/>
        <w:tab w:val="num" w:pos="360"/>
      </w:tabs>
      <w:ind w:left="340" w:hanging="340"/>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tblInd w:w="0" w:type="dxa"/>
      <w:tblCellMar>
        <w:top w:w="0" w:type="dxa"/>
        <w:left w:w="108" w:type="dxa"/>
        <w:bottom w:w="0" w:type="dxa"/>
        <w:right w:w="108" w:type="dxa"/>
      </w:tblCellMar>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character" w:customStyle="1" w:styleId="Heading1Char">
    <w:name w:val="Heading 1 Char"/>
    <w:basedOn w:val="DefaultParagraphFont"/>
    <w:link w:val="Heading1"/>
    <w:rsid w:val="00B765D5"/>
    <w:rPr>
      <w:kern w:val="28"/>
      <w:sz w:val="52"/>
      <w:lang w:eastAsia="en-US"/>
    </w:rPr>
  </w:style>
  <w:style w:type="table" w:styleId="TableGrid">
    <w:name w:val="Table Grid"/>
    <w:basedOn w:val="TableNormal"/>
    <w:rsid w:val="00B765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60BAF"/>
    <w:pPr>
      <w:spacing w:before="0" w:line="240" w:lineRule="auto"/>
      <w:ind w:left="0" w:firstLine="0"/>
    </w:pPr>
    <w:rPr>
      <w:b/>
      <w:bCs/>
    </w:rPr>
  </w:style>
  <w:style w:type="character" w:customStyle="1" w:styleId="CommentTextChar">
    <w:name w:val="Comment Text Char"/>
    <w:basedOn w:val="DefaultParagraphFont"/>
    <w:link w:val="CommentText"/>
    <w:semiHidden/>
    <w:rsid w:val="00560BAF"/>
    <w:rPr>
      <w:lang w:eastAsia="en-US"/>
    </w:rPr>
  </w:style>
  <w:style w:type="character" w:customStyle="1" w:styleId="CommentSubjectChar">
    <w:name w:val="Comment Subject Char"/>
    <w:basedOn w:val="CommentTextChar"/>
    <w:link w:val="CommentSubject"/>
    <w:rsid w:val="00560BA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691880557">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 w:id="1763838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8.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yperlink" Target="http://www.itsanhonour.gov.au/coat-arms/index.cfm" TargetMode="External"/><Relationship Id="rId25" Type="http://schemas.openxmlformats.org/officeDocument/2006/relationships/header" Target="header5.xml"/><Relationship Id="rId33"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yperlink" Target="http://creativecommons.org/licenses/by/3.0/au" TargetMode="External"/><Relationship Id="rId20" Type="http://schemas.openxmlformats.org/officeDocument/2006/relationships/footer" Target="footer1.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eader" Target="header4.xml"/><Relationship Id="rId32" Type="http://schemas.openxmlformats.org/officeDocument/2006/relationships/header" Target="header8.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footer" Target="footer3.xml"/><Relationship Id="rId28" Type="http://schemas.openxmlformats.org/officeDocument/2006/relationships/header" Target="header6.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png"/><Relationship Id="rId22" Type="http://schemas.openxmlformats.org/officeDocument/2006/relationships/header" Target="header3.xm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Final Report" ma:contentTypeID="0x01010066EDC8E18BFE9C418F00295EA55D44EA00BC1898756A9F48459333297EB68257DD00D893E0118BE45C43A85193F785B6B353" ma:contentTypeVersion="0" ma:contentTypeDescription="" ma:contentTypeScope="" ma:versionID="072ac542be0e927197f8bd54dfbe1775">
  <xsd:schema xmlns:xsd="http://www.w3.org/2001/XMLSchema" xmlns:xs="http://www.w3.org/2001/XMLSchema" xmlns:p="http://schemas.microsoft.com/office/2006/metadata/properties" targetNamespace="http://schemas.microsoft.com/office/2006/metadata/properties" ma:root="true" ma:fieldsID="35d2ceaebb5480c207606bbce77fe67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customXsn xmlns="http://schemas.microsoft.com/office/2006/metadata/customXsn">
  <xsnLocation/>
  <cached>True</cached>
  <openByDefault>False</openByDefault>
  <xsnScope/>
</customXsn>
</file>

<file path=customXml/item5.xml><?xml version="1.0" encoding="utf-8"?>
<?mso-contentType ?>
<spe:Receivers xmlns:spe="http://schemas.microsoft.com/sharepoint/events">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F228A9A5-0169-4625-84B1-22826E44E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BA30D1E-D38C-424A-9A27-7EA91FE90399}">
  <ds:schemaRefs>
    <ds:schemaRef ds:uri="http://schemas.microsoft.com/sharepoint/v3/contenttype/forms"/>
  </ds:schemaRefs>
</ds:datastoreItem>
</file>

<file path=customXml/itemProps3.xml><?xml version="1.0" encoding="utf-8"?>
<ds:datastoreItem xmlns:ds="http://schemas.openxmlformats.org/officeDocument/2006/customXml" ds:itemID="{64CFB497-48E6-40BD-A5F8-0D6BA0422A55}">
  <ds:schemaRef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purl.org/dc/terms/"/>
    <ds:schemaRef ds:uri="http://purl.org/dc/elements/1.1/"/>
    <ds:schemaRef ds:uri="http://schemas.microsoft.com/office/infopath/2007/PartnerControls"/>
    <ds:schemaRef ds:uri="http://purl.org/dc/dcmitype/"/>
  </ds:schemaRefs>
</ds:datastoreItem>
</file>

<file path=customXml/itemProps4.xml><?xml version="1.0" encoding="utf-8"?>
<ds:datastoreItem xmlns:ds="http://schemas.openxmlformats.org/officeDocument/2006/customXml" ds:itemID="{F8578D6C-FE91-4188-A638-80BA63EBD2D7}">
  <ds:schemaRefs>
    <ds:schemaRef ds:uri="http://schemas.microsoft.com/office/2006/metadata/customXsn"/>
  </ds:schemaRefs>
</ds:datastoreItem>
</file>

<file path=customXml/itemProps5.xml><?xml version="1.0" encoding="utf-8"?>
<ds:datastoreItem xmlns:ds="http://schemas.openxmlformats.org/officeDocument/2006/customXml" ds:itemID="{0EB8A409-F970-4A42-9A4B-3FC42B915710}">
  <ds:schemaRefs>
    <ds:schemaRef ds:uri="http://schemas.microsoft.com/sharepoint/events"/>
  </ds:schemaRefs>
</ds:datastoreItem>
</file>

<file path=customXml/itemProps6.xml><?xml version="1.0" encoding="utf-8"?>
<ds:datastoreItem xmlns:ds="http://schemas.openxmlformats.org/officeDocument/2006/customXml" ds:itemID="{02DFFC06-694C-4067-BC23-9C40EB753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0</TotalTime>
  <Pages>7</Pages>
  <Words>932</Words>
  <Characters>5542</Characters>
  <Application>Microsoft Office Word</Application>
  <DocSecurity>0</DocSecurity>
  <Lines>153</Lines>
  <Paragraphs>129</Paragraphs>
  <ScaleCrop>false</ScaleCrop>
  <HeadingPairs>
    <vt:vector size="2" baseType="variant">
      <vt:variant>
        <vt:lpstr>Title</vt:lpstr>
      </vt:variant>
      <vt:variant>
        <vt:i4>1</vt:i4>
      </vt:variant>
    </vt:vector>
  </HeadingPairs>
  <TitlesOfParts>
    <vt:vector size="1" baseType="lpstr">
      <vt:lpstr>Examining barriers to more efficient gas markets</vt:lpstr>
    </vt:vector>
  </TitlesOfParts>
  <Company>Productivity Commission</Company>
  <LinksUpToDate>false</LinksUpToDate>
  <CharactersWithSpaces>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Examining barriers to more efficient gas markets</dc:title>
  <dc:creator>Productivity Commission</dc:creator>
  <cp:lastModifiedBy>Productivity Commission</cp:lastModifiedBy>
  <cp:revision>2</cp:revision>
  <cp:lastPrinted>2015-03-24T00:54:00Z</cp:lastPrinted>
  <dcterms:created xsi:type="dcterms:W3CDTF">2015-03-26T22:10:00Z</dcterms:created>
  <dcterms:modified xsi:type="dcterms:W3CDTF">2015-03-26T22:10:00Z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0x01010066EDC8E18BFE9C418F00295EA55D44EA00BC1898756A9F48459333297EB68257DD00D893E0118BE45C43A85193F785B6B353</vt:lpwstr>
  </property>
  <property fmtid="{D5CDD505-2E9C-101B-9397-08002B2CF9AE}" pid="3" name="RecordPoint_WorkflowType">
    <vt:lpwstr>ActiveSubmitStub</vt:lpwstr>
  </property>
  <property fmtid="{D5CDD505-2E9C-101B-9397-08002B2CF9AE}" pid="4" name="RecordPoint_ActiveItemSiteId">
    <vt:lpwstr>{5750d626-0aa0-474c-a55f-8063909d4906}</vt:lpwstr>
  </property>
  <property fmtid="{D5CDD505-2E9C-101B-9397-08002B2CF9AE}" pid="5" name="RecordPoint_ActiveItemListId">
    <vt:lpwstr>{48b085b3-39a2-4914-b617-b78d4560cce6}</vt:lpwstr>
  </property>
  <property fmtid="{D5CDD505-2E9C-101B-9397-08002B2CF9AE}" pid="6" name="RecordPoint_ActiveItemUniqueId">
    <vt:lpwstr>{f814d871-df06-405d-838d-ad82a97313b8}</vt:lpwstr>
  </property>
  <property fmtid="{D5CDD505-2E9C-101B-9397-08002B2CF9AE}" pid="7" name="RecordPoint_ActiveItemWebId">
    <vt:lpwstr>{b7c039af-f7f5-4da5-85d1-e8d35c7b40e5}</vt:lpwstr>
  </property>
  <property fmtid="{D5CDD505-2E9C-101B-9397-08002B2CF9AE}" pid="8" name="IconOverlay">
    <vt:lpwstr/>
  </property>
  <property fmtid="{D5CDD505-2E9C-101B-9397-08002B2CF9AE}" pid="9" name="RecordPoint_SubmissionCompleted">
    <vt:lpwstr>2015-03-13T11:14:20.2252300+11:00</vt:lpwstr>
  </property>
  <property fmtid="{D5CDD505-2E9C-101B-9397-08002B2CF9AE}" pid="10" name="RecordPoint_RecordNumberSubmitted">
    <vt:lpwstr>R0000009416</vt:lpwstr>
  </property>
</Properties>
</file>