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E6B" w:rsidRPr="00E973E6" w:rsidRDefault="00E973E6" w:rsidP="00E973E6">
      <w:pPr>
        <w:pStyle w:val="Heading1"/>
        <w:rPr>
          <w:color w:val="FFFFFF" w:themeColor="background1"/>
          <w:sz w:val="12"/>
          <w:szCs w:val="12"/>
        </w:rPr>
      </w:pPr>
      <w:r w:rsidRPr="00E973E6">
        <w:rPr>
          <w:color w:val="FFFFFF" w:themeColor="background1"/>
          <w:sz w:val="12"/>
          <w:szCs w:val="12"/>
        </w:rPr>
        <w:t>Housing Decisions of Older Australians</w:t>
      </w:r>
    </w:p>
    <w:p w:rsidR="00B04D19" w:rsidRDefault="00E973E6" w:rsidP="00CD5E6B">
      <w:pPr>
        <w:pStyle w:val="BodyText"/>
        <w:rPr>
          <w:b/>
          <w:szCs w:val="26"/>
        </w:rPr>
      </w:pPr>
      <w:r w:rsidRPr="00E973E6">
        <w:rPr>
          <w:color w:val="FFFFFF" w:themeColor="background1"/>
          <w:sz w:val="12"/>
          <w:szCs w:val="12"/>
        </w:rPr>
        <w:t>Productivity Commission Research Paper</w:t>
      </w:r>
      <w:r>
        <w:rPr>
          <w:noProof/>
        </w:rPr>
        <w:drawing>
          <wp:anchor distT="0" distB="0" distL="114300" distR="114300" simplePos="0" relativeHeight="251658240" behindDoc="0" locked="0" layoutInCell="1" allowOverlap="1">
            <wp:simplePos x="828675" y="1019175"/>
            <wp:positionH relativeFrom="page">
              <wp:align>center</wp:align>
            </wp:positionH>
            <wp:positionV relativeFrom="page">
              <wp:align>center</wp:align>
            </wp:positionV>
            <wp:extent cx="7581600" cy="10771200"/>
            <wp:effectExtent l="0" t="0" r="635" b="0"/>
            <wp:wrapNone/>
            <wp:docPr id="1" name="Picture 1" descr="Cover for: Housing Decisions of Older Australians, Productivity Commission Research Paper, December 201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paper-housing-cove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81600" cy="107712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rsidR="006C53AC" w:rsidRPr="007809B8" w:rsidRDefault="006C53AC">
      <w:pPr>
        <w:pStyle w:val="BodyText"/>
        <w:tabs>
          <w:tab w:val="left" w:pos="851"/>
        </w:tabs>
        <w:spacing w:before="200" w:after="120"/>
        <w:jc w:val="left"/>
        <w:rPr>
          <w:b/>
        </w:rPr>
      </w:pPr>
      <w:bookmarkStart w:id="0" w:name="ISSN"/>
      <w:bookmarkEnd w:id="0"/>
      <w:r>
        <w:rPr>
          <w:b/>
        </w:rPr>
        <w:t>ISBN</w:t>
      </w:r>
      <w:r>
        <w:rPr>
          <w:b/>
        </w:rPr>
        <w:tab/>
      </w:r>
      <w:r w:rsidR="00C20C81" w:rsidRPr="00C20C81">
        <w:rPr>
          <w:b/>
        </w:rPr>
        <w:t xml:space="preserve">978-1-74037-561-0 </w:t>
      </w:r>
      <w:r>
        <w:rPr>
          <w:b/>
        </w:rPr>
        <w:t>(PDF)</w:t>
      </w:r>
      <w:r>
        <w:rPr>
          <w:b/>
        </w:rPr>
        <w:br/>
      </w:r>
      <w:r w:rsidR="00E973E6">
        <w:rPr>
          <w:b/>
        </w:rPr>
        <w:t>ISBN</w:t>
      </w:r>
      <w:r w:rsidR="00E973E6">
        <w:rPr>
          <w:b/>
        </w:rPr>
        <w:tab/>
      </w:r>
      <w:r w:rsidR="00E973E6" w:rsidRPr="00E973E6">
        <w:rPr>
          <w:b/>
        </w:rPr>
        <w:t>978-1-74037-562-7</w:t>
      </w:r>
      <w:r w:rsidR="00E973E6">
        <w:rPr>
          <w:b/>
        </w:rPr>
        <w:t xml:space="preserve"> (Print)</w:t>
      </w:r>
    </w:p>
    <w:p w:rsidR="008A3857" w:rsidRDefault="008A3857" w:rsidP="008E242D">
      <w:pPr>
        <w:pStyle w:val="BodyText"/>
        <w:spacing w:after="120"/>
      </w:pPr>
      <w:r w:rsidRPr="00862D8F">
        <w:rPr>
          <w:noProof/>
          <w:sz w:val="22"/>
          <w:szCs w:val="22"/>
        </w:rPr>
        <w:drawing>
          <wp:inline distT="0" distB="0" distL="0" distR="0" wp14:anchorId="0FAD4C49" wp14:editId="06543C54">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7B2F8B">
        <w:rPr>
          <w:i/>
        </w:rPr>
        <w:t>Housing Decisions of Older Australians</w:t>
      </w:r>
      <w:r w:rsidR="00E973E6">
        <w:rPr>
          <w:i/>
        </w:rPr>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7B2F8B">
        <w:rPr>
          <w:i/>
        </w:rPr>
        <w:t>, Housing Decisions of Older Australians</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8A3857" w:rsidRPr="008A3857" w:rsidRDefault="00EB0136" w:rsidP="008A3857">
      <w:pPr>
        <w:pStyle w:val="Copyrightbodytext"/>
      </w:pPr>
      <w:r>
        <w:t xml:space="preserve">Productivity Commission 2015, </w:t>
      </w:r>
      <w:r w:rsidRPr="00E973E6">
        <w:rPr>
          <w:i/>
        </w:rPr>
        <w:t>Housing Decisions of Older Australians</w:t>
      </w:r>
      <w:r>
        <w:t>, Commission Research Paper, Canberra.</w:t>
      </w:r>
    </w:p>
    <w:p w:rsidR="008A3857" w:rsidRPr="008A3857" w:rsidRDefault="008A3857" w:rsidP="008A3857">
      <w:pPr>
        <w:pStyle w:val="Copyrightsubtitle"/>
      </w:pPr>
      <w:bookmarkStart w:id="1" w:name="JEL"/>
      <w:bookmarkEnd w:id="1"/>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2D5890">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r w:rsidRPr="008A3857">
              <w:rPr>
                <w:sz w:val="22"/>
                <w:szCs w:val="22"/>
              </w:rPr>
              <w:t>The Productivity Commission</w:t>
            </w:r>
          </w:p>
        </w:tc>
      </w:tr>
      <w:tr w:rsidR="008A3857" w:rsidTr="002D5890">
        <w:trPr>
          <w:cantSplit/>
        </w:trPr>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proofErr w:type="spellStart"/>
            <w:r w:rsidR="00140732">
              <w:fldChar w:fldCharType="begin"/>
            </w:r>
            <w:r w:rsidR="00140732">
              <w:instrText xml:space="preserve"> HYPERLINK "http://www.pc.gov.au/" </w:instrText>
            </w:r>
            <w:r w:rsidR="00140732">
              <w:fldChar w:fldCharType="separate"/>
            </w:r>
            <w:r w:rsidRPr="00805FD7">
              <w:t>www.pc.gov.au</w:t>
            </w:r>
            <w:proofErr w:type="spellEnd"/>
            <w:r w:rsidR="00140732">
              <w:fldChar w:fldCharType="end"/>
            </w:r>
            <w:r w:rsidRPr="00BB5DCF">
              <w:rPr>
                <w:szCs w:val="24"/>
              </w:rPr>
              <w:t>)</w:t>
            </w:r>
            <w:r w:rsidR="00EC38C1">
              <w:rPr>
                <w:szCs w:val="24"/>
              </w:rPr>
              <w:t>.</w:t>
            </w:r>
          </w:p>
        </w:tc>
      </w:tr>
      <w:tr w:rsidR="008A3857" w:rsidTr="002D5890">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AF2130" w:rsidRDefault="00AF2130" w:rsidP="00AF2130">
      <w:pPr>
        <w:pStyle w:val="Heading1"/>
        <w:spacing w:before="0"/>
      </w:pPr>
      <w:bookmarkStart w:id="3" w:name="ChapterTitle"/>
      <w:bookmarkStart w:id="4" w:name="_Toc435784409"/>
      <w:bookmarkStart w:id="5" w:name="_Toc435784515"/>
      <w:bookmarkStart w:id="6" w:name="_Toc435784752"/>
      <w:bookmarkStart w:id="7" w:name="_Toc435784826"/>
      <w:r>
        <w:lastRenderedPageBreak/>
        <w:t>Foreword</w:t>
      </w:r>
      <w:bookmarkEnd w:id="3"/>
      <w:bookmarkEnd w:id="4"/>
      <w:bookmarkEnd w:id="5"/>
      <w:bookmarkEnd w:id="6"/>
      <w:bookmarkEnd w:id="7"/>
    </w:p>
    <w:p w:rsidR="00AF2130" w:rsidRDefault="00AF2130" w:rsidP="00AF2130">
      <w:pPr>
        <w:pStyle w:val="BodyText"/>
      </w:pPr>
      <w:r>
        <w:t xml:space="preserve">The Commission’s flagship research paper </w:t>
      </w:r>
      <w:r w:rsidRPr="0053106E">
        <w:rPr>
          <w:i/>
        </w:rPr>
        <w:t>An Ageing Australia: Preparing for the Future</w:t>
      </w:r>
      <w:r>
        <w:rPr>
          <w:i/>
        </w:rPr>
        <w:t xml:space="preserve"> </w:t>
      </w:r>
      <w:r>
        <w:t>identified that</w:t>
      </w:r>
      <w:r w:rsidRPr="00676A84">
        <w:t xml:space="preserve"> </w:t>
      </w:r>
      <w:r>
        <w:t xml:space="preserve">many older Australians are </w:t>
      </w:r>
      <w:r w:rsidRPr="00676A84">
        <w:t>asset rich</w:t>
      </w:r>
      <w:r>
        <w:t xml:space="preserve"> but income poor, and flagged challenges for government budgets stemming from the ageing of Australia’s population. In its second flagship research paper, </w:t>
      </w:r>
      <w:r w:rsidRPr="00C627B6">
        <w:rPr>
          <w:i/>
        </w:rPr>
        <w:t>Housing Assistance and Employment in Australia</w:t>
      </w:r>
      <w:r>
        <w:t xml:space="preserve">, the Commission investigated the link between housing decisions and government assistance. </w:t>
      </w:r>
    </w:p>
    <w:p w:rsidR="00AF2130" w:rsidRDefault="00AF2130" w:rsidP="00AF2130">
      <w:pPr>
        <w:pStyle w:val="BodyText"/>
      </w:pPr>
      <w:r>
        <w:t>This, the third flagship research paper, continues the investigation of issues relating to the ageing of Australia’s population, this time focusing on the housing choices made by older Australians. It considers available statistical evidence on the financial and accommodation aspects of housing decisions and draws out some of the policy issues affecting the wellbeing of older Australians and the broader community. The report examines the policies</w:t>
      </w:r>
      <w:r w:rsidRPr="00D21874">
        <w:t xml:space="preserve"> affecting the supply and cost of residential aged care and other age-specific housing</w:t>
      </w:r>
      <w:r>
        <w:t>,</w:t>
      </w:r>
      <w:r w:rsidRPr="00D21874">
        <w:t xml:space="preserve"> </w:t>
      </w:r>
      <w:r>
        <w:t xml:space="preserve">the influence of the tax and transfer system on housing decisions, and the issues in using home equity release to support living standards in retirement. In reaching its conclusions, the Commission drew on evidence from a survey of older Australians conducted on its behalf. </w:t>
      </w:r>
    </w:p>
    <w:p w:rsidR="00AF2130" w:rsidRDefault="00AF2130" w:rsidP="00AF2130">
      <w:pPr>
        <w:pStyle w:val="BodyText"/>
      </w:pPr>
      <w:r>
        <w:t xml:space="preserve">Along with </w:t>
      </w:r>
      <w:r w:rsidRPr="00537DC1">
        <w:rPr>
          <w:i/>
        </w:rPr>
        <w:t>Superannuation Policy for Post</w:t>
      </w:r>
      <w:r>
        <w:rPr>
          <w:i/>
        </w:rPr>
        <w:noBreakHyphen/>
      </w:r>
      <w:r w:rsidRPr="00537DC1">
        <w:rPr>
          <w:i/>
        </w:rPr>
        <w:t>Retirement</w:t>
      </w:r>
      <w:r>
        <w:t>, these reports should support informed discussion and policy formulation to enhance national welfare in an environment of an ageing Australian population.</w:t>
      </w:r>
    </w:p>
    <w:p w:rsidR="00AF2130" w:rsidRDefault="00AF2130" w:rsidP="00AF2130">
      <w:pPr>
        <w:pStyle w:val="BodyText"/>
      </w:pPr>
      <w:r>
        <w:t>This paper was produced by a team led by Mary Cavar, and included Catherine Bain, Roger Hassan, Lisa Leong, Evelyn Lesh, Alex Maevsky, Greg Thompson and Miriam Veisman-Apter. It was overseen by Commissioners Karen Chester and Ken Baxter.</w:t>
      </w:r>
    </w:p>
    <w:p w:rsidR="00AF2130" w:rsidRDefault="00AF2130" w:rsidP="00E973E6">
      <w:pPr>
        <w:pStyle w:val="BodyText"/>
        <w:spacing w:before="720"/>
      </w:pPr>
      <w:r>
        <w:t>Peter Harris</w:t>
      </w:r>
    </w:p>
    <w:p w:rsidR="00AF2130" w:rsidRDefault="00AF2130" w:rsidP="00AF2130">
      <w:pPr>
        <w:pStyle w:val="BodyText"/>
      </w:pPr>
      <w:r>
        <w:t>Chair</w:t>
      </w:r>
    </w:p>
    <w:p w:rsidR="00AF2130" w:rsidRDefault="00AF2130" w:rsidP="00925695">
      <w:pPr>
        <w:pStyle w:val="BodyText"/>
      </w:pPr>
    </w:p>
    <w:p w:rsidR="002E4006" w:rsidRDefault="002E4006" w:rsidP="00925695">
      <w:pPr>
        <w:pStyle w:val="BodyText"/>
        <w:sectPr w:rsidR="002E4006" w:rsidSect="00160417">
          <w:headerReference w:type="even" r:id="rId15"/>
          <w:headerReference w:type="default" r:id="rId16"/>
          <w:footerReference w:type="even" r:id="rId17"/>
          <w:footerReference w:type="default" r:id="rId18"/>
          <w:pgSz w:w="11906" w:h="16838" w:code="9"/>
          <w:pgMar w:top="1985" w:right="1304" w:bottom="1247" w:left="1814" w:header="1701" w:footer="397" w:gutter="0"/>
          <w:pgNumType w:fmt="lowerRoman"/>
          <w:cols w:space="708"/>
          <w:docGrid w:linePitch="360"/>
        </w:sectPr>
      </w:pPr>
    </w:p>
    <w:p w:rsidR="00140732" w:rsidRDefault="00B52F51" w:rsidP="00B52F51">
      <w:pPr>
        <w:pStyle w:val="Heading1"/>
      </w:pPr>
      <w:bookmarkStart w:id="8" w:name="_Toc435784410"/>
      <w:bookmarkStart w:id="9" w:name="_Toc435784516"/>
      <w:bookmarkStart w:id="10" w:name="_Toc435784753"/>
      <w:bookmarkStart w:id="11" w:name="_Toc435784827"/>
      <w:r>
        <w:lastRenderedPageBreak/>
        <w:t>Contents</w:t>
      </w:r>
      <w:bookmarkEnd w:id="8"/>
      <w:bookmarkEnd w:id="9"/>
      <w:bookmarkEnd w:id="10"/>
      <w:bookmarkEnd w:id="11"/>
    </w:p>
    <w:bookmarkStart w:id="12" w:name="Contents"/>
    <w:bookmarkStart w:id="13" w:name="InsertContents"/>
    <w:bookmarkEnd w:id="12"/>
    <w:bookmarkEnd w:id="13"/>
    <w:p w:rsidR="00140732" w:rsidRDefault="00140732">
      <w:pPr>
        <w:pStyle w:val="TOC1"/>
        <w:rPr>
          <w:rFonts w:asciiTheme="minorHAnsi" w:eastAsiaTheme="minorEastAsia" w:hAnsiTheme="minorHAnsi" w:cstheme="minorBidi"/>
          <w:b w:val="0"/>
          <w:noProof/>
          <w:sz w:val="22"/>
          <w:szCs w:val="22"/>
          <w:lang w:eastAsia="en-AU"/>
        </w:rPr>
      </w:pPr>
      <w:r>
        <w:fldChar w:fldCharType="begin"/>
      </w:r>
      <w:r>
        <w:instrText xml:space="preserve"> TOC \t "Part Title,1,Heading 1,1,Heading 1 (no chapter no.),1,chapter,1,Heading 2,2,Heading 2 (no section no.),2,3" </w:instrText>
      </w:r>
      <w:r>
        <w:fldChar w:fldCharType="separate"/>
      </w:r>
      <w:r>
        <w:rPr>
          <w:noProof/>
        </w:rPr>
        <w:t>Foreword</w:t>
      </w:r>
      <w:r>
        <w:rPr>
          <w:noProof/>
        </w:rPr>
        <w:tab/>
      </w:r>
      <w:r>
        <w:rPr>
          <w:noProof/>
        </w:rPr>
        <w:fldChar w:fldCharType="begin"/>
      </w:r>
      <w:r>
        <w:rPr>
          <w:noProof/>
        </w:rPr>
        <w:instrText xml:space="preserve"> PAGEREF _Toc435784826 \h </w:instrText>
      </w:r>
      <w:r>
        <w:rPr>
          <w:noProof/>
        </w:rPr>
      </w:r>
      <w:r>
        <w:rPr>
          <w:noProof/>
        </w:rPr>
        <w:fldChar w:fldCharType="separate"/>
      </w:r>
      <w:r w:rsidR="006567BD">
        <w:rPr>
          <w:noProof/>
        </w:rPr>
        <w:t>iii</w:t>
      </w:r>
      <w:r>
        <w:rPr>
          <w:noProof/>
        </w:rPr>
        <w:fldChar w:fldCharType="end"/>
      </w:r>
    </w:p>
    <w:p w:rsidR="00140732" w:rsidRDefault="00F25B92">
      <w:pPr>
        <w:pStyle w:val="TOC1"/>
        <w:rPr>
          <w:rFonts w:asciiTheme="minorHAnsi" w:eastAsiaTheme="minorEastAsia" w:hAnsiTheme="minorHAnsi" w:cstheme="minorBidi"/>
          <w:b w:val="0"/>
          <w:noProof/>
          <w:sz w:val="22"/>
          <w:szCs w:val="22"/>
          <w:lang w:eastAsia="en-AU"/>
        </w:rPr>
      </w:pPr>
      <w:r>
        <w:rPr>
          <w:noProof/>
        </w:rPr>
        <w:t>Acknowledgements</w:t>
      </w:r>
      <w:r w:rsidR="00140732">
        <w:rPr>
          <w:noProof/>
        </w:rPr>
        <w:tab/>
      </w:r>
      <w:r w:rsidR="00140732">
        <w:rPr>
          <w:noProof/>
        </w:rPr>
        <w:fldChar w:fldCharType="begin"/>
      </w:r>
      <w:r w:rsidR="00140732">
        <w:rPr>
          <w:noProof/>
        </w:rPr>
        <w:instrText xml:space="preserve"> PAGEREF _Toc435784827 \h </w:instrText>
      </w:r>
      <w:r w:rsidR="00140732">
        <w:rPr>
          <w:noProof/>
        </w:rPr>
      </w:r>
      <w:r w:rsidR="00140732">
        <w:rPr>
          <w:noProof/>
        </w:rPr>
        <w:fldChar w:fldCharType="separate"/>
      </w:r>
      <w:r w:rsidR="006567BD">
        <w:rPr>
          <w:noProof/>
        </w:rPr>
        <w:t>v</w:t>
      </w:r>
      <w:r w:rsidR="00140732">
        <w:rPr>
          <w:noProof/>
        </w:rPr>
        <w:fldChar w:fldCharType="end"/>
      </w:r>
      <w:r>
        <w:rPr>
          <w:noProof/>
        </w:rPr>
        <w:t>ii</w:t>
      </w:r>
    </w:p>
    <w:p w:rsidR="00140732" w:rsidRDefault="00140732">
      <w:pPr>
        <w:pStyle w:val="TOC1"/>
        <w:rPr>
          <w:rFonts w:asciiTheme="minorHAnsi" w:eastAsiaTheme="minorEastAsia" w:hAnsiTheme="minorHAnsi" w:cstheme="minorBidi"/>
          <w:b w:val="0"/>
          <w:noProof/>
          <w:sz w:val="22"/>
          <w:szCs w:val="22"/>
          <w:lang w:eastAsia="en-AU"/>
        </w:rPr>
      </w:pPr>
      <w:r>
        <w:rPr>
          <w:noProof/>
        </w:rPr>
        <w:t>Abbreviations</w:t>
      </w:r>
      <w:r>
        <w:rPr>
          <w:noProof/>
        </w:rPr>
        <w:tab/>
      </w:r>
      <w:r>
        <w:rPr>
          <w:noProof/>
        </w:rPr>
        <w:fldChar w:fldCharType="begin"/>
      </w:r>
      <w:r>
        <w:rPr>
          <w:noProof/>
        </w:rPr>
        <w:instrText xml:space="preserve"> PAGEREF _Toc435784828 \h </w:instrText>
      </w:r>
      <w:r>
        <w:rPr>
          <w:noProof/>
        </w:rPr>
      </w:r>
      <w:r>
        <w:rPr>
          <w:noProof/>
        </w:rPr>
        <w:fldChar w:fldCharType="separate"/>
      </w:r>
      <w:r w:rsidR="006567BD">
        <w:rPr>
          <w:noProof/>
        </w:rPr>
        <w:t>viii</w:t>
      </w:r>
      <w:r>
        <w:rPr>
          <w:noProof/>
        </w:rPr>
        <w:fldChar w:fldCharType="end"/>
      </w:r>
    </w:p>
    <w:p w:rsidR="00140732" w:rsidRDefault="00140732">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140732" w:rsidRDefault="00140732">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study</w:t>
      </w:r>
      <w:r>
        <w:rPr>
          <w:noProof/>
        </w:rPr>
        <w:tab/>
        <w:t>29</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 to this study</w:t>
      </w:r>
      <w:r>
        <w:rPr>
          <w:noProof/>
        </w:rPr>
        <w:tab/>
        <w:t>29</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Conduct of the study</w:t>
      </w:r>
      <w:r>
        <w:rPr>
          <w:noProof/>
        </w:rPr>
        <w:tab/>
        <w:t>31</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Structure of the report</w:t>
      </w:r>
      <w:r>
        <w:rPr>
          <w:noProof/>
        </w:rPr>
        <w:tab/>
        <w:t>32</w:t>
      </w:r>
    </w:p>
    <w:p w:rsidR="00140732" w:rsidRDefault="00140732">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Putting housing decisions in a policy context</w:t>
      </w:r>
      <w:r>
        <w:rPr>
          <w:noProof/>
        </w:rPr>
        <w:tab/>
        <w:t>33</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Life cycle theory of consumption and saving</w:t>
      </w:r>
      <w:r>
        <w:rPr>
          <w:noProof/>
        </w:rPr>
        <w:tab/>
        <w:t>35</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The role of housing</w:t>
      </w:r>
      <w:r>
        <w:rPr>
          <w:noProof/>
        </w:rPr>
        <w:tab/>
        <w:t>40</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What role for policy?</w:t>
      </w:r>
      <w:r>
        <w:rPr>
          <w:noProof/>
        </w:rPr>
        <w:tab/>
        <w:t>45</w:t>
      </w:r>
    </w:p>
    <w:p w:rsidR="00140732" w:rsidRDefault="00140732">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Evidence on older Australians’ housing decisions</w:t>
      </w:r>
      <w:r>
        <w:rPr>
          <w:noProof/>
        </w:rPr>
        <w:tab/>
        <w:t>47</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Housing decisions in the Australian context</w:t>
      </w:r>
      <w:r>
        <w:rPr>
          <w:noProof/>
        </w:rPr>
        <w:tab/>
        <w:t>48</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Housing as a store of wealth</w:t>
      </w:r>
      <w:r>
        <w:rPr>
          <w:noProof/>
        </w:rPr>
        <w:tab/>
        <w:t>51</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Housing as a place to live</w:t>
      </w:r>
      <w:r>
        <w:rPr>
          <w:noProof/>
        </w:rPr>
        <w:tab/>
        <w:t>61</w:t>
      </w:r>
    </w:p>
    <w:p w:rsidR="00140732" w:rsidRDefault="00140732">
      <w:pPr>
        <w:pStyle w:val="TOC2"/>
        <w:rPr>
          <w:rFonts w:asciiTheme="minorHAnsi" w:eastAsiaTheme="minorEastAsia" w:hAnsiTheme="minorHAnsi" w:cstheme="minorBidi"/>
          <w:noProof/>
          <w:sz w:val="22"/>
          <w:szCs w:val="22"/>
          <w:lang w:eastAsia="en-AU"/>
        </w:rPr>
      </w:pPr>
      <w:r>
        <w:rPr>
          <w:noProof/>
        </w:rPr>
        <w:t>Annex — Additional statistics</w:t>
      </w:r>
      <w:r>
        <w:rPr>
          <w:noProof/>
        </w:rPr>
        <w:tab/>
        <w:t>76</w:t>
      </w:r>
    </w:p>
    <w:p w:rsidR="00140732" w:rsidRDefault="00140732">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Housing options for older Australians</w:t>
      </w:r>
      <w:r>
        <w:rPr>
          <w:noProof/>
        </w:rPr>
        <w:tab/>
        <w:t>85</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Home care — a key factor in housing decisions</w:t>
      </w:r>
      <w:r>
        <w:rPr>
          <w:noProof/>
        </w:rPr>
        <w:tab/>
        <w:t>87</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Older Australians in the housing market</w:t>
      </w:r>
      <w:r>
        <w:rPr>
          <w:noProof/>
        </w:rPr>
        <w:tab/>
        <w:t>91</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Home ownership</w:t>
      </w:r>
      <w:r>
        <w:rPr>
          <w:noProof/>
        </w:rPr>
        <w:tab/>
        <w:t>93</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Private rental market</w:t>
      </w:r>
      <w:r>
        <w:rPr>
          <w:noProof/>
        </w:rPr>
        <w:tab/>
        <w:t>94</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Mobile home communities</w:t>
      </w:r>
      <w:r>
        <w:rPr>
          <w:noProof/>
        </w:rPr>
        <w:tab/>
        <w:t>96</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Retirement villages</w:t>
      </w:r>
      <w:r>
        <w:rPr>
          <w:noProof/>
        </w:rPr>
        <w:tab/>
        <w:t>98</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4.7</w:t>
      </w:r>
      <w:r>
        <w:rPr>
          <w:rFonts w:asciiTheme="minorHAnsi" w:eastAsiaTheme="minorEastAsia" w:hAnsiTheme="minorHAnsi" w:cstheme="minorBidi"/>
          <w:noProof/>
          <w:sz w:val="22"/>
          <w:szCs w:val="22"/>
          <w:lang w:eastAsia="en-AU"/>
        </w:rPr>
        <w:tab/>
      </w:r>
      <w:r>
        <w:rPr>
          <w:noProof/>
        </w:rPr>
        <w:t>Residential aged care</w:t>
      </w:r>
      <w:r>
        <w:rPr>
          <w:noProof/>
        </w:rPr>
        <w:tab/>
        <w:t>105</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4.8</w:t>
      </w:r>
      <w:r>
        <w:rPr>
          <w:rFonts w:asciiTheme="minorHAnsi" w:eastAsiaTheme="minorEastAsia" w:hAnsiTheme="minorHAnsi" w:cstheme="minorBidi"/>
          <w:noProof/>
          <w:sz w:val="22"/>
          <w:szCs w:val="22"/>
          <w:lang w:eastAsia="en-AU"/>
        </w:rPr>
        <w:tab/>
      </w:r>
      <w:r>
        <w:rPr>
          <w:noProof/>
        </w:rPr>
        <w:t>Common issues across housing options</w:t>
      </w:r>
      <w:r>
        <w:rPr>
          <w:noProof/>
        </w:rPr>
        <w:tab/>
        <w:t>109</w:t>
      </w:r>
    </w:p>
    <w:p w:rsidR="00140732" w:rsidRDefault="00140732">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Tax and transfer treatment of housing</w:t>
      </w:r>
      <w:r>
        <w:rPr>
          <w:noProof/>
        </w:rPr>
        <w:tab/>
        <w:t>117</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The principal residence and the Age Pension</w:t>
      </w:r>
      <w:r>
        <w:rPr>
          <w:noProof/>
        </w:rPr>
        <w:tab/>
        <w:t>118</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Broader tax and transfer treatment of the principal residence</w:t>
      </w:r>
      <w:r>
        <w:rPr>
          <w:noProof/>
        </w:rPr>
        <w:tab/>
        <w:t>131</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Stamp duty as a barrier to housing mobility and land tax as an alternative</w:t>
      </w:r>
      <w:r>
        <w:rPr>
          <w:noProof/>
        </w:rPr>
        <w:tab/>
        <w:t>135</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Taxation and transfer aspects of aged care</w:t>
      </w:r>
      <w:r>
        <w:rPr>
          <w:noProof/>
        </w:rPr>
        <w:tab/>
        <w:t>139</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Assessment</w:t>
      </w:r>
      <w:r>
        <w:rPr>
          <w:noProof/>
        </w:rPr>
        <w:tab/>
        <w:t>142</w:t>
      </w:r>
    </w:p>
    <w:p w:rsidR="00140732" w:rsidRDefault="00140732">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Home equity release market</w:t>
      </w:r>
      <w:r>
        <w:rPr>
          <w:noProof/>
        </w:rPr>
        <w:tab/>
        <w:t>145</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The scope for equity release in retirement</w:t>
      </w:r>
      <w:r>
        <w:rPr>
          <w:noProof/>
        </w:rPr>
        <w:tab/>
        <w:t>146</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Overview of the private market</w:t>
      </w:r>
      <w:r>
        <w:rPr>
          <w:noProof/>
        </w:rPr>
        <w:tab/>
        <w:t>148</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What are the impediments to the private equity release market?</w:t>
      </w:r>
      <w:r>
        <w:rPr>
          <w:noProof/>
        </w:rPr>
        <w:tab/>
        <w:t>153</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Overcoming impediments to greater use</w:t>
      </w:r>
      <w:r>
        <w:rPr>
          <w:noProof/>
        </w:rPr>
        <w:tab/>
        <w:t>160</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Government intervention in a broader policy context</w:t>
      </w:r>
      <w:r>
        <w:rPr>
          <w:noProof/>
        </w:rPr>
        <w:tab/>
        <w:t>165</w:t>
      </w:r>
    </w:p>
    <w:p w:rsidR="00140732" w:rsidRDefault="00140732">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Stakeholder consultation</w:t>
      </w:r>
      <w:r>
        <w:rPr>
          <w:noProof/>
        </w:rPr>
        <w:tab/>
        <w:t>173</w:t>
      </w:r>
    </w:p>
    <w:p w:rsidR="00140732" w:rsidRDefault="00140732">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Progress on aged care reforms</w:t>
      </w:r>
      <w:r>
        <w:rPr>
          <w:noProof/>
        </w:rPr>
        <w:tab/>
        <w:t>177</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Pr>
          <w:noProof/>
        </w:rPr>
        <w:t>Recent reforms in aged care that affect housing decisions</w:t>
      </w:r>
      <w:r>
        <w:rPr>
          <w:noProof/>
        </w:rPr>
        <w:tab/>
        <w:t>178</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Pr>
          <w:noProof/>
        </w:rPr>
        <w:t>Impacts of reforms</w:t>
      </w:r>
      <w:r>
        <w:rPr>
          <w:noProof/>
        </w:rPr>
        <w:tab/>
        <w:t>188</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B.3</w:t>
      </w:r>
      <w:r>
        <w:rPr>
          <w:rFonts w:asciiTheme="minorHAnsi" w:eastAsiaTheme="minorEastAsia" w:hAnsiTheme="minorHAnsi" w:cstheme="minorBidi"/>
          <w:noProof/>
          <w:sz w:val="22"/>
          <w:szCs w:val="22"/>
          <w:lang w:eastAsia="en-AU"/>
        </w:rPr>
        <w:tab/>
      </w:r>
      <w:r>
        <w:rPr>
          <w:noProof/>
        </w:rPr>
        <w:t>Progress of other aged care reforms</w:t>
      </w:r>
      <w:r>
        <w:rPr>
          <w:noProof/>
        </w:rPr>
        <w:tab/>
        <w:t>191</w:t>
      </w:r>
    </w:p>
    <w:p w:rsidR="00140732" w:rsidRDefault="00140732">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The Commission survey</w:t>
      </w:r>
      <w:r>
        <w:rPr>
          <w:noProof/>
        </w:rPr>
        <w:tab/>
        <w:t>195</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 xml:space="preserve"> Rationale for undertaking the survey</w:t>
      </w:r>
      <w:r>
        <w:rPr>
          <w:noProof/>
        </w:rPr>
        <w:tab/>
        <w:t>195</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Survey design and conduct</w:t>
      </w:r>
      <w:r>
        <w:rPr>
          <w:noProof/>
        </w:rPr>
        <w:tab/>
        <w:t>195</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C.3</w:t>
      </w:r>
      <w:r>
        <w:rPr>
          <w:rFonts w:asciiTheme="minorHAnsi" w:eastAsiaTheme="minorEastAsia" w:hAnsiTheme="minorHAnsi" w:cstheme="minorBidi"/>
          <w:noProof/>
          <w:sz w:val="22"/>
          <w:szCs w:val="22"/>
          <w:lang w:eastAsia="en-AU"/>
        </w:rPr>
        <w:tab/>
      </w:r>
      <w:r>
        <w:rPr>
          <w:noProof/>
        </w:rPr>
        <w:t>Sampling and representation</w:t>
      </w:r>
      <w:r>
        <w:rPr>
          <w:noProof/>
        </w:rPr>
        <w:tab/>
        <w:t>196</w:t>
      </w:r>
    </w:p>
    <w:p w:rsidR="00140732" w:rsidRDefault="00140732">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Quantitative analyses</w:t>
      </w:r>
      <w:r>
        <w:rPr>
          <w:noProof/>
        </w:rPr>
        <w:tab/>
        <w:t>201</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r>
      <w:r>
        <w:rPr>
          <w:noProof/>
        </w:rPr>
        <w:t>Age Pension means test</w:t>
      </w:r>
      <w:r>
        <w:rPr>
          <w:noProof/>
        </w:rPr>
        <w:tab/>
        <w:t>201</w:t>
      </w:r>
    </w:p>
    <w:p w:rsidR="00140732" w:rsidRDefault="00140732">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r>
      <w:r>
        <w:rPr>
          <w:noProof/>
        </w:rPr>
        <w:t>Monte Carlo simulation</w:t>
      </w:r>
      <w:r>
        <w:rPr>
          <w:noProof/>
        </w:rPr>
        <w:tab/>
        <w:t>203</w:t>
      </w:r>
    </w:p>
    <w:p w:rsidR="00140732" w:rsidRDefault="00140732">
      <w:pPr>
        <w:pStyle w:val="TOC1"/>
        <w:rPr>
          <w:noProof/>
        </w:rPr>
      </w:pPr>
      <w:r>
        <w:rPr>
          <w:noProof/>
        </w:rPr>
        <w:t>References</w:t>
      </w:r>
      <w:r>
        <w:rPr>
          <w:noProof/>
        </w:rPr>
        <w:tab/>
        <w:t>213</w:t>
      </w:r>
    </w:p>
    <w:p w:rsidR="00024F7E" w:rsidRDefault="00024F7E" w:rsidP="00024F7E">
      <w:pPr>
        <w:pStyle w:val="TOC2"/>
        <w:rPr>
          <w:rFonts w:eastAsiaTheme="minorEastAsia"/>
        </w:rPr>
        <w:sectPr w:rsidR="00024F7E" w:rsidSect="00024F7E">
          <w:headerReference w:type="even" r:id="rId19"/>
          <w:headerReference w:type="default" r:id="rId20"/>
          <w:footerReference w:type="even" r:id="rId21"/>
          <w:footerReference w:type="default" r:id="rId22"/>
          <w:type w:val="oddPage"/>
          <w:pgSz w:w="11907" w:h="16840" w:code="9"/>
          <w:pgMar w:top="1985" w:right="1304" w:bottom="1247" w:left="1814" w:header="1701" w:footer="397" w:gutter="0"/>
          <w:pgNumType w:fmt="lowerRoman"/>
          <w:cols w:space="720"/>
        </w:sectPr>
      </w:pPr>
    </w:p>
    <w:p w:rsidR="001B7F1E" w:rsidRDefault="00140732" w:rsidP="008206EE">
      <w:pPr>
        <w:pStyle w:val="Heading1NotTOC"/>
      </w:pPr>
      <w:r>
        <w:lastRenderedPageBreak/>
        <w:fldChar w:fldCharType="end"/>
      </w:r>
      <w:bookmarkStart w:id="14" w:name="_GoBack"/>
      <w:bookmarkEnd w:id="14"/>
      <w:r w:rsidR="00A678D3">
        <w:t>Acknowledgements</w:t>
      </w:r>
    </w:p>
    <w:p w:rsidR="00A678D3" w:rsidRDefault="003937E5" w:rsidP="00A678D3">
      <w:pPr>
        <w:pStyle w:val="BodyText"/>
        <w:rPr>
          <w:lang w:eastAsia="en-US"/>
        </w:rPr>
      </w:pPr>
      <w:r>
        <w:rPr>
          <w:lang w:eastAsia="en-US"/>
        </w:rPr>
        <w:t xml:space="preserve">The Commission is grateful to those who provided feedback on the matters discussed in this research project. In particular, the Commission wishes to thank those who </w:t>
      </w:r>
      <w:r w:rsidR="00B418AB">
        <w:rPr>
          <w:lang w:eastAsia="en-US"/>
        </w:rPr>
        <w:t xml:space="preserve">attended </w:t>
      </w:r>
      <w:r w:rsidR="00A25378">
        <w:rPr>
          <w:lang w:eastAsia="en-US"/>
        </w:rPr>
        <w:t>the</w:t>
      </w:r>
      <w:r w:rsidR="00B418AB">
        <w:rPr>
          <w:lang w:eastAsia="en-US"/>
        </w:rPr>
        <w:t xml:space="preserve"> roundtable for this project, held in Sydney on 25 September 2015. </w:t>
      </w:r>
    </w:p>
    <w:p w:rsidR="00B418AB" w:rsidRDefault="00A25378" w:rsidP="00A678D3">
      <w:pPr>
        <w:pStyle w:val="BodyText"/>
        <w:rPr>
          <w:lang w:eastAsia="en-US"/>
        </w:rPr>
      </w:pPr>
      <w:r>
        <w:rPr>
          <w:lang w:eastAsia="en-US"/>
        </w:rPr>
        <w:t xml:space="preserve">The Commission also thanks staff from the Department of Social Services, who provided valuable assistance and feedback on selected aspects of the Commission’s analysis. </w:t>
      </w:r>
    </w:p>
    <w:p w:rsidR="003937E5" w:rsidRDefault="00B174A3" w:rsidP="00A678D3">
      <w:pPr>
        <w:pStyle w:val="BodyText"/>
        <w:rPr>
          <w:lang w:eastAsia="en-US"/>
        </w:rPr>
      </w:pPr>
      <w:r>
        <w:rPr>
          <w:lang w:eastAsia="en-US"/>
        </w:rPr>
        <w:t>This project utilised data from a number of collections of the Australian Bureau of Statistics</w:t>
      </w:r>
      <w:r w:rsidR="00C700C1">
        <w:rPr>
          <w:lang w:eastAsia="en-US"/>
        </w:rPr>
        <w:t xml:space="preserve"> (ABS)</w:t>
      </w:r>
      <w:r>
        <w:rPr>
          <w:lang w:eastAsia="en-US"/>
        </w:rPr>
        <w:t xml:space="preserve">, </w:t>
      </w:r>
      <w:r w:rsidR="00C700C1">
        <w:rPr>
          <w:lang w:eastAsia="en-US"/>
        </w:rPr>
        <w:t>including</w:t>
      </w:r>
      <w:r>
        <w:rPr>
          <w:lang w:eastAsia="en-US"/>
        </w:rPr>
        <w:t xml:space="preserve"> </w:t>
      </w:r>
      <w:proofErr w:type="spellStart"/>
      <w:r>
        <w:rPr>
          <w:lang w:eastAsia="en-US"/>
        </w:rPr>
        <w:t>con</w:t>
      </w:r>
      <w:r w:rsidR="00C700C1">
        <w:rPr>
          <w:lang w:eastAsia="en-US"/>
        </w:rPr>
        <w:t>fidentialised</w:t>
      </w:r>
      <w:proofErr w:type="spellEnd"/>
      <w:r w:rsidR="00C700C1">
        <w:rPr>
          <w:lang w:eastAsia="en-US"/>
        </w:rPr>
        <w:t xml:space="preserve"> unit record data, as well as data from the Household, Income and Labour Dynamics in Australia (HILDA) survey. </w:t>
      </w:r>
      <w:r w:rsidR="007E0B24">
        <w:rPr>
          <w:lang w:eastAsia="en-US"/>
        </w:rPr>
        <w:t>The HILDA project was initiated and is funded by the Department of Social Services, and is managed by the Melbourne Institute of Applied Economic and Social Research</w:t>
      </w:r>
      <w:r w:rsidR="006B6F00">
        <w:rPr>
          <w:lang w:eastAsia="en-US"/>
        </w:rPr>
        <w:t xml:space="preserve"> (Melbourne Institute)</w:t>
      </w:r>
      <w:r w:rsidR="007E0B24">
        <w:rPr>
          <w:lang w:eastAsia="en-US"/>
        </w:rPr>
        <w:t>.</w:t>
      </w:r>
    </w:p>
    <w:p w:rsidR="007E0B24" w:rsidRPr="00A678D3" w:rsidRDefault="00A02417" w:rsidP="00A678D3">
      <w:pPr>
        <w:pStyle w:val="BodyText"/>
        <w:rPr>
          <w:lang w:eastAsia="en-US"/>
        </w:rPr>
      </w:pPr>
      <w:r>
        <w:rPr>
          <w:lang w:eastAsia="en-US"/>
        </w:rPr>
        <w:t xml:space="preserve">The conclusions and views reached by the Commission on the basis of these data are those of the Productivity Commission. They should not be attributed to the Department of Social Services or the </w:t>
      </w:r>
      <w:r w:rsidR="006B6F00">
        <w:rPr>
          <w:lang w:eastAsia="en-US"/>
        </w:rPr>
        <w:t>Melbourne Institute.</w:t>
      </w:r>
    </w:p>
    <w:p w:rsidR="00C058AB" w:rsidRDefault="00C058AB">
      <w:pPr>
        <w:pStyle w:val="BodyText"/>
      </w:pPr>
    </w:p>
    <w:p w:rsidR="004D3F58" w:rsidRDefault="004D3F58">
      <w:pPr>
        <w:pStyle w:val="BodyText"/>
        <w:sectPr w:rsidR="004D3F58" w:rsidSect="00024F7E">
          <w:footerReference w:type="default" r:id="rId23"/>
          <w:type w:val="oddPage"/>
          <w:pgSz w:w="11907" w:h="16840" w:code="9"/>
          <w:pgMar w:top="1985" w:right="1304" w:bottom="1247" w:left="1814" w:header="1701" w:footer="397" w:gutter="0"/>
          <w:pgNumType w:fmt="lowerRoman"/>
          <w:cols w:space="720"/>
        </w:sectPr>
      </w:pPr>
    </w:p>
    <w:p w:rsidR="00735FEA" w:rsidRDefault="00735FEA" w:rsidP="003D5F14">
      <w:pPr>
        <w:pStyle w:val="Heading1"/>
      </w:pPr>
      <w:bookmarkStart w:id="15" w:name="Abbreviations"/>
      <w:bookmarkStart w:id="16" w:name="EndContents"/>
      <w:bookmarkStart w:id="17" w:name="RDnote"/>
      <w:bookmarkStart w:id="18" w:name="_Toc435784411"/>
      <w:bookmarkStart w:id="19" w:name="_Toc435784517"/>
      <w:bookmarkStart w:id="20" w:name="_Toc435784754"/>
      <w:bookmarkStart w:id="21" w:name="_Toc435784828"/>
      <w:bookmarkEnd w:id="15"/>
      <w:bookmarkEnd w:id="16"/>
      <w:bookmarkEnd w:id="17"/>
      <w:r>
        <w:lastRenderedPageBreak/>
        <w:t>Abbreviations</w:t>
      </w:r>
      <w:bookmarkEnd w:id="18"/>
      <w:bookmarkEnd w:id="19"/>
      <w:bookmarkEnd w:id="20"/>
      <w:bookmarkEnd w:id="21"/>
      <w:r>
        <w:t xml:space="preserve"> </w:t>
      </w:r>
    </w:p>
    <w:p w:rsidR="00AB7064" w:rsidRDefault="00AB7064">
      <w:pPr>
        <w:pStyle w:val="Abbreviation"/>
      </w:pPr>
      <w:r>
        <w:t>ABS</w:t>
      </w:r>
      <w:r>
        <w:tab/>
        <w:t>Australian Bureau of Statistics</w:t>
      </w:r>
    </w:p>
    <w:p w:rsidR="000C4452" w:rsidRDefault="000C4452">
      <w:pPr>
        <w:pStyle w:val="Abbreviation"/>
      </w:pPr>
      <w:proofErr w:type="spellStart"/>
      <w:r>
        <w:t>ACAT</w:t>
      </w:r>
      <w:proofErr w:type="spellEnd"/>
      <w:r>
        <w:tab/>
        <w:t>Aged Care Assessment Team</w:t>
      </w:r>
    </w:p>
    <w:p w:rsidR="00AB4F81" w:rsidRDefault="00AB4F81">
      <w:pPr>
        <w:pStyle w:val="Abbreviation"/>
      </w:pPr>
      <w:proofErr w:type="spellStart"/>
      <w:r>
        <w:t>ACFA</w:t>
      </w:r>
      <w:proofErr w:type="spellEnd"/>
      <w:r>
        <w:tab/>
        <w:t>Aged Care Financing Authority</w:t>
      </w:r>
    </w:p>
    <w:p w:rsidR="000E62CB" w:rsidRDefault="000E62CB">
      <w:pPr>
        <w:pStyle w:val="Abbreviation"/>
      </w:pPr>
      <w:proofErr w:type="spellStart"/>
      <w:r>
        <w:t>ACOSS</w:t>
      </w:r>
      <w:proofErr w:type="spellEnd"/>
      <w:r>
        <w:tab/>
        <w:t>Australian Council of Social Service</w:t>
      </w:r>
    </w:p>
    <w:p w:rsidR="00F906F4" w:rsidRDefault="00F906F4">
      <w:pPr>
        <w:pStyle w:val="Abbreviation"/>
      </w:pPr>
      <w:proofErr w:type="spellStart"/>
      <w:r>
        <w:t>AIHW</w:t>
      </w:r>
      <w:proofErr w:type="spellEnd"/>
      <w:r>
        <w:tab/>
        <w:t>Australian Institute of Health and Welfare</w:t>
      </w:r>
    </w:p>
    <w:p w:rsidR="008954FB" w:rsidRDefault="008954FB">
      <w:pPr>
        <w:pStyle w:val="Abbreviation"/>
      </w:pPr>
      <w:r>
        <w:t>APRA</w:t>
      </w:r>
      <w:r>
        <w:tab/>
        <w:t>Australian Prudential Regulation Authority</w:t>
      </w:r>
    </w:p>
    <w:p w:rsidR="001B4189" w:rsidRDefault="001B4189">
      <w:pPr>
        <w:pStyle w:val="Abbreviation"/>
      </w:pPr>
      <w:proofErr w:type="spellStart"/>
      <w:r>
        <w:t>ASFA</w:t>
      </w:r>
      <w:proofErr w:type="spellEnd"/>
      <w:r>
        <w:tab/>
        <w:t>Association of Superannuation Funds of Australia</w:t>
      </w:r>
    </w:p>
    <w:p w:rsidR="00DE27B5" w:rsidRDefault="00DE27B5">
      <w:pPr>
        <w:pStyle w:val="Abbreviation"/>
      </w:pPr>
      <w:proofErr w:type="spellStart"/>
      <w:r>
        <w:t>ASIC</w:t>
      </w:r>
      <w:proofErr w:type="spellEnd"/>
      <w:r>
        <w:tab/>
        <w:t>Australian Securities and Investments Commission</w:t>
      </w:r>
    </w:p>
    <w:p w:rsidR="000A6CA9" w:rsidRDefault="000A6CA9">
      <w:pPr>
        <w:pStyle w:val="Abbreviation"/>
      </w:pPr>
      <w:proofErr w:type="spellStart"/>
      <w:r>
        <w:t>CACP</w:t>
      </w:r>
      <w:proofErr w:type="spellEnd"/>
      <w:r>
        <w:tab/>
        <w:t>Community Aged Care Packages</w:t>
      </w:r>
    </w:p>
    <w:p w:rsidR="00BE07B7" w:rsidRDefault="00BE07B7">
      <w:pPr>
        <w:pStyle w:val="Abbreviation"/>
      </w:pPr>
      <w:r>
        <w:t>CDC</w:t>
      </w:r>
      <w:r>
        <w:tab/>
        <w:t xml:space="preserve">Consumer </w:t>
      </w:r>
      <w:r w:rsidR="00CB6176">
        <w:t>d</w:t>
      </w:r>
      <w:r>
        <w:t xml:space="preserve">irected </w:t>
      </w:r>
      <w:r w:rsidR="00CB6176">
        <w:t>c</w:t>
      </w:r>
      <w:r>
        <w:t>are</w:t>
      </w:r>
    </w:p>
    <w:p w:rsidR="00B16F19" w:rsidRDefault="00B16F19">
      <w:pPr>
        <w:pStyle w:val="Abbreviation"/>
      </w:pPr>
      <w:proofErr w:type="spellStart"/>
      <w:r>
        <w:t>CGT</w:t>
      </w:r>
      <w:proofErr w:type="spellEnd"/>
      <w:r>
        <w:tab/>
        <w:t xml:space="preserve">Capital </w:t>
      </w:r>
      <w:r w:rsidR="00277628">
        <w:t>g</w:t>
      </w:r>
      <w:r>
        <w:t xml:space="preserve">ains </w:t>
      </w:r>
      <w:r w:rsidR="00277628">
        <w:t>t</w:t>
      </w:r>
      <w:r>
        <w:t>ax</w:t>
      </w:r>
    </w:p>
    <w:p w:rsidR="007C7803" w:rsidRDefault="007C7803">
      <w:pPr>
        <w:pStyle w:val="Abbreviation"/>
      </w:pPr>
      <w:proofErr w:type="spellStart"/>
      <w:r>
        <w:t>CHSP</w:t>
      </w:r>
      <w:proofErr w:type="spellEnd"/>
      <w:r>
        <w:tab/>
        <w:t xml:space="preserve">Commonwealth Home Support </w:t>
      </w:r>
      <w:proofErr w:type="spellStart"/>
      <w:r>
        <w:t>Program</w:t>
      </w:r>
      <w:r w:rsidR="00284D18">
        <w:t>me</w:t>
      </w:r>
      <w:proofErr w:type="spellEnd"/>
    </w:p>
    <w:p w:rsidR="00267D9A" w:rsidRDefault="00267D9A">
      <w:pPr>
        <w:pStyle w:val="Abbreviation"/>
      </w:pPr>
      <w:proofErr w:type="spellStart"/>
      <w:r>
        <w:t>COAG</w:t>
      </w:r>
      <w:proofErr w:type="spellEnd"/>
      <w:r>
        <w:tab/>
        <w:t>Council of Australian Governments</w:t>
      </w:r>
    </w:p>
    <w:p w:rsidR="00CC318E" w:rsidRDefault="00CC318E">
      <w:pPr>
        <w:pStyle w:val="Abbreviation"/>
      </w:pPr>
      <w:r>
        <w:t>COTA</w:t>
      </w:r>
      <w:r>
        <w:tab/>
        <w:t>Council on the Ageing</w:t>
      </w:r>
    </w:p>
    <w:p w:rsidR="006063A7" w:rsidRDefault="006063A7">
      <w:pPr>
        <w:pStyle w:val="Abbreviation"/>
      </w:pPr>
      <w:proofErr w:type="spellStart"/>
      <w:r>
        <w:t>CRA</w:t>
      </w:r>
      <w:proofErr w:type="spellEnd"/>
      <w:r>
        <w:tab/>
        <w:t>Commonwealth Rent Assistance</w:t>
      </w:r>
    </w:p>
    <w:p w:rsidR="006577A4" w:rsidRDefault="006577A4">
      <w:pPr>
        <w:pStyle w:val="Abbreviation"/>
      </w:pPr>
      <w:proofErr w:type="spellStart"/>
      <w:r>
        <w:t>CURF</w:t>
      </w:r>
      <w:proofErr w:type="spellEnd"/>
      <w:r>
        <w:tab/>
      </w:r>
      <w:proofErr w:type="spellStart"/>
      <w:r>
        <w:t>Confidentialised</w:t>
      </w:r>
      <w:proofErr w:type="spellEnd"/>
      <w:r>
        <w:t xml:space="preserve"> Unit Record File</w:t>
      </w:r>
    </w:p>
    <w:p w:rsidR="00F4574C" w:rsidRDefault="00F4574C">
      <w:pPr>
        <w:pStyle w:val="Abbreviation"/>
      </w:pPr>
      <w:r>
        <w:t>DAP</w:t>
      </w:r>
      <w:r>
        <w:tab/>
      </w:r>
      <w:r w:rsidR="0072587E">
        <w:t xml:space="preserve">Daily </w:t>
      </w:r>
      <w:r w:rsidR="00277628">
        <w:t>a</w:t>
      </w:r>
      <w:r w:rsidR="0072587E">
        <w:t xml:space="preserve">ccommodation </w:t>
      </w:r>
      <w:r w:rsidR="00277628">
        <w:t>p</w:t>
      </w:r>
      <w:r w:rsidR="0072587E">
        <w:t>ayment</w:t>
      </w:r>
    </w:p>
    <w:p w:rsidR="0072587E" w:rsidRDefault="0072587E">
      <w:pPr>
        <w:pStyle w:val="Abbreviation"/>
      </w:pPr>
      <w:proofErr w:type="spellStart"/>
      <w:r>
        <w:t>DMF</w:t>
      </w:r>
      <w:proofErr w:type="spellEnd"/>
      <w:r>
        <w:tab/>
        <w:t xml:space="preserve">Deferred </w:t>
      </w:r>
      <w:r w:rsidR="00277628">
        <w:t>m</w:t>
      </w:r>
      <w:r>
        <w:t xml:space="preserve">anagement </w:t>
      </w:r>
      <w:r w:rsidR="00277628">
        <w:t>f</w:t>
      </w:r>
      <w:r>
        <w:t>ee</w:t>
      </w:r>
    </w:p>
    <w:p w:rsidR="00842C91" w:rsidRDefault="00842C91">
      <w:pPr>
        <w:pStyle w:val="Abbreviation"/>
      </w:pPr>
      <w:proofErr w:type="spellStart"/>
      <w:r>
        <w:t>DSS</w:t>
      </w:r>
      <w:proofErr w:type="spellEnd"/>
      <w:r>
        <w:tab/>
        <w:t>Department of Social Services</w:t>
      </w:r>
    </w:p>
    <w:p w:rsidR="00D74361" w:rsidRDefault="00D74361">
      <w:pPr>
        <w:pStyle w:val="Abbreviation"/>
      </w:pPr>
      <w:proofErr w:type="spellStart"/>
      <w:r>
        <w:t>DVA</w:t>
      </w:r>
      <w:proofErr w:type="spellEnd"/>
      <w:r>
        <w:tab/>
        <w:t>Department of Veterans’ Affairs</w:t>
      </w:r>
    </w:p>
    <w:p w:rsidR="00823472" w:rsidRDefault="00823472">
      <w:pPr>
        <w:pStyle w:val="Abbreviation"/>
      </w:pPr>
      <w:r>
        <w:t>EACH</w:t>
      </w:r>
      <w:r>
        <w:tab/>
        <w:t>Extended Aged Care at Home</w:t>
      </w:r>
    </w:p>
    <w:p w:rsidR="00823472" w:rsidRDefault="00823472">
      <w:pPr>
        <w:pStyle w:val="Abbreviation"/>
      </w:pPr>
      <w:r>
        <w:t>EACH-D</w:t>
      </w:r>
      <w:r>
        <w:tab/>
        <w:t>Extended Aged Care at Home — Dementia</w:t>
      </w:r>
    </w:p>
    <w:p w:rsidR="00FD48E4" w:rsidRDefault="005E0D17">
      <w:pPr>
        <w:pStyle w:val="Abbreviation"/>
      </w:pPr>
      <w:proofErr w:type="spellStart"/>
      <w:r>
        <w:t>ERP</w:t>
      </w:r>
      <w:proofErr w:type="spellEnd"/>
      <w:r w:rsidR="00FD48E4">
        <w:tab/>
        <w:t xml:space="preserve">Equity </w:t>
      </w:r>
      <w:r w:rsidR="00DE27B5">
        <w:t>r</w:t>
      </w:r>
      <w:r w:rsidR="00FD48E4">
        <w:t xml:space="preserve">elease </w:t>
      </w:r>
      <w:r w:rsidR="00DE27B5">
        <w:t>p</w:t>
      </w:r>
      <w:r w:rsidR="00FD48E4">
        <w:t>roduct</w:t>
      </w:r>
    </w:p>
    <w:p w:rsidR="007B67B3" w:rsidRDefault="007B67B3">
      <w:pPr>
        <w:pStyle w:val="Abbreviation"/>
      </w:pPr>
      <w:r>
        <w:t>GDP</w:t>
      </w:r>
      <w:r>
        <w:tab/>
        <w:t xml:space="preserve">Gross </w:t>
      </w:r>
      <w:r w:rsidR="00CB6176">
        <w:t>d</w:t>
      </w:r>
      <w:r>
        <w:t xml:space="preserve">omestic </w:t>
      </w:r>
      <w:r w:rsidR="00CB6176">
        <w:t>p</w:t>
      </w:r>
      <w:r>
        <w:t>roduct</w:t>
      </w:r>
    </w:p>
    <w:p w:rsidR="000A6CA9" w:rsidRDefault="000A6CA9">
      <w:pPr>
        <w:pStyle w:val="Abbreviation"/>
      </w:pPr>
      <w:proofErr w:type="spellStart"/>
      <w:r>
        <w:t>HACC</w:t>
      </w:r>
      <w:proofErr w:type="spellEnd"/>
      <w:r>
        <w:tab/>
        <w:t>Home and Community Care</w:t>
      </w:r>
    </w:p>
    <w:p w:rsidR="0024278D" w:rsidRDefault="0024278D">
      <w:pPr>
        <w:pStyle w:val="Abbreviation"/>
      </w:pPr>
      <w:r>
        <w:t>HCP</w:t>
      </w:r>
      <w:r>
        <w:tab/>
        <w:t>Home Care Package</w:t>
      </w:r>
    </w:p>
    <w:p w:rsidR="00735FEA" w:rsidRDefault="00F4574C">
      <w:pPr>
        <w:pStyle w:val="Abbreviation"/>
      </w:pPr>
      <w:r>
        <w:t>HILDA</w:t>
      </w:r>
      <w:r w:rsidR="00735FEA">
        <w:tab/>
      </w:r>
      <w:r>
        <w:t>Household, Income and Labour Dynamics in Australia Survey</w:t>
      </w:r>
    </w:p>
    <w:p w:rsidR="008F7EA4" w:rsidRDefault="008F7EA4">
      <w:pPr>
        <w:pStyle w:val="Abbreviation"/>
      </w:pPr>
      <w:proofErr w:type="spellStart"/>
      <w:r>
        <w:lastRenderedPageBreak/>
        <w:t>LVR</w:t>
      </w:r>
      <w:proofErr w:type="spellEnd"/>
      <w:r>
        <w:tab/>
        <w:t xml:space="preserve">Loan to </w:t>
      </w:r>
      <w:r w:rsidR="00DE27B5">
        <w:t>v</w:t>
      </w:r>
      <w:r>
        <w:t xml:space="preserve">alue </w:t>
      </w:r>
      <w:r w:rsidR="00DE27B5">
        <w:t>r</w:t>
      </w:r>
      <w:r>
        <w:t>atio</w:t>
      </w:r>
    </w:p>
    <w:p w:rsidR="00267D9A" w:rsidRDefault="00267D9A">
      <w:pPr>
        <w:pStyle w:val="Abbreviation"/>
      </w:pPr>
      <w:proofErr w:type="spellStart"/>
      <w:r>
        <w:t>MHE</w:t>
      </w:r>
      <w:proofErr w:type="spellEnd"/>
      <w:r>
        <w:tab/>
        <w:t xml:space="preserve">Manufactured </w:t>
      </w:r>
      <w:r w:rsidR="00277628">
        <w:t>h</w:t>
      </w:r>
      <w:r>
        <w:t xml:space="preserve">ome </w:t>
      </w:r>
      <w:r w:rsidR="00277628">
        <w:t>e</w:t>
      </w:r>
      <w:r>
        <w:t>state</w:t>
      </w:r>
    </w:p>
    <w:p w:rsidR="00DE27B5" w:rsidRDefault="00DE27B5">
      <w:pPr>
        <w:pStyle w:val="Abbreviation"/>
      </w:pPr>
      <w:proofErr w:type="spellStart"/>
      <w:r>
        <w:t>NNEG</w:t>
      </w:r>
      <w:proofErr w:type="spellEnd"/>
      <w:r>
        <w:tab/>
      </w:r>
      <w:r w:rsidR="002D7A85">
        <w:t>No Negative Equity Guarantee</w:t>
      </w:r>
    </w:p>
    <w:p w:rsidR="00387088" w:rsidRDefault="00387088">
      <w:pPr>
        <w:pStyle w:val="Abbreviation"/>
      </w:pPr>
      <w:r>
        <w:t>OECD</w:t>
      </w:r>
      <w:r>
        <w:tab/>
        <w:t>Organisation for Economic Cooperation and Development</w:t>
      </w:r>
    </w:p>
    <w:p w:rsidR="00735FEA" w:rsidRDefault="00735FEA">
      <w:pPr>
        <w:pStyle w:val="Abbreviation"/>
      </w:pPr>
      <w:r>
        <w:t>PC</w:t>
      </w:r>
      <w:r>
        <w:tab/>
        <w:t>Productivity Commission</w:t>
      </w:r>
    </w:p>
    <w:p w:rsidR="004E102C" w:rsidRDefault="004E102C">
      <w:pPr>
        <w:pStyle w:val="Abbreviation"/>
      </w:pPr>
      <w:proofErr w:type="spellStart"/>
      <w:r>
        <w:t>PLS</w:t>
      </w:r>
      <w:proofErr w:type="spellEnd"/>
      <w:r>
        <w:tab/>
        <w:t>Pension Loans Scheme</w:t>
      </w:r>
    </w:p>
    <w:p w:rsidR="00F4574C" w:rsidRDefault="00F4574C">
      <w:pPr>
        <w:pStyle w:val="Abbreviation"/>
      </w:pPr>
      <w:r>
        <w:t>RAD</w:t>
      </w:r>
      <w:r>
        <w:tab/>
        <w:t xml:space="preserve">Refundable </w:t>
      </w:r>
      <w:r w:rsidR="007C3811">
        <w:t>a</w:t>
      </w:r>
      <w:r>
        <w:t xml:space="preserve">ccommodation </w:t>
      </w:r>
      <w:r w:rsidR="007C3811">
        <w:t>d</w:t>
      </w:r>
      <w:r>
        <w:t>eposit</w:t>
      </w:r>
    </w:p>
    <w:p w:rsidR="00D94EE6" w:rsidRDefault="00D94EE6">
      <w:pPr>
        <w:pStyle w:val="Abbreviation"/>
      </w:pPr>
      <w:proofErr w:type="spellStart"/>
      <w:r>
        <w:t>RTO</w:t>
      </w:r>
      <w:proofErr w:type="spellEnd"/>
      <w:r>
        <w:tab/>
        <w:t xml:space="preserve">Registered </w:t>
      </w:r>
      <w:r w:rsidR="00925996">
        <w:t>t</w:t>
      </w:r>
      <w:r>
        <w:t xml:space="preserve">raining </w:t>
      </w:r>
      <w:r w:rsidR="00925996">
        <w:t>o</w:t>
      </w:r>
      <w:r>
        <w:t>rganisation</w:t>
      </w:r>
    </w:p>
    <w:p w:rsidR="002D7A85" w:rsidRDefault="002D7A85">
      <w:pPr>
        <w:pStyle w:val="Abbreviation"/>
      </w:pPr>
      <w:proofErr w:type="spellStart"/>
      <w:r>
        <w:t>SEQUAL</w:t>
      </w:r>
      <w:proofErr w:type="spellEnd"/>
      <w:r>
        <w:tab/>
        <w:t>Senior Australians Equity Release Association of Lenders</w:t>
      </w:r>
    </w:p>
    <w:p w:rsidR="00F4574C" w:rsidRDefault="00F4574C">
      <w:pPr>
        <w:pStyle w:val="Abbreviation"/>
      </w:pPr>
      <w:proofErr w:type="spellStart"/>
      <w:r>
        <w:t>SIH</w:t>
      </w:r>
      <w:proofErr w:type="spellEnd"/>
      <w:r>
        <w:tab/>
        <w:t>Survey of Income and Housing</w:t>
      </w:r>
    </w:p>
    <w:p w:rsidR="00140732" w:rsidRPr="00E973E6" w:rsidRDefault="00D94EE6" w:rsidP="00E973E6">
      <w:pPr>
        <w:pStyle w:val="Abbreviation"/>
        <w:rPr>
          <w:b/>
          <w:vanish/>
        </w:rPr>
      </w:pPr>
      <w:r>
        <w:t>VET</w:t>
      </w:r>
      <w:r>
        <w:tab/>
        <w:t xml:space="preserve">Vocational </w:t>
      </w:r>
      <w:r w:rsidR="00D96F7B">
        <w:t>e</w:t>
      </w:r>
      <w:r>
        <w:t xml:space="preserve">ducation and </w:t>
      </w:r>
      <w:r w:rsidR="00D96F7B">
        <w:t>t</w:t>
      </w:r>
      <w:r>
        <w:t xml:space="preserve">raining </w:t>
      </w:r>
      <w:bookmarkStart w:id="22" w:name="Glossary"/>
      <w:bookmarkEnd w:id="22"/>
    </w:p>
    <w:sectPr w:rsidR="00140732" w:rsidRPr="00E973E6" w:rsidSect="00585B3F">
      <w:headerReference w:type="even" r:id="rId24"/>
      <w:headerReference w:type="default" r:id="rId25"/>
      <w:footerReference w:type="even" r:id="rId26"/>
      <w:footerReference w:type="default" r:id="rId2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3AC" w:rsidRDefault="006C53AC">
      <w:r>
        <w:separator/>
      </w:r>
    </w:p>
    <w:p w:rsidR="006C53AC" w:rsidRDefault="006C53AC"/>
    <w:p w:rsidR="006C53AC" w:rsidRDefault="006C53AC"/>
  </w:endnote>
  <w:endnote w:type="continuationSeparator" w:id="0">
    <w:p w:rsidR="006C53AC" w:rsidRDefault="006C53AC">
      <w:r>
        <w:continuationSeparator/>
      </w:r>
    </w:p>
    <w:p w:rsidR="006C53AC" w:rsidRDefault="006C53AC"/>
    <w:p w:rsidR="006C53AC" w:rsidRDefault="006C5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C53AC" w:rsidTr="005F48ED">
      <w:trPr>
        <w:trHeight w:hRule="exact" w:val="567"/>
      </w:trPr>
      <w:tc>
        <w:tcPr>
          <w:tcW w:w="510" w:type="dxa"/>
        </w:tcPr>
        <w:p w:rsidR="006C53AC" w:rsidRPr="00A24443" w:rsidRDefault="006C53AC"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973E6">
            <w:rPr>
              <w:rStyle w:val="PageNumber"/>
              <w:caps w:val="0"/>
              <w:noProof/>
            </w:rPr>
            <w:t>iv</w:t>
          </w:r>
          <w:r w:rsidRPr="00A24443">
            <w:rPr>
              <w:rStyle w:val="PageNumber"/>
              <w:caps w:val="0"/>
            </w:rPr>
            <w:fldChar w:fldCharType="end"/>
          </w:r>
        </w:p>
      </w:tc>
      <w:tc>
        <w:tcPr>
          <w:tcW w:w="7767" w:type="dxa"/>
        </w:tcPr>
        <w:p w:rsidR="006C53AC" w:rsidRPr="0013739A" w:rsidRDefault="006C53AC" w:rsidP="00631DA4">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6567BD">
            <w:rPr>
              <w:rFonts w:cs="Arial"/>
            </w:rPr>
            <w:t>Report title</w:t>
          </w:r>
          <w:r w:rsidRPr="00BA5B14">
            <w:rPr>
              <w:rFonts w:cs="Arial"/>
            </w:rPr>
            <w:fldChar w:fldCharType="end"/>
          </w:r>
        </w:p>
      </w:tc>
      <w:tc>
        <w:tcPr>
          <w:tcW w:w="510" w:type="dxa"/>
        </w:tcPr>
        <w:p w:rsidR="006C53AC" w:rsidRDefault="006C53AC" w:rsidP="0019293B">
          <w:pPr>
            <w:pStyle w:val="Footer"/>
          </w:pPr>
        </w:p>
      </w:tc>
    </w:tr>
  </w:tbl>
  <w:p w:rsidR="006C53AC" w:rsidRDefault="006C53A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C53AC" w:rsidTr="005F48ED">
      <w:trPr>
        <w:trHeight w:hRule="exact" w:val="567"/>
      </w:trPr>
      <w:tc>
        <w:tcPr>
          <w:tcW w:w="510" w:type="dxa"/>
        </w:tcPr>
        <w:p w:rsidR="006C53AC" w:rsidRDefault="006C53AC">
          <w:pPr>
            <w:pStyle w:val="Footer"/>
            <w:ind w:right="360" w:firstLine="360"/>
          </w:pPr>
        </w:p>
      </w:tc>
      <w:tc>
        <w:tcPr>
          <w:tcW w:w="7767" w:type="dxa"/>
        </w:tcPr>
        <w:p w:rsidR="006C53AC" w:rsidRPr="00160417" w:rsidRDefault="006C53AC" w:rsidP="00160417">
          <w:pPr>
            <w:pStyle w:val="Footer"/>
            <w:jc w:val="right"/>
            <w:rPr>
              <w:rFonts w:cs="Arial"/>
            </w:rPr>
          </w:pPr>
          <w:r w:rsidRPr="00160417">
            <w:rPr>
              <w:noProof/>
            </w:rPr>
            <w:fldChar w:fldCharType="begin"/>
          </w:r>
          <w:r w:rsidRPr="00160417">
            <w:rPr>
              <w:noProof/>
            </w:rPr>
            <w:instrText xml:space="preserve"> STYLEREF "Heading 1" \* MERGEFORMAT </w:instrText>
          </w:r>
          <w:r w:rsidRPr="00160417">
            <w:rPr>
              <w:noProof/>
            </w:rPr>
            <w:fldChar w:fldCharType="separate"/>
          </w:r>
          <w:r w:rsidR="00024F7E">
            <w:rPr>
              <w:noProof/>
            </w:rPr>
            <w:t>Foreword</w:t>
          </w:r>
          <w:r w:rsidRPr="00160417">
            <w:rPr>
              <w:noProof/>
            </w:rPr>
            <w:fldChar w:fldCharType="end"/>
          </w:r>
        </w:p>
      </w:tc>
      <w:tc>
        <w:tcPr>
          <w:tcW w:w="510" w:type="dxa"/>
        </w:tcPr>
        <w:p w:rsidR="006C53AC" w:rsidRPr="00634771" w:rsidRDefault="006C53AC">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024F7E">
            <w:rPr>
              <w:rStyle w:val="PageNumber"/>
              <w:caps w:val="0"/>
              <w:noProof/>
            </w:rPr>
            <w:t>iii</w:t>
          </w:r>
          <w:r w:rsidRPr="00634771">
            <w:rPr>
              <w:rStyle w:val="PageNumber"/>
              <w:caps w:val="0"/>
            </w:rPr>
            <w:fldChar w:fldCharType="end"/>
          </w:r>
        </w:p>
      </w:tc>
    </w:tr>
  </w:tbl>
  <w:p w:rsidR="006C53AC" w:rsidRDefault="006C53AC">
    <w:pPr>
      <w:pStyle w:val="FooterEnd"/>
    </w:pPr>
  </w:p>
  <w:p w:rsidR="006C53AC" w:rsidRDefault="006C53A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24F7E">
            <w:rPr>
              <w:rStyle w:val="PageNumber"/>
              <w:caps w:val="0"/>
              <w:noProof/>
            </w:rPr>
            <w:t>vi</w:t>
          </w:r>
          <w:r w:rsidRPr="00A24443">
            <w:rPr>
              <w:rStyle w:val="PageNumber"/>
              <w:caps w:val="0"/>
            </w:rPr>
            <w:fldChar w:fldCharType="end"/>
          </w:r>
        </w:p>
      </w:tc>
      <w:tc>
        <w:tcPr>
          <w:tcW w:w="7767" w:type="dxa"/>
        </w:tcPr>
        <w:p w:rsidR="004D3F58" w:rsidRPr="0013739A" w:rsidRDefault="00F25B92" w:rsidP="0013739A">
          <w:pPr>
            <w:pStyle w:val="Footer"/>
            <w:rPr>
              <w:rFonts w:cs="Arial"/>
            </w:rPr>
          </w:pPr>
          <w:r>
            <w:rPr>
              <w:rFonts w:cs="Arial"/>
            </w:rPr>
            <w:t>Housing decisions of older australians</w:t>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024F7E" w:rsidP="007448F7">
          <w:pPr>
            <w:pStyle w:val="Footer"/>
            <w:jc w:val="right"/>
            <w:rPr>
              <w:rFonts w:cs="Arial"/>
            </w:rPr>
          </w:pPr>
          <w:r>
            <w:rPr>
              <w:noProof/>
            </w:rPr>
            <w:t>contents</w:t>
          </w:r>
          <w:r w:rsidR="007448F7">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024F7E">
            <w:rPr>
              <w:rStyle w:val="PageNumber"/>
              <w:caps w:val="0"/>
              <w:noProof/>
            </w:rPr>
            <w:t>v</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24F7E" w:rsidTr="005F48ED">
      <w:trPr>
        <w:trHeight w:hRule="exact" w:val="567"/>
      </w:trPr>
      <w:tc>
        <w:tcPr>
          <w:tcW w:w="510" w:type="dxa"/>
        </w:tcPr>
        <w:p w:rsidR="00024F7E" w:rsidRDefault="00024F7E">
          <w:pPr>
            <w:pStyle w:val="Footer"/>
            <w:ind w:right="360" w:firstLine="360"/>
          </w:pPr>
        </w:p>
      </w:tc>
      <w:tc>
        <w:tcPr>
          <w:tcW w:w="7767" w:type="dxa"/>
        </w:tcPr>
        <w:p w:rsidR="00024F7E" w:rsidRPr="00BA5B14" w:rsidRDefault="00024F7E" w:rsidP="007448F7">
          <w:pPr>
            <w:pStyle w:val="Footer"/>
            <w:jc w:val="right"/>
            <w:rPr>
              <w:rFonts w:cs="Arial"/>
            </w:rPr>
          </w:pPr>
          <w:r>
            <w:rPr>
              <w:noProof/>
            </w:rPr>
            <w:t>acknowledgements</w:t>
          </w:r>
          <w:r>
            <w:rPr>
              <w:rFonts w:cs="Arial"/>
            </w:rPr>
            <w:t xml:space="preserve"> </w:t>
          </w:r>
        </w:p>
      </w:tc>
      <w:tc>
        <w:tcPr>
          <w:tcW w:w="510" w:type="dxa"/>
        </w:tcPr>
        <w:p w:rsidR="00024F7E" w:rsidRPr="007448F7" w:rsidRDefault="00024F7E">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Pr>
              <w:rStyle w:val="PageNumber"/>
              <w:caps w:val="0"/>
              <w:noProof/>
            </w:rPr>
            <w:t>vii</w:t>
          </w:r>
          <w:r w:rsidRPr="007448F7">
            <w:rPr>
              <w:rStyle w:val="PageNumber"/>
              <w:caps w:val="0"/>
            </w:rPr>
            <w:fldChar w:fldCharType="end"/>
          </w:r>
        </w:p>
      </w:tc>
    </w:tr>
  </w:tbl>
  <w:p w:rsidR="00024F7E" w:rsidRDefault="00024F7E">
    <w:pPr>
      <w:pStyle w:val="FooterEnd"/>
    </w:pPr>
  </w:p>
  <w:p w:rsidR="00024F7E" w:rsidRDefault="00024F7E">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024F7E">
            <w:rPr>
              <w:rStyle w:val="PageNumber"/>
              <w:caps w:val="0"/>
              <w:noProof/>
            </w:rPr>
            <w:t>viii</w:t>
          </w:r>
          <w:r w:rsidRPr="007448F7">
            <w:rPr>
              <w:rStyle w:val="PageNumber"/>
              <w:caps w:val="0"/>
            </w:rPr>
            <w:fldChar w:fldCharType="end"/>
          </w:r>
        </w:p>
      </w:tc>
      <w:tc>
        <w:tcPr>
          <w:tcW w:w="7767" w:type="dxa"/>
        </w:tcPr>
        <w:p w:rsidR="007448F7" w:rsidRPr="0013739A" w:rsidRDefault="008A7C23" w:rsidP="00271B0C">
          <w:pPr>
            <w:pStyle w:val="Footer"/>
            <w:rPr>
              <w:rFonts w:cs="Arial"/>
            </w:rPr>
          </w:pPr>
          <w:r>
            <w:rPr>
              <w:rFonts w:cs="Arial"/>
            </w:rPr>
            <w:t>HOUSING DECISIONS OF OLDER AUSTRALIANS</w:t>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024F7E">
            <w:rPr>
              <w:noProof/>
            </w:rPr>
            <w:t>Abbreviations</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24F7E">
            <w:rPr>
              <w:rStyle w:val="PageNumber"/>
              <w:caps w:val="0"/>
              <w:noProof/>
            </w:rPr>
            <w:t>ix</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3AC" w:rsidRDefault="006C53AC">
      <w:r>
        <w:separator/>
      </w:r>
    </w:p>
    <w:p w:rsidR="006C53AC" w:rsidRDefault="006C53AC"/>
    <w:p w:rsidR="006C53AC" w:rsidRDefault="006C53AC"/>
  </w:footnote>
  <w:footnote w:type="continuationSeparator" w:id="0">
    <w:p w:rsidR="006C53AC" w:rsidRDefault="006C53AC">
      <w:r>
        <w:continuationSeparator/>
      </w:r>
    </w:p>
    <w:p w:rsidR="006C53AC" w:rsidRDefault="006C53AC"/>
    <w:p w:rsidR="006C53AC" w:rsidRDefault="006C53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C53AC">
      <w:tc>
        <w:tcPr>
          <w:tcW w:w="2155" w:type="dxa"/>
          <w:tcBorders>
            <w:top w:val="single" w:sz="24" w:space="0" w:color="auto"/>
          </w:tcBorders>
        </w:tcPr>
        <w:p w:rsidR="006C53AC" w:rsidRDefault="006C53AC">
          <w:pPr>
            <w:pStyle w:val="HeaderEven"/>
          </w:pPr>
        </w:p>
      </w:tc>
      <w:tc>
        <w:tcPr>
          <w:tcW w:w="6634" w:type="dxa"/>
          <w:tcBorders>
            <w:top w:val="single" w:sz="6" w:space="0" w:color="auto"/>
          </w:tcBorders>
        </w:tcPr>
        <w:p w:rsidR="006C53AC" w:rsidRDefault="006C53AC">
          <w:pPr>
            <w:pStyle w:val="HeaderEven"/>
          </w:pPr>
        </w:p>
      </w:tc>
    </w:tr>
  </w:tbl>
  <w:p w:rsidR="006C53AC" w:rsidRDefault="006C53A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C53AC">
      <w:tc>
        <w:tcPr>
          <w:tcW w:w="6634" w:type="dxa"/>
          <w:tcBorders>
            <w:top w:val="single" w:sz="6" w:space="0" w:color="auto"/>
          </w:tcBorders>
        </w:tcPr>
        <w:p w:rsidR="006C53AC" w:rsidRDefault="006C53AC">
          <w:pPr>
            <w:pStyle w:val="HeaderOdd"/>
          </w:pPr>
        </w:p>
      </w:tc>
      <w:tc>
        <w:tcPr>
          <w:tcW w:w="2155" w:type="dxa"/>
          <w:tcBorders>
            <w:top w:val="single" w:sz="24" w:space="0" w:color="auto"/>
          </w:tcBorders>
        </w:tcPr>
        <w:p w:rsidR="006C53AC" w:rsidRDefault="006C53AC">
          <w:pPr>
            <w:pStyle w:val="HeaderOdd"/>
          </w:pPr>
        </w:p>
      </w:tc>
    </w:tr>
  </w:tbl>
  <w:p w:rsidR="006C53AC" w:rsidRDefault="006C53AC">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3AC"/>
    <w:rsid w:val="000057C0"/>
    <w:rsid w:val="00017AFC"/>
    <w:rsid w:val="00024F7E"/>
    <w:rsid w:val="00025878"/>
    <w:rsid w:val="00026B38"/>
    <w:rsid w:val="00036A30"/>
    <w:rsid w:val="000502D3"/>
    <w:rsid w:val="00052CB2"/>
    <w:rsid w:val="000623BF"/>
    <w:rsid w:val="000779EB"/>
    <w:rsid w:val="00095EEA"/>
    <w:rsid w:val="00097C15"/>
    <w:rsid w:val="000A0A0E"/>
    <w:rsid w:val="000A5E12"/>
    <w:rsid w:val="000A6CA9"/>
    <w:rsid w:val="000B2F2F"/>
    <w:rsid w:val="000B416E"/>
    <w:rsid w:val="000C4452"/>
    <w:rsid w:val="000D22B1"/>
    <w:rsid w:val="000E62CB"/>
    <w:rsid w:val="000F185F"/>
    <w:rsid w:val="000F2F5F"/>
    <w:rsid w:val="00106041"/>
    <w:rsid w:val="0010611E"/>
    <w:rsid w:val="001227AA"/>
    <w:rsid w:val="00122FE9"/>
    <w:rsid w:val="00131572"/>
    <w:rsid w:val="00131D4F"/>
    <w:rsid w:val="0013399B"/>
    <w:rsid w:val="00140732"/>
    <w:rsid w:val="00141813"/>
    <w:rsid w:val="00157429"/>
    <w:rsid w:val="00180515"/>
    <w:rsid w:val="00181F4B"/>
    <w:rsid w:val="00186BE3"/>
    <w:rsid w:val="00190919"/>
    <w:rsid w:val="00196FB3"/>
    <w:rsid w:val="001A1C6B"/>
    <w:rsid w:val="001A5071"/>
    <w:rsid w:val="001B4189"/>
    <w:rsid w:val="001B4E73"/>
    <w:rsid w:val="001B7F1E"/>
    <w:rsid w:val="001D4B1F"/>
    <w:rsid w:val="001D6629"/>
    <w:rsid w:val="001E3390"/>
    <w:rsid w:val="001F2270"/>
    <w:rsid w:val="001F6A9C"/>
    <w:rsid w:val="00203B40"/>
    <w:rsid w:val="00205A82"/>
    <w:rsid w:val="00211BEE"/>
    <w:rsid w:val="002179C6"/>
    <w:rsid w:val="0024278D"/>
    <w:rsid w:val="00261607"/>
    <w:rsid w:val="00263DD1"/>
    <w:rsid w:val="00264D3B"/>
    <w:rsid w:val="00265685"/>
    <w:rsid w:val="00267D9A"/>
    <w:rsid w:val="00271B0C"/>
    <w:rsid w:val="00277628"/>
    <w:rsid w:val="00281D5F"/>
    <w:rsid w:val="00284D18"/>
    <w:rsid w:val="002923AD"/>
    <w:rsid w:val="00296592"/>
    <w:rsid w:val="002A0A4B"/>
    <w:rsid w:val="002A499E"/>
    <w:rsid w:val="002B2519"/>
    <w:rsid w:val="002B636E"/>
    <w:rsid w:val="002B64D6"/>
    <w:rsid w:val="002C12F5"/>
    <w:rsid w:val="002C242F"/>
    <w:rsid w:val="002D4569"/>
    <w:rsid w:val="002D6FCE"/>
    <w:rsid w:val="002D7A85"/>
    <w:rsid w:val="002E4006"/>
    <w:rsid w:val="002E50DC"/>
    <w:rsid w:val="002F7AE2"/>
    <w:rsid w:val="003035CD"/>
    <w:rsid w:val="00314E06"/>
    <w:rsid w:val="003239C7"/>
    <w:rsid w:val="00340511"/>
    <w:rsid w:val="0038647D"/>
    <w:rsid w:val="00387088"/>
    <w:rsid w:val="003937E5"/>
    <w:rsid w:val="00393A49"/>
    <w:rsid w:val="003B41E0"/>
    <w:rsid w:val="003C3D73"/>
    <w:rsid w:val="003D5F14"/>
    <w:rsid w:val="003D624D"/>
    <w:rsid w:val="003E7802"/>
    <w:rsid w:val="00411E71"/>
    <w:rsid w:val="0042007A"/>
    <w:rsid w:val="00433C81"/>
    <w:rsid w:val="00446D6B"/>
    <w:rsid w:val="00457B3F"/>
    <w:rsid w:val="00463022"/>
    <w:rsid w:val="00481CF0"/>
    <w:rsid w:val="00490642"/>
    <w:rsid w:val="004B492A"/>
    <w:rsid w:val="004C0B0C"/>
    <w:rsid w:val="004D3F58"/>
    <w:rsid w:val="004E102C"/>
    <w:rsid w:val="004E52E2"/>
    <w:rsid w:val="004E6BB4"/>
    <w:rsid w:val="004E7D3C"/>
    <w:rsid w:val="00515D43"/>
    <w:rsid w:val="0052544D"/>
    <w:rsid w:val="00526B19"/>
    <w:rsid w:val="00551FB8"/>
    <w:rsid w:val="005537F6"/>
    <w:rsid w:val="00560F43"/>
    <w:rsid w:val="005654D0"/>
    <w:rsid w:val="00585B3F"/>
    <w:rsid w:val="005B0981"/>
    <w:rsid w:val="005B17AB"/>
    <w:rsid w:val="005C68FE"/>
    <w:rsid w:val="005E0D17"/>
    <w:rsid w:val="005F7D30"/>
    <w:rsid w:val="00602523"/>
    <w:rsid w:val="006040CB"/>
    <w:rsid w:val="00604351"/>
    <w:rsid w:val="006063A7"/>
    <w:rsid w:val="00607D8A"/>
    <w:rsid w:val="0061590F"/>
    <w:rsid w:val="00636497"/>
    <w:rsid w:val="00641AE2"/>
    <w:rsid w:val="0064456A"/>
    <w:rsid w:val="00647BD9"/>
    <w:rsid w:val="00650DDA"/>
    <w:rsid w:val="0065126A"/>
    <w:rsid w:val="00653FA6"/>
    <w:rsid w:val="006567BD"/>
    <w:rsid w:val="006577A4"/>
    <w:rsid w:val="0067557D"/>
    <w:rsid w:val="006802D4"/>
    <w:rsid w:val="00683849"/>
    <w:rsid w:val="00691AB5"/>
    <w:rsid w:val="006A541E"/>
    <w:rsid w:val="006B6F00"/>
    <w:rsid w:val="006C53AC"/>
    <w:rsid w:val="006D7EAF"/>
    <w:rsid w:val="006E1895"/>
    <w:rsid w:val="006E1E6B"/>
    <w:rsid w:val="006F0EAC"/>
    <w:rsid w:val="006F6A85"/>
    <w:rsid w:val="0070328D"/>
    <w:rsid w:val="00714CC1"/>
    <w:rsid w:val="0072587E"/>
    <w:rsid w:val="007313A9"/>
    <w:rsid w:val="00731F96"/>
    <w:rsid w:val="007337F9"/>
    <w:rsid w:val="00734127"/>
    <w:rsid w:val="00735FEA"/>
    <w:rsid w:val="00743460"/>
    <w:rsid w:val="00743A27"/>
    <w:rsid w:val="007448F7"/>
    <w:rsid w:val="00753DC6"/>
    <w:rsid w:val="0075578C"/>
    <w:rsid w:val="00755D02"/>
    <w:rsid w:val="00766DFB"/>
    <w:rsid w:val="007734B5"/>
    <w:rsid w:val="007809B8"/>
    <w:rsid w:val="007813A6"/>
    <w:rsid w:val="00782658"/>
    <w:rsid w:val="007B2F8B"/>
    <w:rsid w:val="007B67B3"/>
    <w:rsid w:val="007C3811"/>
    <w:rsid w:val="007C415E"/>
    <w:rsid w:val="007C7803"/>
    <w:rsid w:val="007E0B24"/>
    <w:rsid w:val="007F178B"/>
    <w:rsid w:val="0080196B"/>
    <w:rsid w:val="00805FD7"/>
    <w:rsid w:val="00806E54"/>
    <w:rsid w:val="0081661D"/>
    <w:rsid w:val="008206EE"/>
    <w:rsid w:val="008214B1"/>
    <w:rsid w:val="00823472"/>
    <w:rsid w:val="008273A9"/>
    <w:rsid w:val="00836ED7"/>
    <w:rsid w:val="00842C91"/>
    <w:rsid w:val="0084355E"/>
    <w:rsid w:val="008453AC"/>
    <w:rsid w:val="00860D09"/>
    <w:rsid w:val="00862044"/>
    <w:rsid w:val="00880BF7"/>
    <w:rsid w:val="00890210"/>
    <w:rsid w:val="0089269F"/>
    <w:rsid w:val="008954FB"/>
    <w:rsid w:val="008A2133"/>
    <w:rsid w:val="008A3857"/>
    <w:rsid w:val="008A7C23"/>
    <w:rsid w:val="008B2205"/>
    <w:rsid w:val="008C305F"/>
    <w:rsid w:val="008C3AD2"/>
    <w:rsid w:val="008C7C3D"/>
    <w:rsid w:val="008D6F66"/>
    <w:rsid w:val="008E1BEA"/>
    <w:rsid w:val="008E242D"/>
    <w:rsid w:val="008E2E1E"/>
    <w:rsid w:val="008E43D2"/>
    <w:rsid w:val="008E5248"/>
    <w:rsid w:val="008F04C9"/>
    <w:rsid w:val="008F7C50"/>
    <w:rsid w:val="008F7DB7"/>
    <w:rsid w:val="008F7EA4"/>
    <w:rsid w:val="009064D3"/>
    <w:rsid w:val="0091278E"/>
    <w:rsid w:val="00915300"/>
    <w:rsid w:val="00925695"/>
    <w:rsid w:val="00925996"/>
    <w:rsid w:val="00933B0C"/>
    <w:rsid w:val="00935676"/>
    <w:rsid w:val="0098401D"/>
    <w:rsid w:val="009A789F"/>
    <w:rsid w:val="009B12EF"/>
    <w:rsid w:val="009B48F7"/>
    <w:rsid w:val="009B6185"/>
    <w:rsid w:val="009C6C6D"/>
    <w:rsid w:val="009E191D"/>
    <w:rsid w:val="009E1E78"/>
    <w:rsid w:val="009F19BE"/>
    <w:rsid w:val="00A02417"/>
    <w:rsid w:val="00A1597D"/>
    <w:rsid w:val="00A17BBC"/>
    <w:rsid w:val="00A21166"/>
    <w:rsid w:val="00A25378"/>
    <w:rsid w:val="00A41360"/>
    <w:rsid w:val="00A46989"/>
    <w:rsid w:val="00A469AA"/>
    <w:rsid w:val="00A678D3"/>
    <w:rsid w:val="00A71CE9"/>
    <w:rsid w:val="00A72A19"/>
    <w:rsid w:val="00A74863"/>
    <w:rsid w:val="00A75A30"/>
    <w:rsid w:val="00A93C82"/>
    <w:rsid w:val="00AB2A48"/>
    <w:rsid w:val="00AB4F81"/>
    <w:rsid w:val="00AB7064"/>
    <w:rsid w:val="00AC3236"/>
    <w:rsid w:val="00AD4874"/>
    <w:rsid w:val="00AE1F8A"/>
    <w:rsid w:val="00AF2130"/>
    <w:rsid w:val="00AF2E85"/>
    <w:rsid w:val="00B036B2"/>
    <w:rsid w:val="00B04D19"/>
    <w:rsid w:val="00B05058"/>
    <w:rsid w:val="00B153C3"/>
    <w:rsid w:val="00B16F19"/>
    <w:rsid w:val="00B174A3"/>
    <w:rsid w:val="00B22087"/>
    <w:rsid w:val="00B27A56"/>
    <w:rsid w:val="00B418AB"/>
    <w:rsid w:val="00B52F51"/>
    <w:rsid w:val="00B64CCB"/>
    <w:rsid w:val="00B722F2"/>
    <w:rsid w:val="00B80355"/>
    <w:rsid w:val="00B90958"/>
    <w:rsid w:val="00B95339"/>
    <w:rsid w:val="00BA0ADE"/>
    <w:rsid w:val="00BA0B81"/>
    <w:rsid w:val="00BB334E"/>
    <w:rsid w:val="00BB5DCF"/>
    <w:rsid w:val="00BB5E9D"/>
    <w:rsid w:val="00BC2476"/>
    <w:rsid w:val="00BE07B7"/>
    <w:rsid w:val="00BE1449"/>
    <w:rsid w:val="00BF59EA"/>
    <w:rsid w:val="00BF79CD"/>
    <w:rsid w:val="00C058AB"/>
    <w:rsid w:val="00C0721B"/>
    <w:rsid w:val="00C20C81"/>
    <w:rsid w:val="00C344E2"/>
    <w:rsid w:val="00C34C8C"/>
    <w:rsid w:val="00C50792"/>
    <w:rsid w:val="00C51371"/>
    <w:rsid w:val="00C55A45"/>
    <w:rsid w:val="00C576C5"/>
    <w:rsid w:val="00C60905"/>
    <w:rsid w:val="00C700C1"/>
    <w:rsid w:val="00C904D9"/>
    <w:rsid w:val="00C94C06"/>
    <w:rsid w:val="00CA45A5"/>
    <w:rsid w:val="00CA48BF"/>
    <w:rsid w:val="00CB3ACC"/>
    <w:rsid w:val="00CB4745"/>
    <w:rsid w:val="00CB6176"/>
    <w:rsid w:val="00CC318E"/>
    <w:rsid w:val="00CD2163"/>
    <w:rsid w:val="00CD4FE7"/>
    <w:rsid w:val="00CD5E6B"/>
    <w:rsid w:val="00CE4FBC"/>
    <w:rsid w:val="00CE5D96"/>
    <w:rsid w:val="00CE7344"/>
    <w:rsid w:val="00CF26EE"/>
    <w:rsid w:val="00D1614C"/>
    <w:rsid w:val="00D26902"/>
    <w:rsid w:val="00D310F0"/>
    <w:rsid w:val="00D37AC2"/>
    <w:rsid w:val="00D500A9"/>
    <w:rsid w:val="00D61180"/>
    <w:rsid w:val="00D64121"/>
    <w:rsid w:val="00D67119"/>
    <w:rsid w:val="00D732FE"/>
    <w:rsid w:val="00D74361"/>
    <w:rsid w:val="00D74E25"/>
    <w:rsid w:val="00D772E9"/>
    <w:rsid w:val="00D82E10"/>
    <w:rsid w:val="00D94EE6"/>
    <w:rsid w:val="00D969AE"/>
    <w:rsid w:val="00D96F7B"/>
    <w:rsid w:val="00D97754"/>
    <w:rsid w:val="00DA31AB"/>
    <w:rsid w:val="00DA3281"/>
    <w:rsid w:val="00DA6D3E"/>
    <w:rsid w:val="00DB7F64"/>
    <w:rsid w:val="00DC02E8"/>
    <w:rsid w:val="00DC75C7"/>
    <w:rsid w:val="00DC78D3"/>
    <w:rsid w:val="00DD1077"/>
    <w:rsid w:val="00DE27B5"/>
    <w:rsid w:val="00DF00FE"/>
    <w:rsid w:val="00DF4592"/>
    <w:rsid w:val="00E11D76"/>
    <w:rsid w:val="00E15FDC"/>
    <w:rsid w:val="00E2651B"/>
    <w:rsid w:val="00E30DDB"/>
    <w:rsid w:val="00E6632E"/>
    <w:rsid w:val="00E84182"/>
    <w:rsid w:val="00E90CF2"/>
    <w:rsid w:val="00E973E6"/>
    <w:rsid w:val="00EA2A43"/>
    <w:rsid w:val="00EB0136"/>
    <w:rsid w:val="00EB0AFD"/>
    <w:rsid w:val="00EC38C1"/>
    <w:rsid w:val="00EC628B"/>
    <w:rsid w:val="00ED0F61"/>
    <w:rsid w:val="00ED2039"/>
    <w:rsid w:val="00EE3F6D"/>
    <w:rsid w:val="00EE73E1"/>
    <w:rsid w:val="00F12107"/>
    <w:rsid w:val="00F13165"/>
    <w:rsid w:val="00F2142A"/>
    <w:rsid w:val="00F25B92"/>
    <w:rsid w:val="00F4234E"/>
    <w:rsid w:val="00F4574C"/>
    <w:rsid w:val="00F61429"/>
    <w:rsid w:val="00F7477E"/>
    <w:rsid w:val="00F75FFE"/>
    <w:rsid w:val="00F85393"/>
    <w:rsid w:val="00F860F9"/>
    <w:rsid w:val="00F906F4"/>
    <w:rsid w:val="00F97AD0"/>
    <w:rsid w:val="00FA4A24"/>
    <w:rsid w:val="00FC41B4"/>
    <w:rsid w:val="00FC5A6B"/>
    <w:rsid w:val="00FD4728"/>
    <w:rsid w:val="00FD48E4"/>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6C53AC"/>
    <w:rPr>
      <w:kern w:val="28"/>
      <w:sz w:val="52"/>
      <w:lang w:eastAsia="en-US"/>
    </w:rPr>
  </w:style>
  <w:style w:type="table" w:styleId="TableGrid">
    <w:name w:val="Table Grid"/>
    <w:basedOn w:val="TableNormal"/>
    <w:rsid w:val="00B64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F860F9"/>
    <w:pPr>
      <w:spacing w:before="0" w:line="240" w:lineRule="auto"/>
      <w:ind w:left="0" w:firstLine="0"/>
    </w:pPr>
    <w:rPr>
      <w:b/>
      <w:bCs/>
    </w:rPr>
  </w:style>
  <w:style w:type="character" w:customStyle="1" w:styleId="CommentTextChar">
    <w:name w:val="Comment Text Char"/>
    <w:basedOn w:val="DefaultParagraphFont"/>
    <w:link w:val="CommentText"/>
    <w:semiHidden/>
    <w:rsid w:val="00F860F9"/>
    <w:rPr>
      <w:lang w:eastAsia="en-US"/>
    </w:rPr>
  </w:style>
  <w:style w:type="character" w:customStyle="1" w:styleId="CommentSubjectChar">
    <w:name w:val="Comment Subject Char"/>
    <w:basedOn w:val="CommentTextChar"/>
    <w:link w:val="CommentSubject"/>
    <w:rsid w:val="00F860F9"/>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6C53AC"/>
    <w:rPr>
      <w:kern w:val="28"/>
      <w:sz w:val="52"/>
      <w:lang w:eastAsia="en-US"/>
    </w:rPr>
  </w:style>
  <w:style w:type="table" w:styleId="TableGrid">
    <w:name w:val="Table Grid"/>
    <w:basedOn w:val="TableNormal"/>
    <w:rsid w:val="00B64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F860F9"/>
    <w:pPr>
      <w:spacing w:before="0" w:line="240" w:lineRule="auto"/>
      <w:ind w:left="0" w:firstLine="0"/>
    </w:pPr>
    <w:rPr>
      <w:b/>
      <w:bCs/>
    </w:rPr>
  </w:style>
  <w:style w:type="character" w:customStyle="1" w:styleId="CommentTextChar">
    <w:name w:val="Comment Text Char"/>
    <w:basedOn w:val="DefaultParagraphFont"/>
    <w:link w:val="CommentText"/>
    <w:semiHidden/>
    <w:rsid w:val="00F860F9"/>
    <w:rPr>
      <w:lang w:eastAsia="en-US"/>
    </w:rPr>
  </w:style>
  <w:style w:type="character" w:customStyle="1" w:styleId="CommentSubjectChar">
    <w:name w:val="Comment Subject Char"/>
    <w:basedOn w:val="CommentTextChar"/>
    <w:link w:val="CommentSubject"/>
    <w:rsid w:val="00F860F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4.xml"/><Relationship Id="rId27"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F6A13889-8B2C-42B0-9921-171A04501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249</TotalTime>
  <Pages>9</Pages>
  <Words>1268</Words>
  <Characters>7649</Characters>
  <Application>Microsoft Office Word</Application>
  <DocSecurity>0</DocSecurity>
  <Lines>119</Lines>
  <Paragraphs>56</Paragraphs>
  <ScaleCrop>false</ScaleCrop>
  <HeadingPairs>
    <vt:vector size="2" baseType="variant">
      <vt:variant>
        <vt:lpstr>Title</vt:lpstr>
      </vt:variant>
      <vt:variant>
        <vt:i4>1</vt:i4>
      </vt:variant>
    </vt:vector>
  </HeadingPairs>
  <TitlesOfParts>
    <vt:vector size="1" baseType="lpstr">
      <vt:lpstr>Research Paper - Housing Decisions of Older Australians</vt:lpstr>
    </vt:vector>
  </TitlesOfParts>
  <Company>Productivity Commission</Company>
  <LinksUpToDate>false</LinksUpToDate>
  <CharactersWithSpaces>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Paper - Housing Decisions of Older Australians</dc:title>
  <dc:creator>Productivity Commission</dc:creator>
  <cp:lastModifiedBy>Michelle Cross</cp:lastModifiedBy>
  <cp:revision>129</cp:revision>
  <cp:lastPrinted>2015-11-20T01:20:00Z</cp:lastPrinted>
  <dcterms:created xsi:type="dcterms:W3CDTF">2015-10-28T03:59:00Z</dcterms:created>
  <dcterms:modified xsi:type="dcterms:W3CDTF">2015-11-30T02:31:00Z</dcterms:modified>
</cp:coreProperties>
</file>