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B12E71" w14:textId="02B0BD5F" w:rsidR="00A33DFF" w:rsidRDefault="001C13E4" w:rsidP="00676D36">
      <w:pPr>
        <w:pStyle w:val="Heading1"/>
        <w:spacing w:before="0"/>
      </w:pPr>
      <w:bookmarkStart w:id="0" w:name="ChapterNumber"/>
      <w:r>
        <w:t xml:space="preserve">Annex </w:t>
      </w:r>
      <w:bookmarkEnd w:id="0"/>
      <w:r w:rsidR="00333DDA">
        <w:t>A</w:t>
      </w:r>
      <w:r w:rsidR="00676D36">
        <w:tab/>
      </w:r>
      <w:bookmarkStart w:id="1" w:name="ChapterTitle"/>
      <w:r w:rsidR="00676D36">
        <w:t>History of housing assistance</w:t>
      </w:r>
      <w:bookmarkEnd w:id="1"/>
    </w:p>
    <w:p w14:paraId="6A4F5F45" w14:textId="42673AE9" w:rsidR="00676D36" w:rsidRDefault="00676D36" w:rsidP="00676D36">
      <w:pPr>
        <w:pStyle w:val="BodyText"/>
      </w:pPr>
      <w:bookmarkStart w:id="2" w:name="begin"/>
      <w:bookmarkEnd w:id="2"/>
      <w:r>
        <w:t xml:space="preserve">The three forms of housing assistance — public housing, community housing and </w:t>
      </w:r>
      <w:r w:rsidR="00CD1067">
        <w:t>Commonwealth Rent Assistance (</w:t>
      </w:r>
      <w:proofErr w:type="spellStart"/>
      <w:r>
        <w:t>CRA</w:t>
      </w:r>
      <w:proofErr w:type="spellEnd"/>
      <w:r w:rsidR="00CD1067">
        <w:t>)</w:t>
      </w:r>
      <w:r>
        <w:t> —</w:t>
      </w:r>
      <w:r w:rsidR="00E21EA2">
        <w:t> </w:t>
      </w:r>
      <w:r>
        <w:t>coexist today because of historical circumstances. Public housing became an important form of housing assistance after the Commonwealth</w:t>
      </w:r>
      <w:r>
        <w:noBreakHyphen/>
        <w:t>State Housing Agreement (</w:t>
      </w:r>
      <w:proofErr w:type="spellStart"/>
      <w:r>
        <w:t>CSHA</w:t>
      </w:r>
      <w:proofErr w:type="spellEnd"/>
      <w:r>
        <w:t xml:space="preserve">) was established in 1945 to address the </w:t>
      </w:r>
      <w:proofErr w:type="spellStart"/>
      <w:r>
        <w:t>post</w:t>
      </w:r>
      <w:r w:rsidR="00EA2FDD">
        <w:noBreakHyphen/>
      </w:r>
      <w:r>
        <w:t>war</w:t>
      </w:r>
      <w:proofErr w:type="spellEnd"/>
      <w:r>
        <w:t xml:space="preserve"> housing shortage. Although small community housing organisations have existed since the </w:t>
      </w:r>
      <w:proofErr w:type="spellStart"/>
      <w:r>
        <w:t>1800s</w:t>
      </w:r>
      <w:proofErr w:type="spellEnd"/>
      <w:r>
        <w:t xml:space="preserve">, community housing only began to evolve into a more prominent type of housing assistance from the late </w:t>
      </w:r>
      <w:proofErr w:type="spellStart"/>
      <w:r>
        <w:t>1970s</w:t>
      </w:r>
      <w:proofErr w:type="spellEnd"/>
      <w:r>
        <w:t xml:space="preserve">, as governments granted funding for sector development to give tenants a greater choice of social housing provider. </w:t>
      </w:r>
      <w:proofErr w:type="spellStart"/>
      <w:r>
        <w:t>CRA</w:t>
      </w:r>
      <w:proofErr w:type="spellEnd"/>
      <w:r>
        <w:t xml:space="preserve"> was initially introduced in the late </w:t>
      </w:r>
      <w:proofErr w:type="spellStart"/>
      <w:r>
        <w:t>1950s</w:t>
      </w:r>
      <w:proofErr w:type="spellEnd"/>
      <w:r>
        <w:t xml:space="preserve"> to help pensioners with rent payments but is now used to assist a wider range of people, including those who may not be eligible for social housing but require housing assistance.</w:t>
      </w:r>
    </w:p>
    <w:p w14:paraId="0206B914" w14:textId="77777777" w:rsidR="00676D36" w:rsidRDefault="00676D36" w:rsidP="006D1EB8">
      <w:pPr>
        <w:pStyle w:val="Heading2"/>
      </w:pPr>
      <w:r>
        <w:t>Public housing</w:t>
      </w:r>
    </w:p>
    <w:p w14:paraId="56F6F407" w14:textId="7566B9EB" w:rsidR="00676D36" w:rsidRDefault="00DB0C8C" w:rsidP="00676D36">
      <w:pPr>
        <w:pStyle w:val="BodyText"/>
      </w:pPr>
      <w:r>
        <w:t>G</w:t>
      </w:r>
      <w:r w:rsidR="00676D36">
        <w:t>overnment</w:t>
      </w:r>
      <w:r>
        <w:t>s began to offer housing assistance to households</w:t>
      </w:r>
      <w:r w:rsidR="00676D36">
        <w:t xml:space="preserve"> early in the twentieth century as concerns about affordability</w:t>
      </w:r>
      <w:r w:rsidR="00676D36" w:rsidRPr="00D54F5D">
        <w:t xml:space="preserve"> </w:t>
      </w:r>
      <w:r w:rsidR="00676D36">
        <w:t>mounted. Initial policies mainly</w:t>
      </w:r>
      <w:r w:rsidR="0011631D">
        <w:t xml:space="preserve"> involved</w:t>
      </w:r>
      <w:r w:rsidR="00676D36">
        <w:t xml:space="preserve"> the provision of housing finance and few attempts were made to establish public housing </w:t>
      </w:r>
      <w:r w:rsidR="00676D36" w:rsidRPr="005B1583">
        <w:rPr>
          <w:szCs w:val="24"/>
        </w:rPr>
        <w:t>(Hayward 1996)</w:t>
      </w:r>
      <w:r w:rsidR="00676D36">
        <w:t>.</w:t>
      </w:r>
      <w:r w:rsidR="00676D36" w:rsidRPr="0099680C">
        <w:rPr>
          <w:rStyle w:val="FootnoteReference"/>
        </w:rPr>
        <w:footnoteReference w:id="1"/>
      </w:r>
      <w:r w:rsidR="00676D36">
        <w:t xml:space="preserve"> In the late </w:t>
      </w:r>
      <w:proofErr w:type="spellStart"/>
      <w:r w:rsidR="00676D36">
        <w:t>1930s</w:t>
      </w:r>
      <w:proofErr w:type="spellEnd"/>
      <w:r w:rsidR="00676D36">
        <w:t xml:space="preserve"> and early </w:t>
      </w:r>
      <w:proofErr w:type="spellStart"/>
      <w:r w:rsidR="00676D36">
        <w:t>1940s</w:t>
      </w:r>
      <w:proofErr w:type="spellEnd"/>
      <w:r w:rsidR="00676D36">
        <w:t>, newly established S</w:t>
      </w:r>
      <w:r w:rsidR="00FD51AB">
        <w:t xml:space="preserve">tate </w:t>
      </w:r>
      <w:r w:rsidR="00676D36">
        <w:t>H</w:t>
      </w:r>
      <w:r w:rsidR="00FD51AB">
        <w:t xml:space="preserve">ousing </w:t>
      </w:r>
      <w:r w:rsidR="00676D36">
        <w:t>A</w:t>
      </w:r>
      <w:r w:rsidR="00FD51AB">
        <w:t>uthoritie</w:t>
      </w:r>
      <w:r w:rsidR="00676D36">
        <w:t>s</w:t>
      </w:r>
      <w:r w:rsidR="00FD51AB">
        <w:t xml:space="preserve"> (</w:t>
      </w:r>
      <w:proofErr w:type="spellStart"/>
      <w:r w:rsidR="00FD51AB">
        <w:t>SHAs</w:t>
      </w:r>
      <w:proofErr w:type="spellEnd"/>
      <w:r w:rsidR="00FD51AB">
        <w:t>)</w:t>
      </w:r>
      <w:r w:rsidR="00676D36">
        <w:t xml:space="preserve"> in New South Wales, Victoria and South Australia began providing public housing to working class families, as evidence suggested that promoting home ownership was not enough to solve the growing housing shortage </w:t>
      </w:r>
      <w:r w:rsidR="00676D36" w:rsidRPr="005B1583">
        <w:rPr>
          <w:szCs w:val="24"/>
        </w:rPr>
        <w:t>(Hayward 1996)</w:t>
      </w:r>
      <w:r w:rsidR="00676D36">
        <w:t xml:space="preserve">. At the end of World War II, the number of public housing applicants increased </w:t>
      </w:r>
      <w:r w:rsidR="003D56F5">
        <w:t xml:space="preserve">substantially </w:t>
      </w:r>
      <w:r w:rsidR="00676D36">
        <w:t>due to a slowdown in housing construction caused by a lack of materials and labour. Following the recommendations of a 1944 Commonwealth Housing Commission report, which anticipated an increasing shortage of housing, the first Commonwealth–State Housing Agreement (</w:t>
      </w:r>
      <w:proofErr w:type="spellStart"/>
      <w:r w:rsidR="00676D36">
        <w:t>CSHA</w:t>
      </w:r>
      <w:proofErr w:type="spellEnd"/>
      <w:r w:rsidR="00676D36">
        <w:t xml:space="preserve">) was established in 1945 to fund public housing. This encouraged the remaining States to establish housing authorities. Twelve housing agreements have been concluded since then, with the most recent being the </w:t>
      </w:r>
      <w:r w:rsidR="008E1971">
        <w:t>National Affordable Housing Agreement (</w:t>
      </w:r>
      <w:r w:rsidR="00676D36">
        <w:t>NAHA</w:t>
      </w:r>
      <w:r w:rsidR="008E1971">
        <w:t>)</w:t>
      </w:r>
      <w:r w:rsidR="00676D36">
        <w:t xml:space="preserve"> in 2009 (table </w:t>
      </w:r>
      <w:r w:rsidR="008E1971">
        <w:t>1</w:t>
      </w:r>
      <w:r w:rsidR="00676D36">
        <w:t>).</w:t>
      </w:r>
    </w:p>
    <w:p w14:paraId="5AFCA07D" w14:textId="2FBC1BFB" w:rsidR="00883B66" w:rsidRPr="00CD1067" w:rsidRDefault="00883B66" w:rsidP="00883B66">
      <w:pPr>
        <w:pStyle w:val="BodyText"/>
      </w:pPr>
      <w:r>
        <w:t>Although housing agreements have evolved over time (table</w:t>
      </w:r>
      <w:r w:rsidR="00D720A3">
        <w:t> </w:t>
      </w:r>
      <w:r>
        <w:t>1),</w:t>
      </w:r>
      <w:r w:rsidR="00F31A55">
        <w:t xml:space="preserve"> </w:t>
      </w:r>
      <w:r>
        <w:t xml:space="preserve">the division of responsibilities for </w:t>
      </w:r>
      <w:r w:rsidR="00D36789">
        <w:t xml:space="preserve">the </w:t>
      </w:r>
      <w:r>
        <w:t>funding (by the Commonwealth Government) and operating (by the State Governments) of public housing</w:t>
      </w:r>
      <w:r w:rsidR="00F31A55">
        <w:t xml:space="preserve"> has remained unchanged since 1945</w:t>
      </w:r>
      <w:r>
        <w:t xml:space="preserve">. </w:t>
      </w:r>
      <w:r w:rsidRPr="00CD1067">
        <w:t>In 1996, the Council of Australian Governments (</w:t>
      </w:r>
      <w:proofErr w:type="spellStart"/>
      <w:r w:rsidRPr="00CD1067">
        <w:t>COAG</w:t>
      </w:r>
      <w:proofErr w:type="spellEnd"/>
      <w:r w:rsidRPr="00CD1067">
        <w:t xml:space="preserve">) adopted a framework for long term housing </w:t>
      </w:r>
      <w:r w:rsidRPr="00CD1067">
        <w:lastRenderedPageBreak/>
        <w:t xml:space="preserve">assistance reform that included extending </w:t>
      </w:r>
      <w:proofErr w:type="spellStart"/>
      <w:r w:rsidRPr="00CD1067">
        <w:t>CRA</w:t>
      </w:r>
      <w:proofErr w:type="spellEnd"/>
      <w:r w:rsidRPr="00CD1067">
        <w:t xml:space="preserve"> eligibility to public housing tenants, while abolishing Commonwealth housing assistance grants to the States</w:t>
      </w:r>
      <w:r w:rsidRPr="00FC1861">
        <w:t xml:space="preserve"> and Territories. </w:t>
      </w:r>
      <w:proofErr w:type="spellStart"/>
      <w:r w:rsidRPr="00FC1861">
        <w:t>COAG</w:t>
      </w:r>
      <w:proofErr w:type="spellEnd"/>
      <w:r w:rsidRPr="00FC1861">
        <w:t xml:space="preserve"> intended to finalise negotiations on the new framework in 1997 </w:t>
      </w:r>
      <w:r w:rsidRPr="00CD1067">
        <w:t>(</w:t>
      </w:r>
      <w:proofErr w:type="spellStart"/>
      <w:r w:rsidRPr="00CD1067">
        <w:t>COAG</w:t>
      </w:r>
      <w:proofErr w:type="spellEnd"/>
      <w:r w:rsidRPr="00CD1067">
        <w:t xml:space="preserve"> 1996). However, the Commonwealth decided not to pursue the reforms </w:t>
      </w:r>
      <w:r w:rsidR="00A16296" w:rsidRPr="00A16296">
        <w:rPr>
          <w:szCs w:val="24"/>
        </w:rPr>
        <w:t>(</w:t>
      </w:r>
      <w:proofErr w:type="spellStart"/>
      <w:r w:rsidR="00A16296" w:rsidRPr="00A16296">
        <w:rPr>
          <w:szCs w:val="24"/>
        </w:rPr>
        <w:t>FACS</w:t>
      </w:r>
      <w:proofErr w:type="spellEnd"/>
      <w:r w:rsidR="00A16296" w:rsidRPr="00A16296">
        <w:rPr>
          <w:szCs w:val="24"/>
        </w:rPr>
        <w:t> </w:t>
      </w:r>
      <w:proofErr w:type="spellStart"/>
      <w:r w:rsidR="00A16296" w:rsidRPr="00A16296">
        <w:rPr>
          <w:szCs w:val="24"/>
        </w:rPr>
        <w:t>1999a</w:t>
      </w:r>
      <w:proofErr w:type="spellEnd"/>
      <w:r w:rsidR="00A16296" w:rsidRPr="00A16296">
        <w:rPr>
          <w:szCs w:val="24"/>
        </w:rPr>
        <w:t>)</w:t>
      </w:r>
      <w:r w:rsidRPr="00CD1067">
        <w:t xml:space="preserve">. According to Hulse </w:t>
      </w:r>
      <w:r w:rsidR="00A16296" w:rsidRPr="00A16296">
        <w:t>(2002)</w:t>
      </w:r>
      <w:r w:rsidRPr="00CD1067">
        <w:t xml:space="preserve">, </w:t>
      </w:r>
      <w:r>
        <w:t xml:space="preserve">this was due to governments’ budget concerns </w:t>
      </w:r>
      <w:r w:rsidRPr="00CD1067">
        <w:t>and community and interest group opposition.</w:t>
      </w:r>
    </w:p>
    <w:p w14:paraId="28A5B421" w14:textId="69F6662D" w:rsidR="00676D36" w:rsidRDefault="00676D36" w:rsidP="00676D3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676D36" w14:paraId="1B5FE7C4" w14:textId="77777777" w:rsidTr="00461BF6">
        <w:tc>
          <w:tcPr>
            <w:tcW w:w="8771" w:type="dxa"/>
            <w:tcBorders>
              <w:top w:val="single" w:sz="6" w:space="0" w:color="78A22F" w:themeColor="accent1"/>
              <w:left w:val="nil"/>
              <w:bottom w:val="nil"/>
              <w:right w:val="nil"/>
            </w:tcBorders>
            <w:shd w:val="clear" w:color="auto" w:fill="auto"/>
          </w:tcPr>
          <w:p w14:paraId="77FC0BDC" w14:textId="15BB4BA0" w:rsidR="00676D36" w:rsidRPr="00784A05" w:rsidRDefault="00676D36" w:rsidP="00461BF6">
            <w:pPr>
              <w:pStyle w:val="TableTitle"/>
            </w:pPr>
            <w:r>
              <w:rPr>
                <w:b w:val="0"/>
              </w:rPr>
              <w:t xml:space="preserve">Table </w:t>
            </w:r>
            <w:bookmarkStart w:id="3" w:name="OLE_LINK14"/>
            <w:r>
              <w:rPr>
                <w:b w:val="0"/>
              </w:rPr>
              <w:fldChar w:fldCharType="begin"/>
            </w:r>
            <w:r>
              <w:rPr>
                <w:b w:val="0"/>
              </w:rPr>
              <w:instrText xml:space="preserve"> SEQ Table \* ARABIC </w:instrText>
            </w:r>
            <w:r>
              <w:rPr>
                <w:b w:val="0"/>
              </w:rPr>
              <w:fldChar w:fldCharType="separate"/>
            </w:r>
            <w:r w:rsidR="006D1EB8">
              <w:rPr>
                <w:b w:val="0"/>
                <w:noProof/>
              </w:rPr>
              <w:t>1</w:t>
            </w:r>
            <w:r>
              <w:rPr>
                <w:b w:val="0"/>
              </w:rPr>
              <w:fldChar w:fldCharType="end"/>
            </w:r>
            <w:bookmarkEnd w:id="3"/>
            <w:r>
              <w:tab/>
              <w:t>History of housing agreements in Australia</w:t>
            </w:r>
          </w:p>
        </w:tc>
      </w:tr>
      <w:tr w:rsidR="00676D36" w14:paraId="4F374487" w14:textId="77777777" w:rsidTr="00461BF6">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141"/>
              <w:gridCol w:w="7346"/>
            </w:tblGrid>
            <w:tr w:rsidR="00676D36" w:rsidRPr="00246E4D" w14:paraId="3FEEA971" w14:textId="77777777" w:rsidTr="00461BF6">
              <w:tc>
                <w:tcPr>
                  <w:tcW w:w="672" w:type="pct"/>
                  <w:tcBorders>
                    <w:top w:val="single" w:sz="4" w:space="0" w:color="BFBFBF"/>
                    <w:bottom w:val="single" w:sz="4" w:space="0" w:color="BFBFBF"/>
                  </w:tcBorders>
                  <w:shd w:val="clear" w:color="auto" w:fill="auto"/>
                </w:tcPr>
                <w:p w14:paraId="494B12F5" w14:textId="77777777" w:rsidR="00676D36" w:rsidRPr="00246E4D" w:rsidRDefault="00676D36" w:rsidP="00461BF6">
                  <w:pPr>
                    <w:pStyle w:val="TableColumnHeading"/>
                    <w:jc w:val="left"/>
                    <w:rPr>
                      <w:szCs w:val="18"/>
                    </w:rPr>
                  </w:pPr>
                  <w:r w:rsidRPr="00246E4D">
                    <w:rPr>
                      <w:szCs w:val="18"/>
                    </w:rPr>
                    <w:t>Agreement</w:t>
                  </w:r>
                </w:p>
              </w:tc>
              <w:tc>
                <w:tcPr>
                  <w:tcW w:w="4328" w:type="pct"/>
                  <w:tcBorders>
                    <w:top w:val="single" w:sz="4" w:space="0" w:color="BFBFBF"/>
                    <w:bottom w:val="single" w:sz="4" w:space="0" w:color="BFBFBF"/>
                  </w:tcBorders>
                  <w:shd w:val="clear" w:color="auto" w:fill="auto"/>
                </w:tcPr>
                <w:p w14:paraId="60232927" w14:textId="77777777" w:rsidR="00676D36" w:rsidRPr="00246E4D" w:rsidRDefault="00676D36" w:rsidP="00461BF6">
                  <w:pPr>
                    <w:pStyle w:val="TableColumnHeading"/>
                    <w:ind w:right="28"/>
                    <w:jc w:val="left"/>
                    <w:rPr>
                      <w:szCs w:val="18"/>
                    </w:rPr>
                  </w:pPr>
                  <w:r w:rsidRPr="00246E4D">
                    <w:rPr>
                      <w:szCs w:val="18"/>
                    </w:rPr>
                    <w:t>Description</w:t>
                  </w:r>
                </w:p>
              </w:tc>
            </w:tr>
            <w:tr w:rsidR="00676D36" w:rsidRPr="00246E4D" w14:paraId="197B1ED2" w14:textId="77777777" w:rsidTr="00461BF6">
              <w:tc>
                <w:tcPr>
                  <w:tcW w:w="672" w:type="pct"/>
                  <w:tcBorders>
                    <w:top w:val="single" w:sz="4" w:space="0" w:color="BFBFBF"/>
                  </w:tcBorders>
                </w:tcPr>
                <w:p w14:paraId="41E71996" w14:textId="77777777" w:rsidR="00676D36" w:rsidRPr="00246E4D" w:rsidRDefault="00676D36" w:rsidP="00461BF6">
                  <w:pPr>
                    <w:pStyle w:val="TableBodyText"/>
                    <w:spacing w:before="40"/>
                    <w:jc w:val="left"/>
                    <w:rPr>
                      <w:szCs w:val="18"/>
                    </w:rPr>
                  </w:pPr>
                  <w:r w:rsidRPr="00246E4D">
                    <w:rPr>
                      <w:szCs w:val="18"/>
                    </w:rPr>
                    <w:t xml:space="preserve">1945 </w:t>
                  </w:r>
                  <w:proofErr w:type="spellStart"/>
                  <w:r w:rsidRPr="00246E4D">
                    <w:rPr>
                      <w:szCs w:val="18"/>
                    </w:rPr>
                    <w:t>CSHA</w:t>
                  </w:r>
                  <w:proofErr w:type="spellEnd"/>
                </w:p>
              </w:tc>
              <w:tc>
                <w:tcPr>
                  <w:tcW w:w="4328" w:type="pct"/>
                  <w:tcBorders>
                    <w:top w:val="single" w:sz="4" w:space="0" w:color="BFBFBF"/>
                  </w:tcBorders>
                </w:tcPr>
                <w:p w14:paraId="59CD588C" w14:textId="77777777" w:rsidR="00676D36" w:rsidRPr="00246E4D" w:rsidRDefault="00676D36" w:rsidP="00461BF6">
                  <w:pPr>
                    <w:pStyle w:val="TableBodyText"/>
                    <w:spacing w:before="40"/>
                    <w:ind w:right="28"/>
                    <w:jc w:val="left"/>
                    <w:rPr>
                      <w:szCs w:val="18"/>
                    </w:rPr>
                  </w:pPr>
                  <w:r w:rsidRPr="00246E4D">
                    <w:rPr>
                      <w:szCs w:val="18"/>
                    </w:rPr>
                    <w:t xml:space="preserve">The first </w:t>
                  </w:r>
                  <w:proofErr w:type="spellStart"/>
                  <w:r w:rsidRPr="00246E4D">
                    <w:rPr>
                      <w:szCs w:val="18"/>
                    </w:rPr>
                    <w:t>CSHA</w:t>
                  </w:r>
                  <w:proofErr w:type="spellEnd"/>
                  <w:r w:rsidRPr="00246E4D">
                    <w:rPr>
                      <w:szCs w:val="18"/>
                    </w:rPr>
                    <w:t xml:space="preserve"> was established to develop public rental housing.</w:t>
                  </w:r>
                </w:p>
                <w:p w14:paraId="35CAD085" w14:textId="77777777" w:rsidR="00676D36" w:rsidRPr="00246E4D" w:rsidRDefault="00676D36" w:rsidP="00461BF6">
                  <w:pPr>
                    <w:pStyle w:val="TableBullet"/>
                    <w:spacing w:before="40"/>
                    <w:rPr>
                      <w:szCs w:val="18"/>
                    </w:rPr>
                  </w:pPr>
                  <w:r w:rsidRPr="00246E4D">
                    <w:rPr>
                      <w:szCs w:val="18"/>
                    </w:rPr>
                    <w:t>The Australian Government offered low</w:t>
                  </w:r>
                  <w:r>
                    <w:rPr>
                      <w:szCs w:val="18"/>
                    </w:rPr>
                    <w:noBreakHyphen/>
                  </w:r>
                  <w:r w:rsidRPr="00246E4D">
                    <w:rPr>
                      <w:szCs w:val="18"/>
                    </w:rPr>
                    <w:t>interest loans to States to fund public housing construction, with a loan term of 53 years.</w:t>
                  </w:r>
                </w:p>
                <w:p w14:paraId="40AE5A1B" w14:textId="77777777" w:rsidR="00676D36" w:rsidRPr="00246E4D" w:rsidRDefault="00676D36" w:rsidP="00461BF6">
                  <w:pPr>
                    <w:pStyle w:val="TableBullet"/>
                    <w:spacing w:before="40"/>
                    <w:rPr>
                      <w:szCs w:val="18"/>
                    </w:rPr>
                  </w:pPr>
                  <w:r w:rsidRPr="00246E4D">
                    <w:rPr>
                      <w:szCs w:val="18"/>
                    </w:rPr>
                    <w:t>Rents were required to be set at the cost of provision.</w:t>
                  </w:r>
                </w:p>
                <w:p w14:paraId="7BC384D6" w14:textId="77777777" w:rsidR="00676D36" w:rsidRPr="00246E4D" w:rsidRDefault="00676D36" w:rsidP="00461BF6">
                  <w:pPr>
                    <w:pStyle w:val="TableBullet"/>
                    <w:spacing w:before="40"/>
                    <w:rPr>
                      <w:szCs w:val="18"/>
                    </w:rPr>
                  </w:pPr>
                  <w:r w:rsidRPr="00246E4D">
                    <w:rPr>
                      <w:szCs w:val="18"/>
                    </w:rPr>
                    <w:t xml:space="preserve">The Australian Government underwrote up to 60 per cent of </w:t>
                  </w:r>
                  <w:r>
                    <w:rPr>
                      <w:szCs w:val="18"/>
                    </w:rPr>
                    <w:t>s</w:t>
                  </w:r>
                  <w:r w:rsidRPr="00246E4D">
                    <w:rPr>
                      <w:szCs w:val="18"/>
                    </w:rPr>
                    <w:t>tate rental losses incurred from low</w:t>
                  </w:r>
                  <w:r>
                    <w:rPr>
                      <w:szCs w:val="18"/>
                    </w:rPr>
                    <w:noBreakHyphen/>
                  </w:r>
                  <w:r w:rsidRPr="00246E4D">
                    <w:rPr>
                      <w:szCs w:val="18"/>
                    </w:rPr>
                    <w:t>income people who could not afford cost</w:t>
                  </w:r>
                  <w:r>
                    <w:rPr>
                      <w:szCs w:val="18"/>
                    </w:rPr>
                    <w:noBreakHyphen/>
                  </w:r>
                  <w:r w:rsidRPr="00246E4D">
                    <w:rPr>
                      <w:szCs w:val="18"/>
                    </w:rPr>
                    <w:t>based rents.</w:t>
                  </w:r>
                </w:p>
                <w:p w14:paraId="16CC0D71" w14:textId="77777777" w:rsidR="00676D36" w:rsidRPr="00246E4D" w:rsidRDefault="00676D36" w:rsidP="00461BF6">
                  <w:pPr>
                    <w:pStyle w:val="TableBullet"/>
                    <w:spacing w:before="40"/>
                    <w:rPr>
                      <w:szCs w:val="18"/>
                    </w:rPr>
                  </w:pPr>
                  <w:r w:rsidRPr="00246E4D">
                    <w:rPr>
                      <w:szCs w:val="18"/>
                    </w:rPr>
                    <w:t>Full loan values had to be repaid upon the sale of public housing.</w:t>
                  </w:r>
                </w:p>
                <w:p w14:paraId="2D2C59BB" w14:textId="77777777" w:rsidR="00676D36" w:rsidRPr="00246E4D" w:rsidRDefault="00676D36" w:rsidP="00461BF6">
                  <w:pPr>
                    <w:pStyle w:val="TableBullet"/>
                    <w:spacing w:before="40"/>
                    <w:rPr>
                      <w:szCs w:val="18"/>
                    </w:rPr>
                  </w:pPr>
                  <w:r w:rsidRPr="00246E4D">
                    <w:rPr>
                      <w:szCs w:val="18"/>
                    </w:rPr>
                    <w:t>50 per cent of properties were allocated to ex</w:t>
                  </w:r>
                  <w:r>
                    <w:rPr>
                      <w:szCs w:val="18"/>
                    </w:rPr>
                    <w:noBreakHyphen/>
                  </w:r>
                  <w:r w:rsidRPr="00246E4D">
                    <w:rPr>
                      <w:szCs w:val="18"/>
                    </w:rPr>
                    <w:t xml:space="preserve">defence force personnel, and the remainder </w:t>
                  </w:r>
                  <w:r>
                    <w:rPr>
                      <w:szCs w:val="18"/>
                    </w:rPr>
                    <w:t>were</w:t>
                  </w:r>
                  <w:r w:rsidRPr="00246E4D">
                    <w:rPr>
                      <w:szCs w:val="18"/>
                    </w:rPr>
                    <w:t xml:space="preserve"> mainly allocated among low</w:t>
                  </w:r>
                  <w:r>
                    <w:rPr>
                      <w:szCs w:val="18"/>
                    </w:rPr>
                    <w:noBreakHyphen/>
                  </w:r>
                  <w:r w:rsidRPr="00246E4D">
                    <w:rPr>
                      <w:szCs w:val="18"/>
                    </w:rPr>
                    <w:t>income families in need of housing.</w:t>
                  </w:r>
                </w:p>
              </w:tc>
            </w:tr>
            <w:tr w:rsidR="00676D36" w:rsidRPr="00246E4D" w14:paraId="2666910D" w14:textId="77777777" w:rsidTr="00461BF6">
              <w:tc>
                <w:tcPr>
                  <w:tcW w:w="672" w:type="pct"/>
                </w:tcPr>
                <w:p w14:paraId="235A277F" w14:textId="77777777" w:rsidR="00676D36" w:rsidRPr="00246E4D" w:rsidRDefault="00676D36" w:rsidP="00461BF6">
                  <w:pPr>
                    <w:pStyle w:val="TableBodyText"/>
                    <w:spacing w:before="80"/>
                    <w:jc w:val="left"/>
                    <w:rPr>
                      <w:szCs w:val="18"/>
                    </w:rPr>
                  </w:pPr>
                  <w:r w:rsidRPr="00246E4D">
                    <w:rPr>
                      <w:szCs w:val="18"/>
                    </w:rPr>
                    <w:t xml:space="preserve">1956 </w:t>
                  </w:r>
                  <w:proofErr w:type="spellStart"/>
                  <w:r w:rsidRPr="00246E4D">
                    <w:rPr>
                      <w:szCs w:val="18"/>
                    </w:rPr>
                    <w:t>CSHA</w:t>
                  </w:r>
                  <w:proofErr w:type="spellEnd"/>
                  <w:r w:rsidRPr="00246E4D">
                    <w:rPr>
                      <w:szCs w:val="18"/>
                    </w:rPr>
                    <w:t xml:space="preserve">, 1961 </w:t>
                  </w:r>
                  <w:proofErr w:type="spellStart"/>
                  <w:r w:rsidRPr="00246E4D">
                    <w:rPr>
                      <w:szCs w:val="18"/>
                    </w:rPr>
                    <w:t>CSHA</w:t>
                  </w:r>
                  <w:proofErr w:type="spellEnd"/>
                  <w:r w:rsidRPr="00246E4D">
                    <w:rPr>
                      <w:szCs w:val="18"/>
                    </w:rPr>
                    <w:t xml:space="preserve">, 1966 </w:t>
                  </w:r>
                  <w:proofErr w:type="spellStart"/>
                  <w:r w:rsidRPr="00246E4D">
                    <w:rPr>
                      <w:szCs w:val="18"/>
                    </w:rPr>
                    <w:t>CSHA</w:t>
                  </w:r>
                  <w:proofErr w:type="spellEnd"/>
                </w:p>
              </w:tc>
              <w:tc>
                <w:tcPr>
                  <w:tcW w:w="4328" w:type="pct"/>
                </w:tcPr>
                <w:p w14:paraId="54A9F85F" w14:textId="482F7F1A" w:rsidR="00676D36" w:rsidRPr="00246E4D" w:rsidRDefault="00676D36" w:rsidP="00461BF6">
                  <w:pPr>
                    <w:pStyle w:val="TableBodyText"/>
                    <w:spacing w:before="80"/>
                    <w:ind w:right="28"/>
                    <w:jc w:val="left"/>
                    <w:rPr>
                      <w:szCs w:val="18"/>
                    </w:rPr>
                  </w:pPr>
                  <w:r w:rsidRPr="00246E4D">
                    <w:rPr>
                      <w:szCs w:val="18"/>
                    </w:rPr>
                    <w:t xml:space="preserve">The renegotiation of the </w:t>
                  </w:r>
                  <w:proofErr w:type="spellStart"/>
                  <w:r w:rsidRPr="00246E4D">
                    <w:rPr>
                      <w:szCs w:val="18"/>
                    </w:rPr>
                    <w:t>CSHA</w:t>
                  </w:r>
                  <w:proofErr w:type="spellEnd"/>
                  <w:r w:rsidRPr="00246E4D">
                    <w:rPr>
                      <w:szCs w:val="18"/>
                    </w:rPr>
                    <w:t xml:space="preserve"> in 1956 led to a number of modifications to encourage home ownership.</w:t>
                  </w:r>
                  <w:r>
                    <w:rPr>
                      <w:szCs w:val="18"/>
                    </w:rPr>
                    <w:t> Twenty</w:t>
                  </w:r>
                  <w:r w:rsidRPr="00246E4D">
                    <w:rPr>
                      <w:szCs w:val="18"/>
                    </w:rPr>
                    <w:t xml:space="preserve"> per cent of </w:t>
                  </w:r>
                  <w:proofErr w:type="spellStart"/>
                  <w:r w:rsidRPr="00246E4D">
                    <w:rPr>
                      <w:szCs w:val="18"/>
                    </w:rPr>
                    <w:t>CSHA</w:t>
                  </w:r>
                  <w:proofErr w:type="spellEnd"/>
                  <w:r w:rsidRPr="00246E4D">
                    <w:rPr>
                      <w:szCs w:val="18"/>
                    </w:rPr>
                    <w:t xml:space="preserve"> funds were initially redistributed away from public housing to fund home purchase schemes for low</w:t>
                  </w:r>
                  <w:r>
                    <w:rPr>
                      <w:szCs w:val="18"/>
                    </w:rPr>
                    <w:noBreakHyphen/>
                  </w:r>
                  <w:r w:rsidRPr="00246E4D">
                    <w:rPr>
                      <w:szCs w:val="18"/>
                    </w:rPr>
                    <w:t>income earners. This was increased to 30</w:t>
                  </w:r>
                  <w:r w:rsidR="00EB6B7D">
                    <w:rPr>
                      <w:szCs w:val="18"/>
                    </w:rPr>
                    <w:t> </w:t>
                  </w:r>
                  <w:r w:rsidRPr="00246E4D">
                    <w:rPr>
                      <w:szCs w:val="18"/>
                    </w:rPr>
                    <w:t>per cent in 1958</w:t>
                  </w:r>
                  <w:r>
                    <w:rPr>
                      <w:szCs w:val="18"/>
                    </w:rPr>
                    <w:noBreakHyphen/>
                  </w:r>
                  <w:r w:rsidRPr="00246E4D">
                    <w:rPr>
                      <w:szCs w:val="18"/>
                    </w:rPr>
                    <w:t>59. In addition:</w:t>
                  </w:r>
                </w:p>
                <w:p w14:paraId="17AA280F" w14:textId="77777777" w:rsidR="00676D36" w:rsidRPr="00246E4D" w:rsidRDefault="00676D36" w:rsidP="00461BF6">
                  <w:pPr>
                    <w:pStyle w:val="TableBullet"/>
                    <w:rPr>
                      <w:szCs w:val="18"/>
                    </w:rPr>
                  </w:pPr>
                  <w:r w:rsidRPr="00246E4D">
                    <w:rPr>
                      <w:szCs w:val="18"/>
                    </w:rPr>
                    <w:t xml:space="preserve">The Australian Government stopped subsidising losses of the </w:t>
                  </w:r>
                  <w:proofErr w:type="spellStart"/>
                  <w:r>
                    <w:rPr>
                      <w:szCs w:val="18"/>
                    </w:rPr>
                    <w:t>SHAs</w:t>
                  </w:r>
                  <w:proofErr w:type="spellEnd"/>
                  <w:r w:rsidRPr="00246E4D">
                    <w:rPr>
                      <w:szCs w:val="18"/>
                    </w:rPr>
                    <w:t>.</w:t>
                  </w:r>
                </w:p>
                <w:p w14:paraId="75CF8F3A" w14:textId="77777777" w:rsidR="00676D36" w:rsidRPr="00246E4D" w:rsidRDefault="00676D36" w:rsidP="00461BF6">
                  <w:pPr>
                    <w:pStyle w:val="TableBullet"/>
                    <w:rPr>
                      <w:szCs w:val="18"/>
                    </w:rPr>
                  </w:pPr>
                  <w:r w:rsidRPr="00246E4D">
                    <w:rPr>
                      <w:szCs w:val="18"/>
                    </w:rPr>
                    <w:t xml:space="preserve">States were free to </w:t>
                  </w:r>
                  <w:r>
                    <w:rPr>
                      <w:szCs w:val="18"/>
                    </w:rPr>
                    <w:t>determine</w:t>
                  </w:r>
                  <w:r w:rsidRPr="00246E4D">
                    <w:rPr>
                      <w:szCs w:val="18"/>
                    </w:rPr>
                    <w:t xml:space="preserve"> their own rent</w:t>
                  </w:r>
                  <w:r>
                    <w:rPr>
                      <w:szCs w:val="18"/>
                    </w:rPr>
                    <w:noBreakHyphen/>
                  </w:r>
                  <w:r w:rsidRPr="00246E4D">
                    <w:rPr>
                      <w:szCs w:val="18"/>
                    </w:rPr>
                    <w:t>setting arrangements.</w:t>
                  </w:r>
                </w:p>
                <w:p w14:paraId="36B6A4B9" w14:textId="77777777" w:rsidR="00676D36" w:rsidRPr="00246E4D" w:rsidRDefault="00676D36" w:rsidP="00461BF6">
                  <w:pPr>
                    <w:pStyle w:val="TableBullet"/>
                    <w:rPr>
                      <w:szCs w:val="18"/>
                    </w:rPr>
                  </w:pPr>
                  <w:r w:rsidRPr="00246E4D">
                    <w:rPr>
                      <w:szCs w:val="18"/>
                    </w:rPr>
                    <w:t>States were allowed to sell public housing without having to pay back the loan immediately</w:t>
                  </w:r>
                  <w:r>
                    <w:rPr>
                      <w:szCs w:val="18"/>
                    </w:rPr>
                    <w:t>.</w:t>
                  </w:r>
                </w:p>
                <w:p w14:paraId="17DA2267" w14:textId="77777777" w:rsidR="00676D36" w:rsidRPr="00246E4D" w:rsidRDefault="00676D36" w:rsidP="00461BF6">
                  <w:pPr>
                    <w:pStyle w:val="TableBullet"/>
                    <w:numPr>
                      <w:ilvl w:val="0"/>
                      <w:numId w:val="0"/>
                    </w:numPr>
                    <w:rPr>
                      <w:szCs w:val="18"/>
                    </w:rPr>
                  </w:pPr>
                  <w:r w:rsidRPr="00246E4D">
                    <w:rPr>
                      <w:szCs w:val="18"/>
                    </w:rPr>
                    <w:t xml:space="preserve">These conditions were largely retained in the 1961 and 1966 </w:t>
                  </w:r>
                  <w:proofErr w:type="spellStart"/>
                  <w:r w:rsidRPr="00246E4D">
                    <w:rPr>
                      <w:szCs w:val="18"/>
                    </w:rPr>
                    <w:t>CSHAs</w:t>
                  </w:r>
                  <w:proofErr w:type="spellEnd"/>
                  <w:r w:rsidRPr="00246E4D">
                    <w:rPr>
                      <w:szCs w:val="18"/>
                    </w:rPr>
                    <w:t>.</w:t>
                  </w:r>
                </w:p>
              </w:tc>
            </w:tr>
            <w:tr w:rsidR="00676D36" w:rsidRPr="00246E4D" w14:paraId="4A100ED7" w14:textId="77777777" w:rsidTr="00461BF6">
              <w:tc>
                <w:tcPr>
                  <w:tcW w:w="672" w:type="pct"/>
                </w:tcPr>
                <w:p w14:paraId="47D76C13" w14:textId="77777777" w:rsidR="00676D36" w:rsidRPr="00246E4D" w:rsidRDefault="00676D36" w:rsidP="00461BF6">
                  <w:pPr>
                    <w:pStyle w:val="TableBodyText"/>
                    <w:spacing w:before="80"/>
                    <w:ind w:right="28"/>
                    <w:jc w:val="left"/>
                    <w:rPr>
                      <w:szCs w:val="18"/>
                    </w:rPr>
                  </w:pPr>
                  <w:r w:rsidRPr="00246E4D">
                    <w:rPr>
                      <w:szCs w:val="18"/>
                    </w:rPr>
                    <w:t xml:space="preserve">1973 </w:t>
                  </w:r>
                  <w:proofErr w:type="spellStart"/>
                  <w:r w:rsidRPr="00246E4D">
                    <w:rPr>
                      <w:szCs w:val="18"/>
                    </w:rPr>
                    <w:t>CSHA</w:t>
                  </w:r>
                  <w:proofErr w:type="spellEnd"/>
                </w:p>
              </w:tc>
              <w:tc>
                <w:tcPr>
                  <w:tcW w:w="4328" w:type="pct"/>
                </w:tcPr>
                <w:p w14:paraId="2E59F244" w14:textId="77777777" w:rsidR="00676D36" w:rsidRPr="00246E4D" w:rsidRDefault="00676D36" w:rsidP="00461BF6">
                  <w:pPr>
                    <w:pStyle w:val="TableBodyText"/>
                    <w:spacing w:before="80"/>
                    <w:ind w:right="28"/>
                    <w:jc w:val="left"/>
                    <w:rPr>
                      <w:szCs w:val="18"/>
                    </w:rPr>
                  </w:pPr>
                  <w:r w:rsidRPr="00246E4D">
                    <w:rPr>
                      <w:szCs w:val="18"/>
                    </w:rPr>
                    <w:t>Changes were made to target housing assistance to low</w:t>
                  </w:r>
                  <w:r>
                    <w:rPr>
                      <w:szCs w:val="18"/>
                    </w:rPr>
                    <w:noBreakHyphen/>
                  </w:r>
                  <w:r w:rsidRPr="00246E4D">
                    <w:rPr>
                      <w:szCs w:val="18"/>
                    </w:rPr>
                    <w:t>income households.</w:t>
                  </w:r>
                </w:p>
                <w:p w14:paraId="4BAFDA9E" w14:textId="77777777" w:rsidR="00676D36" w:rsidRPr="00246E4D" w:rsidRDefault="00676D36" w:rsidP="00461BF6">
                  <w:pPr>
                    <w:pStyle w:val="TableBullet"/>
                    <w:rPr>
                      <w:szCs w:val="18"/>
                    </w:rPr>
                  </w:pPr>
                  <w:r w:rsidRPr="00246E4D">
                    <w:rPr>
                      <w:szCs w:val="18"/>
                    </w:rPr>
                    <w:t>A stricter means test was introduced for public housing and home purchase assistance. Eligible families earned less than 85 per cent of average weekly earnings.</w:t>
                  </w:r>
                </w:p>
                <w:p w14:paraId="3462B6EA" w14:textId="77777777" w:rsidR="00676D36" w:rsidRPr="00246E4D" w:rsidRDefault="00676D36" w:rsidP="00461BF6">
                  <w:pPr>
                    <w:pStyle w:val="TableBullet"/>
                    <w:spacing w:before="40"/>
                    <w:rPr>
                      <w:szCs w:val="18"/>
                    </w:rPr>
                  </w:pPr>
                  <w:r w:rsidRPr="00246E4D">
                    <w:rPr>
                      <w:szCs w:val="18"/>
                    </w:rPr>
                    <w:t xml:space="preserve">Sales to home owners were restricted to 30 per cent of new </w:t>
                  </w:r>
                  <w:proofErr w:type="spellStart"/>
                  <w:r w:rsidRPr="00246E4D">
                    <w:rPr>
                      <w:szCs w:val="18"/>
                    </w:rPr>
                    <w:t>CSHA</w:t>
                  </w:r>
                  <w:proofErr w:type="spellEnd"/>
                  <w:r w:rsidRPr="00246E4D">
                    <w:rPr>
                      <w:szCs w:val="18"/>
                    </w:rPr>
                    <w:t xml:space="preserve"> housing.</w:t>
                  </w:r>
                </w:p>
              </w:tc>
            </w:tr>
            <w:tr w:rsidR="00676D36" w:rsidRPr="00246E4D" w14:paraId="20E5E494" w14:textId="77777777" w:rsidTr="00461BF6">
              <w:tc>
                <w:tcPr>
                  <w:tcW w:w="672" w:type="pct"/>
                  <w:tcBorders>
                    <w:bottom w:val="single" w:sz="4" w:space="0" w:color="BFBFBF"/>
                  </w:tcBorders>
                </w:tcPr>
                <w:p w14:paraId="65163428" w14:textId="77777777" w:rsidR="00676D36" w:rsidRPr="00246E4D" w:rsidRDefault="00676D36" w:rsidP="00461BF6">
                  <w:pPr>
                    <w:pStyle w:val="TableBodyText"/>
                    <w:spacing w:before="80"/>
                    <w:ind w:right="28"/>
                    <w:jc w:val="left"/>
                    <w:rPr>
                      <w:szCs w:val="18"/>
                    </w:rPr>
                  </w:pPr>
                  <w:r w:rsidRPr="00246E4D">
                    <w:rPr>
                      <w:szCs w:val="18"/>
                    </w:rPr>
                    <w:t xml:space="preserve">1978 </w:t>
                  </w:r>
                  <w:proofErr w:type="spellStart"/>
                  <w:r w:rsidRPr="00246E4D">
                    <w:rPr>
                      <w:szCs w:val="18"/>
                    </w:rPr>
                    <w:t>CSHA</w:t>
                  </w:r>
                  <w:proofErr w:type="spellEnd"/>
                  <w:r w:rsidRPr="00246E4D">
                    <w:rPr>
                      <w:szCs w:val="18"/>
                    </w:rPr>
                    <w:t xml:space="preserve">, 1981 </w:t>
                  </w:r>
                  <w:proofErr w:type="spellStart"/>
                  <w:r w:rsidRPr="00246E4D">
                    <w:rPr>
                      <w:szCs w:val="18"/>
                    </w:rPr>
                    <w:t>CSHA</w:t>
                  </w:r>
                  <w:proofErr w:type="spellEnd"/>
                </w:p>
              </w:tc>
              <w:tc>
                <w:tcPr>
                  <w:tcW w:w="4328" w:type="pct"/>
                  <w:tcBorders>
                    <w:bottom w:val="single" w:sz="4" w:space="0" w:color="BFBFBF"/>
                  </w:tcBorders>
                </w:tcPr>
                <w:p w14:paraId="1FDBCB82" w14:textId="77777777" w:rsidR="00676D36" w:rsidRPr="00246E4D" w:rsidRDefault="00676D36" w:rsidP="00461BF6">
                  <w:pPr>
                    <w:pStyle w:val="TableBodyText"/>
                    <w:spacing w:before="80"/>
                    <w:ind w:right="28"/>
                    <w:jc w:val="left"/>
                    <w:rPr>
                      <w:szCs w:val="18"/>
                    </w:rPr>
                  </w:pPr>
                  <w:r w:rsidRPr="00246E4D">
                    <w:rPr>
                      <w:szCs w:val="18"/>
                    </w:rPr>
                    <w:t>Public housing funding was reduced in 1978.</w:t>
                  </w:r>
                </w:p>
                <w:p w14:paraId="4E1B000F" w14:textId="77777777" w:rsidR="00676D36" w:rsidRPr="00246E4D" w:rsidRDefault="00676D36" w:rsidP="00461BF6">
                  <w:pPr>
                    <w:pStyle w:val="TableBullet"/>
                    <w:rPr>
                      <w:szCs w:val="18"/>
                    </w:rPr>
                  </w:pPr>
                  <w:r w:rsidRPr="00246E4D">
                    <w:rPr>
                      <w:szCs w:val="18"/>
                    </w:rPr>
                    <w:t>Housing assistance became more targeted, with grants being provided for pensioners and others in need.</w:t>
                  </w:r>
                </w:p>
                <w:p w14:paraId="7CDE2460" w14:textId="77777777" w:rsidR="00676D36" w:rsidRPr="00246E4D" w:rsidRDefault="00676D36" w:rsidP="00461BF6">
                  <w:pPr>
                    <w:pStyle w:val="TableBullet"/>
                    <w:tabs>
                      <w:tab w:val="left" w:pos="6332"/>
                    </w:tabs>
                    <w:rPr>
                      <w:szCs w:val="18"/>
                    </w:rPr>
                  </w:pPr>
                  <w:r w:rsidRPr="00246E4D">
                    <w:rPr>
                      <w:szCs w:val="18"/>
                    </w:rPr>
                    <w:t>Sales of public housing were required to be at market prices rather than historic cost.</w:t>
                  </w:r>
                </w:p>
                <w:p w14:paraId="71266A69" w14:textId="77777777" w:rsidR="00676D36" w:rsidRPr="00246E4D" w:rsidRDefault="00676D36" w:rsidP="00461BF6">
                  <w:pPr>
                    <w:pStyle w:val="TableBullet"/>
                    <w:rPr>
                      <w:szCs w:val="18"/>
                    </w:rPr>
                  </w:pPr>
                  <w:proofErr w:type="spellStart"/>
                  <w:r w:rsidRPr="00246E4D">
                    <w:rPr>
                      <w:szCs w:val="18"/>
                    </w:rPr>
                    <w:t>CSHA</w:t>
                  </w:r>
                  <w:proofErr w:type="spellEnd"/>
                  <w:r w:rsidRPr="00246E4D">
                    <w:rPr>
                      <w:szCs w:val="18"/>
                    </w:rPr>
                    <w:t xml:space="preserve"> funds supported a wider range of housing arrangements, including home purchases, leasing and community housing.</w:t>
                  </w:r>
                </w:p>
                <w:p w14:paraId="69CD41F1" w14:textId="77777777" w:rsidR="00676D36" w:rsidRPr="00246E4D" w:rsidRDefault="00676D36" w:rsidP="00461BF6">
                  <w:pPr>
                    <w:pStyle w:val="TableBullet"/>
                    <w:rPr>
                      <w:szCs w:val="18"/>
                    </w:rPr>
                  </w:pPr>
                  <w:r w:rsidRPr="00246E4D">
                    <w:rPr>
                      <w:szCs w:val="18"/>
                    </w:rPr>
                    <w:t>Full market rents were phased in</w:t>
                  </w:r>
                  <w:r>
                    <w:rPr>
                      <w:szCs w:val="18"/>
                    </w:rPr>
                    <w:t>, with rent subsidies provided to disadvantaged tenants</w:t>
                  </w:r>
                  <w:r w:rsidRPr="00FA1ABB">
                    <w:rPr>
                      <w:szCs w:val="18"/>
                    </w:rPr>
                    <w:t>.</w:t>
                  </w:r>
                </w:p>
                <w:p w14:paraId="0267A7E0" w14:textId="240107D5" w:rsidR="00676D36" w:rsidRPr="00246E4D" w:rsidRDefault="00676D36" w:rsidP="00461BF6">
                  <w:pPr>
                    <w:pStyle w:val="TableBullet"/>
                    <w:rPr>
                      <w:szCs w:val="18"/>
                    </w:rPr>
                  </w:pPr>
                  <w:r w:rsidRPr="00246E4D">
                    <w:rPr>
                      <w:szCs w:val="18"/>
                    </w:rPr>
                    <w:t>The 1978</w:t>
                  </w:r>
                  <w:r>
                    <w:rPr>
                      <w:szCs w:val="18"/>
                    </w:rPr>
                    <w:noBreakHyphen/>
                  </w:r>
                  <w:r w:rsidRPr="00246E4D">
                    <w:rPr>
                      <w:szCs w:val="18"/>
                    </w:rPr>
                    <w:t xml:space="preserve">79 Budget required </w:t>
                  </w:r>
                  <w:r>
                    <w:rPr>
                      <w:szCs w:val="18"/>
                    </w:rPr>
                    <w:t>S</w:t>
                  </w:r>
                  <w:r w:rsidRPr="00246E4D">
                    <w:rPr>
                      <w:szCs w:val="18"/>
                    </w:rPr>
                    <w:t xml:space="preserve">tates to match Australian </w:t>
                  </w:r>
                  <w:r w:rsidR="00EB6B7D">
                    <w:rPr>
                      <w:szCs w:val="18"/>
                    </w:rPr>
                    <w:t>G</w:t>
                  </w:r>
                  <w:r w:rsidRPr="00246E4D">
                    <w:rPr>
                      <w:szCs w:val="18"/>
                    </w:rPr>
                    <w:t xml:space="preserve">overnment </w:t>
                  </w:r>
                  <w:proofErr w:type="spellStart"/>
                  <w:r w:rsidRPr="00246E4D">
                    <w:rPr>
                      <w:szCs w:val="18"/>
                    </w:rPr>
                    <w:t>CSHA</w:t>
                  </w:r>
                  <w:proofErr w:type="spellEnd"/>
                  <w:r w:rsidRPr="00246E4D">
                    <w:rPr>
                      <w:szCs w:val="18"/>
                    </w:rPr>
                    <w:t xml:space="preserve"> contributions. This requirement was formally included in the 1981 </w:t>
                  </w:r>
                  <w:proofErr w:type="spellStart"/>
                  <w:r w:rsidRPr="00246E4D">
                    <w:rPr>
                      <w:szCs w:val="18"/>
                    </w:rPr>
                    <w:t>CSHA</w:t>
                  </w:r>
                  <w:proofErr w:type="spellEnd"/>
                  <w:r w:rsidRPr="00246E4D">
                    <w:rPr>
                      <w:szCs w:val="18"/>
                    </w:rPr>
                    <w:t>.</w:t>
                  </w:r>
                </w:p>
                <w:p w14:paraId="5D9FF060" w14:textId="77777777" w:rsidR="00676D36" w:rsidRPr="00246E4D" w:rsidRDefault="00676D36" w:rsidP="00461BF6">
                  <w:pPr>
                    <w:pStyle w:val="TableBodyText"/>
                    <w:ind w:right="28"/>
                    <w:jc w:val="left"/>
                    <w:rPr>
                      <w:szCs w:val="18"/>
                    </w:rPr>
                  </w:pPr>
                  <w:r w:rsidRPr="00246E4D">
                    <w:rPr>
                      <w:szCs w:val="18"/>
                    </w:rPr>
                    <w:t xml:space="preserve">While largely similar, under the 1981 </w:t>
                  </w:r>
                  <w:proofErr w:type="spellStart"/>
                  <w:r w:rsidRPr="00246E4D">
                    <w:rPr>
                      <w:szCs w:val="18"/>
                    </w:rPr>
                    <w:t>CSHA</w:t>
                  </w:r>
                  <w:proofErr w:type="spellEnd"/>
                  <w:r w:rsidRPr="00246E4D">
                    <w:rPr>
                      <w:szCs w:val="18"/>
                    </w:rPr>
                    <w:t>:</w:t>
                  </w:r>
                </w:p>
                <w:p w14:paraId="5BD56EF6" w14:textId="77777777" w:rsidR="00676D36" w:rsidRPr="00246E4D" w:rsidRDefault="00676D36" w:rsidP="00461BF6">
                  <w:pPr>
                    <w:pStyle w:val="TableBullet"/>
                    <w:spacing w:before="40"/>
                    <w:rPr>
                      <w:szCs w:val="18"/>
                    </w:rPr>
                  </w:pPr>
                  <w:r w:rsidRPr="00246E4D">
                    <w:rPr>
                      <w:szCs w:val="18"/>
                    </w:rPr>
                    <w:t>a larger proportion of funds went to earmarked grants for pensioners and Indigenous Australians</w:t>
                  </w:r>
                </w:p>
                <w:p w14:paraId="260ECD47" w14:textId="77777777" w:rsidR="00676D36" w:rsidRPr="00246E4D" w:rsidRDefault="00676D36" w:rsidP="00461BF6">
                  <w:pPr>
                    <w:pStyle w:val="TableBullet"/>
                    <w:spacing w:before="40"/>
                    <w:rPr>
                      <w:szCs w:val="18"/>
                    </w:rPr>
                  </w:pPr>
                  <w:r>
                    <w:rPr>
                      <w:szCs w:val="18"/>
                    </w:rPr>
                    <w:t>S</w:t>
                  </w:r>
                  <w:r w:rsidRPr="00246E4D">
                    <w:rPr>
                      <w:szCs w:val="18"/>
                    </w:rPr>
                    <w:t>tates were allowed to allocate non</w:t>
                  </w:r>
                  <w:r>
                    <w:rPr>
                      <w:szCs w:val="18"/>
                    </w:rPr>
                    <w:noBreakHyphen/>
                  </w:r>
                  <w:r w:rsidRPr="00246E4D">
                    <w:rPr>
                      <w:szCs w:val="18"/>
                    </w:rPr>
                    <w:t>earmarked funds to public housing or home purchase assistance.</w:t>
                  </w:r>
                </w:p>
              </w:tc>
            </w:tr>
            <w:tr w:rsidR="00676D36" w:rsidRPr="00246E4D" w14:paraId="68081BE5" w14:textId="77777777" w:rsidTr="00461BF6">
              <w:tc>
                <w:tcPr>
                  <w:tcW w:w="672" w:type="pct"/>
                  <w:tcBorders>
                    <w:top w:val="single" w:sz="4" w:space="0" w:color="BFBFBF"/>
                  </w:tcBorders>
                  <w:shd w:val="clear" w:color="auto" w:fill="auto"/>
                </w:tcPr>
                <w:p w14:paraId="2E7EB5B1" w14:textId="77777777" w:rsidR="00676D36" w:rsidRPr="00246E4D" w:rsidRDefault="00676D36" w:rsidP="00461BF6">
                  <w:pPr>
                    <w:pStyle w:val="TableBodyText"/>
                    <w:spacing w:before="80"/>
                    <w:ind w:right="28"/>
                    <w:jc w:val="left"/>
                    <w:rPr>
                      <w:szCs w:val="18"/>
                    </w:rPr>
                  </w:pPr>
                </w:p>
              </w:tc>
              <w:tc>
                <w:tcPr>
                  <w:tcW w:w="4328" w:type="pct"/>
                  <w:tcBorders>
                    <w:top w:val="single" w:sz="4" w:space="0" w:color="BFBFBF"/>
                  </w:tcBorders>
                  <w:shd w:val="clear" w:color="auto" w:fill="auto"/>
                </w:tcPr>
                <w:p w14:paraId="4E0D1C6B" w14:textId="5EB0D470" w:rsidR="00676D36" w:rsidRPr="00246E4D" w:rsidRDefault="00E85118" w:rsidP="00E85118">
                  <w:pPr>
                    <w:pStyle w:val="Continued"/>
                  </w:pPr>
                  <w:r>
                    <w:t>(c</w:t>
                  </w:r>
                  <w:r w:rsidR="00676D36">
                    <w:t>ontinued next page</w:t>
                  </w:r>
                  <w:r>
                    <w:t>)</w:t>
                  </w:r>
                </w:p>
              </w:tc>
            </w:tr>
          </w:tbl>
          <w:p w14:paraId="1A231708" w14:textId="77777777" w:rsidR="00676D36" w:rsidRDefault="00676D36" w:rsidP="00461BF6">
            <w:pPr>
              <w:pStyle w:val="Box"/>
            </w:pPr>
          </w:p>
        </w:tc>
      </w:tr>
      <w:tr w:rsidR="00676D36" w14:paraId="1D279C3B" w14:textId="77777777" w:rsidTr="00461BF6">
        <w:trPr>
          <w:cantSplit/>
        </w:trPr>
        <w:tc>
          <w:tcPr>
            <w:tcW w:w="8771" w:type="dxa"/>
            <w:tcBorders>
              <w:top w:val="nil"/>
              <w:left w:val="nil"/>
              <w:bottom w:val="single" w:sz="6" w:space="0" w:color="78A22F" w:themeColor="accent1"/>
              <w:right w:val="nil"/>
            </w:tcBorders>
            <w:shd w:val="clear" w:color="auto" w:fill="auto"/>
          </w:tcPr>
          <w:p w14:paraId="164CD8D8" w14:textId="77777777" w:rsidR="00676D36" w:rsidRDefault="00676D36" w:rsidP="00461BF6">
            <w:pPr>
              <w:pStyle w:val="Box"/>
              <w:spacing w:before="0" w:line="120" w:lineRule="exact"/>
            </w:pPr>
          </w:p>
        </w:tc>
      </w:tr>
      <w:tr w:rsidR="00676D36" w:rsidRPr="000863A5" w14:paraId="2B627334" w14:textId="77777777" w:rsidTr="00461BF6">
        <w:tc>
          <w:tcPr>
            <w:tcW w:w="8771" w:type="dxa"/>
            <w:tcBorders>
              <w:top w:val="single" w:sz="6" w:space="0" w:color="78A22F" w:themeColor="accent1"/>
              <w:left w:val="nil"/>
              <w:bottom w:val="nil"/>
              <w:right w:val="nil"/>
            </w:tcBorders>
          </w:tcPr>
          <w:p w14:paraId="13A13B09" w14:textId="2CBAB9BF" w:rsidR="00676D36" w:rsidRPr="00626D32" w:rsidRDefault="00676D36" w:rsidP="00461BF6">
            <w:pPr>
              <w:pStyle w:val="BoxSpaceBelow"/>
            </w:pPr>
          </w:p>
        </w:tc>
      </w:tr>
    </w:tbl>
    <w:p w14:paraId="7AEA6ECC" w14:textId="12748F5C" w:rsidR="00676D36" w:rsidRDefault="00676D36" w:rsidP="00676D3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676D36" w14:paraId="1A38274B" w14:textId="77777777" w:rsidTr="00461BF6">
        <w:tc>
          <w:tcPr>
            <w:tcW w:w="8771" w:type="dxa"/>
            <w:tcBorders>
              <w:top w:val="single" w:sz="6" w:space="0" w:color="78A22F" w:themeColor="accent1"/>
              <w:left w:val="nil"/>
              <w:bottom w:val="nil"/>
              <w:right w:val="nil"/>
            </w:tcBorders>
            <w:shd w:val="clear" w:color="auto" w:fill="auto"/>
          </w:tcPr>
          <w:p w14:paraId="0EA9914E" w14:textId="2443E912" w:rsidR="00676D36" w:rsidRPr="00784A05" w:rsidRDefault="00676D36" w:rsidP="00E85118">
            <w:pPr>
              <w:pStyle w:val="TableTitle"/>
            </w:pPr>
            <w:r>
              <w:rPr>
                <w:b w:val="0"/>
              </w:rPr>
              <w:t xml:space="preserve">Table </w:t>
            </w:r>
            <w:r w:rsidR="00EB6B7D">
              <w:rPr>
                <w:b w:val="0"/>
              </w:rPr>
              <w:t>1</w:t>
            </w:r>
            <w:r>
              <w:tab/>
            </w:r>
            <w:r w:rsidR="00E85118" w:rsidRPr="00E85118">
              <w:rPr>
                <w:b w:val="0"/>
                <w:sz w:val="18"/>
                <w:szCs w:val="18"/>
              </w:rPr>
              <w:t>(c</w:t>
            </w:r>
            <w:r w:rsidR="00EB6B7D" w:rsidRPr="00E85118">
              <w:rPr>
                <w:b w:val="0"/>
                <w:sz w:val="18"/>
                <w:szCs w:val="18"/>
              </w:rPr>
              <w:t>ontinued</w:t>
            </w:r>
            <w:r w:rsidR="00E85118" w:rsidRPr="00E85118">
              <w:rPr>
                <w:b w:val="0"/>
                <w:sz w:val="18"/>
                <w:szCs w:val="18"/>
              </w:rPr>
              <w:t>)</w:t>
            </w:r>
          </w:p>
        </w:tc>
      </w:tr>
      <w:tr w:rsidR="00676D36" w14:paraId="5F7E9EA0" w14:textId="77777777" w:rsidTr="00461BF6">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112"/>
              <w:gridCol w:w="7375"/>
            </w:tblGrid>
            <w:tr w:rsidR="00676D36" w:rsidRPr="00F04362" w14:paraId="6B126904" w14:textId="77777777" w:rsidTr="00461BF6">
              <w:tc>
                <w:tcPr>
                  <w:tcW w:w="655" w:type="pct"/>
                  <w:tcBorders>
                    <w:top w:val="single" w:sz="4" w:space="0" w:color="BFBFBF"/>
                  </w:tcBorders>
                  <w:shd w:val="clear" w:color="auto" w:fill="auto"/>
                </w:tcPr>
                <w:p w14:paraId="7748266F" w14:textId="77777777" w:rsidR="00676D36" w:rsidRPr="00246E4D" w:rsidRDefault="00676D36" w:rsidP="00461BF6">
                  <w:pPr>
                    <w:pStyle w:val="TableBodyText"/>
                    <w:spacing w:before="80"/>
                    <w:ind w:right="28"/>
                    <w:jc w:val="left"/>
                    <w:rPr>
                      <w:szCs w:val="18"/>
                    </w:rPr>
                  </w:pPr>
                  <w:r w:rsidRPr="00246E4D">
                    <w:rPr>
                      <w:szCs w:val="18"/>
                    </w:rPr>
                    <w:t xml:space="preserve">1984 </w:t>
                  </w:r>
                  <w:proofErr w:type="spellStart"/>
                  <w:r w:rsidRPr="00246E4D">
                    <w:rPr>
                      <w:szCs w:val="18"/>
                    </w:rPr>
                    <w:t>CSHA</w:t>
                  </w:r>
                  <w:proofErr w:type="spellEnd"/>
                  <w:r w:rsidRPr="00246E4D">
                    <w:rPr>
                      <w:szCs w:val="18"/>
                    </w:rPr>
                    <w:t>,</w:t>
                  </w:r>
                </w:p>
                <w:p w14:paraId="25F76763" w14:textId="77777777" w:rsidR="00676D36" w:rsidRPr="00246E4D" w:rsidRDefault="00676D36" w:rsidP="00461BF6">
                  <w:pPr>
                    <w:pStyle w:val="TableBodyText"/>
                    <w:jc w:val="left"/>
                    <w:rPr>
                      <w:szCs w:val="18"/>
                    </w:rPr>
                  </w:pPr>
                  <w:r>
                    <w:rPr>
                      <w:szCs w:val="18"/>
                    </w:rPr>
                    <w:t xml:space="preserve">1989 </w:t>
                  </w:r>
                  <w:proofErr w:type="spellStart"/>
                  <w:r>
                    <w:rPr>
                      <w:szCs w:val="18"/>
                    </w:rPr>
                    <w:t>CSHA</w:t>
                  </w:r>
                  <w:proofErr w:type="spellEnd"/>
                </w:p>
              </w:tc>
              <w:tc>
                <w:tcPr>
                  <w:tcW w:w="4345" w:type="pct"/>
                  <w:tcBorders>
                    <w:top w:val="single" w:sz="4" w:space="0" w:color="BFBFBF"/>
                  </w:tcBorders>
                  <w:shd w:val="clear" w:color="auto" w:fill="auto"/>
                </w:tcPr>
                <w:p w14:paraId="1F460C92" w14:textId="77777777" w:rsidR="00676D36" w:rsidRPr="00246E4D" w:rsidRDefault="00676D36" w:rsidP="00461BF6">
                  <w:pPr>
                    <w:pStyle w:val="TableBodyText"/>
                    <w:spacing w:before="80"/>
                    <w:ind w:right="28"/>
                    <w:jc w:val="left"/>
                    <w:rPr>
                      <w:szCs w:val="18"/>
                    </w:rPr>
                  </w:pPr>
                  <w:r w:rsidRPr="00246E4D">
                    <w:rPr>
                      <w:szCs w:val="18"/>
                    </w:rPr>
                    <w:t xml:space="preserve">Public housing funding increased markedly </w:t>
                  </w:r>
                  <w:r>
                    <w:rPr>
                      <w:szCs w:val="18"/>
                    </w:rPr>
                    <w:t xml:space="preserve">due to a renewed government commitment to </w:t>
                  </w:r>
                  <w:r w:rsidRPr="00246E4D">
                    <w:rPr>
                      <w:szCs w:val="18"/>
                    </w:rPr>
                    <w:t>s</w:t>
                  </w:r>
                  <w:r>
                    <w:rPr>
                      <w:szCs w:val="18"/>
                    </w:rPr>
                    <w:t>upport the public housing stock as a viable tenure choice.</w:t>
                  </w:r>
                </w:p>
                <w:p w14:paraId="5D5CFB14" w14:textId="77777777" w:rsidR="00676D36" w:rsidRPr="00246E4D" w:rsidRDefault="00676D36" w:rsidP="00461BF6">
                  <w:pPr>
                    <w:pStyle w:val="TableBullet"/>
                    <w:rPr>
                      <w:szCs w:val="18"/>
                    </w:rPr>
                  </w:pPr>
                  <w:r w:rsidRPr="00246E4D">
                    <w:rPr>
                      <w:szCs w:val="18"/>
                    </w:rPr>
                    <w:t>Rents were set at no less than cost. However, an increasing majority of tenants qualified for rent subsidies.</w:t>
                  </w:r>
                </w:p>
                <w:p w14:paraId="53191764" w14:textId="77777777" w:rsidR="00676D36" w:rsidRPr="00246E4D" w:rsidRDefault="00676D36" w:rsidP="00461BF6">
                  <w:pPr>
                    <w:pStyle w:val="TableBullet"/>
                    <w:rPr>
                      <w:szCs w:val="18"/>
                    </w:rPr>
                  </w:pPr>
                  <w:r w:rsidRPr="00246E4D">
                    <w:rPr>
                      <w:szCs w:val="18"/>
                    </w:rPr>
                    <w:t xml:space="preserve">Earmarked grants were replaced with five identified programs — rental assistance for </w:t>
                  </w:r>
                  <w:r>
                    <w:rPr>
                      <w:szCs w:val="18"/>
                    </w:rPr>
                    <w:t>Indigenous Australians</w:t>
                  </w:r>
                  <w:r w:rsidRPr="00246E4D">
                    <w:rPr>
                      <w:szCs w:val="18"/>
                    </w:rPr>
                    <w:t>, rental assistance for pensioners, mortgage and rent relief, crisis accommodation, and local government and community housing.</w:t>
                  </w:r>
                </w:p>
                <w:p w14:paraId="04A32B1A" w14:textId="77777777" w:rsidR="00676D36" w:rsidRPr="00246E4D" w:rsidRDefault="00676D36" w:rsidP="00461BF6">
                  <w:pPr>
                    <w:pStyle w:val="TableBullet"/>
                    <w:rPr>
                      <w:szCs w:val="18"/>
                    </w:rPr>
                  </w:pPr>
                  <w:r w:rsidRPr="00246E4D">
                    <w:rPr>
                      <w:szCs w:val="18"/>
                    </w:rPr>
                    <w:t xml:space="preserve">In 1989, all </w:t>
                  </w:r>
                  <w:proofErr w:type="spellStart"/>
                  <w:r w:rsidRPr="00246E4D">
                    <w:rPr>
                      <w:szCs w:val="18"/>
                    </w:rPr>
                    <w:t>CSHA</w:t>
                  </w:r>
                  <w:proofErr w:type="spellEnd"/>
                  <w:r w:rsidRPr="00246E4D">
                    <w:rPr>
                      <w:szCs w:val="18"/>
                    </w:rPr>
                    <w:t xml:space="preserve"> funds were provided in grants rather than loans, and </w:t>
                  </w:r>
                  <w:r>
                    <w:rPr>
                      <w:szCs w:val="18"/>
                    </w:rPr>
                    <w:t>States</w:t>
                  </w:r>
                  <w:r w:rsidRPr="00246E4D">
                    <w:rPr>
                      <w:szCs w:val="18"/>
                    </w:rPr>
                    <w:t xml:space="preserve"> were required to match at least half the value of untied grants.</w:t>
                  </w:r>
                </w:p>
                <w:p w14:paraId="02B93AC6" w14:textId="77777777" w:rsidR="00676D36" w:rsidRPr="00246E4D" w:rsidRDefault="00676D36" w:rsidP="00461BF6">
                  <w:pPr>
                    <w:pStyle w:val="TableBullet"/>
                    <w:rPr>
                      <w:szCs w:val="18"/>
                    </w:rPr>
                  </w:pPr>
                  <w:r w:rsidRPr="00246E4D">
                    <w:rPr>
                      <w:szCs w:val="18"/>
                    </w:rPr>
                    <w:t xml:space="preserve">Joint housing assistance plans between individual </w:t>
                  </w:r>
                  <w:r>
                    <w:rPr>
                      <w:szCs w:val="18"/>
                    </w:rPr>
                    <w:t>S</w:t>
                  </w:r>
                  <w:r w:rsidRPr="00246E4D">
                    <w:rPr>
                      <w:szCs w:val="18"/>
                    </w:rPr>
                    <w:t xml:space="preserve">tates and the Australian </w:t>
                  </w:r>
                  <w:r>
                    <w:rPr>
                      <w:szCs w:val="18"/>
                    </w:rPr>
                    <w:t>G</w:t>
                  </w:r>
                  <w:r w:rsidRPr="00246E4D">
                    <w:rPr>
                      <w:szCs w:val="18"/>
                    </w:rPr>
                    <w:t>overnment were introduced.</w:t>
                  </w:r>
                </w:p>
                <w:p w14:paraId="1710657F" w14:textId="77777777" w:rsidR="00676D36" w:rsidRPr="00F04362" w:rsidRDefault="00676D36" w:rsidP="00461BF6">
                  <w:pPr>
                    <w:pStyle w:val="TableBullet"/>
                    <w:rPr>
                      <w:szCs w:val="18"/>
                    </w:rPr>
                  </w:pPr>
                  <w:r w:rsidRPr="00246E4D">
                    <w:rPr>
                      <w:szCs w:val="18"/>
                    </w:rPr>
                    <w:t>In 1992, more funding for community housing was allocated in the Community Housing Program, which replaced the Local Government and Community Housing Program.</w:t>
                  </w:r>
                </w:p>
              </w:tc>
            </w:tr>
            <w:tr w:rsidR="00676D36" w:rsidRPr="00F04362" w14:paraId="14CFCF4E" w14:textId="77777777" w:rsidTr="00461BF6">
              <w:tc>
                <w:tcPr>
                  <w:tcW w:w="655" w:type="pct"/>
                  <w:shd w:val="clear" w:color="auto" w:fill="auto"/>
                </w:tcPr>
                <w:p w14:paraId="3C53B1EB" w14:textId="77777777" w:rsidR="00676D36" w:rsidRPr="00246E4D" w:rsidRDefault="00676D36" w:rsidP="00461BF6">
                  <w:pPr>
                    <w:pStyle w:val="TableBodyText"/>
                    <w:spacing w:before="40"/>
                    <w:ind w:right="28"/>
                    <w:jc w:val="left"/>
                    <w:rPr>
                      <w:szCs w:val="18"/>
                    </w:rPr>
                  </w:pPr>
                  <w:r w:rsidRPr="00246E4D">
                    <w:rPr>
                      <w:szCs w:val="18"/>
                    </w:rPr>
                    <w:t xml:space="preserve">1996 </w:t>
                  </w:r>
                  <w:proofErr w:type="spellStart"/>
                  <w:r w:rsidRPr="00246E4D">
                    <w:rPr>
                      <w:szCs w:val="18"/>
                    </w:rPr>
                    <w:t>CSHA</w:t>
                  </w:r>
                  <w:proofErr w:type="spellEnd"/>
                </w:p>
              </w:tc>
              <w:tc>
                <w:tcPr>
                  <w:tcW w:w="4345" w:type="pct"/>
                  <w:shd w:val="clear" w:color="auto" w:fill="auto"/>
                </w:tcPr>
                <w:p w14:paraId="71DD5AC3" w14:textId="77777777" w:rsidR="00676D36" w:rsidRPr="00246E4D" w:rsidRDefault="00676D36" w:rsidP="00461BF6">
                  <w:pPr>
                    <w:pStyle w:val="TableBodyText"/>
                    <w:spacing w:before="40"/>
                    <w:ind w:right="28"/>
                    <w:jc w:val="left"/>
                    <w:rPr>
                      <w:szCs w:val="18"/>
                    </w:rPr>
                  </w:pPr>
                  <w:r w:rsidRPr="00246E4D">
                    <w:rPr>
                      <w:szCs w:val="18"/>
                    </w:rPr>
                    <w:t xml:space="preserve">Towards the end of the 1989 </w:t>
                  </w:r>
                  <w:proofErr w:type="spellStart"/>
                  <w:r w:rsidRPr="00246E4D">
                    <w:rPr>
                      <w:szCs w:val="18"/>
                    </w:rPr>
                    <w:t>CSHA</w:t>
                  </w:r>
                  <w:proofErr w:type="spellEnd"/>
                  <w:r w:rsidRPr="00246E4D">
                    <w:rPr>
                      <w:szCs w:val="18"/>
                    </w:rPr>
                    <w:t xml:space="preserve">, the thinking behind housing assistance policy underwent a major shift. The 1996 </w:t>
                  </w:r>
                  <w:proofErr w:type="spellStart"/>
                  <w:r w:rsidRPr="00246E4D">
                    <w:rPr>
                      <w:szCs w:val="18"/>
                    </w:rPr>
                    <w:t>CSHA</w:t>
                  </w:r>
                  <w:proofErr w:type="spellEnd"/>
                  <w:r w:rsidRPr="00246E4D">
                    <w:rPr>
                      <w:szCs w:val="18"/>
                    </w:rPr>
                    <w:t xml:space="preserve"> was created as an interim agreement. </w:t>
                  </w:r>
                </w:p>
                <w:p w14:paraId="53EFD53D" w14:textId="77777777" w:rsidR="00676D36" w:rsidRPr="00246E4D" w:rsidRDefault="00676D36" w:rsidP="00461BF6">
                  <w:pPr>
                    <w:pStyle w:val="TableBullet"/>
                    <w:rPr>
                      <w:szCs w:val="18"/>
                    </w:rPr>
                  </w:pPr>
                  <w:r w:rsidRPr="00246E4D">
                    <w:rPr>
                      <w:szCs w:val="18"/>
                    </w:rPr>
                    <w:t>States were given more flexibility to allocate funds between public housing, home purchase assistance and private rental assistance.</w:t>
                  </w:r>
                </w:p>
                <w:p w14:paraId="32D45C4E" w14:textId="77777777" w:rsidR="00676D36" w:rsidRPr="00246E4D" w:rsidRDefault="00676D36" w:rsidP="00461BF6">
                  <w:pPr>
                    <w:pStyle w:val="TableBullet"/>
                    <w:rPr>
                      <w:szCs w:val="18"/>
                    </w:rPr>
                  </w:pPr>
                  <w:r w:rsidRPr="00246E4D">
                    <w:rPr>
                      <w:szCs w:val="18"/>
                    </w:rPr>
                    <w:t>Arrangements for identified programs (</w:t>
                  </w:r>
                  <w:r>
                    <w:rPr>
                      <w:szCs w:val="18"/>
                    </w:rPr>
                    <w:t>Indigenous</w:t>
                  </w:r>
                  <w:r w:rsidRPr="00246E4D">
                    <w:rPr>
                      <w:szCs w:val="18"/>
                    </w:rPr>
                    <w:t xml:space="preserve"> rental housing, community housing and crisis accommodation) were simplified.</w:t>
                  </w:r>
                </w:p>
                <w:p w14:paraId="17E5D955" w14:textId="77777777" w:rsidR="00676D36" w:rsidRPr="00246E4D" w:rsidRDefault="00676D36" w:rsidP="00461BF6">
                  <w:pPr>
                    <w:pStyle w:val="TableBullet"/>
                    <w:rPr>
                      <w:szCs w:val="18"/>
                    </w:rPr>
                  </w:pPr>
                  <w:r w:rsidRPr="00246E4D">
                    <w:rPr>
                      <w:szCs w:val="18"/>
                    </w:rPr>
                    <w:t>Strategic planning and performance measurement requirements aimed to improve accountability and transparency.</w:t>
                  </w:r>
                </w:p>
                <w:p w14:paraId="67CF3FCF" w14:textId="77777777" w:rsidR="00676D36" w:rsidRPr="00246E4D" w:rsidRDefault="00676D36" w:rsidP="00461BF6">
                  <w:pPr>
                    <w:pStyle w:val="TableBullet"/>
                    <w:spacing w:before="40"/>
                    <w:rPr>
                      <w:szCs w:val="18"/>
                    </w:rPr>
                  </w:pPr>
                  <w:r w:rsidRPr="00246E4D">
                    <w:rPr>
                      <w:szCs w:val="18"/>
                    </w:rPr>
                    <w:t>There was greater focus on customer outcomes. An annual survey of customer satisfaction with public housing services was introduced.</w:t>
                  </w:r>
                </w:p>
              </w:tc>
            </w:tr>
            <w:tr w:rsidR="00676D36" w:rsidRPr="00F04362" w14:paraId="20C0F2FF" w14:textId="77777777" w:rsidTr="00461BF6">
              <w:tc>
                <w:tcPr>
                  <w:tcW w:w="655" w:type="pct"/>
                  <w:shd w:val="clear" w:color="auto" w:fill="auto"/>
                </w:tcPr>
                <w:p w14:paraId="0350946B" w14:textId="77777777" w:rsidR="00676D36" w:rsidRPr="00246E4D" w:rsidRDefault="00676D36" w:rsidP="00461BF6">
                  <w:pPr>
                    <w:pStyle w:val="TableBodyText"/>
                    <w:spacing w:before="80"/>
                    <w:ind w:right="28"/>
                    <w:jc w:val="left"/>
                    <w:rPr>
                      <w:szCs w:val="18"/>
                    </w:rPr>
                  </w:pPr>
                  <w:r w:rsidRPr="00246E4D">
                    <w:rPr>
                      <w:szCs w:val="18"/>
                    </w:rPr>
                    <w:t xml:space="preserve">1999 </w:t>
                  </w:r>
                  <w:proofErr w:type="spellStart"/>
                  <w:r w:rsidRPr="00246E4D">
                    <w:rPr>
                      <w:szCs w:val="18"/>
                    </w:rPr>
                    <w:t>CSHA</w:t>
                  </w:r>
                  <w:proofErr w:type="spellEnd"/>
                </w:p>
                <w:p w14:paraId="455A7F5F" w14:textId="77777777" w:rsidR="00676D36" w:rsidRPr="00246E4D" w:rsidRDefault="00676D36" w:rsidP="00461BF6">
                  <w:pPr>
                    <w:pStyle w:val="TableBodyText"/>
                    <w:jc w:val="left"/>
                    <w:rPr>
                      <w:szCs w:val="18"/>
                    </w:rPr>
                  </w:pPr>
                </w:p>
              </w:tc>
              <w:tc>
                <w:tcPr>
                  <w:tcW w:w="4345" w:type="pct"/>
                  <w:shd w:val="clear" w:color="auto" w:fill="auto"/>
                </w:tcPr>
                <w:p w14:paraId="3BD549B0" w14:textId="77777777" w:rsidR="00676D36" w:rsidRPr="00246E4D" w:rsidRDefault="00676D36" w:rsidP="00461BF6">
                  <w:pPr>
                    <w:pStyle w:val="TableBodyText"/>
                    <w:spacing w:before="80"/>
                    <w:ind w:right="28"/>
                    <w:jc w:val="left"/>
                    <w:rPr>
                      <w:szCs w:val="18"/>
                    </w:rPr>
                  </w:pPr>
                  <w:r w:rsidRPr="00246E4D">
                    <w:rPr>
                      <w:szCs w:val="18"/>
                    </w:rPr>
                    <w:t xml:space="preserve">The 1999 </w:t>
                  </w:r>
                  <w:proofErr w:type="spellStart"/>
                  <w:r w:rsidRPr="00246E4D">
                    <w:rPr>
                      <w:szCs w:val="18"/>
                    </w:rPr>
                    <w:t>CSHA</w:t>
                  </w:r>
                  <w:proofErr w:type="spellEnd"/>
                  <w:r w:rsidRPr="00246E4D">
                    <w:rPr>
                      <w:szCs w:val="18"/>
                    </w:rPr>
                    <w:t xml:space="preserve"> built upon the foundations of the interim agreement based on performance and accountability. </w:t>
                  </w:r>
                </w:p>
                <w:p w14:paraId="0078BE2E" w14:textId="77777777" w:rsidR="00676D36" w:rsidRPr="00246E4D" w:rsidRDefault="00676D36" w:rsidP="00461BF6">
                  <w:pPr>
                    <w:pStyle w:val="TableBullet"/>
                    <w:rPr>
                      <w:szCs w:val="18"/>
                    </w:rPr>
                  </w:pPr>
                  <w:r w:rsidRPr="00246E4D">
                    <w:rPr>
                      <w:szCs w:val="18"/>
                    </w:rPr>
                    <w:t xml:space="preserve">There was an increased emphasis on assisting those whose housing needs could not be met by the private market. The duration of assistance </w:t>
                  </w:r>
                  <w:r>
                    <w:rPr>
                      <w:szCs w:val="18"/>
                    </w:rPr>
                    <w:t>was to be</w:t>
                  </w:r>
                  <w:r w:rsidRPr="00246E4D">
                    <w:rPr>
                      <w:szCs w:val="18"/>
                    </w:rPr>
                    <w:t xml:space="preserve"> based on need.</w:t>
                  </w:r>
                </w:p>
                <w:p w14:paraId="3324AB00" w14:textId="77777777" w:rsidR="00676D36" w:rsidRPr="00246E4D" w:rsidRDefault="00676D36" w:rsidP="00461BF6">
                  <w:pPr>
                    <w:pStyle w:val="TableBullet"/>
                    <w:spacing w:before="40"/>
                    <w:rPr>
                      <w:szCs w:val="18"/>
                    </w:rPr>
                  </w:pPr>
                  <w:r w:rsidRPr="00246E4D">
                    <w:rPr>
                      <w:szCs w:val="18"/>
                    </w:rPr>
                    <w:t xml:space="preserve">Bilateral agreements between the Australian </w:t>
                  </w:r>
                  <w:r>
                    <w:rPr>
                      <w:szCs w:val="18"/>
                    </w:rPr>
                    <w:t>G</w:t>
                  </w:r>
                  <w:r w:rsidRPr="00246E4D">
                    <w:rPr>
                      <w:szCs w:val="18"/>
                    </w:rPr>
                    <w:t xml:space="preserve">overnment and each </w:t>
                  </w:r>
                  <w:r>
                    <w:rPr>
                      <w:szCs w:val="18"/>
                    </w:rPr>
                    <w:t>S</w:t>
                  </w:r>
                  <w:r w:rsidRPr="00246E4D">
                    <w:rPr>
                      <w:szCs w:val="18"/>
                    </w:rPr>
                    <w:t xml:space="preserve">tate </w:t>
                  </w:r>
                  <w:r>
                    <w:rPr>
                      <w:szCs w:val="18"/>
                    </w:rPr>
                    <w:t>G</w:t>
                  </w:r>
                  <w:r w:rsidRPr="00246E4D">
                    <w:rPr>
                      <w:szCs w:val="18"/>
                    </w:rPr>
                    <w:t>overnment were included to help address specific housing needs.</w:t>
                  </w:r>
                </w:p>
              </w:tc>
            </w:tr>
            <w:tr w:rsidR="00676D36" w:rsidRPr="00F04362" w14:paraId="0A29888E" w14:textId="77777777" w:rsidTr="00461BF6">
              <w:tc>
                <w:tcPr>
                  <w:tcW w:w="655" w:type="pct"/>
                  <w:shd w:val="clear" w:color="auto" w:fill="auto"/>
                </w:tcPr>
                <w:p w14:paraId="2536F75E" w14:textId="77777777" w:rsidR="00676D36" w:rsidRPr="00246E4D" w:rsidRDefault="00676D36" w:rsidP="00461BF6">
                  <w:pPr>
                    <w:pStyle w:val="TableBodyText"/>
                    <w:spacing w:before="80"/>
                    <w:ind w:right="28"/>
                    <w:jc w:val="left"/>
                    <w:rPr>
                      <w:szCs w:val="18"/>
                    </w:rPr>
                  </w:pPr>
                  <w:r w:rsidRPr="00246E4D">
                    <w:rPr>
                      <w:szCs w:val="18"/>
                    </w:rPr>
                    <w:t xml:space="preserve">2003 </w:t>
                  </w:r>
                  <w:proofErr w:type="spellStart"/>
                  <w:r w:rsidRPr="00246E4D">
                    <w:rPr>
                      <w:szCs w:val="18"/>
                    </w:rPr>
                    <w:t>CSHA</w:t>
                  </w:r>
                  <w:proofErr w:type="spellEnd"/>
                </w:p>
              </w:tc>
              <w:tc>
                <w:tcPr>
                  <w:tcW w:w="4345" w:type="pct"/>
                  <w:shd w:val="clear" w:color="auto" w:fill="auto"/>
                </w:tcPr>
                <w:p w14:paraId="48BCA15C" w14:textId="77777777" w:rsidR="00676D36" w:rsidRPr="00246E4D" w:rsidRDefault="00676D36" w:rsidP="00461BF6">
                  <w:pPr>
                    <w:pStyle w:val="TableBodyText"/>
                    <w:spacing w:before="80"/>
                    <w:ind w:right="28"/>
                    <w:jc w:val="left"/>
                    <w:rPr>
                      <w:szCs w:val="18"/>
                    </w:rPr>
                  </w:pPr>
                  <w:r w:rsidRPr="00246E4D">
                    <w:rPr>
                      <w:szCs w:val="18"/>
                    </w:rPr>
                    <w:t xml:space="preserve">The roles and objectives of the previous </w:t>
                  </w:r>
                  <w:proofErr w:type="spellStart"/>
                  <w:r w:rsidRPr="00246E4D">
                    <w:rPr>
                      <w:szCs w:val="18"/>
                    </w:rPr>
                    <w:t>CSHA</w:t>
                  </w:r>
                  <w:proofErr w:type="spellEnd"/>
                  <w:r w:rsidRPr="00246E4D">
                    <w:rPr>
                      <w:szCs w:val="18"/>
                    </w:rPr>
                    <w:t xml:space="preserve"> were maintained.</w:t>
                  </w:r>
                </w:p>
                <w:p w14:paraId="07871E34" w14:textId="77777777" w:rsidR="00676D36" w:rsidRPr="00477887" w:rsidRDefault="00676D36" w:rsidP="00461BF6">
                  <w:pPr>
                    <w:pStyle w:val="TableBullet"/>
                    <w:rPr>
                      <w:szCs w:val="18"/>
                    </w:rPr>
                  </w:pPr>
                  <w:r w:rsidRPr="00246E4D">
                    <w:rPr>
                      <w:szCs w:val="18"/>
                    </w:rPr>
                    <w:t xml:space="preserve">Governments agreed to research barriers to employment for social housing tenants and introduce policy to reduce workforce </w:t>
                  </w:r>
                  <w:r w:rsidRPr="00477887">
                    <w:rPr>
                      <w:szCs w:val="18"/>
                    </w:rPr>
                    <w:t>disincentives.</w:t>
                  </w:r>
                  <w:r>
                    <w:rPr>
                      <w:szCs w:val="18"/>
                    </w:rPr>
                    <w:t xml:space="preserve"> There is limited evidence that this has happened. </w:t>
                  </w:r>
                </w:p>
                <w:p w14:paraId="659E6F87" w14:textId="77777777" w:rsidR="00676D36" w:rsidRPr="00246E4D" w:rsidRDefault="00676D36" w:rsidP="00461BF6">
                  <w:pPr>
                    <w:pStyle w:val="TableBullet"/>
                    <w:spacing w:before="40"/>
                    <w:rPr>
                      <w:szCs w:val="18"/>
                    </w:rPr>
                  </w:pPr>
                  <w:r w:rsidRPr="00477887">
                    <w:rPr>
                      <w:szCs w:val="18"/>
                    </w:rPr>
                    <w:t>Governments aimed to attract more private sector involvement</w:t>
                  </w:r>
                  <w:r w:rsidRPr="00246E4D">
                    <w:rPr>
                      <w:szCs w:val="18"/>
                    </w:rPr>
                    <w:t xml:space="preserve"> in social housing.</w:t>
                  </w:r>
                </w:p>
              </w:tc>
            </w:tr>
            <w:tr w:rsidR="00676D36" w:rsidRPr="00F04362" w14:paraId="284C1388" w14:textId="77777777" w:rsidTr="00461BF6">
              <w:tc>
                <w:tcPr>
                  <w:tcW w:w="655" w:type="pct"/>
                  <w:tcBorders>
                    <w:bottom w:val="single" w:sz="4" w:space="0" w:color="BFBFBF"/>
                  </w:tcBorders>
                  <w:shd w:val="clear" w:color="auto" w:fill="auto"/>
                </w:tcPr>
                <w:p w14:paraId="76686262" w14:textId="77777777" w:rsidR="00676D36" w:rsidRPr="00246E4D" w:rsidRDefault="00676D36" w:rsidP="00EB6B7D">
                  <w:pPr>
                    <w:pStyle w:val="TableBodyText"/>
                    <w:spacing w:before="150"/>
                    <w:ind w:right="28"/>
                    <w:jc w:val="left"/>
                    <w:rPr>
                      <w:szCs w:val="18"/>
                    </w:rPr>
                  </w:pPr>
                  <w:r w:rsidRPr="00246E4D">
                    <w:rPr>
                      <w:szCs w:val="18"/>
                    </w:rPr>
                    <w:t>2009 NAHA</w:t>
                  </w:r>
                </w:p>
                <w:p w14:paraId="1D934FA7" w14:textId="77777777" w:rsidR="00676D36" w:rsidRPr="00246E4D" w:rsidRDefault="00676D36" w:rsidP="00461BF6">
                  <w:pPr>
                    <w:pStyle w:val="TableBodyText"/>
                    <w:spacing w:before="80"/>
                    <w:ind w:right="28"/>
                    <w:jc w:val="left"/>
                    <w:rPr>
                      <w:szCs w:val="18"/>
                    </w:rPr>
                  </w:pPr>
                </w:p>
              </w:tc>
              <w:tc>
                <w:tcPr>
                  <w:tcW w:w="4345" w:type="pct"/>
                  <w:tcBorders>
                    <w:bottom w:val="single" w:sz="4" w:space="0" w:color="BFBFBF"/>
                  </w:tcBorders>
                  <w:shd w:val="clear" w:color="auto" w:fill="auto"/>
                </w:tcPr>
                <w:p w14:paraId="37636B7F" w14:textId="77777777" w:rsidR="00676D36" w:rsidRPr="00246E4D" w:rsidRDefault="00676D36" w:rsidP="00461BF6">
                  <w:pPr>
                    <w:pStyle w:val="TableBodyText"/>
                    <w:spacing w:before="80"/>
                    <w:ind w:right="28"/>
                    <w:jc w:val="left"/>
                    <w:rPr>
                      <w:szCs w:val="18"/>
                    </w:rPr>
                  </w:pPr>
                  <w:r w:rsidRPr="00246E4D">
                    <w:rPr>
                      <w:szCs w:val="18"/>
                    </w:rPr>
                    <w:t xml:space="preserve">The NAHA was established to replace the </w:t>
                  </w:r>
                  <w:proofErr w:type="spellStart"/>
                  <w:r w:rsidRPr="00246E4D">
                    <w:rPr>
                      <w:szCs w:val="18"/>
                    </w:rPr>
                    <w:t>CSHA</w:t>
                  </w:r>
                  <w:proofErr w:type="spellEnd"/>
                  <w:r w:rsidRPr="00246E4D">
                    <w:rPr>
                      <w:szCs w:val="18"/>
                    </w:rPr>
                    <w:t xml:space="preserve"> and </w:t>
                  </w:r>
                  <w:proofErr w:type="spellStart"/>
                  <w:r>
                    <w:rPr>
                      <w:szCs w:val="18"/>
                    </w:rPr>
                    <w:t>SAAP</w:t>
                  </w:r>
                  <w:proofErr w:type="spellEnd"/>
                  <w:r w:rsidRPr="00246E4D">
                    <w:rPr>
                      <w:szCs w:val="18"/>
                    </w:rPr>
                    <w:t>.</w:t>
                  </w:r>
                  <w:proofErr w:type="spellStart"/>
                  <w:r>
                    <w:rPr>
                      <w:rStyle w:val="NoteLabel"/>
                    </w:rPr>
                    <w:t>a</w:t>
                  </w:r>
                  <w:proofErr w:type="spellEnd"/>
                  <w:r w:rsidRPr="00246E4D">
                    <w:rPr>
                      <w:szCs w:val="18"/>
                    </w:rPr>
                    <w:t xml:space="preserve"> It focuses on improving housing affordability and homelessness outcomes.</w:t>
                  </w:r>
                </w:p>
                <w:p w14:paraId="7C1FB8F4" w14:textId="77777777" w:rsidR="00676D36" w:rsidRPr="00246E4D" w:rsidRDefault="00676D36" w:rsidP="00461BF6">
                  <w:pPr>
                    <w:pStyle w:val="TableBullet"/>
                    <w:rPr>
                      <w:szCs w:val="18"/>
                    </w:rPr>
                  </w:pPr>
                  <w:r w:rsidRPr="00246E4D">
                    <w:rPr>
                      <w:szCs w:val="18"/>
                    </w:rPr>
                    <w:t>It is supported by national partnership agreements on social housing, homelessness and remote Indigenous housing.</w:t>
                  </w:r>
                </w:p>
                <w:p w14:paraId="68077654" w14:textId="77777777" w:rsidR="00676D36" w:rsidRPr="00246E4D" w:rsidRDefault="00676D36" w:rsidP="00461BF6">
                  <w:pPr>
                    <w:pStyle w:val="TableBullet"/>
                    <w:rPr>
                      <w:szCs w:val="18"/>
                    </w:rPr>
                  </w:pPr>
                  <w:r w:rsidRPr="00246E4D">
                    <w:rPr>
                      <w:szCs w:val="18"/>
                    </w:rPr>
                    <w:t>It identifies the roles and responsibilities of the three levels of government.</w:t>
                  </w:r>
                </w:p>
                <w:p w14:paraId="015360F1" w14:textId="77777777" w:rsidR="00676D36" w:rsidRPr="00246E4D" w:rsidRDefault="00676D36" w:rsidP="00461BF6">
                  <w:pPr>
                    <w:pStyle w:val="TableBullet"/>
                    <w:rPr>
                      <w:szCs w:val="18"/>
                    </w:rPr>
                  </w:pPr>
                  <w:r w:rsidRPr="00246E4D">
                    <w:rPr>
                      <w:szCs w:val="18"/>
                    </w:rPr>
                    <w:t xml:space="preserve">Funding is not tied to specific programs, </w:t>
                  </w:r>
                  <w:r>
                    <w:rPr>
                      <w:szCs w:val="18"/>
                    </w:rPr>
                    <w:t>to give</w:t>
                  </w:r>
                  <w:r w:rsidRPr="00246E4D">
                    <w:rPr>
                      <w:szCs w:val="18"/>
                    </w:rPr>
                    <w:t xml:space="preserve"> States greater flexibility </w:t>
                  </w:r>
                  <w:r>
                    <w:rPr>
                      <w:szCs w:val="18"/>
                    </w:rPr>
                    <w:t>in</w:t>
                  </w:r>
                  <w:r w:rsidRPr="00246E4D">
                    <w:rPr>
                      <w:szCs w:val="18"/>
                    </w:rPr>
                    <w:t xml:space="preserve"> address</w:t>
                  </w:r>
                  <w:r>
                    <w:rPr>
                      <w:szCs w:val="18"/>
                    </w:rPr>
                    <w:t>ing</w:t>
                  </w:r>
                  <w:r w:rsidRPr="00246E4D">
                    <w:rPr>
                      <w:szCs w:val="18"/>
                    </w:rPr>
                    <w:t xml:space="preserve"> housing issues particular to each jurisdiction.</w:t>
                  </w:r>
                </w:p>
                <w:p w14:paraId="76BAAAA8" w14:textId="77777777" w:rsidR="00676D36" w:rsidRPr="00246E4D" w:rsidRDefault="00676D36" w:rsidP="00461BF6">
                  <w:pPr>
                    <w:pStyle w:val="TableBullet"/>
                    <w:rPr>
                      <w:szCs w:val="18"/>
                    </w:rPr>
                  </w:pPr>
                  <w:r w:rsidRPr="00246E4D">
                    <w:rPr>
                      <w:szCs w:val="18"/>
                    </w:rPr>
                    <w:t>States are not required to match Australian government contributions.</w:t>
                  </w:r>
                </w:p>
                <w:p w14:paraId="7231D635" w14:textId="77777777" w:rsidR="00676D36" w:rsidRPr="004F6597" w:rsidRDefault="00676D36" w:rsidP="00461BF6">
                  <w:pPr>
                    <w:pStyle w:val="TableBullet"/>
                    <w:spacing w:before="40" w:after="0"/>
                    <w:rPr>
                      <w:szCs w:val="18"/>
                    </w:rPr>
                  </w:pPr>
                  <w:r w:rsidRPr="00246E4D">
                    <w:rPr>
                      <w:szCs w:val="18"/>
                    </w:rPr>
                    <w:t xml:space="preserve">Key housing outcomes are measured against a performance framework reflecting efforts by the three levels of </w:t>
                  </w:r>
                  <w:r>
                    <w:rPr>
                      <w:szCs w:val="18"/>
                    </w:rPr>
                    <w:t>government.</w:t>
                  </w:r>
                </w:p>
                <w:p w14:paraId="7CF39946" w14:textId="77777777" w:rsidR="00676D36" w:rsidRPr="00246E4D" w:rsidRDefault="00676D36" w:rsidP="00461BF6">
                  <w:pPr>
                    <w:pStyle w:val="TableBullet"/>
                    <w:spacing w:before="40"/>
                    <w:rPr>
                      <w:szCs w:val="18"/>
                    </w:rPr>
                  </w:pPr>
                  <w:r w:rsidRPr="004F6597">
                    <w:rPr>
                      <w:szCs w:val="18"/>
                    </w:rPr>
                    <w:t>Amendments to the NAHA in 2012 included some changes to performance indicators, and the inclusion of performance benchmarks.</w:t>
                  </w:r>
                </w:p>
              </w:tc>
            </w:tr>
          </w:tbl>
          <w:p w14:paraId="0996210D" w14:textId="77777777" w:rsidR="00676D36" w:rsidRDefault="00676D36" w:rsidP="00461BF6">
            <w:pPr>
              <w:pStyle w:val="Box"/>
            </w:pPr>
          </w:p>
        </w:tc>
      </w:tr>
      <w:tr w:rsidR="00676D36" w14:paraId="4A051B96" w14:textId="77777777" w:rsidTr="00461BF6">
        <w:trPr>
          <w:cantSplit/>
        </w:trPr>
        <w:tc>
          <w:tcPr>
            <w:tcW w:w="8771" w:type="dxa"/>
            <w:tcBorders>
              <w:top w:val="nil"/>
              <w:left w:val="nil"/>
              <w:bottom w:val="nil"/>
              <w:right w:val="nil"/>
            </w:tcBorders>
            <w:shd w:val="clear" w:color="auto" w:fill="auto"/>
          </w:tcPr>
          <w:p w14:paraId="17985517" w14:textId="77777777" w:rsidR="00676D36" w:rsidRPr="007E73DC" w:rsidRDefault="00676D36" w:rsidP="00461BF6">
            <w:pPr>
              <w:pStyle w:val="Note"/>
            </w:pPr>
            <w:proofErr w:type="spellStart"/>
            <w:r>
              <w:rPr>
                <w:rStyle w:val="NoteLabel"/>
              </w:rPr>
              <w:t>a</w:t>
            </w:r>
            <w:proofErr w:type="spellEnd"/>
            <w:r>
              <w:t xml:space="preserve"> </w:t>
            </w:r>
            <w:r w:rsidRPr="00246E4D">
              <w:rPr>
                <w:szCs w:val="18"/>
              </w:rPr>
              <w:t>The Supported Accommodation and Assistance Program (</w:t>
            </w:r>
            <w:proofErr w:type="spellStart"/>
            <w:r w:rsidRPr="00246E4D">
              <w:rPr>
                <w:szCs w:val="18"/>
              </w:rPr>
              <w:t>SAAP</w:t>
            </w:r>
            <w:proofErr w:type="spellEnd"/>
            <w:r w:rsidRPr="00246E4D">
              <w:rPr>
                <w:szCs w:val="18"/>
              </w:rPr>
              <w:t>) was introduced in 1985 to support women, youth and the homeless.</w:t>
            </w:r>
          </w:p>
        </w:tc>
      </w:tr>
      <w:tr w:rsidR="00676D36" w14:paraId="3DEDBED4" w14:textId="77777777" w:rsidTr="00461BF6">
        <w:trPr>
          <w:cantSplit/>
        </w:trPr>
        <w:tc>
          <w:tcPr>
            <w:tcW w:w="8771" w:type="dxa"/>
            <w:tcBorders>
              <w:top w:val="nil"/>
              <w:left w:val="nil"/>
              <w:bottom w:val="nil"/>
              <w:right w:val="nil"/>
            </w:tcBorders>
            <w:shd w:val="clear" w:color="auto" w:fill="auto"/>
          </w:tcPr>
          <w:p w14:paraId="4100273A" w14:textId="4D53DA3C" w:rsidR="00676D36" w:rsidRDefault="00676D36" w:rsidP="00BD152E">
            <w:pPr>
              <w:pStyle w:val="Source"/>
            </w:pPr>
            <w:r>
              <w:rPr>
                <w:i/>
              </w:rPr>
              <w:t>Sources</w:t>
            </w:r>
            <w:r>
              <w:t xml:space="preserve">: </w:t>
            </w:r>
            <w:proofErr w:type="spellStart"/>
            <w:r>
              <w:t>ANAO</w:t>
            </w:r>
            <w:proofErr w:type="spellEnd"/>
            <w:r>
              <w:t xml:space="preserve"> </w:t>
            </w:r>
            <w:r w:rsidRPr="00615359">
              <w:rPr>
                <w:rFonts w:cs="Arial"/>
              </w:rPr>
              <w:t>(1999)</w:t>
            </w:r>
            <w:r>
              <w:t xml:space="preserve">; </w:t>
            </w:r>
            <w:proofErr w:type="spellStart"/>
            <w:r>
              <w:t>COAG</w:t>
            </w:r>
            <w:proofErr w:type="spellEnd"/>
            <w:r w:rsidR="00BD152E">
              <w:t xml:space="preserve"> </w:t>
            </w:r>
            <w:r w:rsidR="00BD152E" w:rsidRPr="00BD152E">
              <w:rPr>
                <w:rFonts w:cs="Arial"/>
              </w:rPr>
              <w:t>(2009)</w:t>
            </w:r>
            <w:r>
              <w:t>;</w:t>
            </w:r>
            <w:r>
              <w:rPr>
                <w:b/>
              </w:rPr>
              <w:t xml:space="preserve"> </w:t>
            </w:r>
            <w:proofErr w:type="spellStart"/>
            <w:r>
              <w:t>DSS</w:t>
            </w:r>
            <w:proofErr w:type="spellEnd"/>
            <w:r>
              <w:t xml:space="preserve"> </w:t>
            </w:r>
            <w:r w:rsidRPr="00757AE5">
              <w:rPr>
                <w:rFonts w:cs="Arial"/>
              </w:rPr>
              <w:t>(2003)</w:t>
            </w:r>
            <w:r>
              <w:t xml:space="preserve">; </w:t>
            </w:r>
            <w:proofErr w:type="spellStart"/>
            <w:r>
              <w:t>FaCS</w:t>
            </w:r>
            <w:proofErr w:type="spellEnd"/>
            <w:r>
              <w:t xml:space="preserve"> </w:t>
            </w:r>
            <w:r w:rsidR="00A16296" w:rsidRPr="00A16296">
              <w:rPr>
                <w:rFonts w:cs="Arial"/>
              </w:rPr>
              <w:t>(</w:t>
            </w:r>
            <w:proofErr w:type="spellStart"/>
            <w:r w:rsidR="00A16296" w:rsidRPr="00A16296">
              <w:rPr>
                <w:rFonts w:cs="Arial"/>
              </w:rPr>
              <w:t>1999b</w:t>
            </w:r>
            <w:proofErr w:type="spellEnd"/>
            <w:r w:rsidR="00A16296" w:rsidRPr="00A16296">
              <w:rPr>
                <w:rFonts w:cs="Arial"/>
              </w:rPr>
              <w:t>)</w:t>
            </w:r>
            <w:r>
              <w:t xml:space="preserve">; Hayward </w:t>
            </w:r>
            <w:r w:rsidRPr="003544ED">
              <w:rPr>
                <w:rFonts w:cs="Arial"/>
              </w:rPr>
              <w:t>(1996)</w:t>
            </w:r>
            <w:r>
              <w:t xml:space="preserve">; Troy </w:t>
            </w:r>
            <w:r w:rsidRPr="003544ED">
              <w:rPr>
                <w:rFonts w:cs="Arial"/>
              </w:rPr>
              <w:t>(2012)</w:t>
            </w:r>
            <w:r>
              <w:t>.</w:t>
            </w:r>
          </w:p>
        </w:tc>
      </w:tr>
      <w:tr w:rsidR="00676D36" w14:paraId="7D579ECD" w14:textId="77777777" w:rsidTr="00461BF6">
        <w:trPr>
          <w:cantSplit/>
        </w:trPr>
        <w:tc>
          <w:tcPr>
            <w:tcW w:w="8771" w:type="dxa"/>
            <w:tcBorders>
              <w:top w:val="nil"/>
              <w:left w:val="nil"/>
              <w:bottom w:val="single" w:sz="6" w:space="0" w:color="78A22F" w:themeColor="accent1"/>
              <w:right w:val="nil"/>
            </w:tcBorders>
            <w:shd w:val="clear" w:color="auto" w:fill="auto"/>
          </w:tcPr>
          <w:p w14:paraId="64BE8DED" w14:textId="77777777" w:rsidR="00676D36" w:rsidRDefault="00676D36" w:rsidP="00461BF6">
            <w:pPr>
              <w:pStyle w:val="Box"/>
              <w:spacing w:before="0" w:line="120" w:lineRule="exact"/>
            </w:pPr>
          </w:p>
        </w:tc>
      </w:tr>
      <w:tr w:rsidR="00676D36" w:rsidRPr="000863A5" w14:paraId="71FAADE7" w14:textId="77777777" w:rsidTr="00461BF6">
        <w:tc>
          <w:tcPr>
            <w:tcW w:w="8771" w:type="dxa"/>
            <w:tcBorders>
              <w:top w:val="single" w:sz="6" w:space="0" w:color="78A22F" w:themeColor="accent1"/>
              <w:left w:val="nil"/>
              <w:bottom w:val="nil"/>
              <w:right w:val="nil"/>
            </w:tcBorders>
          </w:tcPr>
          <w:p w14:paraId="25741948" w14:textId="1CAC6E07" w:rsidR="00676D36" w:rsidRPr="00626D32" w:rsidRDefault="00676D36" w:rsidP="00461BF6">
            <w:pPr>
              <w:pStyle w:val="BoxSpaceBelow"/>
            </w:pPr>
          </w:p>
        </w:tc>
      </w:tr>
    </w:tbl>
    <w:p w14:paraId="2ECFD86C" w14:textId="0AC8B65F" w:rsidR="00AD76D9" w:rsidRDefault="00AD76D9" w:rsidP="00AD76D9">
      <w:pPr>
        <w:pStyle w:val="BodyText"/>
        <w:rPr>
          <w:spacing w:val="-2"/>
        </w:rPr>
      </w:pPr>
      <w:r>
        <w:lastRenderedPageBreak/>
        <w:t xml:space="preserve">The level of government support for public housing has changed over time, with implications for the public housing stock. </w:t>
      </w:r>
      <w:r>
        <w:rPr>
          <w:spacing w:val="-2"/>
        </w:rPr>
        <w:t>P</w:t>
      </w:r>
      <w:r w:rsidRPr="005806BF">
        <w:rPr>
          <w:spacing w:val="-2"/>
        </w:rPr>
        <w:t>ublic housing represented about 1</w:t>
      </w:r>
      <w:r>
        <w:rPr>
          <w:spacing w:val="-2"/>
        </w:rPr>
        <w:t> </w:t>
      </w:r>
      <w:r w:rsidRPr="005806BF">
        <w:rPr>
          <w:spacing w:val="-2"/>
        </w:rPr>
        <w:t>per</w:t>
      </w:r>
      <w:r>
        <w:rPr>
          <w:spacing w:val="-2"/>
        </w:rPr>
        <w:t> </w:t>
      </w:r>
      <w:r w:rsidRPr="005806BF">
        <w:rPr>
          <w:spacing w:val="-2"/>
        </w:rPr>
        <w:t>cent of the total stock of occupied dwellings in 1947</w:t>
      </w:r>
      <w:r>
        <w:rPr>
          <w:spacing w:val="-2"/>
        </w:rPr>
        <w:t xml:space="preserve"> and </w:t>
      </w:r>
      <w:r w:rsidRPr="005806BF">
        <w:rPr>
          <w:spacing w:val="-2"/>
        </w:rPr>
        <w:t xml:space="preserve">increased to 8 per cent by 1966 </w:t>
      </w:r>
      <w:r w:rsidRPr="005B1583">
        <w:rPr>
          <w:szCs w:val="24"/>
        </w:rPr>
        <w:t>(Hayward 1996)</w:t>
      </w:r>
      <w:r w:rsidRPr="005806BF">
        <w:rPr>
          <w:spacing w:val="-2"/>
        </w:rPr>
        <w:t>. The expansion was limited by a policy</w:t>
      </w:r>
      <w:r w:rsidRPr="005806BF">
        <w:rPr>
          <w:spacing w:val="-2"/>
        </w:rPr>
        <w:noBreakHyphen/>
        <w:t>induced shift towards home ownership from 1956 and an easing of restrictions on public housing sales</w:t>
      </w:r>
      <w:r>
        <w:rPr>
          <w:spacing w:val="-2"/>
        </w:rPr>
        <w:t xml:space="preserve"> — about 62 000 </w:t>
      </w:r>
      <w:proofErr w:type="spellStart"/>
      <w:r>
        <w:rPr>
          <w:spacing w:val="-2"/>
        </w:rPr>
        <w:t>CSHA</w:t>
      </w:r>
      <w:proofErr w:type="spellEnd"/>
      <w:r>
        <w:rPr>
          <w:spacing w:val="-2"/>
        </w:rPr>
        <w:t xml:space="preserve"> public housing dwellings were sold in the ten years to 1965</w:t>
      </w:r>
      <w:r w:rsidR="00D720A3">
        <w:rPr>
          <w:spacing w:val="-2"/>
        </w:rPr>
        <w:noBreakHyphen/>
      </w:r>
      <w:r>
        <w:rPr>
          <w:spacing w:val="-2"/>
        </w:rPr>
        <w:t xml:space="preserve">66, while 88 000 new dwellings were built </w:t>
      </w:r>
      <w:r w:rsidRPr="005806BF">
        <w:rPr>
          <w:spacing w:val="-2"/>
        </w:rPr>
        <w:t>(</w:t>
      </w:r>
      <w:r>
        <w:t>figure</w:t>
      </w:r>
      <w:r w:rsidR="00D720A3">
        <w:t> </w:t>
      </w:r>
      <w:r>
        <w:t>1</w:t>
      </w:r>
      <w:r w:rsidRPr="005806BF">
        <w:rPr>
          <w:spacing w:val="-2"/>
        </w:rPr>
        <w:t xml:space="preserve">). </w:t>
      </w:r>
      <w:r>
        <w:rPr>
          <w:spacing w:val="-2"/>
        </w:rPr>
        <w:t>A</w:t>
      </w:r>
      <w:r w:rsidRPr="005806BF">
        <w:rPr>
          <w:spacing w:val="-2"/>
        </w:rPr>
        <w:t>ttempts were made to restrict sales of public housing</w:t>
      </w:r>
      <w:r>
        <w:rPr>
          <w:spacing w:val="-2"/>
        </w:rPr>
        <w:t xml:space="preserve"> in 1973</w:t>
      </w:r>
      <w:r w:rsidRPr="005806BF">
        <w:rPr>
          <w:spacing w:val="-2"/>
        </w:rPr>
        <w:t xml:space="preserve">, </w:t>
      </w:r>
      <w:r>
        <w:rPr>
          <w:spacing w:val="-2"/>
        </w:rPr>
        <w:t xml:space="preserve">but </w:t>
      </w:r>
      <w:r w:rsidRPr="005806BF">
        <w:rPr>
          <w:spacing w:val="-2"/>
        </w:rPr>
        <w:t xml:space="preserve">the trend towards funding other forms of housing support, such as home purchase assistance and </w:t>
      </w:r>
      <w:proofErr w:type="spellStart"/>
      <w:r w:rsidRPr="005806BF">
        <w:rPr>
          <w:spacing w:val="-2"/>
        </w:rPr>
        <w:t>CRA</w:t>
      </w:r>
      <w:proofErr w:type="spellEnd"/>
      <w:r>
        <w:rPr>
          <w:spacing w:val="-2"/>
        </w:rPr>
        <w:t>,</w:t>
      </w:r>
      <w:r w:rsidRPr="00AF302E">
        <w:rPr>
          <w:spacing w:val="-2"/>
        </w:rPr>
        <w:t xml:space="preserve"> </w:t>
      </w:r>
      <w:r>
        <w:rPr>
          <w:spacing w:val="-2"/>
        </w:rPr>
        <w:t>rather than public housing</w:t>
      </w:r>
      <w:r w:rsidRPr="005806BF">
        <w:rPr>
          <w:spacing w:val="-2"/>
        </w:rPr>
        <w:t xml:space="preserve">, </w:t>
      </w:r>
      <w:r>
        <w:rPr>
          <w:spacing w:val="-2"/>
        </w:rPr>
        <w:t xml:space="preserve">has </w:t>
      </w:r>
      <w:r w:rsidRPr="005806BF">
        <w:rPr>
          <w:spacing w:val="-2"/>
        </w:rPr>
        <w:t>generally continued</w:t>
      </w:r>
      <w:r>
        <w:rPr>
          <w:spacing w:val="-2"/>
        </w:rPr>
        <w:t>.</w:t>
      </w:r>
      <w:r w:rsidRPr="005806BF">
        <w:rPr>
          <w:spacing w:val="-2"/>
        </w:rPr>
        <w:t xml:space="preserve"> </w:t>
      </w:r>
    </w:p>
    <w:p w14:paraId="76AE724F" w14:textId="1E05BF76" w:rsidR="00676D36" w:rsidRDefault="00676D36" w:rsidP="00676D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76D36" w14:paraId="2A206F68" w14:textId="77777777" w:rsidTr="00461BF6">
        <w:tc>
          <w:tcPr>
            <w:tcW w:w="8771" w:type="dxa"/>
            <w:tcBorders>
              <w:top w:val="single" w:sz="6" w:space="0" w:color="78A22F"/>
              <w:left w:val="nil"/>
              <w:bottom w:val="nil"/>
              <w:right w:val="nil"/>
            </w:tcBorders>
            <w:shd w:val="clear" w:color="auto" w:fill="auto"/>
          </w:tcPr>
          <w:p w14:paraId="1D64410E" w14:textId="4FD27C11" w:rsidR="00676D36" w:rsidRPr="00176D3F" w:rsidRDefault="00676D36" w:rsidP="00EB6B7D">
            <w:pPr>
              <w:pStyle w:val="FigureTitle"/>
            </w:pPr>
            <w:r w:rsidRPr="00784A05">
              <w:rPr>
                <w:b w:val="0"/>
              </w:rPr>
              <w:t xml:space="preserve">Figure </w:t>
            </w:r>
            <w:bookmarkStart w:id="4" w:name="OLE_LINK15"/>
            <w:r w:rsidRPr="00784A05">
              <w:rPr>
                <w:b w:val="0"/>
              </w:rPr>
              <w:fldChar w:fldCharType="begin"/>
            </w:r>
            <w:r w:rsidRPr="00784A05">
              <w:rPr>
                <w:b w:val="0"/>
              </w:rPr>
              <w:instrText xml:space="preserve"> SEQ Figure \* ARABIC </w:instrText>
            </w:r>
            <w:r w:rsidRPr="00784A05">
              <w:rPr>
                <w:b w:val="0"/>
              </w:rPr>
              <w:fldChar w:fldCharType="separate"/>
            </w:r>
            <w:r w:rsidR="006D1EB8">
              <w:rPr>
                <w:b w:val="0"/>
                <w:noProof/>
              </w:rPr>
              <w:t>1</w:t>
            </w:r>
            <w:r w:rsidRPr="00784A05">
              <w:rPr>
                <w:b w:val="0"/>
              </w:rPr>
              <w:fldChar w:fldCharType="end"/>
            </w:r>
            <w:bookmarkEnd w:id="4"/>
            <w:r>
              <w:tab/>
            </w:r>
            <w:proofErr w:type="spellStart"/>
            <w:r>
              <w:t>CSHA</w:t>
            </w:r>
            <w:proofErr w:type="spellEnd"/>
            <w:r>
              <w:t xml:space="preserve"> public housing dwellings completed and </w:t>
            </w:r>
            <w:r w:rsidRPr="00334174">
              <w:t>sold</w:t>
            </w:r>
            <w:r w:rsidRPr="00824567">
              <w:rPr>
                <w:rStyle w:val="NoteLabel"/>
                <w:b/>
              </w:rPr>
              <w:t>a</w:t>
            </w:r>
          </w:p>
        </w:tc>
      </w:tr>
      <w:tr w:rsidR="00676D36" w14:paraId="0E450C0C" w14:textId="77777777" w:rsidTr="00461BF6">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676D36" w14:paraId="031B0269" w14:textId="77777777" w:rsidTr="00461BF6">
              <w:tc>
                <w:tcPr>
                  <w:tcW w:w="8487" w:type="dxa"/>
                  <w:tcBorders>
                    <w:top w:val="nil"/>
                    <w:bottom w:val="nil"/>
                  </w:tcBorders>
                </w:tcPr>
                <w:p w14:paraId="395EC0E6" w14:textId="77777777" w:rsidR="00676D36" w:rsidRDefault="00FA3F7F" w:rsidP="00461BF6">
                  <w:pPr>
                    <w:pStyle w:val="Figure"/>
                    <w:spacing w:before="60" w:after="60"/>
                  </w:pPr>
                  <w:r>
                    <w:rPr>
                      <w:noProof/>
                    </w:rPr>
                    <w:drawing>
                      <wp:inline distT="0" distB="0" distL="0" distR="0" wp14:anchorId="7D262609" wp14:editId="21B2AD02">
                        <wp:extent cx="5400000" cy="2880000"/>
                        <wp:effectExtent l="0" t="0" r="0" b="0"/>
                        <wp:docPr id="9" name="Chart 9" descr="This chart shows the number of CSHA public housing dwellings completed and sold from 1945-46 to 2001-02." title="CSHA public housing dwellings completed and sold"/>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14:paraId="3E383B3B" w14:textId="77777777" w:rsidR="00676D36" w:rsidRDefault="00676D36" w:rsidP="00461BF6">
            <w:pPr>
              <w:pStyle w:val="Figure"/>
            </w:pPr>
          </w:p>
        </w:tc>
      </w:tr>
      <w:tr w:rsidR="00676D36" w:rsidRPr="00176D3F" w14:paraId="3A575BA7" w14:textId="77777777" w:rsidTr="00461BF6">
        <w:tc>
          <w:tcPr>
            <w:tcW w:w="8771" w:type="dxa"/>
            <w:tcBorders>
              <w:top w:val="nil"/>
              <w:left w:val="nil"/>
              <w:bottom w:val="nil"/>
              <w:right w:val="nil"/>
            </w:tcBorders>
            <w:shd w:val="clear" w:color="auto" w:fill="auto"/>
          </w:tcPr>
          <w:p w14:paraId="09EBE907" w14:textId="3BD6BB77" w:rsidR="00676D36" w:rsidRPr="00E263C1" w:rsidRDefault="00676D36" w:rsidP="00461BF6">
            <w:pPr>
              <w:pStyle w:val="Note"/>
            </w:pPr>
            <w:proofErr w:type="spellStart"/>
            <w:r>
              <w:rPr>
                <w:rStyle w:val="NoteLabel"/>
              </w:rPr>
              <w:t>a</w:t>
            </w:r>
            <w:proofErr w:type="spellEnd"/>
            <w:r>
              <w:t xml:space="preserve"> ABS Yearbook data reported in Troy </w:t>
            </w:r>
            <w:r w:rsidRPr="00E678A8">
              <w:rPr>
                <w:rFonts w:cs="Arial"/>
              </w:rPr>
              <w:t>(2012)</w:t>
            </w:r>
            <w:r>
              <w:t xml:space="preserve">. Data not available for </w:t>
            </w:r>
            <w:proofErr w:type="spellStart"/>
            <w:r>
              <w:t>CSHA</w:t>
            </w:r>
            <w:proofErr w:type="spellEnd"/>
            <w:r>
              <w:t xml:space="preserve"> public housing completions in the years 1988</w:t>
            </w:r>
            <w:r>
              <w:noBreakHyphen/>
              <w:t>89 and 1993</w:t>
            </w:r>
            <w:r>
              <w:noBreakHyphen/>
              <w:t xml:space="preserve">94, or for </w:t>
            </w:r>
            <w:proofErr w:type="spellStart"/>
            <w:r>
              <w:t>CSHA</w:t>
            </w:r>
            <w:proofErr w:type="spellEnd"/>
            <w:r>
              <w:t xml:space="preserve"> public housing sales in the years 1984</w:t>
            </w:r>
            <w:r>
              <w:noBreakHyphen/>
              <w:t>85, 1988</w:t>
            </w:r>
            <w:r>
              <w:noBreakHyphen/>
              <w:t>89 and 1990</w:t>
            </w:r>
            <w:r>
              <w:noBreakHyphen/>
              <w:t>91 to 2001</w:t>
            </w:r>
            <w:r w:rsidR="00D720A3">
              <w:t>–</w:t>
            </w:r>
            <w:r>
              <w:t xml:space="preserve">2002. Data </w:t>
            </w:r>
            <w:r w:rsidR="00D36789">
              <w:t>are</w:t>
            </w:r>
            <w:r>
              <w:t xml:space="preserve"> not available after 2001</w:t>
            </w:r>
            <w:r>
              <w:noBreakHyphen/>
              <w:t>02.</w:t>
            </w:r>
          </w:p>
        </w:tc>
      </w:tr>
      <w:tr w:rsidR="00676D36" w:rsidRPr="00176D3F" w14:paraId="4960DA77" w14:textId="77777777" w:rsidTr="00461BF6">
        <w:tc>
          <w:tcPr>
            <w:tcW w:w="8771" w:type="dxa"/>
            <w:tcBorders>
              <w:top w:val="nil"/>
              <w:left w:val="nil"/>
              <w:bottom w:val="nil"/>
              <w:right w:val="nil"/>
            </w:tcBorders>
            <w:shd w:val="clear" w:color="auto" w:fill="auto"/>
          </w:tcPr>
          <w:p w14:paraId="4463F2A7" w14:textId="2609EE8C" w:rsidR="00676D36" w:rsidRPr="00176D3F" w:rsidRDefault="00676D36" w:rsidP="00461BF6">
            <w:pPr>
              <w:pStyle w:val="Source"/>
            </w:pPr>
            <w:r>
              <w:rPr>
                <w:i/>
              </w:rPr>
              <w:t>Sources</w:t>
            </w:r>
            <w:r w:rsidRPr="00167F06">
              <w:t xml:space="preserve">: </w:t>
            </w:r>
            <w:r>
              <w:t>ABS (</w:t>
            </w:r>
            <w:r w:rsidRPr="00AC02D1">
              <w:rPr>
                <w:i/>
              </w:rPr>
              <w:t>Year Book Australia, 2002</w:t>
            </w:r>
            <w:r>
              <w:t xml:space="preserve">, Cat. no. 1301.0; </w:t>
            </w:r>
            <w:r w:rsidRPr="00AC02D1">
              <w:rPr>
                <w:i/>
              </w:rPr>
              <w:t>Year Book Australia, 200</w:t>
            </w:r>
            <w:r>
              <w:rPr>
                <w:i/>
              </w:rPr>
              <w:t>3</w:t>
            </w:r>
            <w:r>
              <w:t xml:space="preserve">, Cat. no. 1301.0); Troy </w:t>
            </w:r>
            <w:r w:rsidRPr="00E678A8">
              <w:rPr>
                <w:rFonts w:cs="Arial"/>
              </w:rPr>
              <w:t>(2012, table 3, table 5, table 7, table 9, table 11, table 12, table 15, table 17, table 18 and table 21)</w:t>
            </w:r>
            <w:r>
              <w:t>.</w:t>
            </w:r>
          </w:p>
        </w:tc>
      </w:tr>
      <w:tr w:rsidR="00676D36" w14:paraId="49E9A1A8" w14:textId="77777777" w:rsidTr="00461BF6">
        <w:tc>
          <w:tcPr>
            <w:tcW w:w="8771" w:type="dxa"/>
            <w:tcBorders>
              <w:top w:val="nil"/>
              <w:left w:val="nil"/>
              <w:bottom w:val="single" w:sz="6" w:space="0" w:color="78A22F"/>
              <w:right w:val="nil"/>
            </w:tcBorders>
            <w:shd w:val="clear" w:color="auto" w:fill="auto"/>
          </w:tcPr>
          <w:p w14:paraId="23A9F35B" w14:textId="77777777" w:rsidR="00676D36" w:rsidRDefault="00676D36" w:rsidP="00461BF6">
            <w:pPr>
              <w:pStyle w:val="Figurespace"/>
            </w:pPr>
          </w:p>
        </w:tc>
      </w:tr>
      <w:tr w:rsidR="00676D36" w:rsidRPr="000863A5" w14:paraId="3EE7226D" w14:textId="77777777" w:rsidTr="00461BF6">
        <w:tc>
          <w:tcPr>
            <w:tcW w:w="8771" w:type="dxa"/>
            <w:tcBorders>
              <w:top w:val="single" w:sz="6" w:space="0" w:color="78A22F"/>
              <w:left w:val="nil"/>
              <w:bottom w:val="nil"/>
              <w:right w:val="nil"/>
            </w:tcBorders>
          </w:tcPr>
          <w:p w14:paraId="22EB7B55" w14:textId="5D8EDF31" w:rsidR="00676D36" w:rsidRPr="00626D32" w:rsidRDefault="00676D36" w:rsidP="00461BF6">
            <w:pPr>
              <w:pStyle w:val="BoxSpaceBelow"/>
            </w:pPr>
          </w:p>
        </w:tc>
      </w:tr>
    </w:tbl>
    <w:p w14:paraId="4420926E" w14:textId="76B1B3BF" w:rsidR="00676D36" w:rsidRDefault="00676D36" w:rsidP="00676D36">
      <w:pPr>
        <w:pStyle w:val="BodyText"/>
      </w:pPr>
      <w:r>
        <w:t>Broad eligibility criteria for public housing</w:t>
      </w:r>
      <w:r w:rsidR="00D36789">
        <w:t>,</w:t>
      </w:r>
      <w:r>
        <w:t xml:space="preserve"> and limits to government funding</w:t>
      </w:r>
      <w:r w:rsidR="00D36789">
        <w:t>,</w:t>
      </w:r>
      <w:r>
        <w:t xml:space="preserve"> meant that growth in demand for public housing exceeded supply, and waiting lists grew. This led to public housing allocations becoming more highly targeted.</w:t>
      </w:r>
    </w:p>
    <w:p w14:paraId="309E4FD7" w14:textId="77777777" w:rsidR="00676D36" w:rsidRDefault="00676D36" w:rsidP="00676D36">
      <w:pPr>
        <w:pStyle w:val="ListBullet"/>
      </w:pPr>
      <w:r>
        <w:t xml:space="preserve">In the </w:t>
      </w:r>
      <w:proofErr w:type="spellStart"/>
      <w:r>
        <w:t>1970s</w:t>
      </w:r>
      <w:proofErr w:type="spellEnd"/>
      <w:r>
        <w:t>, the introduction of stricter means testing directed public housing more towards low</w:t>
      </w:r>
      <w:r>
        <w:noBreakHyphen/>
        <w:t>income households.</w:t>
      </w:r>
    </w:p>
    <w:p w14:paraId="4469C8B1" w14:textId="77777777" w:rsidR="00676D36" w:rsidRDefault="00676D36" w:rsidP="00676D36">
      <w:pPr>
        <w:pStyle w:val="ListBullet"/>
      </w:pPr>
      <w:r>
        <w:t xml:space="preserve">In the </w:t>
      </w:r>
      <w:proofErr w:type="spellStart"/>
      <w:r>
        <w:t>1980s</w:t>
      </w:r>
      <w:proofErr w:type="spellEnd"/>
      <w:r>
        <w:t xml:space="preserve">, public housing was targeted further, with the provision of </w:t>
      </w:r>
      <w:proofErr w:type="spellStart"/>
      <w:r>
        <w:t>CSHA</w:t>
      </w:r>
      <w:proofErr w:type="spellEnd"/>
      <w:r>
        <w:t xml:space="preserve"> funds specifically for groups such as pensioners and Indigenous Australians.</w:t>
      </w:r>
    </w:p>
    <w:p w14:paraId="2945031F" w14:textId="77777777" w:rsidR="00676D36" w:rsidRDefault="00676D36" w:rsidP="00676D36">
      <w:pPr>
        <w:pStyle w:val="ListBullet"/>
      </w:pPr>
      <w:r>
        <w:t xml:space="preserve">In the </w:t>
      </w:r>
      <w:proofErr w:type="spellStart"/>
      <w:r>
        <w:t>1990s</w:t>
      </w:r>
      <w:proofErr w:type="spellEnd"/>
      <w:r>
        <w:t xml:space="preserve">, </w:t>
      </w:r>
      <w:proofErr w:type="spellStart"/>
      <w:r>
        <w:t>SHAs</w:t>
      </w:r>
      <w:proofErr w:type="spellEnd"/>
      <w:r>
        <w:t xml:space="preserve"> implemented segmented waiting lists to give priority housing access to those in greatest need.</w:t>
      </w:r>
    </w:p>
    <w:p w14:paraId="5795876A" w14:textId="245AEC73" w:rsidR="00676D36" w:rsidRDefault="00676D36" w:rsidP="00676D36">
      <w:pPr>
        <w:pStyle w:val="BodyText"/>
        <w:rPr>
          <w:spacing w:val="-2"/>
        </w:rPr>
      </w:pPr>
      <w:r w:rsidRPr="005806BF">
        <w:rPr>
          <w:spacing w:val="-2"/>
        </w:rPr>
        <w:lastRenderedPageBreak/>
        <w:t xml:space="preserve">As a result of the </w:t>
      </w:r>
      <w:r>
        <w:rPr>
          <w:spacing w:val="-2"/>
        </w:rPr>
        <w:t xml:space="preserve">tighter targeting, </w:t>
      </w:r>
      <w:r w:rsidRPr="005806BF">
        <w:rPr>
          <w:spacing w:val="-2"/>
        </w:rPr>
        <w:t xml:space="preserve">a growing proportion of public housing tenants </w:t>
      </w:r>
      <w:r>
        <w:rPr>
          <w:spacing w:val="-2"/>
        </w:rPr>
        <w:t>had</w:t>
      </w:r>
      <w:r w:rsidRPr="005806BF">
        <w:rPr>
          <w:spacing w:val="-2"/>
        </w:rPr>
        <w:t xml:space="preserve"> complex needs and the vast majority q</w:t>
      </w:r>
      <w:r>
        <w:rPr>
          <w:spacing w:val="-2"/>
        </w:rPr>
        <w:t>ualified</w:t>
      </w:r>
      <w:r w:rsidRPr="005806BF">
        <w:rPr>
          <w:spacing w:val="-2"/>
        </w:rPr>
        <w:t xml:space="preserve"> for income</w:t>
      </w:r>
      <w:r w:rsidRPr="005806BF">
        <w:rPr>
          <w:spacing w:val="-2"/>
        </w:rPr>
        <w:noBreakHyphen/>
        <w:t>based rent subsidies</w:t>
      </w:r>
      <w:r>
        <w:rPr>
          <w:spacing w:val="-2"/>
        </w:rPr>
        <w:t>, and thus paid rents that were below the market level</w:t>
      </w:r>
      <w:r w:rsidRPr="005806BF">
        <w:rPr>
          <w:spacing w:val="-2"/>
        </w:rPr>
        <w:t xml:space="preserve">. This </w:t>
      </w:r>
      <w:r>
        <w:rPr>
          <w:spacing w:val="-2"/>
        </w:rPr>
        <w:t>lowered rental returns</w:t>
      </w:r>
      <w:r w:rsidRPr="005806BF">
        <w:rPr>
          <w:spacing w:val="-2"/>
        </w:rPr>
        <w:t xml:space="preserve"> </w:t>
      </w:r>
      <w:r>
        <w:rPr>
          <w:spacing w:val="-2"/>
        </w:rPr>
        <w:t>and</w:t>
      </w:r>
      <w:r w:rsidRPr="005806BF">
        <w:rPr>
          <w:spacing w:val="-2"/>
        </w:rPr>
        <w:t xml:space="preserve"> increased the costs of meeting individuals’ housing requirements</w:t>
      </w:r>
      <w:r>
        <w:rPr>
          <w:spacing w:val="-2"/>
        </w:rPr>
        <w:t>,</w:t>
      </w:r>
      <w:r w:rsidRPr="005806BF">
        <w:rPr>
          <w:spacing w:val="-2"/>
        </w:rPr>
        <w:t xml:space="preserve"> and of tenancy management </w:t>
      </w:r>
      <w:r w:rsidR="00A16296" w:rsidRPr="00A16296">
        <w:rPr>
          <w:szCs w:val="24"/>
        </w:rPr>
        <w:t>(Audit Office of NSW 2013; DHPW 2013; VAGO 2012)</w:t>
      </w:r>
      <w:r w:rsidRPr="005806BF">
        <w:rPr>
          <w:spacing w:val="-2"/>
        </w:rPr>
        <w:t>.</w:t>
      </w:r>
      <w:r>
        <w:rPr>
          <w:spacing w:val="-2"/>
        </w:rPr>
        <w:t xml:space="preserve"> There was also a mismatch between the needs of tenants and the existing public housing stock profile. Increasingly, tenants required only one or two bedrooms but the stock consisted mainly of larger properties that were developed for working families and, as a result, many properties were under</w:t>
      </w:r>
      <w:r>
        <w:rPr>
          <w:spacing w:val="-2"/>
        </w:rPr>
        <w:noBreakHyphen/>
        <w:t xml:space="preserve">occupied </w:t>
      </w:r>
      <w:r w:rsidR="00A16296" w:rsidRPr="00A16296">
        <w:rPr>
          <w:szCs w:val="24"/>
        </w:rPr>
        <w:t>(Audit Office of NSW 2013; DHPW 2013; VAGO 2012)</w:t>
      </w:r>
      <w:r>
        <w:rPr>
          <w:spacing w:val="-2"/>
        </w:rPr>
        <w:t>.</w:t>
      </w:r>
    </w:p>
    <w:p w14:paraId="1E78CE78" w14:textId="05475015" w:rsidR="00676D36" w:rsidRDefault="00676D36" w:rsidP="00676D36">
      <w:pPr>
        <w:pStyle w:val="BodyText"/>
        <w:rPr>
          <w:spacing w:val="-2"/>
        </w:rPr>
      </w:pPr>
      <w:r>
        <w:rPr>
          <w:spacing w:val="-2"/>
        </w:rPr>
        <w:t>Needs</w:t>
      </w:r>
      <w:r w:rsidR="00D720A3">
        <w:rPr>
          <w:spacing w:val="-2"/>
        </w:rPr>
        <w:noBreakHyphen/>
      </w:r>
      <w:r>
        <w:rPr>
          <w:spacing w:val="-2"/>
        </w:rPr>
        <w:t xml:space="preserve">based allocations contributed to a problem of concentrated disadvantage in public housing estates. This problem was compounded where public housing was located in areas far from job opportunities and services. By the </w:t>
      </w:r>
      <w:proofErr w:type="spellStart"/>
      <w:r>
        <w:rPr>
          <w:spacing w:val="-2"/>
        </w:rPr>
        <w:t>1990s</w:t>
      </w:r>
      <w:proofErr w:type="spellEnd"/>
      <w:r>
        <w:rPr>
          <w:spacing w:val="-2"/>
        </w:rPr>
        <w:t xml:space="preserve">, most State Governments recognised the need for public housing estate renewal programs, partly to address these concerns </w:t>
      </w:r>
      <w:r w:rsidRPr="00B2614B">
        <w:rPr>
          <w:szCs w:val="24"/>
        </w:rPr>
        <w:t>(</w:t>
      </w:r>
      <w:proofErr w:type="spellStart"/>
      <w:r w:rsidRPr="00B2614B">
        <w:rPr>
          <w:szCs w:val="24"/>
        </w:rPr>
        <w:t>Pawson</w:t>
      </w:r>
      <w:proofErr w:type="spellEnd"/>
      <w:r w:rsidRPr="00B2614B">
        <w:rPr>
          <w:szCs w:val="24"/>
        </w:rPr>
        <w:t>, Davison and Wiesel 2012)</w:t>
      </w:r>
      <w:r>
        <w:rPr>
          <w:spacing w:val="-2"/>
        </w:rPr>
        <w:t xml:space="preserve">. These initiatives involved asset improvement, demolition or disposal, community development projects and stock transfers. Mixed redevelopments that contained both public and private housing were also thought to reduce concentrations of disadvantage. However, asset renewals have been criticised for the disruptive effects of displacement, where social housing residents are temporarily or permanently relocated out of their neighbourhood. Some critics have also argued that the removal of concentrations of social housing leads to gentrification, which involves a shift in a community towards wealthier residents, while people who are unable to pay high rents are pushed to outer suburbs </w:t>
      </w:r>
      <w:r w:rsidRPr="002B46B3">
        <w:rPr>
          <w:szCs w:val="24"/>
        </w:rPr>
        <w:t>(</w:t>
      </w:r>
      <w:proofErr w:type="spellStart"/>
      <w:r w:rsidRPr="002B46B3">
        <w:rPr>
          <w:szCs w:val="24"/>
        </w:rPr>
        <w:t>Groenhart</w:t>
      </w:r>
      <w:proofErr w:type="spellEnd"/>
      <w:r w:rsidRPr="002B46B3">
        <w:rPr>
          <w:szCs w:val="24"/>
        </w:rPr>
        <w:t> 2013)</w:t>
      </w:r>
      <w:r>
        <w:rPr>
          <w:spacing w:val="-2"/>
        </w:rPr>
        <w:t xml:space="preserve">. </w:t>
      </w:r>
    </w:p>
    <w:p w14:paraId="1B9586B8" w14:textId="48BFFE3A" w:rsidR="00676D36" w:rsidRPr="004629CE" w:rsidRDefault="00676D36" w:rsidP="00676D36">
      <w:pPr>
        <w:pStyle w:val="BodyText"/>
      </w:pPr>
      <w:r w:rsidRPr="00BC7CBB">
        <w:t xml:space="preserve">Despite asset renewal programs, </w:t>
      </w:r>
      <w:r>
        <w:t xml:space="preserve">a generally ageing public housing portfolio has seen the quality of stock decline. In 2012, 42 per cent of public housing in Victoria was over 30 years old and 14 per cent was nearing obsolescence </w:t>
      </w:r>
      <w:r w:rsidRPr="00940250">
        <w:rPr>
          <w:szCs w:val="24"/>
        </w:rPr>
        <w:t>(</w:t>
      </w:r>
      <w:proofErr w:type="spellStart"/>
      <w:r w:rsidRPr="00940250">
        <w:rPr>
          <w:szCs w:val="24"/>
        </w:rPr>
        <w:t>VAGO</w:t>
      </w:r>
      <w:proofErr w:type="spellEnd"/>
      <w:r w:rsidRPr="00940250">
        <w:rPr>
          <w:szCs w:val="24"/>
        </w:rPr>
        <w:t> 2012)</w:t>
      </w:r>
      <w:r>
        <w:t xml:space="preserve">. Approximately 25 per cent and 31 per cent of public housing in New South Wales and the ACT respectively is over 40 years old </w:t>
      </w:r>
      <w:r w:rsidRPr="002B46B3">
        <w:rPr>
          <w:szCs w:val="24"/>
        </w:rPr>
        <w:t>(Audit Office of NSW 2013; Community Services ACT 2012)</w:t>
      </w:r>
      <w:r>
        <w:t xml:space="preserve">. These ageing properties require large and frequent repairs, which add to public housing costs to government </w:t>
      </w:r>
      <w:r w:rsidRPr="00940250">
        <w:rPr>
          <w:szCs w:val="24"/>
        </w:rPr>
        <w:t>(</w:t>
      </w:r>
      <w:proofErr w:type="spellStart"/>
      <w:r w:rsidRPr="00940250">
        <w:rPr>
          <w:szCs w:val="24"/>
        </w:rPr>
        <w:t>VAGO</w:t>
      </w:r>
      <w:proofErr w:type="spellEnd"/>
      <w:r w:rsidRPr="00940250">
        <w:rPr>
          <w:szCs w:val="24"/>
        </w:rPr>
        <w:t> 2012)</w:t>
      </w:r>
      <w:r>
        <w:t>.</w:t>
      </w:r>
    </w:p>
    <w:p w14:paraId="525E125D" w14:textId="317B46F0" w:rsidR="00676D36" w:rsidRPr="00C62064" w:rsidRDefault="00676D36" w:rsidP="00676D36">
      <w:pPr>
        <w:pStyle w:val="BodyText"/>
        <w:rPr>
          <w:spacing w:val="-2"/>
        </w:rPr>
      </w:pPr>
      <w:r w:rsidRPr="00C62064">
        <w:rPr>
          <w:spacing w:val="-2"/>
        </w:rPr>
        <w:t xml:space="preserve">The combination of funding constraints, asset sales, maintenance costs and, in more recent times, transfers to community housing, </w:t>
      </w:r>
      <w:r w:rsidRPr="00C62064">
        <w:t>have led to a decline in the public housing stock. In 1994</w:t>
      </w:r>
      <w:r w:rsidRPr="00C62064">
        <w:noBreakHyphen/>
        <w:t xml:space="preserve">95, it is estimated that 5.5 per cent of </w:t>
      </w:r>
      <w:r w:rsidR="00EB6B7D">
        <w:t>households</w:t>
      </w:r>
      <w:r w:rsidRPr="00C62064">
        <w:t xml:space="preserve"> lived in public housing. </w:t>
      </w:r>
      <w:r w:rsidRPr="00C62064">
        <w:rPr>
          <w:spacing w:val="-2"/>
        </w:rPr>
        <w:t>By 2011</w:t>
      </w:r>
      <w:r w:rsidRPr="00C62064">
        <w:rPr>
          <w:spacing w:val="-2"/>
        </w:rPr>
        <w:noBreakHyphen/>
        <w:t xml:space="preserve">12, 3.9 per cent of households occupied a public housing dwelling </w:t>
      </w:r>
      <w:r w:rsidRPr="00C62064">
        <w:t>(figure </w:t>
      </w:r>
      <w:r w:rsidR="004C06FF">
        <w:t>2</w:t>
      </w:r>
      <w:r w:rsidRPr="00C62064">
        <w:t>)</w:t>
      </w:r>
      <w:r w:rsidRPr="00C62064">
        <w:rPr>
          <w:spacing w:val="-2"/>
        </w:rPr>
        <w:t>. The Australian Government argue</w:t>
      </w:r>
      <w:r>
        <w:rPr>
          <w:spacing w:val="-2"/>
        </w:rPr>
        <w:t>d</w:t>
      </w:r>
      <w:r w:rsidRPr="00C62064">
        <w:rPr>
          <w:spacing w:val="-2"/>
        </w:rPr>
        <w:t xml:space="preserve"> that public housing cannot offer a reasonable alternative to the private rental market for all low</w:t>
      </w:r>
      <w:r w:rsidRPr="00C62064">
        <w:rPr>
          <w:spacing w:val="-2"/>
        </w:rPr>
        <w:noBreakHyphen/>
        <w:t xml:space="preserve">income households, and that, while private rents remain high, demand for public housing will continue to grow and exceed supply </w:t>
      </w:r>
      <w:r w:rsidRPr="004B6A05">
        <w:rPr>
          <w:spacing w:val="-2"/>
          <w:szCs w:val="24"/>
        </w:rPr>
        <w:t>(</w:t>
      </w:r>
      <w:proofErr w:type="spellStart"/>
      <w:r w:rsidRPr="004B6A05">
        <w:rPr>
          <w:spacing w:val="-2"/>
          <w:szCs w:val="24"/>
        </w:rPr>
        <w:t>FaHCSIA</w:t>
      </w:r>
      <w:proofErr w:type="spellEnd"/>
      <w:r w:rsidRPr="004B6A05">
        <w:rPr>
          <w:spacing w:val="-2"/>
          <w:szCs w:val="24"/>
        </w:rPr>
        <w:t> 2010)</w:t>
      </w:r>
      <w:r w:rsidRPr="00C62064">
        <w:rPr>
          <w:spacing w:val="-2"/>
        </w:rPr>
        <w:t xml:space="preserve">. </w:t>
      </w:r>
    </w:p>
    <w:p w14:paraId="7DF36B99" w14:textId="4D154606" w:rsidR="00676D36" w:rsidRDefault="00676D36" w:rsidP="00676D3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76D36" w14:paraId="3B02B2A9" w14:textId="77777777" w:rsidTr="00461BF6">
        <w:tc>
          <w:tcPr>
            <w:tcW w:w="8771" w:type="dxa"/>
            <w:tcBorders>
              <w:top w:val="single" w:sz="6" w:space="0" w:color="78A22F"/>
              <w:left w:val="nil"/>
              <w:bottom w:val="nil"/>
              <w:right w:val="nil"/>
            </w:tcBorders>
            <w:shd w:val="clear" w:color="auto" w:fill="auto"/>
          </w:tcPr>
          <w:p w14:paraId="7E73C969" w14:textId="5968D582" w:rsidR="00676D36" w:rsidRPr="00176D3F" w:rsidRDefault="00676D36" w:rsidP="00461BF6">
            <w:pPr>
              <w:pStyle w:val="FigureTitle"/>
            </w:pPr>
            <w:r w:rsidRPr="00784A05">
              <w:rPr>
                <w:b w:val="0"/>
              </w:rPr>
              <w:t xml:space="preserve">Figure </w:t>
            </w:r>
            <w:bookmarkStart w:id="5" w:name="OLE_LINK17"/>
            <w:r w:rsidRPr="00784A05">
              <w:rPr>
                <w:b w:val="0"/>
              </w:rPr>
              <w:fldChar w:fldCharType="begin"/>
            </w:r>
            <w:r w:rsidRPr="00784A05">
              <w:rPr>
                <w:b w:val="0"/>
              </w:rPr>
              <w:instrText xml:space="preserve"> SEQ Figure \* ARABIC </w:instrText>
            </w:r>
            <w:r w:rsidRPr="00784A05">
              <w:rPr>
                <w:b w:val="0"/>
              </w:rPr>
              <w:fldChar w:fldCharType="separate"/>
            </w:r>
            <w:r w:rsidR="006D1EB8">
              <w:rPr>
                <w:b w:val="0"/>
                <w:noProof/>
              </w:rPr>
              <w:t>2</w:t>
            </w:r>
            <w:r w:rsidRPr="00784A05">
              <w:rPr>
                <w:b w:val="0"/>
              </w:rPr>
              <w:fldChar w:fldCharType="end"/>
            </w:r>
            <w:bookmarkEnd w:id="5"/>
            <w:r>
              <w:tab/>
              <w:t>Proportion of renting households</w:t>
            </w:r>
            <w:proofErr w:type="spellStart"/>
            <w:r w:rsidRPr="00ED61BE">
              <w:rPr>
                <w:rStyle w:val="NoteLabel"/>
                <w:b/>
              </w:rPr>
              <w:t>a</w:t>
            </w:r>
            <w:r>
              <w:rPr>
                <w:rStyle w:val="NoteLabel"/>
                <w:b/>
              </w:rPr>
              <w:t>,b</w:t>
            </w:r>
            <w:proofErr w:type="spellEnd"/>
          </w:p>
        </w:tc>
      </w:tr>
      <w:tr w:rsidR="00676D36" w14:paraId="092C22FC" w14:textId="77777777" w:rsidTr="00461BF6">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676D36" w14:paraId="443DDE0E" w14:textId="77777777" w:rsidTr="00461BF6">
              <w:tc>
                <w:tcPr>
                  <w:tcW w:w="5000" w:type="pct"/>
                  <w:tcBorders>
                    <w:top w:val="nil"/>
                    <w:bottom w:val="nil"/>
                  </w:tcBorders>
                </w:tcPr>
                <w:p w14:paraId="718CDE6D" w14:textId="77777777" w:rsidR="00676D36" w:rsidRDefault="00676D36" w:rsidP="00461BF6">
                  <w:pPr>
                    <w:pStyle w:val="Figure"/>
                    <w:spacing w:before="60" w:after="60"/>
                    <w:rPr>
                      <w:noProof/>
                    </w:rPr>
                  </w:pPr>
                  <w:r>
                    <w:rPr>
                      <w:noProof/>
                    </w:rPr>
                    <w:drawing>
                      <wp:inline distT="0" distB="0" distL="0" distR="0" wp14:anchorId="57761FBD" wp14:editId="7EB02FB1">
                        <wp:extent cx="5400000" cy="2880000"/>
                        <wp:effectExtent l="0" t="0" r="0" b="0"/>
                        <wp:docPr id="1" name="Chart 1" descr="This chart shows the proportion of renting households in Australia from 1994-95 to 2011-12." title="Proportion of renting households"/>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14:paraId="147C8CA4" w14:textId="77777777" w:rsidR="00676D36" w:rsidRDefault="00676D36" w:rsidP="00461BF6">
            <w:pPr>
              <w:pStyle w:val="Figure"/>
            </w:pPr>
          </w:p>
        </w:tc>
      </w:tr>
      <w:tr w:rsidR="00676D36" w:rsidRPr="00176D3F" w14:paraId="1E88FEFA" w14:textId="77777777" w:rsidTr="00461BF6">
        <w:tc>
          <w:tcPr>
            <w:tcW w:w="8771" w:type="dxa"/>
            <w:tcBorders>
              <w:top w:val="nil"/>
              <w:left w:val="nil"/>
              <w:bottom w:val="nil"/>
              <w:right w:val="nil"/>
            </w:tcBorders>
            <w:shd w:val="clear" w:color="auto" w:fill="auto"/>
          </w:tcPr>
          <w:p w14:paraId="7D46C1E2" w14:textId="77777777" w:rsidR="00676D36" w:rsidRPr="00176D3F" w:rsidRDefault="00676D36" w:rsidP="002A0BB4">
            <w:pPr>
              <w:pStyle w:val="Note"/>
            </w:pPr>
            <w:r>
              <w:rPr>
                <w:rStyle w:val="NoteLabel"/>
              </w:rPr>
              <w:t>a</w:t>
            </w:r>
            <w:r>
              <w:t xml:space="preserve"> Public housing refers to households renting from a state or territory housing authority.</w:t>
            </w:r>
            <w:r w:rsidR="002A0BB4">
              <w:t xml:space="preserve"> Other renters include tenants living in community housing as well as households who pay rent to the owner/manager of a caravan park, an employer (including a government authority), a housing cooperative, a church group, or any other body not included elsewhere.</w:t>
            </w:r>
            <w:r>
              <w:t xml:space="preserve"> </w:t>
            </w:r>
            <w:r>
              <w:rPr>
                <w:rStyle w:val="NoteLabel"/>
              </w:rPr>
              <w:t>b</w:t>
            </w:r>
            <w:r>
              <w:t xml:space="preserve"> </w:t>
            </w:r>
            <w:r w:rsidRPr="00362D6A">
              <w:t>The Survey of Income and Housing</w:t>
            </w:r>
            <w:r>
              <w:t>, which is used to generate statistics for the Housing Occupancy and Costs publication,</w:t>
            </w:r>
            <w:r w:rsidRPr="00362D6A">
              <w:t xml:space="preserve"> was not conducted for the years 1998</w:t>
            </w:r>
            <w:r w:rsidRPr="00362D6A">
              <w:noBreakHyphen/>
              <w:t>99 or</w:t>
            </w:r>
            <w:r>
              <w:t xml:space="preserve"> 2001</w:t>
            </w:r>
            <w:r>
              <w:noBreakHyphen/>
              <w:t>02. The survey</w:t>
            </w:r>
            <w:r w:rsidRPr="00362D6A">
              <w:t xml:space="preserve"> has been conducted biennially from 2003</w:t>
            </w:r>
            <w:r w:rsidRPr="00362D6A">
              <w:noBreakHyphen/>
              <w:t>04 onwards.</w:t>
            </w:r>
          </w:p>
        </w:tc>
      </w:tr>
      <w:tr w:rsidR="00676D36" w:rsidRPr="00176D3F" w14:paraId="1196B7C3" w14:textId="77777777" w:rsidTr="00461BF6">
        <w:tc>
          <w:tcPr>
            <w:tcW w:w="8771" w:type="dxa"/>
            <w:tcBorders>
              <w:top w:val="nil"/>
              <w:left w:val="nil"/>
              <w:bottom w:val="nil"/>
              <w:right w:val="nil"/>
            </w:tcBorders>
            <w:shd w:val="clear" w:color="auto" w:fill="auto"/>
          </w:tcPr>
          <w:p w14:paraId="08AA8AAD" w14:textId="77777777" w:rsidR="00676D36" w:rsidRPr="00176D3F" w:rsidRDefault="00676D36" w:rsidP="00461BF6">
            <w:pPr>
              <w:pStyle w:val="Source"/>
            </w:pPr>
            <w:r>
              <w:rPr>
                <w:i/>
              </w:rPr>
              <w:t>Source</w:t>
            </w:r>
            <w:r w:rsidRPr="00167F06">
              <w:t xml:space="preserve">: </w:t>
            </w:r>
            <w:r>
              <w:t>ABS (</w:t>
            </w:r>
            <w:r>
              <w:rPr>
                <w:i/>
              </w:rPr>
              <w:t xml:space="preserve">Housing Occupancy and Costs, </w:t>
            </w:r>
            <w:r w:rsidRPr="006F0D35">
              <w:rPr>
                <w:i/>
              </w:rPr>
              <w:t>2011</w:t>
            </w:r>
            <w:r w:rsidRPr="006F0D35">
              <w:rPr>
                <w:i/>
              </w:rPr>
              <w:noBreakHyphen/>
              <w:t>12</w:t>
            </w:r>
            <w:r>
              <w:t>, Cat. no. 4130.0).</w:t>
            </w:r>
          </w:p>
        </w:tc>
      </w:tr>
      <w:tr w:rsidR="00676D36" w14:paraId="50CF1475" w14:textId="77777777" w:rsidTr="00461BF6">
        <w:tc>
          <w:tcPr>
            <w:tcW w:w="8771" w:type="dxa"/>
            <w:tcBorders>
              <w:top w:val="nil"/>
              <w:left w:val="nil"/>
              <w:bottom w:val="single" w:sz="6" w:space="0" w:color="78A22F"/>
              <w:right w:val="nil"/>
            </w:tcBorders>
            <w:shd w:val="clear" w:color="auto" w:fill="auto"/>
          </w:tcPr>
          <w:p w14:paraId="5E146E0F" w14:textId="77777777" w:rsidR="00676D36" w:rsidRDefault="00676D36" w:rsidP="00461BF6">
            <w:pPr>
              <w:pStyle w:val="Figurespace"/>
            </w:pPr>
          </w:p>
        </w:tc>
      </w:tr>
      <w:tr w:rsidR="00676D36" w:rsidRPr="000863A5" w14:paraId="39E1BA6F" w14:textId="77777777" w:rsidTr="00461BF6">
        <w:tc>
          <w:tcPr>
            <w:tcW w:w="8771" w:type="dxa"/>
            <w:tcBorders>
              <w:top w:val="single" w:sz="6" w:space="0" w:color="78A22F"/>
              <w:left w:val="nil"/>
              <w:bottom w:val="nil"/>
              <w:right w:val="nil"/>
            </w:tcBorders>
          </w:tcPr>
          <w:p w14:paraId="3350B2A2" w14:textId="442C2B3F" w:rsidR="00676D36" w:rsidRPr="00626D32" w:rsidRDefault="00676D36" w:rsidP="00461BF6">
            <w:pPr>
              <w:pStyle w:val="BoxSpaceBelow"/>
            </w:pPr>
          </w:p>
        </w:tc>
      </w:tr>
    </w:tbl>
    <w:p w14:paraId="23B9F60A" w14:textId="77777777" w:rsidR="008E03A0" w:rsidRDefault="008E03A0" w:rsidP="006D1EB8">
      <w:pPr>
        <w:pStyle w:val="Heading2"/>
      </w:pPr>
      <w:r>
        <w:t>Community housing</w:t>
      </w:r>
    </w:p>
    <w:p w14:paraId="30209C93" w14:textId="4FAD3DAD" w:rsidR="008E03A0" w:rsidRPr="003836A0" w:rsidRDefault="008E03A0" w:rsidP="008E03A0">
      <w:pPr>
        <w:pStyle w:val="draftt"/>
      </w:pPr>
      <w:r>
        <w:t xml:space="preserve">The history of community housing in Australia extends as far back as the </w:t>
      </w:r>
      <w:proofErr w:type="spellStart"/>
      <w:r>
        <w:t>1800s</w:t>
      </w:r>
      <w:proofErr w:type="spellEnd"/>
      <w:r>
        <w:t xml:space="preserve">, when some churches and charitable organisations offered housing to the elderly, homeless and people with disabilities. Most community housing organisations currently in operation were formed from the late </w:t>
      </w:r>
      <w:proofErr w:type="spellStart"/>
      <w:r>
        <w:t>1970s</w:t>
      </w:r>
      <w:proofErr w:type="spellEnd"/>
      <w:r>
        <w:t xml:space="preserve"> onwards, when State Governments provided greater support to community housing and it became eligible for funding in the 1978 </w:t>
      </w:r>
      <w:proofErr w:type="spellStart"/>
      <w:r>
        <w:t>CSHA</w:t>
      </w:r>
      <w:proofErr w:type="spellEnd"/>
      <w:r>
        <w:t xml:space="preserve"> (table 2). Funding was boosted by the introduction of the Local Government and Community Housing Program in the 1984 </w:t>
      </w:r>
      <w:proofErr w:type="spellStart"/>
      <w:r>
        <w:t>CSHA</w:t>
      </w:r>
      <w:proofErr w:type="spellEnd"/>
      <w:r>
        <w:t xml:space="preserve">. The program allocated $130 million over eight years, which represented about 1.8 per cent of available funds under the </w:t>
      </w:r>
      <w:proofErr w:type="spellStart"/>
      <w:r>
        <w:t>CSHA</w:t>
      </w:r>
      <w:proofErr w:type="spellEnd"/>
      <w:r>
        <w:t xml:space="preserve">, for the provision of community housing dwellings </w:t>
      </w:r>
      <w:r w:rsidRPr="00F92ADC">
        <w:rPr>
          <w:szCs w:val="24"/>
        </w:rPr>
        <w:t>(</w:t>
      </w:r>
      <w:proofErr w:type="spellStart"/>
      <w:r w:rsidRPr="00F92ADC">
        <w:rPr>
          <w:szCs w:val="24"/>
        </w:rPr>
        <w:t>NHS</w:t>
      </w:r>
      <w:proofErr w:type="spellEnd"/>
      <w:r w:rsidRPr="00F92ADC">
        <w:rPr>
          <w:szCs w:val="24"/>
        </w:rPr>
        <w:t> </w:t>
      </w:r>
      <w:proofErr w:type="spellStart"/>
      <w:r w:rsidRPr="00F92ADC">
        <w:rPr>
          <w:szCs w:val="24"/>
        </w:rPr>
        <w:t>1992a</w:t>
      </w:r>
      <w:proofErr w:type="spellEnd"/>
      <w:r w:rsidRPr="00F92ADC">
        <w:rPr>
          <w:szCs w:val="24"/>
        </w:rPr>
        <w:t>; Troy 2012)</w:t>
      </w:r>
      <w:r>
        <w:t xml:space="preserve">. This program produced about 2200 dwellings. </w:t>
      </w:r>
    </w:p>
    <w:p w14:paraId="6E237D0E" w14:textId="3781412B" w:rsidR="00676D36" w:rsidRDefault="00676D36" w:rsidP="00676D36">
      <w:pPr>
        <w:pStyle w:val="BodyText"/>
      </w:pPr>
      <w:r>
        <w:t xml:space="preserve">The sector expanded further during the </w:t>
      </w:r>
      <w:proofErr w:type="spellStart"/>
      <w:r>
        <w:t>1990s</w:t>
      </w:r>
      <w:proofErr w:type="spellEnd"/>
      <w:r>
        <w:t xml:space="preserve">. By June 1999, there were approximately 29 600 </w:t>
      </w:r>
      <w:proofErr w:type="spellStart"/>
      <w:r>
        <w:t>CSHA</w:t>
      </w:r>
      <w:proofErr w:type="spellEnd"/>
      <w:r>
        <w:t xml:space="preserve"> community housing dwellings in Australia, representing about </w:t>
      </w:r>
      <w:r w:rsidRPr="00F05E09">
        <w:t xml:space="preserve">6 per cent </w:t>
      </w:r>
      <w:r>
        <w:t xml:space="preserve">of the social housing stock supported under the </w:t>
      </w:r>
      <w:proofErr w:type="spellStart"/>
      <w:r>
        <w:t>CSHA</w:t>
      </w:r>
      <w:proofErr w:type="spellEnd"/>
      <w:r>
        <w:t xml:space="preserve"> </w:t>
      </w:r>
      <w:r w:rsidRPr="005A655D">
        <w:rPr>
          <w:szCs w:val="24"/>
        </w:rPr>
        <w:t>(</w:t>
      </w:r>
      <w:proofErr w:type="spellStart"/>
      <w:r w:rsidRPr="005A655D">
        <w:rPr>
          <w:szCs w:val="24"/>
        </w:rPr>
        <w:t>SCRCSSP</w:t>
      </w:r>
      <w:proofErr w:type="spellEnd"/>
      <w:r w:rsidRPr="005A655D">
        <w:rPr>
          <w:szCs w:val="24"/>
        </w:rPr>
        <w:t> 2000)</w:t>
      </w:r>
      <w:r>
        <w:t xml:space="preserve">. These figures do not include community housing that was funded and delivered outside of the </w:t>
      </w:r>
      <w:proofErr w:type="spellStart"/>
      <w:r>
        <w:t>CSHA</w:t>
      </w:r>
      <w:proofErr w:type="spellEnd"/>
      <w:r>
        <w:t>. It was estimated that, at June 1998, an additional 15 000 community housing dwellings —</w:t>
      </w:r>
      <w:r w:rsidR="00D720A3">
        <w:t xml:space="preserve"> </w:t>
      </w:r>
      <w:r>
        <w:lastRenderedPageBreak/>
        <w:t xml:space="preserve">40 per cent of community housing — across Australia were funded and delivered through other means, such as through other government programs in the health and welfare areas </w:t>
      </w:r>
      <w:r w:rsidRPr="00C07B2D">
        <w:rPr>
          <w:szCs w:val="24"/>
        </w:rPr>
        <w:t>(</w:t>
      </w:r>
      <w:proofErr w:type="spellStart"/>
      <w:r w:rsidRPr="00C07B2D">
        <w:rPr>
          <w:szCs w:val="24"/>
        </w:rPr>
        <w:t>SCRCSSP</w:t>
      </w:r>
      <w:proofErr w:type="spellEnd"/>
      <w:r w:rsidRPr="00C07B2D">
        <w:rPr>
          <w:szCs w:val="24"/>
        </w:rPr>
        <w:t> 2000)</w:t>
      </w:r>
      <w:r>
        <w:t>.</w:t>
      </w:r>
    </w:p>
    <w:p w14:paraId="62817121" w14:textId="77777777" w:rsidR="00676D36" w:rsidRDefault="00676D36" w:rsidP="00676D36">
      <w:pPr>
        <w:pStyle w:val="BodyText"/>
      </w:pPr>
      <w:r>
        <w:t xml:space="preserve">The growth in community housing during the </w:t>
      </w:r>
      <w:proofErr w:type="spellStart"/>
      <w:r>
        <w:t>1990s</w:t>
      </w:r>
      <w:proofErr w:type="spellEnd"/>
      <w:r>
        <w:t xml:space="preserve"> was facilitated by several initiatives:</w:t>
      </w:r>
    </w:p>
    <w:p w14:paraId="1ADDE053" w14:textId="5CA721F1" w:rsidR="00676D36" w:rsidRDefault="00676D36" w:rsidP="00676D36">
      <w:pPr>
        <w:pStyle w:val="ListBullet"/>
      </w:pPr>
      <w:r>
        <w:t>Based on the 1992 National Housing Strategy’s recommendation, the Community Housing Program was introduced in the 1992</w:t>
      </w:r>
      <w:r>
        <w:noBreakHyphen/>
        <w:t xml:space="preserve">93 Budget; the program more than doubled the funding provided under the Local Government and Community Housing Program </w:t>
      </w:r>
      <w:r w:rsidRPr="00F92ADC">
        <w:rPr>
          <w:szCs w:val="24"/>
        </w:rPr>
        <w:t>(</w:t>
      </w:r>
      <w:proofErr w:type="spellStart"/>
      <w:r w:rsidRPr="00F92ADC">
        <w:rPr>
          <w:szCs w:val="24"/>
        </w:rPr>
        <w:t>NHS</w:t>
      </w:r>
      <w:proofErr w:type="spellEnd"/>
      <w:r w:rsidRPr="00F92ADC">
        <w:rPr>
          <w:szCs w:val="24"/>
        </w:rPr>
        <w:t> </w:t>
      </w:r>
      <w:proofErr w:type="spellStart"/>
      <w:r w:rsidRPr="00F92ADC">
        <w:rPr>
          <w:szCs w:val="24"/>
        </w:rPr>
        <w:t>1992b</w:t>
      </w:r>
      <w:proofErr w:type="spellEnd"/>
      <w:r w:rsidRPr="00F92ADC">
        <w:rPr>
          <w:szCs w:val="24"/>
        </w:rPr>
        <w:t>)</w:t>
      </w:r>
      <w:r>
        <w:t>.</w:t>
      </w:r>
    </w:p>
    <w:p w14:paraId="4CF381C1" w14:textId="77777777" w:rsidR="00676D36" w:rsidRDefault="00676D36" w:rsidP="00676D36">
      <w:pPr>
        <w:pStyle w:val="ListBullet"/>
      </w:pPr>
      <w:r>
        <w:t>Some States allocated non</w:t>
      </w:r>
      <w:r>
        <w:noBreakHyphen/>
        <w:t xml:space="preserve">earmarked </w:t>
      </w:r>
      <w:proofErr w:type="spellStart"/>
      <w:r>
        <w:t>CSHA</w:t>
      </w:r>
      <w:proofErr w:type="spellEnd"/>
      <w:r>
        <w:t xml:space="preserve"> funds to community housing.</w:t>
      </w:r>
    </w:p>
    <w:p w14:paraId="34C5AC65" w14:textId="77777777" w:rsidR="00676D36" w:rsidRDefault="00676D36" w:rsidP="00676D36">
      <w:pPr>
        <w:pStyle w:val="ListBullet"/>
      </w:pPr>
      <w:r>
        <w:t>Peak industry bodies were established, such as the Community Housing Federation of Australia, which strengthened the sector.</w:t>
      </w:r>
    </w:p>
    <w:p w14:paraId="1E736C05" w14:textId="6D83EC45" w:rsidR="00676D36" w:rsidRDefault="00676D36" w:rsidP="00676D3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676D36" w14:paraId="240383EB" w14:textId="77777777" w:rsidTr="00461BF6">
        <w:tc>
          <w:tcPr>
            <w:tcW w:w="8771" w:type="dxa"/>
            <w:tcBorders>
              <w:top w:val="single" w:sz="6" w:space="0" w:color="78A22F" w:themeColor="accent1"/>
              <w:left w:val="nil"/>
              <w:bottom w:val="nil"/>
              <w:right w:val="nil"/>
            </w:tcBorders>
            <w:shd w:val="clear" w:color="auto" w:fill="auto"/>
          </w:tcPr>
          <w:p w14:paraId="4D03C0AD" w14:textId="46B47392" w:rsidR="00676D36" w:rsidRPr="00784A05" w:rsidRDefault="00676D36" w:rsidP="00461BF6">
            <w:pPr>
              <w:pStyle w:val="TableTitle"/>
            </w:pPr>
            <w:r>
              <w:rPr>
                <w:b w:val="0"/>
              </w:rPr>
              <w:t xml:space="preserve">Table </w:t>
            </w:r>
            <w:bookmarkStart w:id="6" w:name="OLE_LINK18"/>
            <w:r>
              <w:rPr>
                <w:b w:val="0"/>
              </w:rPr>
              <w:fldChar w:fldCharType="begin"/>
            </w:r>
            <w:r>
              <w:rPr>
                <w:b w:val="0"/>
              </w:rPr>
              <w:instrText xml:space="preserve"> SEQ Table \* ARABIC </w:instrText>
            </w:r>
            <w:r>
              <w:rPr>
                <w:b w:val="0"/>
              </w:rPr>
              <w:fldChar w:fldCharType="separate"/>
            </w:r>
            <w:r w:rsidR="006D1EB8">
              <w:rPr>
                <w:b w:val="0"/>
                <w:noProof/>
              </w:rPr>
              <w:t>2</w:t>
            </w:r>
            <w:r>
              <w:rPr>
                <w:b w:val="0"/>
              </w:rPr>
              <w:fldChar w:fldCharType="end"/>
            </w:r>
            <w:bookmarkEnd w:id="6"/>
            <w:r>
              <w:tab/>
              <w:t>Evolution of community housing in Australia</w:t>
            </w:r>
          </w:p>
        </w:tc>
      </w:tr>
      <w:tr w:rsidR="00676D36" w14:paraId="660CB702" w14:textId="77777777" w:rsidTr="00461BF6">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112"/>
              <w:gridCol w:w="1843"/>
              <w:gridCol w:w="5532"/>
            </w:tblGrid>
            <w:tr w:rsidR="00676D36" w14:paraId="2B26F3BC" w14:textId="77777777" w:rsidTr="00461BF6">
              <w:tc>
                <w:tcPr>
                  <w:tcW w:w="655" w:type="pct"/>
                  <w:tcBorders>
                    <w:top w:val="single" w:sz="4" w:space="0" w:color="BFBFBF"/>
                    <w:bottom w:val="single" w:sz="4" w:space="0" w:color="BFBFBF"/>
                  </w:tcBorders>
                  <w:shd w:val="clear" w:color="auto" w:fill="auto"/>
                </w:tcPr>
                <w:p w14:paraId="35E88465" w14:textId="77777777" w:rsidR="00676D36" w:rsidRDefault="00676D36" w:rsidP="00461BF6">
                  <w:pPr>
                    <w:pStyle w:val="TableColumnHeading"/>
                    <w:jc w:val="left"/>
                  </w:pPr>
                  <w:r>
                    <w:t>Period</w:t>
                  </w:r>
                </w:p>
              </w:tc>
              <w:tc>
                <w:tcPr>
                  <w:tcW w:w="1086" w:type="pct"/>
                  <w:tcBorders>
                    <w:top w:val="single" w:sz="4" w:space="0" w:color="BFBFBF"/>
                    <w:bottom w:val="single" w:sz="4" w:space="0" w:color="BFBFBF"/>
                  </w:tcBorders>
                  <w:shd w:val="clear" w:color="auto" w:fill="auto"/>
                </w:tcPr>
                <w:p w14:paraId="342BEF1C" w14:textId="77777777" w:rsidR="00676D36" w:rsidRDefault="00676D36" w:rsidP="00461BF6">
                  <w:pPr>
                    <w:pStyle w:val="TableColumnHeading"/>
                    <w:jc w:val="left"/>
                  </w:pPr>
                  <w:r>
                    <w:t>Description</w:t>
                  </w:r>
                </w:p>
              </w:tc>
              <w:tc>
                <w:tcPr>
                  <w:tcW w:w="3259" w:type="pct"/>
                  <w:tcBorders>
                    <w:top w:val="single" w:sz="4" w:space="0" w:color="BFBFBF"/>
                    <w:bottom w:val="single" w:sz="4" w:space="0" w:color="BFBFBF"/>
                  </w:tcBorders>
                  <w:shd w:val="clear" w:color="auto" w:fill="auto"/>
                </w:tcPr>
                <w:p w14:paraId="1480C58A" w14:textId="77777777" w:rsidR="00676D36" w:rsidRDefault="00676D36" w:rsidP="00461BF6">
                  <w:pPr>
                    <w:pStyle w:val="TableColumnHeading"/>
                    <w:ind w:right="28"/>
                    <w:jc w:val="left"/>
                  </w:pPr>
                  <w:r>
                    <w:t>Outcomes</w:t>
                  </w:r>
                </w:p>
              </w:tc>
            </w:tr>
            <w:tr w:rsidR="00676D36" w14:paraId="2A9DEAE5" w14:textId="77777777" w:rsidTr="00461BF6">
              <w:tc>
                <w:tcPr>
                  <w:tcW w:w="655" w:type="pct"/>
                  <w:tcBorders>
                    <w:top w:val="single" w:sz="4" w:space="0" w:color="BFBFBF"/>
                  </w:tcBorders>
                </w:tcPr>
                <w:p w14:paraId="10613A68" w14:textId="77777777" w:rsidR="00676D36" w:rsidRDefault="00676D36" w:rsidP="00461BF6">
                  <w:pPr>
                    <w:pStyle w:val="TableBodyText"/>
                    <w:spacing w:before="40"/>
                    <w:jc w:val="left"/>
                  </w:pPr>
                  <w:r>
                    <w:t xml:space="preserve">Late </w:t>
                  </w:r>
                  <w:proofErr w:type="spellStart"/>
                  <w:r>
                    <w:t>1970s</w:t>
                  </w:r>
                  <w:proofErr w:type="spellEnd"/>
                  <w:r>
                    <w:t xml:space="preserve"> to 1984</w:t>
                  </w:r>
                </w:p>
              </w:tc>
              <w:tc>
                <w:tcPr>
                  <w:tcW w:w="1086" w:type="pct"/>
                  <w:tcBorders>
                    <w:top w:val="single" w:sz="4" w:space="0" w:color="BFBFBF"/>
                  </w:tcBorders>
                </w:tcPr>
                <w:p w14:paraId="7D0A69B7" w14:textId="77777777" w:rsidR="00676D36" w:rsidRDefault="00676D36" w:rsidP="00461BF6">
                  <w:pPr>
                    <w:pStyle w:val="TableBodyText"/>
                    <w:spacing w:before="40"/>
                    <w:jc w:val="left"/>
                  </w:pPr>
                  <w:r>
                    <w:t>State</w:t>
                  </w:r>
                  <w:r>
                    <w:noBreakHyphen/>
                    <w:t>led community housing initiatives</w:t>
                  </w:r>
                </w:p>
              </w:tc>
              <w:tc>
                <w:tcPr>
                  <w:tcW w:w="3259" w:type="pct"/>
                  <w:tcBorders>
                    <w:top w:val="single" w:sz="4" w:space="0" w:color="BFBFBF"/>
                  </w:tcBorders>
                </w:tcPr>
                <w:p w14:paraId="13868BB1" w14:textId="77777777" w:rsidR="00676D36" w:rsidRDefault="00676D36" w:rsidP="00461BF6">
                  <w:pPr>
                    <w:pStyle w:val="TableBullet"/>
                  </w:pPr>
                  <w:r>
                    <w:t>Growth in the number of organisations funded by State Governments in New South Wales, Victoria and South Australia</w:t>
                  </w:r>
                </w:p>
                <w:p w14:paraId="2BA9C2AB" w14:textId="77777777" w:rsidR="00676D36" w:rsidRDefault="00676D36" w:rsidP="00461BF6">
                  <w:pPr>
                    <w:pStyle w:val="TableBullet"/>
                  </w:pPr>
                  <w:r>
                    <w:t>Emergence of the sector, with the first dedicated community housing organisations established</w:t>
                  </w:r>
                </w:p>
              </w:tc>
            </w:tr>
            <w:tr w:rsidR="00676D36" w14:paraId="4576E894" w14:textId="77777777" w:rsidTr="00461BF6">
              <w:tc>
                <w:tcPr>
                  <w:tcW w:w="655" w:type="pct"/>
                </w:tcPr>
                <w:p w14:paraId="074925B1" w14:textId="77777777" w:rsidR="00676D36" w:rsidRDefault="00676D36" w:rsidP="00461BF6">
                  <w:pPr>
                    <w:pStyle w:val="TableBodyText"/>
                    <w:spacing w:before="80"/>
                    <w:jc w:val="left"/>
                  </w:pPr>
                  <w:r>
                    <w:t>1984 to 1991</w:t>
                  </w:r>
                  <w:r>
                    <w:noBreakHyphen/>
                    <w:t>92</w:t>
                  </w:r>
                </w:p>
              </w:tc>
              <w:tc>
                <w:tcPr>
                  <w:tcW w:w="1086" w:type="pct"/>
                </w:tcPr>
                <w:p w14:paraId="1C37AA41" w14:textId="77777777" w:rsidR="00676D36" w:rsidRDefault="00676D36" w:rsidP="00461BF6">
                  <w:pPr>
                    <w:pStyle w:val="TableBodyText"/>
                    <w:spacing w:before="80"/>
                    <w:jc w:val="left"/>
                  </w:pPr>
                  <w:r>
                    <w:t>Expansion through nationally</w:t>
                  </w:r>
                  <w:r>
                    <w:noBreakHyphen/>
                    <w:t>funded schemes</w:t>
                  </w:r>
                </w:p>
              </w:tc>
              <w:tc>
                <w:tcPr>
                  <w:tcW w:w="3259" w:type="pct"/>
                </w:tcPr>
                <w:p w14:paraId="1E8B46DF" w14:textId="77777777" w:rsidR="00676D36" w:rsidRDefault="00676D36" w:rsidP="00461BF6">
                  <w:pPr>
                    <w:pStyle w:val="TableBullet"/>
                    <w:spacing w:before="80"/>
                  </w:pPr>
                  <w:r>
                    <w:t>Further growth with the development of a diverse range of community housing models, including long</w:t>
                  </w:r>
                  <w:r>
                    <w:noBreakHyphen/>
                    <w:t>term rental housing, cooperative housing, joint ventures and crisis accommodation</w:t>
                  </w:r>
                </w:p>
                <w:p w14:paraId="602AA8E2" w14:textId="77777777" w:rsidR="00676D36" w:rsidRDefault="00676D36" w:rsidP="00461BF6">
                  <w:pPr>
                    <w:pStyle w:val="TableBullet"/>
                  </w:pPr>
                  <w:r>
                    <w:t>Outcomes varied between states</w:t>
                  </w:r>
                </w:p>
                <w:p w14:paraId="5F9DD811" w14:textId="77777777" w:rsidR="00676D36" w:rsidRDefault="00676D36" w:rsidP="00461BF6">
                  <w:pPr>
                    <w:pStyle w:val="TableBullet"/>
                  </w:pPr>
                  <w:r>
                    <w:t>Capacity</w:t>
                  </w:r>
                  <w:r>
                    <w:rPr>
                      <w:rStyle w:val="NoteLabel"/>
                    </w:rPr>
                    <w:t>a</w:t>
                  </w:r>
                  <w:r>
                    <w:t xml:space="preserve"> developed as state peak organisations were founded</w:t>
                  </w:r>
                </w:p>
              </w:tc>
            </w:tr>
            <w:tr w:rsidR="00676D36" w14:paraId="461A6C80" w14:textId="77777777" w:rsidTr="00461BF6">
              <w:tc>
                <w:tcPr>
                  <w:tcW w:w="655" w:type="pct"/>
                </w:tcPr>
                <w:p w14:paraId="7DC55EE3" w14:textId="77777777" w:rsidR="00676D36" w:rsidRDefault="00676D36" w:rsidP="00461BF6">
                  <w:pPr>
                    <w:pStyle w:val="TableBodyText"/>
                    <w:spacing w:before="80"/>
                    <w:jc w:val="left"/>
                  </w:pPr>
                  <w:r>
                    <w:t>1992</w:t>
                  </w:r>
                  <w:r>
                    <w:noBreakHyphen/>
                    <w:t>93 to 1995</w:t>
                  </w:r>
                  <w:r>
                    <w:noBreakHyphen/>
                    <w:t>96</w:t>
                  </w:r>
                </w:p>
              </w:tc>
              <w:tc>
                <w:tcPr>
                  <w:tcW w:w="1086" w:type="pct"/>
                </w:tcPr>
                <w:p w14:paraId="17D6249A" w14:textId="77777777" w:rsidR="00676D36" w:rsidRDefault="00676D36" w:rsidP="00461BF6">
                  <w:pPr>
                    <w:pStyle w:val="TableBodyText"/>
                    <w:spacing w:before="80"/>
                    <w:jc w:val="left"/>
                  </w:pPr>
                  <w:r>
                    <w:t>More funding and emergence of a longer</w:t>
                  </w:r>
                  <w:r>
                    <w:noBreakHyphen/>
                    <w:t>term vision for the sector, as outlined by the 1992 National Housing Strategy</w:t>
                  </w:r>
                </w:p>
              </w:tc>
              <w:tc>
                <w:tcPr>
                  <w:tcW w:w="3259" w:type="pct"/>
                </w:tcPr>
                <w:p w14:paraId="0D46DE6C" w14:textId="77777777" w:rsidR="00676D36" w:rsidRDefault="00676D36" w:rsidP="00461BF6">
                  <w:pPr>
                    <w:pStyle w:val="TableBullet"/>
                    <w:spacing w:before="80"/>
                  </w:pPr>
                  <w:r>
                    <w:t>Increasing recognition of the contribution of community housing</w:t>
                  </w:r>
                </w:p>
                <w:p w14:paraId="72CF8ABB" w14:textId="77777777" w:rsidR="00676D36" w:rsidRDefault="00676D36" w:rsidP="00461BF6">
                  <w:pPr>
                    <w:pStyle w:val="TableBullet"/>
                  </w:pPr>
                  <w:r>
                    <w:t>10 per cent of national funding was directed towards sector development</w:t>
                  </w:r>
                </w:p>
                <w:p w14:paraId="1F0A1C4D" w14:textId="77777777" w:rsidR="00676D36" w:rsidRDefault="00676D36" w:rsidP="00461BF6">
                  <w:pPr>
                    <w:pStyle w:val="TableBullet"/>
                  </w:pPr>
                  <w:r>
                    <w:t>Scale of organisations expanded</w:t>
                  </w:r>
                </w:p>
                <w:p w14:paraId="61EC6CE5" w14:textId="77777777" w:rsidR="00676D36" w:rsidRDefault="00676D36" w:rsidP="00461BF6">
                  <w:pPr>
                    <w:pStyle w:val="TableBullet"/>
                  </w:pPr>
                  <w:r>
                    <w:t>National Community Housing Forum and Community Housing Federation of Australia founded</w:t>
                  </w:r>
                </w:p>
              </w:tc>
            </w:tr>
            <w:tr w:rsidR="00676D36" w14:paraId="389D1F5D" w14:textId="77777777" w:rsidTr="00461BF6">
              <w:tc>
                <w:tcPr>
                  <w:tcW w:w="655" w:type="pct"/>
                </w:tcPr>
                <w:p w14:paraId="7EC14622" w14:textId="77777777" w:rsidR="00676D36" w:rsidRDefault="00676D36" w:rsidP="00461BF6">
                  <w:pPr>
                    <w:pStyle w:val="TableBodyText"/>
                    <w:spacing w:before="80"/>
                    <w:jc w:val="left"/>
                  </w:pPr>
                  <w:r>
                    <w:t>1996</w:t>
                  </w:r>
                  <w:r>
                    <w:noBreakHyphen/>
                    <w:t>97 to 2002</w:t>
                  </w:r>
                  <w:r>
                    <w:noBreakHyphen/>
                    <w:t>03</w:t>
                  </w:r>
                </w:p>
              </w:tc>
              <w:tc>
                <w:tcPr>
                  <w:tcW w:w="1086" w:type="pct"/>
                </w:tcPr>
                <w:p w14:paraId="57AC8C2C" w14:textId="77777777" w:rsidR="00676D36" w:rsidRDefault="00676D36" w:rsidP="00461BF6">
                  <w:pPr>
                    <w:pStyle w:val="TableBodyText"/>
                    <w:spacing w:before="80"/>
                    <w:jc w:val="left"/>
                  </w:pPr>
                  <w:r>
                    <w:t>Drive for efficiencies and a move towards market</w:t>
                  </w:r>
                  <w:r>
                    <w:noBreakHyphen/>
                    <w:t>based solutions</w:t>
                  </w:r>
                </w:p>
              </w:tc>
              <w:tc>
                <w:tcPr>
                  <w:tcW w:w="3259" w:type="pct"/>
                </w:tcPr>
                <w:p w14:paraId="118A5DB6" w14:textId="77777777" w:rsidR="00676D36" w:rsidRDefault="00676D36" w:rsidP="00461BF6">
                  <w:pPr>
                    <w:pStyle w:val="TableBullet"/>
                    <w:spacing w:before="80" w:after="0"/>
                  </w:pPr>
                  <w:r>
                    <w:t>National service standards and accreditation framework introduced</w:t>
                  </w:r>
                </w:p>
                <w:p w14:paraId="0439CDE9" w14:textId="77777777" w:rsidR="00676D36" w:rsidRDefault="00676D36" w:rsidP="00461BF6">
                  <w:pPr>
                    <w:pStyle w:val="TableBullet"/>
                  </w:pPr>
                  <w:r>
                    <w:t>Emphasis on professionalising the sector and improving organisational governance and accountability</w:t>
                  </w:r>
                </w:p>
              </w:tc>
            </w:tr>
            <w:tr w:rsidR="00676D36" w14:paraId="440E55CE" w14:textId="77777777" w:rsidTr="00461BF6">
              <w:tc>
                <w:tcPr>
                  <w:tcW w:w="655" w:type="pct"/>
                  <w:tcBorders>
                    <w:bottom w:val="single" w:sz="4" w:space="0" w:color="BFBFBF"/>
                  </w:tcBorders>
                  <w:shd w:val="clear" w:color="auto" w:fill="auto"/>
                </w:tcPr>
                <w:p w14:paraId="7EC903B4" w14:textId="77777777" w:rsidR="00676D36" w:rsidRDefault="00676D36" w:rsidP="00461BF6">
                  <w:pPr>
                    <w:pStyle w:val="TableBodyText"/>
                    <w:spacing w:before="80"/>
                    <w:jc w:val="left"/>
                  </w:pPr>
                  <w:r>
                    <w:t>2003</w:t>
                  </w:r>
                  <w:r>
                    <w:noBreakHyphen/>
                    <w:t>04 onwards</w:t>
                  </w:r>
                </w:p>
              </w:tc>
              <w:tc>
                <w:tcPr>
                  <w:tcW w:w="1086" w:type="pct"/>
                  <w:tcBorders>
                    <w:bottom w:val="single" w:sz="4" w:space="0" w:color="BFBFBF"/>
                  </w:tcBorders>
                  <w:shd w:val="clear" w:color="auto" w:fill="auto"/>
                </w:tcPr>
                <w:p w14:paraId="00A01731" w14:textId="77777777" w:rsidR="00676D36" w:rsidRDefault="00676D36" w:rsidP="00461BF6">
                  <w:pPr>
                    <w:pStyle w:val="TableBodyText"/>
                    <w:spacing w:before="80"/>
                    <w:jc w:val="left"/>
                  </w:pPr>
                  <w:r>
                    <w:t>Transition to new and more diversified models</w:t>
                  </w:r>
                </w:p>
              </w:tc>
              <w:tc>
                <w:tcPr>
                  <w:tcW w:w="3259" w:type="pct"/>
                  <w:tcBorders>
                    <w:bottom w:val="single" w:sz="4" w:space="0" w:color="BFBFBF"/>
                  </w:tcBorders>
                  <w:shd w:val="clear" w:color="auto" w:fill="auto"/>
                </w:tcPr>
                <w:p w14:paraId="18A65D96" w14:textId="77777777" w:rsidR="00676D36" w:rsidRDefault="00676D36" w:rsidP="00461BF6">
                  <w:pPr>
                    <w:pStyle w:val="TableBullet"/>
                    <w:spacing w:before="80"/>
                  </w:pPr>
                  <w:r>
                    <w:t>States became more active promoters of community housing, often through joint ventures involving the private sector</w:t>
                  </w:r>
                </w:p>
                <w:p w14:paraId="41611278" w14:textId="77777777" w:rsidR="00676D36" w:rsidRDefault="00676D36" w:rsidP="00461BF6">
                  <w:pPr>
                    <w:pStyle w:val="TableBullet"/>
                  </w:pPr>
                  <w:r w:rsidRPr="006438AB">
                    <w:t xml:space="preserve">Tiered regulatory structure </w:t>
                  </w:r>
                  <w:r>
                    <w:t xml:space="preserve">introduced, </w:t>
                  </w:r>
                  <w:r w:rsidRPr="006438AB">
                    <w:t>based on risk pr</w:t>
                  </w:r>
                  <w:r>
                    <w:t>ofiles and activities performed</w:t>
                  </w:r>
                </w:p>
              </w:tc>
            </w:tr>
          </w:tbl>
          <w:p w14:paraId="74FE97A6" w14:textId="77777777" w:rsidR="00676D36" w:rsidRDefault="00676D36" w:rsidP="00461BF6">
            <w:pPr>
              <w:pStyle w:val="Box"/>
            </w:pPr>
          </w:p>
        </w:tc>
      </w:tr>
      <w:tr w:rsidR="00676D36" w14:paraId="73C2CE5F" w14:textId="77777777" w:rsidTr="00461BF6">
        <w:trPr>
          <w:cantSplit/>
        </w:trPr>
        <w:tc>
          <w:tcPr>
            <w:tcW w:w="8771" w:type="dxa"/>
            <w:tcBorders>
              <w:top w:val="nil"/>
              <w:left w:val="nil"/>
              <w:bottom w:val="nil"/>
              <w:right w:val="nil"/>
            </w:tcBorders>
            <w:shd w:val="clear" w:color="auto" w:fill="auto"/>
          </w:tcPr>
          <w:p w14:paraId="10D5C3BC" w14:textId="4FE6542F" w:rsidR="00676D36" w:rsidRPr="00AA38CD" w:rsidRDefault="00676D36" w:rsidP="00461BF6">
            <w:pPr>
              <w:pStyle w:val="Note"/>
            </w:pPr>
            <w:r>
              <w:rPr>
                <w:rStyle w:val="NoteLabel"/>
              </w:rPr>
              <w:t>a</w:t>
            </w:r>
            <w:r>
              <w:t xml:space="preserve"> Capacity refers to political capacity (community participation, political leverage), organisational capacity (leadership, management skills), resource capacity (raising external finance, managing cash flows), programmatic capacity (housing and property skills, community linkages) and networking capacity (partnerships, networking) </w:t>
            </w:r>
            <w:r w:rsidRPr="00D46EE9">
              <w:rPr>
                <w:rFonts w:cs="Arial"/>
                <w:szCs w:val="24"/>
              </w:rPr>
              <w:t>(PC 2010)</w:t>
            </w:r>
            <w:r>
              <w:t>.</w:t>
            </w:r>
          </w:p>
        </w:tc>
      </w:tr>
      <w:tr w:rsidR="00676D36" w14:paraId="670487F7" w14:textId="77777777" w:rsidTr="00461BF6">
        <w:trPr>
          <w:cantSplit/>
        </w:trPr>
        <w:tc>
          <w:tcPr>
            <w:tcW w:w="8771" w:type="dxa"/>
            <w:tcBorders>
              <w:top w:val="nil"/>
              <w:left w:val="nil"/>
              <w:bottom w:val="nil"/>
              <w:right w:val="nil"/>
            </w:tcBorders>
            <w:shd w:val="clear" w:color="auto" w:fill="auto"/>
          </w:tcPr>
          <w:p w14:paraId="137412DE" w14:textId="03EFBF6B" w:rsidR="00676D36" w:rsidRDefault="00676D36" w:rsidP="00461BF6">
            <w:pPr>
              <w:pStyle w:val="Source"/>
            </w:pPr>
            <w:r>
              <w:rPr>
                <w:i/>
              </w:rPr>
              <w:t>Sources</w:t>
            </w:r>
            <w:r>
              <w:t xml:space="preserve">: </w:t>
            </w:r>
            <w:proofErr w:type="spellStart"/>
            <w:r>
              <w:t>Bisset</w:t>
            </w:r>
            <w:proofErr w:type="spellEnd"/>
            <w:r>
              <w:t xml:space="preserve"> and Milligan </w:t>
            </w:r>
            <w:r w:rsidRPr="00A86637">
              <w:rPr>
                <w:rFonts w:cs="Arial"/>
              </w:rPr>
              <w:t>(2004)</w:t>
            </w:r>
            <w:r>
              <w:t xml:space="preserve">; Gilmour and Bourke </w:t>
            </w:r>
            <w:r w:rsidRPr="00014EAD">
              <w:rPr>
                <w:rFonts w:cs="Arial"/>
              </w:rPr>
              <w:t>(2008)</w:t>
            </w:r>
            <w:r>
              <w:t xml:space="preserve">; PC </w:t>
            </w:r>
            <w:r w:rsidRPr="00796674">
              <w:rPr>
                <w:rFonts w:cs="Arial"/>
              </w:rPr>
              <w:t>(2010)</w:t>
            </w:r>
            <w:r>
              <w:t>.</w:t>
            </w:r>
          </w:p>
        </w:tc>
      </w:tr>
      <w:tr w:rsidR="00676D36" w14:paraId="5BC49B78" w14:textId="77777777" w:rsidTr="00461BF6">
        <w:trPr>
          <w:cantSplit/>
        </w:trPr>
        <w:tc>
          <w:tcPr>
            <w:tcW w:w="8771" w:type="dxa"/>
            <w:tcBorders>
              <w:top w:val="nil"/>
              <w:left w:val="nil"/>
              <w:bottom w:val="single" w:sz="6" w:space="0" w:color="78A22F" w:themeColor="accent1"/>
              <w:right w:val="nil"/>
            </w:tcBorders>
            <w:shd w:val="clear" w:color="auto" w:fill="auto"/>
          </w:tcPr>
          <w:p w14:paraId="33E10D36" w14:textId="77777777" w:rsidR="00676D36" w:rsidRDefault="00676D36" w:rsidP="00461BF6">
            <w:pPr>
              <w:pStyle w:val="Box"/>
              <w:spacing w:before="0" w:line="120" w:lineRule="exact"/>
            </w:pPr>
          </w:p>
        </w:tc>
      </w:tr>
      <w:tr w:rsidR="00676D36" w:rsidRPr="000863A5" w14:paraId="645F099A" w14:textId="77777777" w:rsidTr="00461BF6">
        <w:tc>
          <w:tcPr>
            <w:tcW w:w="8771" w:type="dxa"/>
            <w:tcBorders>
              <w:top w:val="single" w:sz="6" w:space="0" w:color="78A22F" w:themeColor="accent1"/>
              <w:left w:val="nil"/>
              <w:bottom w:val="nil"/>
              <w:right w:val="nil"/>
            </w:tcBorders>
          </w:tcPr>
          <w:p w14:paraId="208D360B" w14:textId="790C11D8" w:rsidR="00676D36" w:rsidRPr="00626D32" w:rsidRDefault="00676D36" w:rsidP="00461BF6">
            <w:pPr>
              <w:pStyle w:val="BoxSpaceBelow"/>
            </w:pPr>
          </w:p>
        </w:tc>
      </w:tr>
    </w:tbl>
    <w:p w14:paraId="2D004F55" w14:textId="5290D9E3" w:rsidR="00676D36" w:rsidRDefault="00676D36" w:rsidP="00676D36">
      <w:pPr>
        <w:pStyle w:val="draftt"/>
      </w:pPr>
      <w:r>
        <w:t xml:space="preserve">The support for community housing was driven partly by the shortcomings of public housing management, which was perceived to be bureaucratic and unresponsive. It was </w:t>
      </w:r>
      <w:r>
        <w:lastRenderedPageBreak/>
        <w:t xml:space="preserve">argued that expanding community housing would increase the range of social housing providers for tenants and provide a more responsive tenancy management style for disadvantaged groups </w:t>
      </w:r>
      <w:r w:rsidRPr="00CA5519">
        <w:rPr>
          <w:szCs w:val="24"/>
        </w:rPr>
        <w:t>(Jones, Phillips and Milligan 2007)</w:t>
      </w:r>
      <w:r>
        <w:t>.</w:t>
      </w:r>
    </w:p>
    <w:p w14:paraId="7FF0496A" w14:textId="7206A4BA" w:rsidR="00676D36" w:rsidRDefault="00676D36" w:rsidP="00676D36">
      <w:pPr>
        <w:pStyle w:val="BodyText"/>
      </w:pPr>
      <w:r>
        <w:t xml:space="preserve">The National Housing Strategy advocated expanding community housing to help house people with low incomes and special needs and to broaden the social housing sector </w:t>
      </w:r>
      <w:r w:rsidRPr="00F92ADC">
        <w:rPr>
          <w:szCs w:val="24"/>
        </w:rPr>
        <w:t>(</w:t>
      </w:r>
      <w:proofErr w:type="spellStart"/>
      <w:r w:rsidRPr="00F92ADC">
        <w:rPr>
          <w:szCs w:val="24"/>
        </w:rPr>
        <w:t>NHS</w:t>
      </w:r>
      <w:proofErr w:type="spellEnd"/>
      <w:r w:rsidRPr="00F92ADC">
        <w:rPr>
          <w:szCs w:val="24"/>
        </w:rPr>
        <w:t> </w:t>
      </w:r>
      <w:proofErr w:type="spellStart"/>
      <w:r w:rsidRPr="00F92ADC">
        <w:rPr>
          <w:szCs w:val="24"/>
        </w:rPr>
        <w:t>1992a</w:t>
      </w:r>
      <w:proofErr w:type="spellEnd"/>
      <w:r w:rsidRPr="00F92ADC">
        <w:rPr>
          <w:szCs w:val="24"/>
        </w:rPr>
        <w:t>)</w:t>
      </w:r>
      <w:r>
        <w:t>. However, the Strategy maintained that public housing should remain the central provider of social housing. The benefits of community housing identified by the Strategy included:</w:t>
      </w:r>
    </w:p>
    <w:p w14:paraId="403D6A09" w14:textId="77777777" w:rsidR="00676D36" w:rsidRDefault="00676D36" w:rsidP="00676D36">
      <w:pPr>
        <w:pStyle w:val="ListBullet"/>
      </w:pPr>
      <w:r>
        <w:t>opportunities for tenant participation, including management</w:t>
      </w:r>
    </w:p>
    <w:p w14:paraId="0F199EEF" w14:textId="77777777" w:rsidR="00676D36" w:rsidRDefault="00676D36" w:rsidP="00676D36">
      <w:pPr>
        <w:pStyle w:val="ListBullet"/>
      </w:pPr>
      <w:r>
        <w:t>greater responsiveness to local conditions</w:t>
      </w:r>
    </w:p>
    <w:p w14:paraId="64F2EB1F" w14:textId="77777777" w:rsidR="00676D36" w:rsidRDefault="00676D36" w:rsidP="00676D36">
      <w:pPr>
        <w:pStyle w:val="ListBullet"/>
      </w:pPr>
      <w:r>
        <w:t>greater range of housing choices</w:t>
      </w:r>
    </w:p>
    <w:p w14:paraId="5632FC39" w14:textId="77777777" w:rsidR="00676D36" w:rsidRDefault="00676D36" w:rsidP="00676D36">
      <w:pPr>
        <w:pStyle w:val="ListBullet"/>
      </w:pPr>
      <w:r>
        <w:t xml:space="preserve">ability to attract additional resources to increase the total stock of housing. </w:t>
      </w:r>
    </w:p>
    <w:p w14:paraId="7D02E920" w14:textId="3705A3E5" w:rsidR="00676D36" w:rsidRDefault="00676D36" w:rsidP="00676D36">
      <w:pPr>
        <w:pStyle w:val="BodyText"/>
      </w:pPr>
      <w:r>
        <w:t>Government support for community housing has also increased in more recent years, as a strategy to help meet the growing demand for low</w:t>
      </w:r>
      <w:r>
        <w:noBreakHyphen/>
        <w:t>cost rental housing</w:t>
      </w:r>
      <w:r w:rsidR="00D2446A">
        <w:t>.</w:t>
      </w:r>
      <w:r>
        <w:t xml:space="preserve"> </w:t>
      </w:r>
      <w:r w:rsidR="00D2446A">
        <w:t>T</w:t>
      </w:r>
      <w:r>
        <w:t>his has contributed to the growth in the number of community housing dwellings, which is estimated to have doubled between 2005 and 2013</w:t>
      </w:r>
      <w:r w:rsidR="00D2446A">
        <w:t>.</w:t>
      </w:r>
      <w:r w:rsidR="00281098">
        <w:t xml:space="preserve"> </w:t>
      </w:r>
      <w:r>
        <w:t>State</w:t>
      </w:r>
      <w:r>
        <w:noBreakHyphen/>
        <w:t>specific projects have</w:t>
      </w:r>
      <w:r w:rsidRPr="00D41DB3">
        <w:t xml:space="preserve"> </w:t>
      </w:r>
      <w:r>
        <w:t>led to part of this growth. For example, New South Wales’ Affordable Housing Innovations Fund provided $50 million in funding for debt–equity partnership projects with community housing organisations over the three years to 2009</w:t>
      </w:r>
      <w:r>
        <w:noBreakHyphen/>
        <w:t xml:space="preserve">10 </w:t>
      </w:r>
      <w:r w:rsidRPr="00B9025A">
        <w:rPr>
          <w:sz w:val="26"/>
          <w:szCs w:val="24"/>
        </w:rPr>
        <w:t>(PC 2010)</w:t>
      </w:r>
      <w:r>
        <w:t xml:space="preserve">. </w:t>
      </w:r>
    </w:p>
    <w:p w14:paraId="73B66955" w14:textId="77777777" w:rsidR="00676D36" w:rsidRDefault="00676D36" w:rsidP="006D1EB8">
      <w:pPr>
        <w:pStyle w:val="Heading2"/>
      </w:pPr>
      <w:r>
        <w:t>Commonwealth Rent Assistance</w:t>
      </w:r>
    </w:p>
    <w:p w14:paraId="37F3D3B2" w14:textId="71532FC4" w:rsidR="00676D36" w:rsidRDefault="00676D36" w:rsidP="00676D36">
      <w:pPr>
        <w:pStyle w:val="BodyText"/>
      </w:pPr>
      <w:r>
        <w:t>Commonwealth Rent Assistance (</w:t>
      </w:r>
      <w:proofErr w:type="spellStart"/>
      <w:r>
        <w:t>CRA</w:t>
      </w:r>
      <w:proofErr w:type="spellEnd"/>
      <w:r>
        <w:t xml:space="preserve">) began as a small part of the social security system in 1958, but has grown to become a major form of housing assistance </w:t>
      </w:r>
      <w:r w:rsidR="00A16296" w:rsidRPr="00A16296">
        <w:rPr>
          <w:szCs w:val="24"/>
        </w:rPr>
        <w:t>(Hulse 2002)</w:t>
      </w:r>
      <w:r>
        <w:t>. It was originally introduced as a flat payment for renters who were single or married to a non</w:t>
      </w:r>
      <w:r>
        <w:noBreakHyphen/>
        <w:t xml:space="preserve">pensioner spouse, and who were nearly entirely dependent on the Age, Invalid or Widows Pension. Since then, </w:t>
      </w:r>
      <w:proofErr w:type="spellStart"/>
      <w:r>
        <w:t>CRA</w:t>
      </w:r>
      <w:proofErr w:type="spellEnd"/>
      <w:r>
        <w:t xml:space="preserve"> has undergone many changes</w:t>
      </w:r>
      <w:r w:rsidDel="008144B0">
        <w:t xml:space="preserve"> </w:t>
      </w:r>
      <w:r>
        <w:t>(table </w:t>
      </w:r>
      <w:r w:rsidR="00D2446A">
        <w:t>3</w:t>
      </w:r>
      <w:r>
        <w:t>).</w:t>
      </w:r>
    </w:p>
    <w:p w14:paraId="200D2A35" w14:textId="5F157232" w:rsidR="00676D36" w:rsidRDefault="00676D36" w:rsidP="00676D36">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676D36" w14:paraId="3EEA50F8" w14:textId="77777777" w:rsidTr="00461BF6">
        <w:tc>
          <w:tcPr>
            <w:tcW w:w="8771" w:type="dxa"/>
            <w:tcBorders>
              <w:top w:val="single" w:sz="6" w:space="0" w:color="78A22F" w:themeColor="accent1"/>
              <w:left w:val="nil"/>
              <w:bottom w:val="nil"/>
              <w:right w:val="nil"/>
            </w:tcBorders>
            <w:shd w:val="clear" w:color="auto" w:fill="auto"/>
          </w:tcPr>
          <w:p w14:paraId="3419053A" w14:textId="611882FB" w:rsidR="00676D36" w:rsidRPr="00784A05" w:rsidRDefault="00676D36" w:rsidP="00461BF6">
            <w:pPr>
              <w:pStyle w:val="TableTitle"/>
            </w:pPr>
            <w:r>
              <w:rPr>
                <w:b w:val="0"/>
              </w:rPr>
              <w:t xml:space="preserve">Table </w:t>
            </w:r>
            <w:bookmarkStart w:id="7" w:name="OLE_LINK19"/>
            <w:r>
              <w:rPr>
                <w:b w:val="0"/>
              </w:rPr>
              <w:fldChar w:fldCharType="begin"/>
            </w:r>
            <w:r>
              <w:rPr>
                <w:b w:val="0"/>
              </w:rPr>
              <w:instrText xml:space="preserve"> SEQ Table \* ARABIC </w:instrText>
            </w:r>
            <w:r>
              <w:rPr>
                <w:b w:val="0"/>
              </w:rPr>
              <w:fldChar w:fldCharType="separate"/>
            </w:r>
            <w:r w:rsidR="006D1EB8">
              <w:rPr>
                <w:b w:val="0"/>
                <w:noProof/>
              </w:rPr>
              <w:t>3</w:t>
            </w:r>
            <w:r>
              <w:rPr>
                <w:b w:val="0"/>
              </w:rPr>
              <w:fldChar w:fldCharType="end"/>
            </w:r>
            <w:bookmarkEnd w:id="7"/>
            <w:r>
              <w:tab/>
              <w:t>History of Commonwealth Rent Assistance</w:t>
            </w:r>
          </w:p>
        </w:tc>
      </w:tr>
      <w:tr w:rsidR="00676D36" w14:paraId="134F614A" w14:textId="77777777" w:rsidTr="00461BF6">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520"/>
              <w:gridCol w:w="7967"/>
            </w:tblGrid>
            <w:tr w:rsidR="00676D36" w14:paraId="7414518B" w14:textId="77777777" w:rsidTr="00461BF6">
              <w:tc>
                <w:tcPr>
                  <w:tcW w:w="255" w:type="pct"/>
                  <w:tcBorders>
                    <w:top w:val="single" w:sz="4" w:space="0" w:color="BFBFBF"/>
                    <w:bottom w:val="single" w:sz="4" w:space="0" w:color="BFBFBF"/>
                  </w:tcBorders>
                  <w:shd w:val="clear" w:color="auto" w:fill="auto"/>
                </w:tcPr>
                <w:p w14:paraId="3E311E33" w14:textId="77777777" w:rsidR="00676D36" w:rsidRDefault="00676D36" w:rsidP="00461BF6">
                  <w:pPr>
                    <w:pStyle w:val="TableColumnHeading"/>
                    <w:jc w:val="left"/>
                  </w:pPr>
                  <w:r>
                    <w:t>Year</w:t>
                  </w:r>
                </w:p>
              </w:tc>
              <w:tc>
                <w:tcPr>
                  <w:tcW w:w="4745" w:type="pct"/>
                  <w:tcBorders>
                    <w:top w:val="single" w:sz="4" w:space="0" w:color="BFBFBF"/>
                    <w:bottom w:val="single" w:sz="4" w:space="0" w:color="BFBFBF"/>
                  </w:tcBorders>
                  <w:shd w:val="clear" w:color="auto" w:fill="auto"/>
                </w:tcPr>
                <w:p w14:paraId="7D6057C6" w14:textId="77777777" w:rsidR="00676D36" w:rsidRDefault="00676D36" w:rsidP="00461BF6">
                  <w:pPr>
                    <w:pStyle w:val="TableColumnHeading"/>
                    <w:ind w:right="28"/>
                    <w:jc w:val="left"/>
                  </w:pPr>
                  <w:r>
                    <w:t>Details</w:t>
                  </w:r>
                </w:p>
              </w:tc>
            </w:tr>
            <w:tr w:rsidR="00676D36" w14:paraId="522A6F1A" w14:textId="77777777" w:rsidTr="00461BF6">
              <w:tc>
                <w:tcPr>
                  <w:tcW w:w="255" w:type="pct"/>
                  <w:tcBorders>
                    <w:top w:val="single" w:sz="4" w:space="0" w:color="BFBFBF"/>
                  </w:tcBorders>
                </w:tcPr>
                <w:p w14:paraId="4A894332" w14:textId="77777777" w:rsidR="00676D36" w:rsidRDefault="00676D36" w:rsidP="00461BF6">
                  <w:pPr>
                    <w:pStyle w:val="TableBodyText"/>
                    <w:spacing w:before="40"/>
                    <w:jc w:val="left"/>
                  </w:pPr>
                  <w:r>
                    <w:t>1958</w:t>
                  </w:r>
                </w:p>
              </w:tc>
              <w:tc>
                <w:tcPr>
                  <w:tcW w:w="4745" w:type="pct"/>
                  <w:tcBorders>
                    <w:top w:val="single" w:sz="4" w:space="0" w:color="BFBFBF"/>
                  </w:tcBorders>
                </w:tcPr>
                <w:p w14:paraId="0EE3BF31" w14:textId="77777777" w:rsidR="00676D36" w:rsidRDefault="00676D36" w:rsidP="00461BF6">
                  <w:pPr>
                    <w:pStyle w:val="TableBullet"/>
                    <w:spacing w:before="40"/>
                  </w:pPr>
                  <w:r>
                    <w:t>Supplementary Assistance introduced for renters receiving Age, Invalid or Widows Pension who were single or married with a non</w:t>
                  </w:r>
                  <w:r>
                    <w:noBreakHyphen/>
                    <w:t>pensioner spouse.</w:t>
                  </w:r>
                </w:p>
              </w:tc>
            </w:tr>
            <w:tr w:rsidR="00676D36" w14:paraId="24A028B9" w14:textId="77777777" w:rsidTr="00461BF6">
              <w:tc>
                <w:tcPr>
                  <w:tcW w:w="255" w:type="pct"/>
                </w:tcPr>
                <w:p w14:paraId="40F50A0B" w14:textId="77777777" w:rsidR="00676D36" w:rsidRDefault="00676D36" w:rsidP="00461BF6">
                  <w:pPr>
                    <w:pStyle w:val="TableBodyText"/>
                    <w:jc w:val="left"/>
                  </w:pPr>
                  <w:r>
                    <w:t>1965</w:t>
                  </w:r>
                </w:p>
              </w:tc>
              <w:tc>
                <w:tcPr>
                  <w:tcW w:w="4745" w:type="pct"/>
                </w:tcPr>
                <w:p w14:paraId="138F1A6C" w14:textId="77777777" w:rsidR="00676D36" w:rsidRDefault="00676D36" w:rsidP="00461BF6">
                  <w:pPr>
                    <w:pStyle w:val="TableBullet"/>
                  </w:pPr>
                  <w:r>
                    <w:t>Income test introduced.</w:t>
                  </w:r>
                </w:p>
                <w:p w14:paraId="73F54D37" w14:textId="77777777" w:rsidR="00676D36" w:rsidRDefault="00676D36" w:rsidP="00461BF6">
                  <w:pPr>
                    <w:pStyle w:val="TableBullet"/>
                  </w:pPr>
                  <w:r>
                    <w:t>Eligibility extended to pensioners whose wives received Wife’s Allowance, and unmarried residents of benevolent homes.</w:t>
                  </w:r>
                </w:p>
              </w:tc>
            </w:tr>
            <w:tr w:rsidR="00676D36" w14:paraId="482C642A" w14:textId="77777777" w:rsidTr="00461BF6">
              <w:tc>
                <w:tcPr>
                  <w:tcW w:w="255" w:type="pct"/>
                </w:tcPr>
                <w:p w14:paraId="2F4710DB" w14:textId="77777777" w:rsidR="00676D36" w:rsidRDefault="00676D36" w:rsidP="00461BF6">
                  <w:pPr>
                    <w:pStyle w:val="TableBodyText"/>
                    <w:jc w:val="left"/>
                  </w:pPr>
                  <w:r>
                    <w:t>1968</w:t>
                  </w:r>
                </w:p>
              </w:tc>
              <w:tc>
                <w:tcPr>
                  <w:tcW w:w="4745" w:type="pct"/>
                </w:tcPr>
                <w:p w14:paraId="545E7E9E" w14:textId="77777777" w:rsidR="00676D36" w:rsidRDefault="00676D36" w:rsidP="00461BF6">
                  <w:pPr>
                    <w:pStyle w:val="TableBullet"/>
                  </w:pPr>
                  <w:r>
                    <w:t>Eligibility extended to pensioners whose spouse received Unemployment or Sickness Benefit.</w:t>
                  </w:r>
                </w:p>
              </w:tc>
            </w:tr>
            <w:tr w:rsidR="00676D36" w14:paraId="49F45769" w14:textId="77777777" w:rsidTr="00461BF6">
              <w:tc>
                <w:tcPr>
                  <w:tcW w:w="255" w:type="pct"/>
                </w:tcPr>
                <w:p w14:paraId="6A0B8742" w14:textId="77777777" w:rsidR="00676D36" w:rsidRDefault="00676D36" w:rsidP="00461BF6">
                  <w:pPr>
                    <w:pStyle w:val="TableBodyText"/>
                    <w:jc w:val="left"/>
                  </w:pPr>
                  <w:r>
                    <w:t>1970</w:t>
                  </w:r>
                </w:p>
              </w:tc>
              <w:tc>
                <w:tcPr>
                  <w:tcW w:w="4745" w:type="pct"/>
                </w:tcPr>
                <w:p w14:paraId="5750CD4F" w14:textId="77777777" w:rsidR="00676D36" w:rsidRDefault="00676D36" w:rsidP="00461BF6">
                  <w:pPr>
                    <w:pStyle w:val="TableBullet"/>
                  </w:pPr>
                  <w:r>
                    <w:t>Eligibility extended to each spouse of illness</w:t>
                  </w:r>
                  <w:r>
                    <w:noBreakHyphen/>
                    <w:t>separated married pensioner couples.</w:t>
                  </w:r>
                </w:p>
                <w:p w14:paraId="51E143D6" w14:textId="77777777" w:rsidR="00676D36" w:rsidRDefault="00676D36" w:rsidP="00461BF6">
                  <w:pPr>
                    <w:pStyle w:val="TableBullet"/>
                  </w:pPr>
                  <w:r>
                    <w:t>Supplementary Allowance introduced for renters receiving long</w:t>
                  </w:r>
                  <w:r>
                    <w:noBreakHyphen/>
                    <w:t>term Sickness Benefit.</w:t>
                  </w:r>
                </w:p>
              </w:tc>
            </w:tr>
            <w:tr w:rsidR="00676D36" w14:paraId="0DA508E2" w14:textId="77777777" w:rsidTr="00461BF6">
              <w:tc>
                <w:tcPr>
                  <w:tcW w:w="255" w:type="pct"/>
                </w:tcPr>
                <w:p w14:paraId="3DCA3BD9" w14:textId="77777777" w:rsidR="00676D36" w:rsidRDefault="00676D36" w:rsidP="00461BF6">
                  <w:pPr>
                    <w:pStyle w:val="TableBodyText"/>
                    <w:jc w:val="left"/>
                  </w:pPr>
                  <w:r>
                    <w:t>1972</w:t>
                  </w:r>
                </w:p>
              </w:tc>
              <w:tc>
                <w:tcPr>
                  <w:tcW w:w="4745" w:type="pct"/>
                </w:tcPr>
                <w:p w14:paraId="1266D278" w14:textId="77777777" w:rsidR="00676D36" w:rsidRDefault="00676D36" w:rsidP="00461BF6">
                  <w:pPr>
                    <w:pStyle w:val="TableBullet"/>
                  </w:pPr>
                  <w:r>
                    <w:t>Eligibility extended to married pensioner couples.</w:t>
                  </w:r>
                </w:p>
              </w:tc>
            </w:tr>
            <w:tr w:rsidR="00676D36" w14:paraId="56B843BC" w14:textId="77777777" w:rsidTr="00461BF6">
              <w:tc>
                <w:tcPr>
                  <w:tcW w:w="255" w:type="pct"/>
                </w:tcPr>
                <w:p w14:paraId="0F527DED" w14:textId="77777777" w:rsidR="00676D36" w:rsidRDefault="00676D36" w:rsidP="00461BF6">
                  <w:pPr>
                    <w:pStyle w:val="TableBodyText"/>
                    <w:jc w:val="left"/>
                  </w:pPr>
                  <w:r>
                    <w:t>1974</w:t>
                  </w:r>
                </w:p>
              </w:tc>
              <w:tc>
                <w:tcPr>
                  <w:tcW w:w="4745" w:type="pct"/>
                </w:tcPr>
                <w:p w14:paraId="6AB5ACEF" w14:textId="77777777" w:rsidR="00676D36" w:rsidRDefault="00676D36" w:rsidP="00461BF6">
                  <w:pPr>
                    <w:pStyle w:val="TableBullet"/>
                  </w:pPr>
                  <w:r>
                    <w:t>Amount of payment restricted to amount of rent actually paid.</w:t>
                  </w:r>
                </w:p>
              </w:tc>
            </w:tr>
            <w:tr w:rsidR="00676D36" w14:paraId="7D0C69F9" w14:textId="77777777" w:rsidTr="00461BF6">
              <w:tc>
                <w:tcPr>
                  <w:tcW w:w="255" w:type="pct"/>
                </w:tcPr>
                <w:p w14:paraId="760B6740" w14:textId="77777777" w:rsidR="00676D36" w:rsidRDefault="00676D36" w:rsidP="00EB6B7D">
                  <w:pPr>
                    <w:pStyle w:val="TableBodyText"/>
                    <w:spacing w:before="70"/>
                    <w:jc w:val="left"/>
                  </w:pPr>
                  <w:r>
                    <w:t>1982</w:t>
                  </w:r>
                </w:p>
              </w:tc>
              <w:tc>
                <w:tcPr>
                  <w:tcW w:w="4745" w:type="pct"/>
                </w:tcPr>
                <w:p w14:paraId="2E84E7EE" w14:textId="77777777" w:rsidR="00676D36" w:rsidRDefault="00676D36" w:rsidP="00461BF6">
                  <w:pPr>
                    <w:pStyle w:val="TableBullet"/>
                  </w:pPr>
                  <w:r>
                    <w:t>Public housing tenants no longer eligible, with a savings provision for existing tenants.</w:t>
                  </w:r>
                  <w:r w:rsidRPr="00861AD4">
                    <w:rPr>
                      <w:rStyle w:val="NoteLabel"/>
                    </w:rPr>
                    <w:t>a</w:t>
                  </w:r>
                </w:p>
                <w:p w14:paraId="3BC25BAB" w14:textId="77777777" w:rsidR="00676D36" w:rsidRDefault="00676D36" w:rsidP="00461BF6">
                  <w:pPr>
                    <w:pStyle w:val="TableBullet"/>
                  </w:pPr>
                  <w:r>
                    <w:t>Supplementary Allowance extended to people transferring from Unemployment Benefit to Sickness Benefit.</w:t>
                  </w:r>
                </w:p>
                <w:p w14:paraId="2A439088" w14:textId="77777777" w:rsidR="00676D36" w:rsidRDefault="00676D36" w:rsidP="00461BF6">
                  <w:pPr>
                    <w:pStyle w:val="TableBullet"/>
                  </w:pPr>
                  <w:r>
                    <w:t>Pensioners who transferred to Sickness Benefit and eligible for Supplementary Allowance immediately rather than after serving a six</w:t>
                  </w:r>
                  <w:r>
                    <w:noBreakHyphen/>
                    <w:t>week qualifying period.</w:t>
                  </w:r>
                </w:p>
              </w:tc>
            </w:tr>
            <w:tr w:rsidR="00676D36" w14:paraId="14CCD18C" w14:textId="77777777" w:rsidTr="00461BF6">
              <w:tc>
                <w:tcPr>
                  <w:tcW w:w="255" w:type="pct"/>
                </w:tcPr>
                <w:p w14:paraId="604A7AFA" w14:textId="77777777" w:rsidR="00676D36" w:rsidRDefault="00676D36" w:rsidP="00461BF6">
                  <w:pPr>
                    <w:pStyle w:val="TableBodyText"/>
                    <w:jc w:val="left"/>
                  </w:pPr>
                  <w:r>
                    <w:t>1985</w:t>
                  </w:r>
                </w:p>
              </w:tc>
              <w:tc>
                <w:tcPr>
                  <w:tcW w:w="4745" w:type="pct"/>
                </w:tcPr>
                <w:p w14:paraId="245CBD09" w14:textId="77777777" w:rsidR="00676D36" w:rsidRDefault="00676D36" w:rsidP="00461BF6">
                  <w:pPr>
                    <w:pStyle w:val="TableBullet"/>
                  </w:pPr>
                  <w:r>
                    <w:t>Supplementary Assistance and Supplementary Allowance combined and renamed Commonwealth Rent Assistance (</w:t>
                  </w:r>
                  <w:proofErr w:type="spellStart"/>
                  <w:r>
                    <w:t>CRA</w:t>
                  </w:r>
                  <w:proofErr w:type="spellEnd"/>
                  <w:r>
                    <w:t>).</w:t>
                  </w:r>
                </w:p>
              </w:tc>
            </w:tr>
            <w:tr w:rsidR="00676D36" w14:paraId="342F3B8F" w14:textId="77777777" w:rsidTr="00461BF6">
              <w:tc>
                <w:tcPr>
                  <w:tcW w:w="255" w:type="pct"/>
                </w:tcPr>
                <w:p w14:paraId="108FA215" w14:textId="77777777" w:rsidR="00676D36" w:rsidRDefault="00676D36" w:rsidP="00461BF6">
                  <w:pPr>
                    <w:pStyle w:val="TableBodyText"/>
                    <w:jc w:val="left"/>
                  </w:pPr>
                  <w:r>
                    <w:t>1986</w:t>
                  </w:r>
                </w:p>
              </w:tc>
              <w:tc>
                <w:tcPr>
                  <w:tcW w:w="4745" w:type="pct"/>
                </w:tcPr>
                <w:p w14:paraId="7149B846" w14:textId="77777777" w:rsidR="00676D36" w:rsidRDefault="00676D36" w:rsidP="00461BF6">
                  <w:pPr>
                    <w:pStyle w:val="TableBullet"/>
                  </w:pPr>
                  <w:r>
                    <w:t>Eligibility extended to some Unemployment and Special Benefit recipients after a 26</w:t>
                  </w:r>
                  <w:r>
                    <w:noBreakHyphen/>
                    <w:t>week waiting period</w:t>
                  </w:r>
                  <w:r w:rsidRPr="00A216F1">
                    <w:rPr>
                      <w:szCs w:val="18"/>
                    </w:rPr>
                    <w:t>.</w:t>
                  </w:r>
                </w:p>
              </w:tc>
            </w:tr>
            <w:tr w:rsidR="00676D36" w14:paraId="7207C07A" w14:textId="77777777" w:rsidTr="00461BF6">
              <w:tc>
                <w:tcPr>
                  <w:tcW w:w="255" w:type="pct"/>
                </w:tcPr>
                <w:p w14:paraId="130CA69B" w14:textId="77777777" w:rsidR="00676D36" w:rsidRDefault="00676D36" w:rsidP="00461BF6">
                  <w:pPr>
                    <w:pStyle w:val="TableBodyText"/>
                    <w:jc w:val="left"/>
                  </w:pPr>
                  <w:r>
                    <w:t>1987</w:t>
                  </w:r>
                </w:p>
              </w:tc>
              <w:tc>
                <w:tcPr>
                  <w:tcW w:w="4745" w:type="pct"/>
                </w:tcPr>
                <w:p w14:paraId="676050FD" w14:textId="77777777" w:rsidR="00676D36" w:rsidRDefault="00676D36" w:rsidP="00461BF6">
                  <w:pPr>
                    <w:pStyle w:val="TableBullet"/>
                  </w:pPr>
                  <w:r>
                    <w:t xml:space="preserve">Separate income test for </w:t>
                  </w:r>
                  <w:proofErr w:type="spellStart"/>
                  <w:r>
                    <w:t>CRA</w:t>
                  </w:r>
                  <w:proofErr w:type="spellEnd"/>
                  <w:r>
                    <w:t xml:space="preserve"> was abolished, which removed multiple stacking effects. </w:t>
                  </w:r>
                  <w:proofErr w:type="spellStart"/>
                  <w:r>
                    <w:t>CRA</w:t>
                  </w:r>
                  <w:proofErr w:type="spellEnd"/>
                  <w:r>
                    <w:t xml:space="preserve"> became a supplement to a person’s pension or benefit.</w:t>
                  </w:r>
                </w:p>
                <w:p w14:paraId="750FDB17" w14:textId="77777777" w:rsidR="00676D36" w:rsidRDefault="00676D36" w:rsidP="00461BF6">
                  <w:pPr>
                    <w:pStyle w:val="TableBullet"/>
                  </w:pPr>
                  <w:r>
                    <w:t>Waiting period removed for people with children.</w:t>
                  </w:r>
                </w:p>
                <w:p w14:paraId="7C54F1BF" w14:textId="0465D0F2" w:rsidR="00676D36" w:rsidRDefault="00676D36" w:rsidP="00461BF6">
                  <w:pPr>
                    <w:pStyle w:val="TableBullet"/>
                  </w:pPr>
                  <w:r>
                    <w:t>Savings provision for public housing</w:t>
                  </w:r>
                  <w:r w:rsidR="00281098">
                    <w:t xml:space="preserve"> </w:t>
                  </w:r>
                  <w:r>
                    <w:t>tenants removed.</w:t>
                  </w:r>
                </w:p>
                <w:p w14:paraId="61CB17E8" w14:textId="77777777" w:rsidR="00676D36" w:rsidRDefault="00676D36" w:rsidP="00461BF6">
                  <w:pPr>
                    <w:pStyle w:val="TableBullet"/>
                  </w:pPr>
                  <w:r>
                    <w:t>If a person was entitled to a higher rate than their partner, the payment was made to that person, rather than each receiving half their entitled payment.</w:t>
                  </w:r>
                </w:p>
                <w:p w14:paraId="4761124C" w14:textId="7F221401" w:rsidR="00676D36" w:rsidRDefault="00676D36" w:rsidP="00707826">
                  <w:pPr>
                    <w:pStyle w:val="TableBullet"/>
                  </w:pPr>
                  <w:r>
                    <w:t>Eligibility extended to recipients of Family Allowance Supplement</w:t>
                  </w:r>
                  <w:bookmarkStart w:id="8" w:name="_GoBack"/>
                  <w:bookmarkEnd w:id="8"/>
                  <w:r>
                    <w:rPr>
                      <w:rStyle w:val="NoteLabel"/>
                    </w:rPr>
                    <w:t>b</w:t>
                  </w:r>
                  <w:r>
                    <w:t>, thus expanding access to families with children that did not receive any other type of income support. This extension was part of the Hawke Government’s anti</w:t>
                  </w:r>
                  <w:r w:rsidR="00D720A3">
                    <w:noBreakHyphen/>
                  </w:r>
                  <w:r>
                    <w:t>poverty initiative.</w:t>
                  </w:r>
                </w:p>
              </w:tc>
            </w:tr>
            <w:tr w:rsidR="00676D36" w14:paraId="3938B5DC" w14:textId="77777777" w:rsidTr="00461BF6">
              <w:tc>
                <w:tcPr>
                  <w:tcW w:w="255" w:type="pct"/>
                  <w:shd w:val="clear" w:color="auto" w:fill="auto"/>
                </w:tcPr>
                <w:p w14:paraId="2E70047A" w14:textId="77777777" w:rsidR="00676D36" w:rsidRDefault="00676D36" w:rsidP="00461BF6">
                  <w:pPr>
                    <w:pStyle w:val="TableBodyText"/>
                    <w:jc w:val="left"/>
                  </w:pPr>
                  <w:r>
                    <w:t>1991</w:t>
                  </w:r>
                </w:p>
              </w:tc>
              <w:tc>
                <w:tcPr>
                  <w:tcW w:w="4745" w:type="pct"/>
                  <w:shd w:val="clear" w:color="auto" w:fill="auto"/>
                </w:tcPr>
                <w:p w14:paraId="1A68956A" w14:textId="76B67CDE" w:rsidR="00676D36" w:rsidRDefault="00676D36" w:rsidP="00461BF6">
                  <w:pPr>
                    <w:pStyle w:val="TableBullet"/>
                  </w:pPr>
                  <w:r>
                    <w:t>Maximum rates indexed to Consumer Price Index</w:t>
                  </w:r>
                  <w:r w:rsidR="00EB6B7D">
                    <w:t xml:space="preserve"> (CPI)</w:t>
                  </w:r>
                  <w:r>
                    <w:t xml:space="preserve"> twice yearly. Previously, there had been no set schedule for when maximum rates were increased.</w:t>
                  </w:r>
                </w:p>
              </w:tc>
            </w:tr>
            <w:tr w:rsidR="00676D36" w14:paraId="435477E6" w14:textId="77777777" w:rsidTr="00461BF6">
              <w:tc>
                <w:tcPr>
                  <w:tcW w:w="255" w:type="pct"/>
                  <w:shd w:val="clear" w:color="auto" w:fill="auto"/>
                </w:tcPr>
                <w:p w14:paraId="4FA59528" w14:textId="77777777" w:rsidR="00676D36" w:rsidRDefault="00676D36" w:rsidP="00461BF6">
                  <w:pPr>
                    <w:pStyle w:val="TableBodyText"/>
                    <w:jc w:val="left"/>
                  </w:pPr>
                  <w:r>
                    <w:t>1992</w:t>
                  </w:r>
                </w:p>
              </w:tc>
              <w:tc>
                <w:tcPr>
                  <w:tcW w:w="4745" w:type="pct"/>
                  <w:shd w:val="clear" w:color="auto" w:fill="auto"/>
                </w:tcPr>
                <w:p w14:paraId="1E581060" w14:textId="77777777" w:rsidR="00676D36" w:rsidRDefault="00676D36" w:rsidP="00461BF6">
                  <w:pPr>
                    <w:pStyle w:val="TableBullet"/>
                  </w:pPr>
                  <w:r>
                    <w:t>Waiting period removed for most recipients, except for single people aged under 18 who were subject to an 18</w:t>
                  </w:r>
                  <w:r>
                    <w:noBreakHyphen/>
                    <w:t>week waiting period.</w:t>
                  </w:r>
                </w:p>
                <w:p w14:paraId="3378FB7B" w14:textId="77777777" w:rsidR="00676D36" w:rsidRDefault="00676D36" w:rsidP="00461BF6">
                  <w:pPr>
                    <w:pStyle w:val="TableBullet"/>
                  </w:pPr>
                  <w:r>
                    <w:t>Eligibility extended to some people aged under 18 who received independent or homeless rate of income support payments.</w:t>
                  </w:r>
                </w:p>
              </w:tc>
            </w:tr>
            <w:tr w:rsidR="00676D36" w14:paraId="67686996" w14:textId="77777777" w:rsidTr="00461BF6">
              <w:tc>
                <w:tcPr>
                  <w:tcW w:w="255" w:type="pct"/>
                  <w:shd w:val="clear" w:color="auto" w:fill="auto"/>
                </w:tcPr>
                <w:p w14:paraId="1A8880B5" w14:textId="77777777" w:rsidR="00676D36" w:rsidRDefault="00676D36" w:rsidP="00EB6B7D">
                  <w:pPr>
                    <w:pStyle w:val="TableBodyText"/>
                    <w:spacing w:before="70"/>
                    <w:jc w:val="left"/>
                  </w:pPr>
                  <w:r>
                    <w:t>1993</w:t>
                  </w:r>
                </w:p>
              </w:tc>
              <w:tc>
                <w:tcPr>
                  <w:tcW w:w="4745" w:type="pct"/>
                  <w:shd w:val="clear" w:color="auto" w:fill="auto"/>
                </w:tcPr>
                <w:p w14:paraId="01BE648B" w14:textId="77777777" w:rsidR="00676D36" w:rsidRDefault="00676D36" w:rsidP="00461BF6">
                  <w:pPr>
                    <w:pStyle w:val="TableBullet"/>
                    <w:ind w:right="0"/>
                  </w:pPr>
                  <w:proofErr w:type="spellStart"/>
                  <w:r>
                    <w:t>CRA</w:t>
                  </w:r>
                  <w:proofErr w:type="spellEnd"/>
                  <w:r>
                    <w:t xml:space="preserve"> for those with children paid as an add</w:t>
                  </w:r>
                  <w:r>
                    <w:noBreakHyphen/>
                    <w:t>on to Additional Family Payment.</w:t>
                  </w:r>
                  <w:r>
                    <w:rPr>
                      <w:rStyle w:val="NoteLabel"/>
                    </w:rPr>
                    <w:t>b</w:t>
                  </w:r>
                </w:p>
                <w:p w14:paraId="0023D23C" w14:textId="77777777" w:rsidR="00676D36" w:rsidRDefault="00676D36" w:rsidP="00461BF6">
                  <w:pPr>
                    <w:pStyle w:val="TableBullet"/>
                    <w:ind w:right="0"/>
                  </w:pPr>
                  <w:r>
                    <w:t xml:space="preserve">Rent thresholds varied according to family situation and indexed twice yearly to CPI. Previously, there had been no set schedule for when rent thresholds were increased. </w:t>
                  </w:r>
                </w:p>
                <w:p w14:paraId="794501F1" w14:textId="77777777" w:rsidR="00676D36" w:rsidRPr="00537963" w:rsidRDefault="00676D36" w:rsidP="00461BF6">
                  <w:pPr>
                    <w:pStyle w:val="TableBullet"/>
                    <w:framePr w:w="2155" w:hSpace="227" w:vSpace="181" w:wrap="around" w:vAnchor="text" w:hAnchor="page" w:xAlign="outside" w:y="1"/>
                    <w:ind w:right="0"/>
                    <w:rPr>
                      <w:spacing w:val="-2"/>
                      <w:szCs w:val="18"/>
                    </w:rPr>
                  </w:pPr>
                  <w:r w:rsidRPr="00537963">
                    <w:rPr>
                      <w:spacing w:val="-2"/>
                      <w:szCs w:val="18"/>
                    </w:rPr>
                    <w:t>Rate of payment increased from 50 to 75 cents for each dollar above the rent threshold, up to a cap.</w:t>
                  </w:r>
                </w:p>
              </w:tc>
            </w:tr>
            <w:tr w:rsidR="00676D36" w14:paraId="28B08A89" w14:textId="77777777" w:rsidTr="00461BF6">
              <w:tc>
                <w:tcPr>
                  <w:tcW w:w="255" w:type="pct"/>
                  <w:shd w:val="clear" w:color="auto" w:fill="auto"/>
                </w:tcPr>
                <w:p w14:paraId="2BA796DB" w14:textId="77777777" w:rsidR="00676D36" w:rsidRDefault="00676D36" w:rsidP="00461BF6">
                  <w:pPr>
                    <w:pStyle w:val="TableBodyText"/>
                    <w:jc w:val="left"/>
                  </w:pPr>
                  <w:r>
                    <w:t>1994</w:t>
                  </w:r>
                </w:p>
              </w:tc>
              <w:tc>
                <w:tcPr>
                  <w:tcW w:w="4745" w:type="pct"/>
                  <w:shd w:val="clear" w:color="auto" w:fill="auto"/>
                </w:tcPr>
                <w:p w14:paraId="57531098" w14:textId="77777777" w:rsidR="00676D36" w:rsidRDefault="00676D36" w:rsidP="00461BF6">
                  <w:pPr>
                    <w:pStyle w:val="TableBullet"/>
                  </w:pPr>
                  <w:r>
                    <w:t>Last remaining waiting period removed, applying to some people aged under 18.</w:t>
                  </w:r>
                </w:p>
              </w:tc>
            </w:tr>
            <w:tr w:rsidR="00676D36" w14:paraId="3EAAADD6" w14:textId="77777777" w:rsidTr="00461BF6">
              <w:tc>
                <w:tcPr>
                  <w:tcW w:w="255" w:type="pct"/>
                  <w:shd w:val="clear" w:color="auto" w:fill="auto"/>
                </w:tcPr>
                <w:p w14:paraId="17BF7227" w14:textId="77777777" w:rsidR="00676D36" w:rsidRDefault="00676D36" w:rsidP="00461BF6">
                  <w:pPr>
                    <w:pStyle w:val="TableBodyText"/>
                    <w:jc w:val="left"/>
                  </w:pPr>
                  <w:r>
                    <w:t>1996</w:t>
                  </w:r>
                </w:p>
              </w:tc>
              <w:tc>
                <w:tcPr>
                  <w:tcW w:w="4745" w:type="pct"/>
                  <w:shd w:val="clear" w:color="auto" w:fill="auto"/>
                </w:tcPr>
                <w:p w14:paraId="268B077B" w14:textId="77777777" w:rsidR="00676D36" w:rsidRDefault="00676D36" w:rsidP="00461BF6">
                  <w:pPr>
                    <w:pStyle w:val="TableBullet"/>
                  </w:pPr>
                  <w:r>
                    <w:t>Eligibility extended to certain carers and people receiving care.</w:t>
                  </w:r>
                </w:p>
              </w:tc>
            </w:tr>
            <w:tr w:rsidR="00676D36" w14:paraId="2944773A" w14:textId="77777777" w:rsidTr="00461BF6">
              <w:tc>
                <w:tcPr>
                  <w:tcW w:w="255" w:type="pct"/>
                  <w:shd w:val="clear" w:color="auto" w:fill="auto"/>
                </w:tcPr>
                <w:p w14:paraId="34DBAE67" w14:textId="77777777" w:rsidR="00676D36" w:rsidRDefault="00676D36" w:rsidP="00461BF6">
                  <w:pPr>
                    <w:pStyle w:val="TableBodyText"/>
                    <w:jc w:val="left"/>
                  </w:pPr>
                  <w:r>
                    <w:t>1997</w:t>
                  </w:r>
                </w:p>
              </w:tc>
              <w:tc>
                <w:tcPr>
                  <w:tcW w:w="4745" w:type="pct"/>
                  <w:shd w:val="clear" w:color="auto" w:fill="auto"/>
                </w:tcPr>
                <w:p w14:paraId="6ABE8014" w14:textId="77777777" w:rsidR="00676D36" w:rsidRPr="008D2B94" w:rsidRDefault="00676D36" w:rsidP="00461BF6">
                  <w:pPr>
                    <w:pStyle w:val="TableBullet"/>
                    <w:framePr w:w="2155" w:hSpace="227" w:vSpace="181" w:wrap="around" w:vAnchor="text" w:hAnchor="page" w:xAlign="outside" w:y="1"/>
                    <w:rPr>
                      <w:spacing w:val="-2"/>
                    </w:rPr>
                  </w:pPr>
                  <w:r w:rsidRPr="008D2B94">
                    <w:rPr>
                      <w:spacing w:val="-2"/>
                    </w:rPr>
                    <w:t xml:space="preserve">Single sharers without dependent children only eligible for two thirds of maximum rate for singles. </w:t>
                  </w:r>
                </w:p>
              </w:tc>
            </w:tr>
            <w:tr w:rsidR="00676D36" w14:paraId="6D3702A3" w14:textId="77777777" w:rsidTr="00461BF6">
              <w:tc>
                <w:tcPr>
                  <w:tcW w:w="255" w:type="pct"/>
                  <w:shd w:val="clear" w:color="auto" w:fill="auto"/>
                </w:tcPr>
                <w:p w14:paraId="429EBE7E" w14:textId="77777777" w:rsidR="00676D36" w:rsidRDefault="00676D36" w:rsidP="00461BF6">
                  <w:pPr>
                    <w:pStyle w:val="TableBodyText"/>
                    <w:jc w:val="left"/>
                  </w:pPr>
                  <w:r>
                    <w:t>1998</w:t>
                  </w:r>
                </w:p>
              </w:tc>
              <w:tc>
                <w:tcPr>
                  <w:tcW w:w="4745" w:type="pct"/>
                  <w:shd w:val="clear" w:color="auto" w:fill="auto"/>
                </w:tcPr>
                <w:p w14:paraId="5EFEBA1E" w14:textId="77777777" w:rsidR="00676D36" w:rsidRDefault="00676D36" w:rsidP="00461BF6">
                  <w:pPr>
                    <w:pStyle w:val="TableBullet"/>
                  </w:pPr>
                  <w:r>
                    <w:t>People who lived in public housing but were not the primary tenant became ineligible.</w:t>
                  </w:r>
                </w:p>
              </w:tc>
            </w:tr>
            <w:tr w:rsidR="00676D36" w14:paraId="518549EB" w14:textId="77777777" w:rsidTr="00461BF6">
              <w:tc>
                <w:tcPr>
                  <w:tcW w:w="255" w:type="pct"/>
                  <w:shd w:val="clear" w:color="auto" w:fill="auto"/>
                </w:tcPr>
                <w:p w14:paraId="726D1D13" w14:textId="77777777" w:rsidR="00676D36" w:rsidRDefault="00676D36" w:rsidP="00461BF6">
                  <w:pPr>
                    <w:pStyle w:val="TableBodyText"/>
                    <w:jc w:val="left"/>
                  </w:pPr>
                  <w:r>
                    <w:t>2000</w:t>
                  </w:r>
                </w:p>
              </w:tc>
              <w:tc>
                <w:tcPr>
                  <w:tcW w:w="4745" w:type="pct"/>
                  <w:shd w:val="clear" w:color="auto" w:fill="auto"/>
                </w:tcPr>
                <w:p w14:paraId="5F015777" w14:textId="77777777" w:rsidR="00676D36" w:rsidRDefault="00676D36" w:rsidP="00461BF6">
                  <w:pPr>
                    <w:pStyle w:val="TableBullet"/>
                  </w:pPr>
                  <w:r>
                    <w:t>Rates increased to compensate for introduction of the GST.</w:t>
                  </w:r>
                </w:p>
              </w:tc>
            </w:tr>
            <w:tr w:rsidR="00676D36" w14:paraId="6DE31D8B" w14:textId="77777777" w:rsidTr="00461BF6">
              <w:tc>
                <w:tcPr>
                  <w:tcW w:w="255" w:type="pct"/>
                  <w:tcBorders>
                    <w:bottom w:val="single" w:sz="4" w:space="0" w:color="BFBFBF"/>
                  </w:tcBorders>
                  <w:shd w:val="clear" w:color="auto" w:fill="auto"/>
                </w:tcPr>
                <w:p w14:paraId="0171A679" w14:textId="77777777" w:rsidR="00676D36" w:rsidRDefault="00676D36" w:rsidP="00461BF6">
                  <w:pPr>
                    <w:pStyle w:val="TableBodyText"/>
                    <w:jc w:val="left"/>
                  </w:pPr>
                  <w:r>
                    <w:t>2008</w:t>
                  </w:r>
                </w:p>
              </w:tc>
              <w:tc>
                <w:tcPr>
                  <w:tcW w:w="4745" w:type="pct"/>
                  <w:tcBorders>
                    <w:bottom w:val="single" w:sz="4" w:space="0" w:color="BFBFBF"/>
                  </w:tcBorders>
                  <w:shd w:val="clear" w:color="auto" w:fill="auto"/>
                </w:tcPr>
                <w:p w14:paraId="000C2B3B" w14:textId="77777777" w:rsidR="00676D36" w:rsidRDefault="00676D36" w:rsidP="00461BF6">
                  <w:pPr>
                    <w:pStyle w:val="TableBullet"/>
                  </w:pPr>
                  <w:r>
                    <w:t xml:space="preserve">Eligibility extended to </w:t>
                  </w:r>
                  <w:proofErr w:type="spellStart"/>
                  <w:r>
                    <w:t>Austudy</w:t>
                  </w:r>
                  <w:proofErr w:type="spellEnd"/>
                  <w:r>
                    <w:t xml:space="preserve"> recipients.</w:t>
                  </w:r>
                </w:p>
              </w:tc>
            </w:tr>
          </w:tbl>
          <w:p w14:paraId="3CF16228" w14:textId="77777777" w:rsidR="00676D36" w:rsidRDefault="00676D36" w:rsidP="00461BF6">
            <w:pPr>
              <w:pStyle w:val="Box"/>
            </w:pPr>
          </w:p>
        </w:tc>
      </w:tr>
      <w:tr w:rsidR="00676D36" w14:paraId="1FD02D65" w14:textId="77777777" w:rsidTr="00461BF6">
        <w:trPr>
          <w:cantSplit/>
        </w:trPr>
        <w:tc>
          <w:tcPr>
            <w:tcW w:w="8771" w:type="dxa"/>
            <w:tcBorders>
              <w:top w:val="nil"/>
              <w:left w:val="nil"/>
              <w:bottom w:val="nil"/>
              <w:right w:val="nil"/>
            </w:tcBorders>
            <w:shd w:val="clear" w:color="auto" w:fill="auto"/>
          </w:tcPr>
          <w:p w14:paraId="675415AB" w14:textId="77777777" w:rsidR="00676D36" w:rsidRPr="00034259" w:rsidRDefault="00676D36" w:rsidP="00461BF6">
            <w:pPr>
              <w:pStyle w:val="Note"/>
            </w:pPr>
            <w:r w:rsidRPr="00861AD4">
              <w:rPr>
                <w:rStyle w:val="NoteLabel"/>
              </w:rPr>
              <w:t>a</w:t>
            </w:r>
            <w:r>
              <w:t xml:space="preserve"> Community housing tenants were not considered at the time because the community housing sector was still small. </w:t>
            </w:r>
            <w:r>
              <w:rPr>
                <w:rStyle w:val="NoteLabel"/>
              </w:rPr>
              <w:t>b</w:t>
            </w:r>
            <w:r>
              <w:t xml:space="preserve"> Family Allowance Supplement was renamed Additional Family Payment, which was eventually amalgamated with other family payments to become Family Tax Benefit Part A.</w:t>
            </w:r>
          </w:p>
        </w:tc>
      </w:tr>
      <w:tr w:rsidR="00676D36" w14:paraId="57551720" w14:textId="77777777" w:rsidTr="00461BF6">
        <w:trPr>
          <w:cantSplit/>
        </w:trPr>
        <w:tc>
          <w:tcPr>
            <w:tcW w:w="8771" w:type="dxa"/>
            <w:tcBorders>
              <w:top w:val="nil"/>
              <w:left w:val="nil"/>
              <w:bottom w:val="nil"/>
              <w:right w:val="nil"/>
            </w:tcBorders>
            <w:shd w:val="clear" w:color="auto" w:fill="auto"/>
          </w:tcPr>
          <w:p w14:paraId="106A413A" w14:textId="0856493F" w:rsidR="00676D36" w:rsidRDefault="00676D36" w:rsidP="00461BF6">
            <w:pPr>
              <w:pStyle w:val="Source"/>
            </w:pPr>
            <w:r>
              <w:rPr>
                <w:i/>
              </w:rPr>
              <w:t>Sources</w:t>
            </w:r>
            <w:r>
              <w:t xml:space="preserve">: DPS </w:t>
            </w:r>
            <w:r w:rsidRPr="007A7473">
              <w:rPr>
                <w:rFonts w:cs="Arial"/>
              </w:rPr>
              <w:t>(2007)</w:t>
            </w:r>
            <w:r>
              <w:t xml:space="preserve">; </w:t>
            </w:r>
            <w:proofErr w:type="spellStart"/>
            <w:r>
              <w:t>Ey</w:t>
            </w:r>
            <w:proofErr w:type="spellEnd"/>
            <w:r>
              <w:t xml:space="preserve"> </w:t>
            </w:r>
            <w:r w:rsidRPr="001E4ED7">
              <w:rPr>
                <w:rFonts w:cs="Arial"/>
              </w:rPr>
              <w:t>(2012)</w:t>
            </w:r>
            <w:r>
              <w:t xml:space="preserve">; </w:t>
            </w:r>
            <w:proofErr w:type="spellStart"/>
            <w:r>
              <w:t>FaCSIA</w:t>
            </w:r>
            <w:proofErr w:type="spellEnd"/>
            <w:r>
              <w:t xml:space="preserve"> </w:t>
            </w:r>
            <w:r w:rsidRPr="00C87153">
              <w:rPr>
                <w:rFonts w:cs="Arial"/>
              </w:rPr>
              <w:t>(</w:t>
            </w:r>
            <w:proofErr w:type="spellStart"/>
            <w:r w:rsidRPr="00C87153">
              <w:rPr>
                <w:rFonts w:cs="Arial"/>
              </w:rPr>
              <w:t>2006a</w:t>
            </w:r>
            <w:proofErr w:type="spellEnd"/>
            <w:r w:rsidRPr="00C87153">
              <w:rPr>
                <w:rFonts w:cs="Arial"/>
              </w:rPr>
              <w:t xml:space="preserve">, </w:t>
            </w:r>
            <w:proofErr w:type="spellStart"/>
            <w:r w:rsidRPr="00C87153">
              <w:rPr>
                <w:rFonts w:cs="Arial"/>
              </w:rPr>
              <w:t>2006b</w:t>
            </w:r>
            <w:proofErr w:type="spellEnd"/>
            <w:r w:rsidRPr="00C87153">
              <w:rPr>
                <w:rFonts w:cs="Arial"/>
              </w:rPr>
              <w:t>)</w:t>
            </w:r>
            <w:r>
              <w:t xml:space="preserve">; McIntosh and Phillips </w:t>
            </w:r>
            <w:r w:rsidRPr="007A7473">
              <w:rPr>
                <w:rFonts w:cs="Arial"/>
              </w:rPr>
              <w:t>(2001)</w:t>
            </w:r>
            <w:r>
              <w:t xml:space="preserve">; Prosser and </w:t>
            </w:r>
            <w:proofErr w:type="spellStart"/>
            <w:r>
              <w:t>Leeper</w:t>
            </w:r>
            <w:proofErr w:type="spellEnd"/>
            <w:r>
              <w:t xml:space="preserve"> </w:t>
            </w:r>
            <w:r w:rsidRPr="007A7473">
              <w:rPr>
                <w:rFonts w:cs="Arial"/>
              </w:rPr>
              <w:t>(1994)</w:t>
            </w:r>
            <w:r>
              <w:t>.</w:t>
            </w:r>
          </w:p>
        </w:tc>
      </w:tr>
      <w:tr w:rsidR="00676D36" w14:paraId="1C62404F" w14:textId="77777777" w:rsidTr="00461BF6">
        <w:trPr>
          <w:cantSplit/>
        </w:trPr>
        <w:tc>
          <w:tcPr>
            <w:tcW w:w="8771" w:type="dxa"/>
            <w:tcBorders>
              <w:top w:val="nil"/>
              <w:left w:val="nil"/>
              <w:bottom w:val="single" w:sz="6" w:space="0" w:color="78A22F" w:themeColor="accent1"/>
              <w:right w:val="nil"/>
            </w:tcBorders>
            <w:shd w:val="clear" w:color="auto" w:fill="auto"/>
          </w:tcPr>
          <w:p w14:paraId="76650448" w14:textId="77777777" w:rsidR="00676D36" w:rsidRDefault="00676D36" w:rsidP="00461BF6">
            <w:pPr>
              <w:pStyle w:val="Box"/>
              <w:spacing w:before="0" w:line="120" w:lineRule="exact"/>
            </w:pPr>
          </w:p>
        </w:tc>
      </w:tr>
      <w:tr w:rsidR="00676D36" w:rsidRPr="000863A5" w14:paraId="2CCF1023" w14:textId="77777777" w:rsidTr="00461BF6">
        <w:trPr>
          <w:trHeight w:val="65"/>
        </w:trPr>
        <w:tc>
          <w:tcPr>
            <w:tcW w:w="8771" w:type="dxa"/>
            <w:tcBorders>
              <w:top w:val="single" w:sz="6" w:space="0" w:color="78A22F" w:themeColor="accent1"/>
              <w:left w:val="nil"/>
              <w:bottom w:val="nil"/>
              <w:right w:val="nil"/>
            </w:tcBorders>
          </w:tcPr>
          <w:p w14:paraId="0049DDCF" w14:textId="54CAC333" w:rsidR="00676D36" w:rsidRPr="00626D32" w:rsidRDefault="00676D36" w:rsidP="00461BF6">
            <w:pPr>
              <w:pStyle w:val="BoxSpaceBelow"/>
            </w:pPr>
          </w:p>
        </w:tc>
      </w:tr>
    </w:tbl>
    <w:p w14:paraId="1EAAE290" w14:textId="0B9D9A86" w:rsidR="006A4B2D" w:rsidRDefault="006A4B2D" w:rsidP="006A4B2D">
      <w:pPr>
        <w:pStyle w:val="BodyText"/>
      </w:pPr>
      <w:r>
        <w:lastRenderedPageBreak/>
        <w:t xml:space="preserve">During the </w:t>
      </w:r>
      <w:proofErr w:type="spellStart"/>
      <w:r>
        <w:t>1980s</w:t>
      </w:r>
      <w:proofErr w:type="spellEnd"/>
      <w:r>
        <w:t xml:space="preserve"> and </w:t>
      </w:r>
      <w:proofErr w:type="spellStart"/>
      <w:r>
        <w:t>1990s</w:t>
      </w:r>
      <w:proofErr w:type="spellEnd"/>
      <w:r>
        <w:t>, the focus of Australian Government funding moved from supply</w:t>
      </w:r>
      <w:r>
        <w:noBreakHyphen/>
        <w:t>side policies such as public housing, towards the demand</w:t>
      </w:r>
      <w:r>
        <w:noBreakHyphen/>
        <w:t xml:space="preserve">side subsidy that is </w:t>
      </w:r>
      <w:proofErr w:type="spellStart"/>
      <w:r>
        <w:t>CRA</w:t>
      </w:r>
      <w:proofErr w:type="spellEnd"/>
      <w:r>
        <w:t xml:space="preserve">. This reflected the Australian Government’s position of relying on the private market to address housing needs, rather than supporting the direct provision of public housing by State Governments </w:t>
      </w:r>
      <w:r w:rsidRPr="0079402C">
        <w:rPr>
          <w:szCs w:val="24"/>
        </w:rPr>
        <w:t>(McIntosh and Phillips 2001)</w:t>
      </w:r>
      <w:r>
        <w:t xml:space="preserve">. </w:t>
      </w:r>
      <w:proofErr w:type="spellStart"/>
      <w:r>
        <w:t>CRA</w:t>
      </w:r>
      <w:proofErr w:type="spellEnd"/>
      <w:r>
        <w:t xml:space="preserve"> was seen to involve a lower subsidy per dwelling than direct provision with income</w:t>
      </w:r>
      <w:r>
        <w:noBreakHyphen/>
        <w:t xml:space="preserve">based rent, at least in the short term </w:t>
      </w:r>
      <w:r w:rsidRPr="00B914F1">
        <w:rPr>
          <w:szCs w:val="24"/>
        </w:rPr>
        <w:t>(Randolph and Holloway 2007)</w:t>
      </w:r>
      <w:r>
        <w:t xml:space="preserve">. It was also increasingly viewed as a method of alleviating poverty among income support recipients living in private rental </w:t>
      </w:r>
      <w:r w:rsidRPr="00B914F1">
        <w:rPr>
          <w:szCs w:val="24"/>
        </w:rPr>
        <w:t>(Hulse et al. 2012)</w:t>
      </w:r>
      <w:r>
        <w:t xml:space="preserve">. </w:t>
      </w:r>
    </w:p>
    <w:p w14:paraId="1CC279FE" w14:textId="26AE6AAB" w:rsidR="006A4B2D" w:rsidRDefault="006A4B2D" w:rsidP="006A4B2D">
      <w:pPr>
        <w:pStyle w:val="BodyText"/>
      </w:pPr>
      <w:r>
        <w:t xml:space="preserve">As part of the policy shift towards </w:t>
      </w:r>
      <w:proofErr w:type="spellStart"/>
      <w:r>
        <w:t>CRA</w:t>
      </w:r>
      <w:proofErr w:type="spellEnd"/>
      <w:r>
        <w:t xml:space="preserve">, a wider range of income support recipients gained eligibility and maximum rates were increased in real terms. This caused </w:t>
      </w:r>
      <w:proofErr w:type="spellStart"/>
      <w:r>
        <w:t>CRA</w:t>
      </w:r>
      <w:proofErr w:type="spellEnd"/>
      <w:r>
        <w:t xml:space="preserve"> expenditure to increase</w:t>
      </w:r>
      <w:r w:rsidRPr="006121A3">
        <w:t xml:space="preserve"> </w:t>
      </w:r>
      <w:r>
        <w:t>considerably. For example, between 1984</w:t>
      </w:r>
      <w:r>
        <w:noBreakHyphen/>
        <w:t>85 and 1992</w:t>
      </w:r>
      <w:r>
        <w:noBreakHyphen/>
        <w:t xml:space="preserve">93, the number of income support recipients eligible for </w:t>
      </w:r>
      <w:proofErr w:type="spellStart"/>
      <w:r>
        <w:t>CRA</w:t>
      </w:r>
      <w:proofErr w:type="spellEnd"/>
      <w:r>
        <w:t xml:space="preserve"> nearly doubled and nominal </w:t>
      </w:r>
      <w:proofErr w:type="spellStart"/>
      <w:r>
        <w:t>CRA</w:t>
      </w:r>
      <w:proofErr w:type="spellEnd"/>
      <w:r>
        <w:t xml:space="preserve"> expenditure rose from $225 million to $1.1 billion, equivalent to a real increase of 198 per cent </w:t>
      </w:r>
      <w:r w:rsidRPr="0099122C">
        <w:rPr>
          <w:szCs w:val="24"/>
        </w:rPr>
        <w:t xml:space="preserve">(Prosser and </w:t>
      </w:r>
      <w:proofErr w:type="spellStart"/>
      <w:r w:rsidRPr="0099122C">
        <w:rPr>
          <w:szCs w:val="24"/>
        </w:rPr>
        <w:t>Leeper</w:t>
      </w:r>
      <w:proofErr w:type="spellEnd"/>
      <w:r w:rsidRPr="0099122C">
        <w:rPr>
          <w:szCs w:val="24"/>
        </w:rPr>
        <w:t> 1994)</w:t>
      </w:r>
      <w:r>
        <w:t xml:space="preserve">. </w:t>
      </w:r>
    </w:p>
    <w:p w14:paraId="6BCECA48" w14:textId="14AB195F" w:rsidR="00CD1067" w:rsidRPr="004A370C" w:rsidRDefault="00CD1067" w:rsidP="00CD1067">
      <w:pPr>
        <w:pStyle w:val="BodyText"/>
      </w:pPr>
      <w:r>
        <w:t xml:space="preserve">Following the release of the National Housing Strategy </w:t>
      </w:r>
      <w:r w:rsidRPr="00C4287E">
        <w:rPr>
          <w:rFonts w:cs="Arial"/>
        </w:rPr>
        <w:t>(1992)</w:t>
      </w:r>
      <w:r>
        <w:t xml:space="preserve">, the 1992 Commonwealth Budget increased </w:t>
      </w:r>
      <w:proofErr w:type="spellStart"/>
      <w:r>
        <w:t>CRA</w:t>
      </w:r>
      <w:proofErr w:type="spellEnd"/>
      <w:r>
        <w:t>, and included a commitment that ‘[p]</w:t>
      </w:r>
      <w:proofErr w:type="spellStart"/>
      <w:r w:rsidRPr="004A370C">
        <w:t>eople</w:t>
      </w:r>
      <w:proofErr w:type="spellEnd"/>
      <w:r w:rsidRPr="004A370C">
        <w:t xml:space="preserve"> on low incomes paying more than 20 per cent of their income on rent will be assisted by the Government towards meeting those costs</w:t>
      </w:r>
      <w:r>
        <w:t xml:space="preserve">’ </w:t>
      </w:r>
      <w:r w:rsidRPr="004A370C">
        <w:t>(</w:t>
      </w:r>
      <w:proofErr w:type="spellStart"/>
      <w:r w:rsidRPr="004A370C">
        <w:t>DHHCS</w:t>
      </w:r>
      <w:proofErr w:type="spellEnd"/>
      <w:r w:rsidRPr="004A370C">
        <w:t xml:space="preserve"> </w:t>
      </w:r>
      <w:proofErr w:type="spellStart"/>
      <w:r w:rsidRPr="004A370C">
        <w:t>1992b</w:t>
      </w:r>
      <w:proofErr w:type="spellEnd"/>
      <w:r w:rsidRPr="004A370C">
        <w:t>, pp.</w:t>
      </w:r>
      <w:r w:rsidR="00D720A3">
        <w:t> </w:t>
      </w:r>
      <w:r w:rsidRPr="004A370C">
        <w:t xml:space="preserve">14–15, quoted in </w:t>
      </w:r>
      <w:r w:rsidR="00343285">
        <w:t>IC 1993</w:t>
      </w:r>
      <w:r w:rsidRPr="004A370C">
        <w:t>, p. 251)</w:t>
      </w:r>
      <w:r>
        <w:t xml:space="preserve">. However, </w:t>
      </w:r>
      <w:proofErr w:type="spellStart"/>
      <w:r>
        <w:t>CRA</w:t>
      </w:r>
      <w:proofErr w:type="spellEnd"/>
      <w:r>
        <w:t xml:space="preserve"> </w:t>
      </w:r>
      <w:r w:rsidR="00D2446A">
        <w:t>continues to be paid</w:t>
      </w:r>
      <w:r>
        <w:t xml:space="preserve"> </w:t>
      </w:r>
      <w:r w:rsidR="00EB6B7D">
        <w:t xml:space="preserve">as </w:t>
      </w:r>
      <w:r>
        <w:t>a flat amount that varies based on rent paid and personal circumstances, rather tha</w:t>
      </w:r>
      <w:r w:rsidR="00D2446A">
        <w:t xml:space="preserve">n being based on a </w:t>
      </w:r>
      <w:r>
        <w:t>specific affordability benchmark.</w:t>
      </w:r>
    </w:p>
    <w:p w14:paraId="77C303C5" w14:textId="0F74859F" w:rsidR="00D434A0" w:rsidRDefault="007C39BB" w:rsidP="006D1EB8">
      <w:pPr>
        <w:pStyle w:val="Heading2"/>
        <w:spacing w:after="360"/>
      </w:pPr>
      <w:r>
        <w:t>References</w:t>
      </w:r>
    </w:p>
    <w:p w14:paraId="53D58963" w14:textId="49AED798" w:rsidR="007C39BB" w:rsidRPr="007C39BB" w:rsidRDefault="007C39BB" w:rsidP="006D1EB8">
      <w:pPr>
        <w:pStyle w:val="Reference"/>
        <w:spacing w:before="0"/>
      </w:pPr>
      <w:proofErr w:type="spellStart"/>
      <w:r w:rsidRPr="007C39BB">
        <w:t>ANAO</w:t>
      </w:r>
      <w:proofErr w:type="spellEnd"/>
      <w:r w:rsidRPr="007C39BB">
        <w:t xml:space="preserve"> (Australian National Audit Office) 1999, </w:t>
      </w:r>
      <w:r w:rsidRPr="007C39BB">
        <w:rPr>
          <w:i/>
          <w:iCs/>
        </w:rPr>
        <w:t>The Commonwealth-State Housing Agreement</w:t>
      </w:r>
      <w:r w:rsidRPr="007C39BB">
        <w:t>, Audit Report, No. 17.</w:t>
      </w:r>
    </w:p>
    <w:p w14:paraId="42048CA2" w14:textId="77777777" w:rsidR="007C39BB" w:rsidRPr="007C39BB" w:rsidRDefault="007C39BB" w:rsidP="007C39BB">
      <w:pPr>
        <w:pStyle w:val="Reference"/>
      </w:pPr>
      <w:r w:rsidRPr="007C39BB">
        <w:t xml:space="preserve">Audit Office of NSW 2013, </w:t>
      </w:r>
      <w:r w:rsidRPr="007C39BB">
        <w:rPr>
          <w:i/>
          <w:iCs/>
        </w:rPr>
        <w:t>Making the Best Use of Public Housing</w:t>
      </w:r>
      <w:r w:rsidRPr="007C39BB">
        <w:t>, Performance Audit, July, Audit Office of New South Wales, Sydney.</w:t>
      </w:r>
    </w:p>
    <w:p w14:paraId="4393EB62" w14:textId="77777777" w:rsidR="007C39BB" w:rsidRPr="007C39BB" w:rsidRDefault="007C39BB" w:rsidP="007C39BB">
      <w:pPr>
        <w:pStyle w:val="Reference"/>
      </w:pPr>
      <w:r w:rsidRPr="007C39BB">
        <w:t xml:space="preserve">Bisset, H. and Milligan, V. 2004, </w:t>
      </w:r>
      <w:r w:rsidRPr="007C39BB">
        <w:rPr>
          <w:i/>
          <w:iCs/>
        </w:rPr>
        <w:t>Risk Management in Community Housing: Managing the Challenges Posed by Growth in the Provision of Affordable Housing</w:t>
      </w:r>
      <w:r w:rsidRPr="007C39BB">
        <w:t>, October, National Community Housing Forum.</w:t>
      </w:r>
    </w:p>
    <w:p w14:paraId="1CB9E1D9" w14:textId="77777777" w:rsidR="007C39BB" w:rsidRPr="007C39BB" w:rsidRDefault="007C39BB" w:rsidP="007C39BB">
      <w:pPr>
        <w:pStyle w:val="Reference"/>
      </w:pPr>
      <w:r w:rsidRPr="007C39BB">
        <w:t xml:space="preserve">COAG (Council of Australian Governments) 1996, </w:t>
      </w:r>
      <w:r w:rsidRPr="007C39BB">
        <w:rPr>
          <w:i/>
          <w:iCs/>
        </w:rPr>
        <w:t>Long-Term Housing Assistance Reform</w:t>
      </w:r>
      <w:r w:rsidRPr="007C39BB">
        <w:t>, Council of Australian Governments’ Communiqué, 14 June, http://archive.coag.gov.au/coag_meeting_outcomes/1996-06-14/docs/attachment_a.cfm (accessed 13 August 2014).</w:t>
      </w:r>
    </w:p>
    <w:p w14:paraId="221A141B" w14:textId="3098A56C" w:rsidR="007C39BB" w:rsidRPr="007C39BB" w:rsidRDefault="007C39BB" w:rsidP="007C39BB">
      <w:pPr>
        <w:pStyle w:val="Reference"/>
      </w:pPr>
      <w:r w:rsidRPr="007C39BB">
        <w:t>——</w:t>
      </w:r>
      <w:r>
        <w:t xml:space="preserve"> </w:t>
      </w:r>
      <w:r w:rsidRPr="007C39BB">
        <w:t xml:space="preserve">2009, </w:t>
      </w:r>
      <w:r w:rsidRPr="007C39BB">
        <w:rPr>
          <w:i/>
          <w:iCs/>
        </w:rPr>
        <w:t>National Affordable Housing Agreement</w:t>
      </w:r>
      <w:r w:rsidRPr="007C39BB">
        <w:t>, http://www.coag.gov.au/node/305 (accessed 24</w:t>
      </w:r>
      <w:r w:rsidR="00EA2FDD">
        <w:t> </w:t>
      </w:r>
      <w:r w:rsidRPr="007C39BB">
        <w:t>April 2013).</w:t>
      </w:r>
    </w:p>
    <w:p w14:paraId="5D821437" w14:textId="7103E58B" w:rsidR="007C39BB" w:rsidRPr="007C39BB" w:rsidRDefault="007C39BB" w:rsidP="00860DC7">
      <w:pPr>
        <w:pStyle w:val="Reference"/>
        <w:widowControl w:val="0"/>
        <w:spacing w:before="100"/>
      </w:pPr>
      <w:r w:rsidRPr="007C39BB">
        <w:t xml:space="preserve">Community Services ACT 2012, </w:t>
      </w:r>
      <w:r w:rsidRPr="007C39BB">
        <w:rPr>
          <w:i/>
          <w:iCs/>
        </w:rPr>
        <w:t>Public Housing: Asset Management Strategy, 2012-2017</w:t>
      </w:r>
      <w:r w:rsidRPr="007C39BB">
        <w:t>, http://www.communityservices.act.gov.au/__data/assets/pdf_file/0005/273551/Public_Housing_Asset_Management_Strategy.pdf (accessed 19</w:t>
      </w:r>
      <w:r w:rsidR="00EA2FDD">
        <w:t> </w:t>
      </w:r>
      <w:r w:rsidRPr="007C39BB">
        <w:t>March 2015).</w:t>
      </w:r>
    </w:p>
    <w:p w14:paraId="77F6817A" w14:textId="48EE6634" w:rsidR="007C39BB" w:rsidRPr="007C39BB" w:rsidRDefault="007C39BB" w:rsidP="007C39BB">
      <w:pPr>
        <w:pStyle w:val="Reference"/>
      </w:pPr>
      <w:r w:rsidRPr="007C39BB">
        <w:lastRenderedPageBreak/>
        <w:t xml:space="preserve">DHPW (Department of Housing and Public Works, Queensland) 2013, </w:t>
      </w:r>
      <w:r w:rsidRPr="007C39BB">
        <w:rPr>
          <w:i/>
          <w:iCs/>
        </w:rPr>
        <w:t>Housing 2020 Strategy</w:t>
      </w:r>
      <w:r w:rsidRPr="007C39BB">
        <w:t>, http://www.hpw.qld.gov.au/aboutus/BusinessAreas/HousingServices/Pages/</w:t>
      </w:r>
      <w:r w:rsidR="00A46E9C">
        <w:br/>
      </w:r>
      <w:r w:rsidRPr="007C39BB">
        <w:t>Housing2020.aspx (accessed 20</w:t>
      </w:r>
      <w:r w:rsidR="00EA2FDD">
        <w:t> </w:t>
      </w:r>
      <w:r w:rsidRPr="007C39BB">
        <w:t>June 2014).</w:t>
      </w:r>
    </w:p>
    <w:p w14:paraId="46D221DA" w14:textId="0EA3CFC4" w:rsidR="007C39BB" w:rsidRPr="007C39BB" w:rsidRDefault="007C39BB" w:rsidP="007C39BB">
      <w:pPr>
        <w:pStyle w:val="Reference"/>
      </w:pPr>
      <w:r w:rsidRPr="007C39BB">
        <w:t xml:space="preserve">DPS (Department of Parliamentary Services) 2007, </w:t>
      </w:r>
      <w:r w:rsidRPr="007C39BB">
        <w:rPr>
          <w:i/>
          <w:iCs/>
        </w:rPr>
        <w:t>Bills Digest: Social Security Legislation Amendment (2007 Budget Measures for Students) Bill 2007</w:t>
      </w:r>
      <w:r w:rsidRPr="007C39BB">
        <w:t>, http://www.aph.gov.au/binaries/library/pubs/bd/2007-08/08bd004.pdf (accessed 23</w:t>
      </w:r>
      <w:r w:rsidR="00EA2FDD">
        <w:t> </w:t>
      </w:r>
      <w:r w:rsidRPr="007C39BB">
        <w:t>June 2014).</w:t>
      </w:r>
    </w:p>
    <w:p w14:paraId="06697DB1" w14:textId="19D65B81" w:rsidR="007C39BB" w:rsidRPr="007C39BB" w:rsidRDefault="007C39BB" w:rsidP="007C39BB">
      <w:pPr>
        <w:pStyle w:val="Reference"/>
      </w:pPr>
      <w:r w:rsidRPr="007C39BB">
        <w:t xml:space="preserve">DSS (Department of Social Services) 2003, </w:t>
      </w:r>
      <w:r w:rsidRPr="007C39BB">
        <w:rPr>
          <w:i/>
          <w:iCs/>
        </w:rPr>
        <w:t>Commonwealth State Housing Agreement</w:t>
      </w:r>
      <w:r w:rsidRPr="007C39BB">
        <w:t>, http://www.dss.gov.au/our-responsibilities/housing-support/publications-articles/housing/commonwealth-state-housing-agreement (accessed 24</w:t>
      </w:r>
      <w:r w:rsidR="00EA2FDD">
        <w:t> </w:t>
      </w:r>
      <w:r w:rsidRPr="007C39BB">
        <w:t>June 2014).</w:t>
      </w:r>
    </w:p>
    <w:p w14:paraId="1807AC72" w14:textId="26D6715D" w:rsidR="007C39BB" w:rsidRPr="007C39BB" w:rsidRDefault="007C39BB" w:rsidP="007C39BB">
      <w:pPr>
        <w:pStyle w:val="Reference"/>
      </w:pPr>
      <w:r w:rsidRPr="007C39BB">
        <w:t xml:space="preserve">Ey, C. 2012, </w:t>
      </w:r>
      <w:r w:rsidRPr="007C39BB">
        <w:rPr>
          <w:i/>
          <w:iCs/>
        </w:rPr>
        <w:t>Social security payments for the unemployed, the sick and those in special circumstances, 1942 to 2012: A chronology</w:t>
      </w:r>
      <w:r w:rsidRPr="007C39BB">
        <w:t>, http://www.aph.gov.au/About_Parliament/</w:t>
      </w:r>
      <w:r>
        <w:br/>
      </w:r>
      <w:r w:rsidRPr="007C39BB">
        <w:t>Parliamentary_Departments/Parliamentary_Library/pubs/BN/2012-2013/SSPaymentsUnemployment/AppendixD/AppendixDTable1 (accessed 23</w:t>
      </w:r>
      <w:r w:rsidR="00EA2FDD">
        <w:t> </w:t>
      </w:r>
      <w:r w:rsidRPr="007C39BB">
        <w:t>June 2014).</w:t>
      </w:r>
    </w:p>
    <w:p w14:paraId="796F4D47" w14:textId="0BF79002" w:rsidR="007C39BB" w:rsidRPr="007C39BB" w:rsidRDefault="007C39BB" w:rsidP="007C39BB">
      <w:pPr>
        <w:pStyle w:val="Reference"/>
      </w:pPr>
      <w:r w:rsidRPr="007C39BB">
        <w:t xml:space="preserve">FACS (Department of Families and Community Services (C’Wlth)) 1999a, </w:t>
      </w:r>
      <w:r w:rsidRPr="007C39BB">
        <w:rPr>
          <w:i/>
          <w:iCs/>
        </w:rPr>
        <w:t>Housing Assistance Act 1996 Annual Report 1996-1997</w:t>
      </w:r>
      <w:r w:rsidRPr="007C39BB">
        <w:t>, Canberra, http://www.dss.gov.au/our-responsibilities/housing-support/publications-articles/housing/housing-assistance-act-1996-annual-reports/commonwealth-state-housing-agreement-csha-annual-report-1996-1997?HTML (accessed 13</w:t>
      </w:r>
      <w:r w:rsidR="00EA2FDD">
        <w:t> </w:t>
      </w:r>
      <w:r w:rsidRPr="007C39BB">
        <w:t>August 2014).</w:t>
      </w:r>
    </w:p>
    <w:p w14:paraId="3DF4A204" w14:textId="785262FD" w:rsidR="007C39BB" w:rsidRPr="007C39BB" w:rsidRDefault="007C39BB" w:rsidP="007C39BB">
      <w:pPr>
        <w:pStyle w:val="Reference"/>
      </w:pPr>
      <w:r w:rsidRPr="007C39BB">
        <w:t>——</w:t>
      </w:r>
      <w:r>
        <w:t xml:space="preserve"> </w:t>
      </w:r>
      <w:r w:rsidRPr="007C39BB">
        <w:t xml:space="preserve">1999b, </w:t>
      </w:r>
      <w:r w:rsidRPr="007C39BB">
        <w:rPr>
          <w:i/>
          <w:iCs/>
        </w:rPr>
        <w:t>Commonwealth-State Housing Agreement (CSHA): Annual Report 1996 -1997</w:t>
      </w:r>
      <w:r w:rsidRPr="007C39BB">
        <w:t>, Annual Report, http://www.dss.gov.au/our-responsibilities/housing-support/publications-articles/housing/housing-assistance-act-1996-annual-reports/commonwealth-state-housing-agreement-csha-annual-report-1996-1997?HTML (accessed 20</w:t>
      </w:r>
      <w:r w:rsidR="00EA2FDD">
        <w:t> </w:t>
      </w:r>
      <w:r w:rsidRPr="007C39BB">
        <w:t>June 2014).</w:t>
      </w:r>
    </w:p>
    <w:p w14:paraId="6CF84BA4" w14:textId="77777777" w:rsidR="007C39BB" w:rsidRPr="007C39BB" w:rsidRDefault="007C39BB" w:rsidP="007C39BB">
      <w:pPr>
        <w:pStyle w:val="Reference"/>
      </w:pPr>
      <w:proofErr w:type="spellStart"/>
      <w:r w:rsidRPr="007C39BB">
        <w:t>FaCSIA</w:t>
      </w:r>
      <w:proofErr w:type="spellEnd"/>
      <w:r w:rsidRPr="007C39BB">
        <w:t xml:space="preserve"> (Department of Families, Community Services and Indigenous Affairs) 2006a, </w:t>
      </w:r>
      <w:r w:rsidRPr="007C39BB">
        <w:rPr>
          <w:i/>
          <w:iCs/>
        </w:rPr>
        <w:t>A Compendium of Legislative Changes in Social Security 1908-1982</w:t>
      </w:r>
      <w:r w:rsidRPr="007C39BB">
        <w:t>, Occasional Paper, No. 12.</w:t>
      </w:r>
    </w:p>
    <w:p w14:paraId="0C7ACAC4" w14:textId="488ACB82" w:rsidR="007C39BB" w:rsidRPr="007C39BB" w:rsidRDefault="007C39BB" w:rsidP="007C39BB">
      <w:pPr>
        <w:pStyle w:val="Reference"/>
      </w:pPr>
      <w:r w:rsidRPr="007C39BB">
        <w:t>——</w:t>
      </w:r>
      <w:r>
        <w:t xml:space="preserve"> </w:t>
      </w:r>
      <w:proofErr w:type="spellStart"/>
      <w:r w:rsidRPr="007C39BB">
        <w:t>2006b</w:t>
      </w:r>
      <w:proofErr w:type="spellEnd"/>
      <w:r w:rsidRPr="007C39BB">
        <w:t xml:space="preserve">, </w:t>
      </w:r>
      <w:r w:rsidRPr="007C39BB">
        <w:rPr>
          <w:i/>
          <w:iCs/>
        </w:rPr>
        <w:t>A Compendium of Legislative Changes in Social Security 1983-2000</w:t>
      </w:r>
      <w:r w:rsidRPr="007C39BB">
        <w:t>, Occasional Paper, No. 13.</w:t>
      </w:r>
    </w:p>
    <w:p w14:paraId="5DC1822A" w14:textId="748E9BB1" w:rsidR="007C39BB" w:rsidRPr="007C39BB" w:rsidRDefault="007C39BB" w:rsidP="007C39BB">
      <w:pPr>
        <w:pStyle w:val="Reference"/>
      </w:pPr>
      <w:r w:rsidRPr="007C39BB">
        <w:t xml:space="preserve">FaHCSIA (Department of Families, Housing, Community Services and Indigenous Affairs) 2010, </w:t>
      </w:r>
      <w:r w:rsidRPr="007C39BB">
        <w:rPr>
          <w:i/>
          <w:iCs/>
        </w:rPr>
        <w:t>Regulation and Growth of the Not-For-Profit Housing Sector: Discussion Paper</w:t>
      </w:r>
      <w:r w:rsidRPr="007C39BB">
        <w:t>, Discussion Paper, April, http://www.fahcsia.gov.au/our-responsibilities/housing-support/programs-services/housing-affordability/regulation-and-growth-of-the-not-for-profit-housing-sector-discussion-paper (accessed 13</w:t>
      </w:r>
      <w:r w:rsidR="00EA2FDD">
        <w:t> </w:t>
      </w:r>
      <w:r w:rsidRPr="007C39BB">
        <w:t>May 2013).</w:t>
      </w:r>
    </w:p>
    <w:p w14:paraId="63AB719A" w14:textId="77777777" w:rsidR="007C39BB" w:rsidRPr="007C39BB" w:rsidRDefault="007C39BB" w:rsidP="007C39BB">
      <w:pPr>
        <w:pStyle w:val="Reference"/>
      </w:pPr>
      <w:r w:rsidRPr="007C39BB">
        <w:t>Gilmour, T. and Bourke, E. 2008, ‘The role of organisation structure, relationships and networks in building Australia’s community housing sector’, presented at Paper presented to the 3rd Australasian Housing Researchers’ Conference, Melbourne, 18 June.</w:t>
      </w:r>
    </w:p>
    <w:p w14:paraId="433213CF" w14:textId="77777777" w:rsidR="007C39BB" w:rsidRPr="007C39BB" w:rsidRDefault="007C39BB" w:rsidP="007C39BB">
      <w:pPr>
        <w:pStyle w:val="Reference"/>
      </w:pPr>
      <w:r w:rsidRPr="007C39BB">
        <w:lastRenderedPageBreak/>
        <w:t xml:space="preserve">Groenhart, L. 2013, ‘Reflecting on a decade of Australian social housing policy: Changes in supply and geography, 2001-2011’, </w:t>
      </w:r>
      <w:r w:rsidRPr="007C39BB">
        <w:rPr>
          <w:i/>
          <w:iCs/>
        </w:rPr>
        <w:t>Geographical Research</w:t>
      </w:r>
      <w:r w:rsidRPr="007C39BB">
        <w:t>, vol. 51, no. 4, pp. 387–397.</w:t>
      </w:r>
    </w:p>
    <w:p w14:paraId="732ED77E" w14:textId="77777777" w:rsidR="007C39BB" w:rsidRPr="007C39BB" w:rsidRDefault="007C39BB" w:rsidP="007C39BB">
      <w:pPr>
        <w:pStyle w:val="Reference"/>
      </w:pPr>
      <w:r w:rsidRPr="007C39BB">
        <w:t xml:space="preserve">Hayward, D. 1996, ‘The reluctant landlords? A history of public housing in Australia’, </w:t>
      </w:r>
      <w:r w:rsidRPr="007C39BB">
        <w:rPr>
          <w:i/>
          <w:iCs/>
        </w:rPr>
        <w:t>Urban Policy and Research</w:t>
      </w:r>
      <w:r w:rsidRPr="007C39BB">
        <w:t>, vol. 14, no. 1, pp. 5–35.</w:t>
      </w:r>
    </w:p>
    <w:p w14:paraId="670E012B" w14:textId="77777777" w:rsidR="007C39BB" w:rsidRPr="007C39BB" w:rsidRDefault="007C39BB" w:rsidP="007C39BB">
      <w:pPr>
        <w:pStyle w:val="Reference"/>
      </w:pPr>
      <w:r w:rsidRPr="007C39BB">
        <w:t xml:space="preserve">Hulse, K. 2002, ‘Rent Assistance: Time for a Policy Review?’, </w:t>
      </w:r>
      <w:r w:rsidRPr="007C39BB">
        <w:rPr>
          <w:i/>
          <w:iCs/>
        </w:rPr>
        <w:t>Just Policy: A Journal of Australian Social Policy</w:t>
      </w:r>
      <w:r w:rsidRPr="007C39BB">
        <w:t>, no. 25, pp. 13–25.</w:t>
      </w:r>
    </w:p>
    <w:p w14:paraId="1F4FCD54" w14:textId="77777777" w:rsidR="007C39BB" w:rsidRPr="007C39BB" w:rsidRDefault="007C39BB" w:rsidP="007C39BB">
      <w:pPr>
        <w:pStyle w:val="Reference"/>
      </w:pPr>
      <w:r w:rsidRPr="007C39BB">
        <w:t xml:space="preserve">Hulse, K., Burke, T., Ralston, L. and Stone, W. 2012, </w:t>
      </w:r>
      <w:r w:rsidRPr="007C39BB">
        <w:rPr>
          <w:i/>
          <w:iCs/>
        </w:rPr>
        <w:t>The Australian Private Rental Sector: Changes and Challenges</w:t>
      </w:r>
      <w:r w:rsidRPr="007C39BB">
        <w:t>, Positioning Paper, July, 149, Australian Housing and Urban Research Institute.</w:t>
      </w:r>
    </w:p>
    <w:p w14:paraId="5384C8E9" w14:textId="3C3712EC" w:rsidR="007C39BB" w:rsidRPr="007C39BB" w:rsidRDefault="007C39BB" w:rsidP="007C39BB">
      <w:pPr>
        <w:pStyle w:val="Reference"/>
      </w:pPr>
      <w:r w:rsidRPr="007C39BB">
        <w:t xml:space="preserve">IC (Industry Commission) 1993, </w:t>
      </w:r>
      <w:r w:rsidRPr="007C39BB">
        <w:rPr>
          <w:i/>
          <w:iCs/>
        </w:rPr>
        <w:t>Public Housing</w:t>
      </w:r>
      <w:r w:rsidRPr="007C39BB">
        <w:t xml:space="preserve">, Inquiry Report, 34, </w:t>
      </w:r>
      <w:r w:rsidR="00313E16">
        <w:t>Canberra</w:t>
      </w:r>
      <w:r w:rsidRPr="007C39BB">
        <w:t>.</w:t>
      </w:r>
    </w:p>
    <w:p w14:paraId="281C71BB" w14:textId="77777777" w:rsidR="007C39BB" w:rsidRPr="007C39BB" w:rsidRDefault="007C39BB" w:rsidP="007C39BB">
      <w:pPr>
        <w:pStyle w:val="Reference"/>
      </w:pPr>
      <w:r w:rsidRPr="007C39BB">
        <w:t xml:space="preserve">Jones, A., Phillips, R. and Milligan, V. 2007, </w:t>
      </w:r>
      <w:r w:rsidRPr="007C39BB">
        <w:rPr>
          <w:i/>
          <w:iCs/>
        </w:rPr>
        <w:t>Integration and social housing in Australia: Challenges and options</w:t>
      </w:r>
      <w:r w:rsidRPr="007C39BB">
        <w:t>, Positioning Paper, 102, Australian Housing and Urban Research Institute.</w:t>
      </w:r>
    </w:p>
    <w:p w14:paraId="6643D9AA" w14:textId="47E6261D" w:rsidR="007C39BB" w:rsidRPr="007C39BB" w:rsidRDefault="007C39BB" w:rsidP="007C39BB">
      <w:pPr>
        <w:pStyle w:val="Reference"/>
      </w:pPr>
      <w:r w:rsidRPr="007C39BB">
        <w:t xml:space="preserve">McIntosh, G. and Phillips, J. 2001, </w:t>
      </w:r>
      <w:r w:rsidRPr="007C39BB">
        <w:rPr>
          <w:i/>
          <w:iCs/>
        </w:rPr>
        <w:t>The Commonwealth-State Housing Agreement</w:t>
      </w:r>
      <w:r w:rsidRPr="007C39BB">
        <w:t>, http://www.aph.gov.au/About_Parliament/Parliamentary_Departments/Parliamentary_Library/Publications_Archive/archive/StateHouseAgree (accessed 23</w:t>
      </w:r>
      <w:r w:rsidR="00EA2FDD">
        <w:t> </w:t>
      </w:r>
      <w:r w:rsidRPr="007C39BB">
        <w:t>June 2014).</w:t>
      </w:r>
    </w:p>
    <w:p w14:paraId="54023A94" w14:textId="77777777" w:rsidR="007C39BB" w:rsidRPr="007C39BB" w:rsidRDefault="007C39BB" w:rsidP="007C39BB">
      <w:pPr>
        <w:pStyle w:val="Reference"/>
      </w:pPr>
      <w:r w:rsidRPr="007C39BB">
        <w:t xml:space="preserve">NHS (National Housing Strategy) 1992a, </w:t>
      </w:r>
      <w:r w:rsidRPr="007C39BB">
        <w:rPr>
          <w:i/>
          <w:iCs/>
        </w:rPr>
        <w:t>Housing Choice: Reducing the Barriers</w:t>
      </w:r>
      <w:r w:rsidRPr="007C39BB">
        <w:t>, Issues paper, Australian Government Publishing Service, Canberra.</w:t>
      </w:r>
    </w:p>
    <w:p w14:paraId="748E2836" w14:textId="25A07233" w:rsidR="007C39BB" w:rsidRPr="007C39BB" w:rsidRDefault="007C39BB" w:rsidP="007C39BB">
      <w:pPr>
        <w:pStyle w:val="Reference"/>
      </w:pPr>
      <w:r w:rsidRPr="007C39BB">
        <w:t>——</w:t>
      </w:r>
      <w:r>
        <w:t xml:space="preserve"> </w:t>
      </w:r>
      <w:r w:rsidRPr="007C39BB">
        <w:t xml:space="preserve">1992b, </w:t>
      </w:r>
      <w:r w:rsidRPr="007C39BB">
        <w:rPr>
          <w:i/>
          <w:iCs/>
        </w:rPr>
        <w:t>National Housing Strategy: Agenda for Action</w:t>
      </w:r>
      <w:r w:rsidRPr="007C39BB">
        <w:t>, Issues paper, Australian Government Publishing Service, Canberra.</w:t>
      </w:r>
    </w:p>
    <w:p w14:paraId="0CA9A7C4" w14:textId="346BA15A" w:rsidR="007C39BB" w:rsidRPr="007C39BB" w:rsidRDefault="007C39BB" w:rsidP="007C39BB">
      <w:pPr>
        <w:pStyle w:val="Reference"/>
      </w:pPr>
      <w:r w:rsidRPr="007C39BB">
        <w:t xml:space="preserve">Pawson, H., Davison, G. and Wiesel, I. 2012, </w:t>
      </w:r>
      <w:r w:rsidRPr="007C39BB">
        <w:rPr>
          <w:i/>
          <w:iCs/>
        </w:rPr>
        <w:t>Addressing Concentrations of Disadvantage: Policy, Practice and Literature Review</w:t>
      </w:r>
      <w:r w:rsidRPr="007C39BB">
        <w:t>, Final Report, 190, Australian Housing and Urban Research Institute, http://www.ahuri.edu.au/publications/projects/myrp704/ (accessed 22</w:t>
      </w:r>
      <w:r w:rsidR="00EA2FDD">
        <w:t> </w:t>
      </w:r>
      <w:r w:rsidRPr="007C39BB">
        <w:t>April 2013).</w:t>
      </w:r>
    </w:p>
    <w:p w14:paraId="6395BF53" w14:textId="77777777" w:rsidR="007C39BB" w:rsidRPr="007C39BB" w:rsidRDefault="007C39BB" w:rsidP="007C39BB">
      <w:pPr>
        <w:pStyle w:val="Reference"/>
      </w:pPr>
      <w:r w:rsidRPr="007C39BB">
        <w:t xml:space="preserve">PC (Productivity Commission) 2010, </w:t>
      </w:r>
      <w:r w:rsidRPr="007C39BB">
        <w:rPr>
          <w:i/>
          <w:iCs/>
        </w:rPr>
        <w:t>Contribution of the Not-for-Profit Sector</w:t>
      </w:r>
      <w:r w:rsidRPr="007C39BB">
        <w:t>, Appendix I, Research Report, Canberra.</w:t>
      </w:r>
    </w:p>
    <w:p w14:paraId="02D9CB0B" w14:textId="77777777" w:rsidR="007C39BB" w:rsidRPr="007C39BB" w:rsidRDefault="007C39BB" w:rsidP="007C39BB">
      <w:pPr>
        <w:pStyle w:val="Reference"/>
      </w:pPr>
      <w:r w:rsidRPr="007C39BB">
        <w:t xml:space="preserve">Prosser, B. and Leeper, G. 1994, ‘Housing affordability and changes to Rent Assistance’, </w:t>
      </w:r>
      <w:r w:rsidRPr="007C39BB">
        <w:rPr>
          <w:i/>
          <w:iCs/>
        </w:rPr>
        <w:t>Social Security Journal</w:t>
      </w:r>
      <w:r w:rsidRPr="007C39BB">
        <w:t>, pp. 40–62.</w:t>
      </w:r>
    </w:p>
    <w:p w14:paraId="784F0A15" w14:textId="77777777" w:rsidR="007C39BB" w:rsidRPr="007C39BB" w:rsidRDefault="007C39BB" w:rsidP="007C39BB">
      <w:pPr>
        <w:pStyle w:val="Reference"/>
      </w:pPr>
      <w:r w:rsidRPr="007C39BB">
        <w:t xml:space="preserve">Randolph, B. and Holloway, D. 2007, </w:t>
      </w:r>
      <w:r w:rsidRPr="007C39BB">
        <w:rPr>
          <w:i/>
          <w:iCs/>
        </w:rPr>
        <w:t>Commonwealth Rent Assistance and the spatial concentration of low income households in metropolitan Australia</w:t>
      </w:r>
      <w:r w:rsidRPr="007C39BB">
        <w:t>, Final Report, June, 101, Australian Housing and Urban Research Institute.</w:t>
      </w:r>
    </w:p>
    <w:p w14:paraId="0B42C477" w14:textId="77777777" w:rsidR="007C39BB" w:rsidRPr="007C39BB" w:rsidRDefault="007C39BB" w:rsidP="007C39BB">
      <w:pPr>
        <w:pStyle w:val="Reference"/>
      </w:pPr>
      <w:r w:rsidRPr="007C39BB">
        <w:t xml:space="preserve">SCRCSSP (Steering Committee for the Review of Commonwealth/State Service Provision) 2000, </w:t>
      </w:r>
      <w:r w:rsidRPr="007C39BB">
        <w:rPr>
          <w:i/>
          <w:iCs/>
        </w:rPr>
        <w:t>Report on Government Services 2000</w:t>
      </w:r>
      <w:r w:rsidRPr="007C39BB">
        <w:t>, Productivity Commission.</w:t>
      </w:r>
    </w:p>
    <w:p w14:paraId="1B77C4CD" w14:textId="77777777" w:rsidR="007C39BB" w:rsidRPr="007C39BB" w:rsidRDefault="007C39BB" w:rsidP="007C39BB">
      <w:pPr>
        <w:pStyle w:val="Reference"/>
      </w:pPr>
      <w:r w:rsidRPr="007C39BB">
        <w:t xml:space="preserve">Troy, P. 2012, </w:t>
      </w:r>
      <w:r w:rsidRPr="007C39BB">
        <w:rPr>
          <w:i/>
          <w:iCs/>
        </w:rPr>
        <w:t>Accommodating Australians: Commonwealth Government Involvement in Housing</w:t>
      </w:r>
      <w:r w:rsidRPr="007C39BB">
        <w:t>, The Federation Press, Sydney.</w:t>
      </w:r>
    </w:p>
    <w:p w14:paraId="70761B53" w14:textId="2EE1D70B" w:rsidR="007C39BB" w:rsidRPr="007C39BB" w:rsidRDefault="007C39BB" w:rsidP="007C39BB">
      <w:pPr>
        <w:pStyle w:val="Reference"/>
      </w:pPr>
      <w:r w:rsidRPr="007C39BB">
        <w:t xml:space="preserve">VAGO (Victorian Auditor-General’s Office) 2012, </w:t>
      </w:r>
      <w:r w:rsidRPr="007C39BB">
        <w:rPr>
          <w:i/>
          <w:iCs/>
        </w:rPr>
        <w:t>Access to Public Housing</w:t>
      </w:r>
      <w:r w:rsidRPr="007C39BB">
        <w:t>, Victorian Auditor General’s Report, March, http://www.audit.vic.gov.au/publications/20120328-Public-Housing/20120328-Public-Housing.html (accessed 24</w:t>
      </w:r>
      <w:r w:rsidR="00EA2FDD">
        <w:t> </w:t>
      </w:r>
      <w:r w:rsidRPr="007C39BB">
        <w:t>April 2013).</w:t>
      </w:r>
    </w:p>
    <w:sectPr w:rsidR="007C39BB" w:rsidRPr="007C39BB" w:rsidSect="000873DB">
      <w:headerReference w:type="even" r:id="rId11"/>
      <w:headerReference w:type="default" r:id="rId12"/>
      <w:footerReference w:type="even" r:id="rId13"/>
      <w:footerReference w:type="default" r:id="rId14"/>
      <w:pgSz w:w="11907" w:h="16840" w:code="9"/>
      <w:pgMar w:top="1985" w:right="1304" w:bottom="1247" w:left="1814" w:header="1701" w:footer="397" w:gutter="0"/>
      <w:pgNumType w:start="35"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825AE5" w14:textId="77777777" w:rsidR="00676D36" w:rsidRDefault="00676D36">
      <w:r>
        <w:separator/>
      </w:r>
    </w:p>
  </w:endnote>
  <w:endnote w:type="continuationSeparator" w:id="0">
    <w:p w14:paraId="6235BD6D" w14:textId="77777777" w:rsidR="00676D36" w:rsidRDefault="00676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14:paraId="0443059B" w14:textId="77777777" w:rsidTr="005F48ED">
      <w:trPr>
        <w:trHeight w:hRule="exact" w:val="567"/>
      </w:trPr>
      <w:tc>
        <w:tcPr>
          <w:tcW w:w="510" w:type="dxa"/>
        </w:tcPr>
        <w:p w14:paraId="38E0DAE8" w14:textId="77777777" w:rsidR="00772909" w:rsidRPr="00A24443" w:rsidRDefault="00772909"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07826">
            <w:rPr>
              <w:rStyle w:val="PageNumber"/>
              <w:caps w:val="0"/>
              <w:noProof/>
            </w:rPr>
            <w:t>42</w:t>
          </w:r>
          <w:r w:rsidRPr="00A24443">
            <w:rPr>
              <w:rStyle w:val="PageNumber"/>
              <w:caps w:val="0"/>
            </w:rPr>
            <w:fldChar w:fldCharType="end"/>
          </w:r>
        </w:p>
      </w:tc>
      <w:tc>
        <w:tcPr>
          <w:tcW w:w="7767" w:type="dxa"/>
        </w:tcPr>
        <w:p w14:paraId="253ACDCD" w14:textId="42A03945" w:rsidR="00772909" w:rsidRPr="0013739A" w:rsidRDefault="003A512C" w:rsidP="00996A8D">
          <w:pPr>
            <w:pStyle w:val="Footer"/>
            <w:rPr>
              <w:rFonts w:cs="Arial"/>
            </w:rPr>
          </w:pPr>
          <w:bookmarkStart w:id="9" w:name="DraftReportEven"/>
          <w:bookmarkEnd w:id="9"/>
          <w:r>
            <w:rPr>
              <w:rFonts w:cs="Arial"/>
            </w:rPr>
            <w:t>Housing assistance and employment</w:t>
          </w:r>
          <w:r w:rsidR="00596590">
            <w:rPr>
              <w:rFonts w:cs="Arial"/>
            </w:rPr>
            <w:t xml:space="preserve"> in australia</w:t>
          </w:r>
        </w:p>
      </w:tc>
      <w:tc>
        <w:tcPr>
          <w:tcW w:w="510" w:type="dxa"/>
        </w:tcPr>
        <w:p w14:paraId="5BF5EAF1" w14:textId="77777777" w:rsidR="00772909" w:rsidRDefault="00772909" w:rsidP="0019293B">
          <w:pPr>
            <w:pStyle w:val="Footer"/>
          </w:pPr>
        </w:p>
      </w:tc>
    </w:tr>
  </w:tbl>
  <w:p w14:paraId="1A3ACDEC" w14:textId="77777777" w:rsidR="00772909" w:rsidRDefault="0077290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72909" w14:paraId="2028FC31" w14:textId="77777777" w:rsidTr="005F48ED">
      <w:trPr>
        <w:trHeight w:hRule="exact" w:val="567"/>
      </w:trPr>
      <w:tc>
        <w:tcPr>
          <w:tcW w:w="510" w:type="dxa"/>
        </w:tcPr>
        <w:p w14:paraId="15554B9B" w14:textId="77777777" w:rsidR="00772909" w:rsidRDefault="00772909">
          <w:pPr>
            <w:pStyle w:val="Footer"/>
            <w:ind w:right="360" w:firstLine="360"/>
          </w:pPr>
        </w:p>
      </w:tc>
      <w:tc>
        <w:tcPr>
          <w:tcW w:w="7767" w:type="dxa"/>
        </w:tcPr>
        <w:p w14:paraId="0442467D" w14:textId="77777777" w:rsidR="00772909" w:rsidRPr="00BA5B14" w:rsidRDefault="00772909"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6D1EB8">
            <w:rPr>
              <w:rFonts w:cs="Arial"/>
            </w:rPr>
            <w:t>History of housing assistance</w:t>
          </w:r>
          <w:r w:rsidRPr="00BA5B14">
            <w:rPr>
              <w:rFonts w:cs="Arial"/>
            </w:rPr>
            <w:fldChar w:fldCharType="end"/>
          </w:r>
          <w:bookmarkStart w:id="10" w:name="DraftReportOdd"/>
          <w:bookmarkEnd w:id="10"/>
        </w:p>
      </w:tc>
      <w:tc>
        <w:tcPr>
          <w:tcW w:w="510" w:type="dxa"/>
        </w:tcPr>
        <w:p w14:paraId="7D96E054" w14:textId="77777777" w:rsidR="00772909" w:rsidRPr="00A24443" w:rsidRDefault="0077290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07826">
            <w:rPr>
              <w:rStyle w:val="PageNumber"/>
              <w:caps w:val="0"/>
              <w:noProof/>
            </w:rPr>
            <w:t>43</w:t>
          </w:r>
          <w:r w:rsidRPr="00A24443">
            <w:rPr>
              <w:rStyle w:val="PageNumber"/>
              <w:caps w:val="0"/>
            </w:rPr>
            <w:fldChar w:fldCharType="end"/>
          </w:r>
        </w:p>
      </w:tc>
    </w:tr>
  </w:tbl>
  <w:p w14:paraId="5F5F9913" w14:textId="77777777" w:rsidR="00772909" w:rsidRDefault="0077290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6474BB" w14:textId="77777777" w:rsidR="00676D36" w:rsidRDefault="00676D36">
      <w:r>
        <w:separator/>
      </w:r>
    </w:p>
  </w:footnote>
  <w:footnote w:type="continuationSeparator" w:id="0">
    <w:p w14:paraId="3BF92E10" w14:textId="77777777" w:rsidR="00676D36" w:rsidRDefault="00676D36">
      <w:r>
        <w:continuationSeparator/>
      </w:r>
    </w:p>
  </w:footnote>
  <w:footnote w:id="1">
    <w:p w14:paraId="33E72CEE" w14:textId="20486942" w:rsidR="00676D36" w:rsidRDefault="00676D36" w:rsidP="00676D36">
      <w:pPr>
        <w:pStyle w:val="FootnoteText"/>
      </w:pPr>
      <w:r w:rsidRPr="0099680C">
        <w:rPr>
          <w:rStyle w:val="FootnoteReference"/>
        </w:rPr>
        <w:footnoteRef/>
      </w:r>
      <w:r>
        <w:tab/>
        <w:t>In 1912, the New South Wales Housing Board established the Daceyville Housing Estate to provide low</w:t>
      </w:r>
      <w:r>
        <w:noBreakHyphen/>
        <w:t xml:space="preserve">cost rental housing for workers. This scheme produced only 309 dwellings before the Board was abolished in 1924 </w:t>
      </w:r>
      <w:r w:rsidRPr="005B1583">
        <w:rPr>
          <w:szCs w:val="24"/>
        </w:rPr>
        <w:t>(Hayward 1996)</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772909" w14:paraId="491EC207" w14:textId="77777777">
      <w:tc>
        <w:tcPr>
          <w:tcW w:w="2155" w:type="dxa"/>
          <w:tcBorders>
            <w:top w:val="single" w:sz="24" w:space="0" w:color="auto"/>
          </w:tcBorders>
        </w:tcPr>
        <w:p w14:paraId="19A4E1BC" w14:textId="77777777" w:rsidR="00772909" w:rsidRDefault="00772909" w:rsidP="0019293B">
          <w:pPr>
            <w:pStyle w:val="HeaderEven"/>
          </w:pPr>
        </w:p>
      </w:tc>
      <w:tc>
        <w:tcPr>
          <w:tcW w:w="6634" w:type="dxa"/>
          <w:tcBorders>
            <w:top w:val="single" w:sz="6" w:space="0" w:color="auto"/>
          </w:tcBorders>
        </w:tcPr>
        <w:p w14:paraId="6574B3B3" w14:textId="77777777" w:rsidR="00772909" w:rsidRDefault="00772909" w:rsidP="0019293B">
          <w:pPr>
            <w:pStyle w:val="HeaderEven"/>
          </w:pPr>
        </w:p>
      </w:tc>
    </w:tr>
  </w:tbl>
  <w:p w14:paraId="3C0664E1" w14:textId="77777777" w:rsidR="00772909" w:rsidRDefault="0077290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772909" w14:paraId="2D42E6D9" w14:textId="77777777">
      <w:tc>
        <w:tcPr>
          <w:tcW w:w="6634" w:type="dxa"/>
          <w:tcBorders>
            <w:top w:val="single" w:sz="6" w:space="0" w:color="auto"/>
          </w:tcBorders>
        </w:tcPr>
        <w:p w14:paraId="579D6542" w14:textId="77777777" w:rsidR="00772909" w:rsidRDefault="00772909" w:rsidP="00E669E2">
          <w:pPr>
            <w:pStyle w:val="HeaderOdd"/>
          </w:pPr>
        </w:p>
      </w:tc>
      <w:tc>
        <w:tcPr>
          <w:tcW w:w="2155" w:type="dxa"/>
          <w:tcBorders>
            <w:top w:val="single" w:sz="24" w:space="0" w:color="auto"/>
          </w:tcBorders>
        </w:tcPr>
        <w:p w14:paraId="4C4279AE" w14:textId="77777777" w:rsidR="00772909" w:rsidRDefault="00772909" w:rsidP="00E669E2">
          <w:pPr>
            <w:pStyle w:val="HeaderOdd"/>
          </w:pPr>
        </w:p>
      </w:tc>
    </w:tr>
  </w:tbl>
  <w:p w14:paraId="7A9ED61D" w14:textId="77777777" w:rsidR="00772909" w:rsidRDefault="00772909"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History of housing assistance"/>
    <w:docVar w:name="ShortReportTitle" w:val="Housing Assistance in Australia"/>
  </w:docVars>
  <w:rsids>
    <w:rsidRoot w:val="00676D36"/>
    <w:rsid w:val="000227D5"/>
    <w:rsid w:val="000245AA"/>
    <w:rsid w:val="0003664B"/>
    <w:rsid w:val="0004111F"/>
    <w:rsid w:val="00055077"/>
    <w:rsid w:val="000565B3"/>
    <w:rsid w:val="0007150B"/>
    <w:rsid w:val="000873DB"/>
    <w:rsid w:val="000938F5"/>
    <w:rsid w:val="00095663"/>
    <w:rsid w:val="00096E55"/>
    <w:rsid w:val="0009783E"/>
    <w:rsid w:val="000B1022"/>
    <w:rsid w:val="000B601B"/>
    <w:rsid w:val="000C207E"/>
    <w:rsid w:val="000D41E9"/>
    <w:rsid w:val="000F0035"/>
    <w:rsid w:val="000F04E7"/>
    <w:rsid w:val="000F060A"/>
    <w:rsid w:val="000F420B"/>
    <w:rsid w:val="00110116"/>
    <w:rsid w:val="0011631D"/>
    <w:rsid w:val="00120072"/>
    <w:rsid w:val="00123C55"/>
    <w:rsid w:val="00126EB8"/>
    <w:rsid w:val="001274D4"/>
    <w:rsid w:val="001363AA"/>
    <w:rsid w:val="0013739A"/>
    <w:rsid w:val="00142165"/>
    <w:rsid w:val="00162434"/>
    <w:rsid w:val="00163059"/>
    <w:rsid w:val="00183E82"/>
    <w:rsid w:val="00184347"/>
    <w:rsid w:val="001878BB"/>
    <w:rsid w:val="00191AE0"/>
    <w:rsid w:val="0019293B"/>
    <w:rsid w:val="0019426B"/>
    <w:rsid w:val="001A6A4B"/>
    <w:rsid w:val="001C0865"/>
    <w:rsid w:val="001C0AED"/>
    <w:rsid w:val="001C13E4"/>
    <w:rsid w:val="001C3ABA"/>
    <w:rsid w:val="001C5111"/>
    <w:rsid w:val="001E7BE8"/>
    <w:rsid w:val="001F0248"/>
    <w:rsid w:val="001F3EB3"/>
    <w:rsid w:val="001F4F86"/>
    <w:rsid w:val="00202C2C"/>
    <w:rsid w:val="00203050"/>
    <w:rsid w:val="002135AB"/>
    <w:rsid w:val="002144BE"/>
    <w:rsid w:val="00241005"/>
    <w:rsid w:val="00242279"/>
    <w:rsid w:val="00243997"/>
    <w:rsid w:val="0024516C"/>
    <w:rsid w:val="00245A84"/>
    <w:rsid w:val="00245C82"/>
    <w:rsid w:val="002724BA"/>
    <w:rsid w:val="00281098"/>
    <w:rsid w:val="00291B40"/>
    <w:rsid w:val="002A0BB4"/>
    <w:rsid w:val="002B4008"/>
    <w:rsid w:val="002C439F"/>
    <w:rsid w:val="002D0C42"/>
    <w:rsid w:val="002D0E8E"/>
    <w:rsid w:val="00301189"/>
    <w:rsid w:val="00301E4A"/>
    <w:rsid w:val="00313E16"/>
    <w:rsid w:val="003168B8"/>
    <w:rsid w:val="00322D64"/>
    <w:rsid w:val="00323E09"/>
    <w:rsid w:val="00333932"/>
    <w:rsid w:val="00333DDA"/>
    <w:rsid w:val="00343285"/>
    <w:rsid w:val="003518AA"/>
    <w:rsid w:val="00352165"/>
    <w:rsid w:val="003521AD"/>
    <w:rsid w:val="00353182"/>
    <w:rsid w:val="003565D9"/>
    <w:rsid w:val="003602E1"/>
    <w:rsid w:val="0037026F"/>
    <w:rsid w:val="00371240"/>
    <w:rsid w:val="00374731"/>
    <w:rsid w:val="00376E59"/>
    <w:rsid w:val="00377EC1"/>
    <w:rsid w:val="00380340"/>
    <w:rsid w:val="003919F9"/>
    <w:rsid w:val="003920CF"/>
    <w:rsid w:val="003A512C"/>
    <w:rsid w:val="003B23C2"/>
    <w:rsid w:val="003C38B5"/>
    <w:rsid w:val="003C5D99"/>
    <w:rsid w:val="003D1087"/>
    <w:rsid w:val="003D56F5"/>
    <w:rsid w:val="003E2F59"/>
    <w:rsid w:val="003E746B"/>
    <w:rsid w:val="003F0789"/>
    <w:rsid w:val="00401882"/>
    <w:rsid w:val="004100C8"/>
    <w:rsid w:val="00411DBD"/>
    <w:rsid w:val="00412ACE"/>
    <w:rsid w:val="004145D2"/>
    <w:rsid w:val="00414827"/>
    <w:rsid w:val="00415E80"/>
    <w:rsid w:val="00426CB4"/>
    <w:rsid w:val="004304FE"/>
    <w:rsid w:val="00431249"/>
    <w:rsid w:val="00434C19"/>
    <w:rsid w:val="00450810"/>
    <w:rsid w:val="00462C59"/>
    <w:rsid w:val="00470737"/>
    <w:rsid w:val="00477144"/>
    <w:rsid w:val="00491380"/>
    <w:rsid w:val="0049459F"/>
    <w:rsid w:val="004A38DD"/>
    <w:rsid w:val="004B43AE"/>
    <w:rsid w:val="004C06FF"/>
    <w:rsid w:val="004C30ED"/>
    <w:rsid w:val="004D5675"/>
    <w:rsid w:val="00504E04"/>
    <w:rsid w:val="00517795"/>
    <w:rsid w:val="00523639"/>
    <w:rsid w:val="00531FE5"/>
    <w:rsid w:val="005402FA"/>
    <w:rsid w:val="00547CFC"/>
    <w:rsid w:val="005729BD"/>
    <w:rsid w:val="00580154"/>
    <w:rsid w:val="00583C39"/>
    <w:rsid w:val="00586A90"/>
    <w:rsid w:val="00587F28"/>
    <w:rsid w:val="005909CF"/>
    <w:rsid w:val="00591E71"/>
    <w:rsid w:val="00596590"/>
    <w:rsid w:val="005A0D41"/>
    <w:rsid w:val="005D329F"/>
    <w:rsid w:val="005F48ED"/>
    <w:rsid w:val="00606E78"/>
    <w:rsid w:val="00607BF1"/>
    <w:rsid w:val="00630D4D"/>
    <w:rsid w:val="00632A74"/>
    <w:rsid w:val="00654D42"/>
    <w:rsid w:val="00655CF8"/>
    <w:rsid w:val="00666E02"/>
    <w:rsid w:val="00676D36"/>
    <w:rsid w:val="006A4655"/>
    <w:rsid w:val="006A4B2D"/>
    <w:rsid w:val="006B2B3C"/>
    <w:rsid w:val="006C1D81"/>
    <w:rsid w:val="006C7038"/>
    <w:rsid w:val="006D1EB8"/>
    <w:rsid w:val="006E73EF"/>
    <w:rsid w:val="00707826"/>
    <w:rsid w:val="007079C9"/>
    <w:rsid w:val="00714D4D"/>
    <w:rsid w:val="007266D3"/>
    <w:rsid w:val="00732029"/>
    <w:rsid w:val="007604BB"/>
    <w:rsid w:val="00772909"/>
    <w:rsid w:val="00785232"/>
    <w:rsid w:val="0079701E"/>
    <w:rsid w:val="007A21EB"/>
    <w:rsid w:val="007B1A93"/>
    <w:rsid w:val="007C36C9"/>
    <w:rsid w:val="007C39BB"/>
    <w:rsid w:val="007D6401"/>
    <w:rsid w:val="007E01E4"/>
    <w:rsid w:val="007E7A12"/>
    <w:rsid w:val="007F7107"/>
    <w:rsid w:val="00800D4C"/>
    <w:rsid w:val="0081030F"/>
    <w:rsid w:val="00812F4A"/>
    <w:rsid w:val="0082087D"/>
    <w:rsid w:val="00835771"/>
    <w:rsid w:val="00842933"/>
    <w:rsid w:val="0085355F"/>
    <w:rsid w:val="0086082C"/>
    <w:rsid w:val="00860DC7"/>
    <w:rsid w:val="00864ADC"/>
    <w:rsid w:val="00880153"/>
    <w:rsid w:val="00880F97"/>
    <w:rsid w:val="0088133A"/>
    <w:rsid w:val="00883B66"/>
    <w:rsid w:val="0089285E"/>
    <w:rsid w:val="0089436C"/>
    <w:rsid w:val="008B5B5C"/>
    <w:rsid w:val="008D25C7"/>
    <w:rsid w:val="008D365C"/>
    <w:rsid w:val="008D7622"/>
    <w:rsid w:val="008E03A0"/>
    <w:rsid w:val="008E1971"/>
    <w:rsid w:val="009021A6"/>
    <w:rsid w:val="009030BF"/>
    <w:rsid w:val="00903B52"/>
    <w:rsid w:val="0091032F"/>
    <w:rsid w:val="00914368"/>
    <w:rsid w:val="00931076"/>
    <w:rsid w:val="009345D9"/>
    <w:rsid w:val="00934B15"/>
    <w:rsid w:val="00940C87"/>
    <w:rsid w:val="00942B62"/>
    <w:rsid w:val="009457FA"/>
    <w:rsid w:val="0095323B"/>
    <w:rsid w:val="00956A0C"/>
    <w:rsid w:val="00956BD9"/>
    <w:rsid w:val="00962489"/>
    <w:rsid w:val="00967CD3"/>
    <w:rsid w:val="009751F0"/>
    <w:rsid w:val="00990C2C"/>
    <w:rsid w:val="0099680C"/>
    <w:rsid w:val="00996A8D"/>
    <w:rsid w:val="009A5171"/>
    <w:rsid w:val="009E1844"/>
    <w:rsid w:val="009F0D1B"/>
    <w:rsid w:val="009F1B09"/>
    <w:rsid w:val="009F5BBD"/>
    <w:rsid w:val="009F696D"/>
    <w:rsid w:val="009F6BC6"/>
    <w:rsid w:val="009F74EF"/>
    <w:rsid w:val="00A02826"/>
    <w:rsid w:val="00A15D5A"/>
    <w:rsid w:val="00A16296"/>
    <w:rsid w:val="00A17328"/>
    <w:rsid w:val="00A23A20"/>
    <w:rsid w:val="00A24443"/>
    <w:rsid w:val="00A268B9"/>
    <w:rsid w:val="00A2703A"/>
    <w:rsid w:val="00A33DFF"/>
    <w:rsid w:val="00A35115"/>
    <w:rsid w:val="00A36D9A"/>
    <w:rsid w:val="00A451DC"/>
    <w:rsid w:val="00A46E9C"/>
    <w:rsid w:val="00A510F6"/>
    <w:rsid w:val="00A554AB"/>
    <w:rsid w:val="00A57062"/>
    <w:rsid w:val="00A67781"/>
    <w:rsid w:val="00A72674"/>
    <w:rsid w:val="00A761F9"/>
    <w:rsid w:val="00A92B53"/>
    <w:rsid w:val="00A94FA6"/>
    <w:rsid w:val="00A96F1B"/>
    <w:rsid w:val="00AA49A0"/>
    <w:rsid w:val="00AA6710"/>
    <w:rsid w:val="00AB0681"/>
    <w:rsid w:val="00AC3A15"/>
    <w:rsid w:val="00AD520B"/>
    <w:rsid w:val="00AD76D9"/>
    <w:rsid w:val="00AE3BCC"/>
    <w:rsid w:val="00B425C3"/>
    <w:rsid w:val="00B440AD"/>
    <w:rsid w:val="00B479BB"/>
    <w:rsid w:val="00B53E7E"/>
    <w:rsid w:val="00B6342E"/>
    <w:rsid w:val="00B7113F"/>
    <w:rsid w:val="00BA2BCF"/>
    <w:rsid w:val="00BA5B14"/>
    <w:rsid w:val="00BA73B6"/>
    <w:rsid w:val="00BA7E27"/>
    <w:rsid w:val="00BB2603"/>
    <w:rsid w:val="00BB4FCD"/>
    <w:rsid w:val="00BC04E9"/>
    <w:rsid w:val="00BC3D15"/>
    <w:rsid w:val="00BD13EA"/>
    <w:rsid w:val="00BD152E"/>
    <w:rsid w:val="00BE3808"/>
    <w:rsid w:val="00C03B88"/>
    <w:rsid w:val="00C062E9"/>
    <w:rsid w:val="00C07B64"/>
    <w:rsid w:val="00C13721"/>
    <w:rsid w:val="00C14FE4"/>
    <w:rsid w:val="00C3066D"/>
    <w:rsid w:val="00C52416"/>
    <w:rsid w:val="00C543F4"/>
    <w:rsid w:val="00C6291C"/>
    <w:rsid w:val="00C633CB"/>
    <w:rsid w:val="00C65895"/>
    <w:rsid w:val="00C664CD"/>
    <w:rsid w:val="00C736B7"/>
    <w:rsid w:val="00C81D4A"/>
    <w:rsid w:val="00C8762C"/>
    <w:rsid w:val="00CA00F9"/>
    <w:rsid w:val="00CA2961"/>
    <w:rsid w:val="00CB50D7"/>
    <w:rsid w:val="00CB7177"/>
    <w:rsid w:val="00CB7CED"/>
    <w:rsid w:val="00CC070F"/>
    <w:rsid w:val="00CC1998"/>
    <w:rsid w:val="00CC4946"/>
    <w:rsid w:val="00CC64A1"/>
    <w:rsid w:val="00CD1067"/>
    <w:rsid w:val="00CF3B11"/>
    <w:rsid w:val="00D2446A"/>
    <w:rsid w:val="00D270A4"/>
    <w:rsid w:val="00D31FE9"/>
    <w:rsid w:val="00D34E1B"/>
    <w:rsid w:val="00D36789"/>
    <w:rsid w:val="00D376BA"/>
    <w:rsid w:val="00D434A0"/>
    <w:rsid w:val="00D45634"/>
    <w:rsid w:val="00D53D42"/>
    <w:rsid w:val="00D5568A"/>
    <w:rsid w:val="00D63D73"/>
    <w:rsid w:val="00D64452"/>
    <w:rsid w:val="00D66E1E"/>
    <w:rsid w:val="00D70696"/>
    <w:rsid w:val="00D720A3"/>
    <w:rsid w:val="00D75722"/>
    <w:rsid w:val="00D80CF5"/>
    <w:rsid w:val="00DA5BBA"/>
    <w:rsid w:val="00DB0C8C"/>
    <w:rsid w:val="00DB26D2"/>
    <w:rsid w:val="00DB67C9"/>
    <w:rsid w:val="00DC0C95"/>
    <w:rsid w:val="00DC4F0B"/>
    <w:rsid w:val="00DD6580"/>
    <w:rsid w:val="00E01D7F"/>
    <w:rsid w:val="00E05C03"/>
    <w:rsid w:val="00E17C72"/>
    <w:rsid w:val="00E21EA2"/>
    <w:rsid w:val="00E21FC6"/>
    <w:rsid w:val="00E431A9"/>
    <w:rsid w:val="00E516F6"/>
    <w:rsid w:val="00E669E2"/>
    <w:rsid w:val="00E76135"/>
    <w:rsid w:val="00E82F4F"/>
    <w:rsid w:val="00E85118"/>
    <w:rsid w:val="00E864DF"/>
    <w:rsid w:val="00EA03A6"/>
    <w:rsid w:val="00EA2FDD"/>
    <w:rsid w:val="00EB2CC3"/>
    <w:rsid w:val="00EB6B7D"/>
    <w:rsid w:val="00EC2844"/>
    <w:rsid w:val="00EC5500"/>
    <w:rsid w:val="00ED18F8"/>
    <w:rsid w:val="00EE6EDA"/>
    <w:rsid w:val="00EE778E"/>
    <w:rsid w:val="00EF6719"/>
    <w:rsid w:val="00EF6C6C"/>
    <w:rsid w:val="00F056FC"/>
    <w:rsid w:val="00F0632F"/>
    <w:rsid w:val="00F069AE"/>
    <w:rsid w:val="00F10476"/>
    <w:rsid w:val="00F135D8"/>
    <w:rsid w:val="00F31299"/>
    <w:rsid w:val="00F31A55"/>
    <w:rsid w:val="00F3534A"/>
    <w:rsid w:val="00F35BFB"/>
    <w:rsid w:val="00F36ACC"/>
    <w:rsid w:val="00F51609"/>
    <w:rsid w:val="00F55C25"/>
    <w:rsid w:val="00F73727"/>
    <w:rsid w:val="00F766A7"/>
    <w:rsid w:val="00F81006"/>
    <w:rsid w:val="00F85325"/>
    <w:rsid w:val="00FA3F7F"/>
    <w:rsid w:val="00FC1861"/>
    <w:rsid w:val="00FD22B1"/>
    <w:rsid w:val="00FD33F1"/>
    <w:rsid w:val="00FD3566"/>
    <w:rsid w:val="00FD51AB"/>
    <w:rsid w:val="00FE5397"/>
    <w:rsid w:val="00FE78E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529D5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76D3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2Char">
    <w:name w:val="Heading 2 Char"/>
    <w:basedOn w:val="DefaultParagraphFont"/>
    <w:link w:val="Heading2"/>
    <w:rsid w:val="00676D36"/>
    <w:rPr>
      <w:rFonts w:ascii="Arial" w:hAnsi="Arial"/>
      <w:b/>
      <w:sz w:val="32"/>
    </w:rPr>
  </w:style>
  <w:style w:type="character" w:customStyle="1" w:styleId="Heading3Char">
    <w:name w:val="Heading 3 Char"/>
    <w:basedOn w:val="DefaultParagraphFont"/>
    <w:link w:val="Heading3"/>
    <w:rsid w:val="00676D36"/>
    <w:rPr>
      <w:rFonts w:ascii="Arial" w:hAnsi="Arial"/>
      <w:b/>
      <w:sz w:val="26"/>
    </w:rPr>
  </w:style>
  <w:style w:type="character" w:customStyle="1" w:styleId="FootnoteTextChar">
    <w:name w:val="Footnote Text Char"/>
    <w:basedOn w:val="DefaultParagraphFont"/>
    <w:link w:val="FootnoteText"/>
    <w:rsid w:val="00676D36"/>
  </w:style>
  <w:style w:type="character" w:customStyle="1" w:styleId="CommentTextChar">
    <w:name w:val="Comment Text Char"/>
    <w:basedOn w:val="DefaultParagraphFont"/>
    <w:link w:val="CommentText"/>
    <w:semiHidden/>
    <w:rsid w:val="00676D36"/>
    <w:rPr>
      <w:szCs w:val="24"/>
    </w:rPr>
  </w:style>
  <w:style w:type="paragraph" w:customStyle="1" w:styleId="draftt">
    <w:name w:val="draftt"/>
    <w:basedOn w:val="BodyText"/>
    <w:rsid w:val="00676D36"/>
  </w:style>
  <w:style w:type="paragraph" w:styleId="CommentSubject">
    <w:name w:val="annotation subject"/>
    <w:basedOn w:val="CommentText"/>
    <w:next w:val="CommentText"/>
    <w:link w:val="CommentSubjectChar"/>
    <w:rsid w:val="00547CFC"/>
    <w:pPr>
      <w:spacing w:before="0" w:line="240" w:lineRule="auto"/>
      <w:ind w:left="0" w:firstLine="0"/>
    </w:pPr>
    <w:rPr>
      <w:b/>
      <w:bCs/>
      <w:szCs w:val="20"/>
    </w:rPr>
  </w:style>
  <w:style w:type="character" w:customStyle="1" w:styleId="CommentSubjectChar">
    <w:name w:val="Comment Subject Char"/>
    <w:basedOn w:val="CommentTextChar"/>
    <w:link w:val="CommentSubject"/>
    <w:rsid w:val="00547CFC"/>
    <w:rPr>
      <w:b/>
      <w:bCs/>
      <w:szCs w:val="24"/>
    </w:rPr>
  </w:style>
  <w:style w:type="character" w:styleId="EndnoteReference">
    <w:name w:val="endnote reference"/>
    <w:basedOn w:val="DefaultParagraphFont"/>
    <w:rsid w:val="0099680C"/>
    <w:rPr>
      <w:vertAlign w:val="superscript"/>
    </w:rPr>
  </w:style>
  <w:style w:type="paragraph" w:styleId="Bibliography">
    <w:name w:val="Bibliography"/>
    <w:basedOn w:val="Normal"/>
    <w:next w:val="Normal"/>
    <w:uiPriority w:val="37"/>
    <w:unhideWhenUsed/>
    <w:rsid w:val="007C39BB"/>
    <w:pPr>
      <w:spacing w:after="240"/>
      <w:ind w:left="720" w:hanging="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676D3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2Char">
    <w:name w:val="Heading 2 Char"/>
    <w:basedOn w:val="DefaultParagraphFont"/>
    <w:link w:val="Heading2"/>
    <w:rsid w:val="00676D36"/>
    <w:rPr>
      <w:rFonts w:ascii="Arial" w:hAnsi="Arial"/>
      <w:b/>
      <w:sz w:val="32"/>
    </w:rPr>
  </w:style>
  <w:style w:type="character" w:customStyle="1" w:styleId="Heading3Char">
    <w:name w:val="Heading 3 Char"/>
    <w:basedOn w:val="DefaultParagraphFont"/>
    <w:link w:val="Heading3"/>
    <w:rsid w:val="00676D36"/>
    <w:rPr>
      <w:rFonts w:ascii="Arial" w:hAnsi="Arial"/>
      <w:b/>
      <w:sz w:val="26"/>
    </w:rPr>
  </w:style>
  <w:style w:type="character" w:customStyle="1" w:styleId="FootnoteTextChar">
    <w:name w:val="Footnote Text Char"/>
    <w:basedOn w:val="DefaultParagraphFont"/>
    <w:link w:val="FootnoteText"/>
    <w:rsid w:val="00676D36"/>
  </w:style>
  <w:style w:type="character" w:customStyle="1" w:styleId="CommentTextChar">
    <w:name w:val="Comment Text Char"/>
    <w:basedOn w:val="DefaultParagraphFont"/>
    <w:link w:val="CommentText"/>
    <w:semiHidden/>
    <w:rsid w:val="00676D36"/>
    <w:rPr>
      <w:szCs w:val="24"/>
    </w:rPr>
  </w:style>
  <w:style w:type="paragraph" w:customStyle="1" w:styleId="draftt">
    <w:name w:val="draftt"/>
    <w:basedOn w:val="BodyText"/>
    <w:rsid w:val="00676D36"/>
  </w:style>
  <w:style w:type="paragraph" w:styleId="CommentSubject">
    <w:name w:val="annotation subject"/>
    <w:basedOn w:val="CommentText"/>
    <w:next w:val="CommentText"/>
    <w:link w:val="CommentSubjectChar"/>
    <w:rsid w:val="00547CFC"/>
    <w:pPr>
      <w:spacing w:before="0" w:line="240" w:lineRule="auto"/>
      <w:ind w:left="0" w:firstLine="0"/>
    </w:pPr>
    <w:rPr>
      <w:b/>
      <w:bCs/>
      <w:szCs w:val="20"/>
    </w:rPr>
  </w:style>
  <w:style w:type="character" w:customStyle="1" w:styleId="CommentSubjectChar">
    <w:name w:val="Comment Subject Char"/>
    <w:basedOn w:val="CommentTextChar"/>
    <w:link w:val="CommentSubject"/>
    <w:rsid w:val="00547CFC"/>
    <w:rPr>
      <w:b/>
      <w:bCs/>
      <w:szCs w:val="24"/>
    </w:rPr>
  </w:style>
  <w:style w:type="character" w:styleId="EndnoteReference">
    <w:name w:val="endnote reference"/>
    <w:basedOn w:val="DefaultParagraphFont"/>
    <w:rsid w:val="0099680C"/>
    <w:rPr>
      <w:vertAlign w:val="superscript"/>
    </w:rPr>
  </w:style>
  <w:style w:type="paragraph" w:styleId="Bibliography">
    <w:name w:val="Bibliography"/>
    <w:basedOn w:val="Normal"/>
    <w:next w:val="Normal"/>
    <w:uiPriority w:val="37"/>
    <w:unhideWhenUsed/>
    <w:rsid w:val="007C39BB"/>
    <w:pPr>
      <w:spacing w:after="240"/>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Troy!$B$2</c:f>
              <c:strCache>
                <c:ptCount val="1"/>
                <c:pt idx="0">
                  <c:v>CSHA public housing completed</c:v>
                </c:pt>
              </c:strCache>
            </c:strRef>
          </c:tx>
          <c:spPr>
            <a:solidFill>
              <a:srgbClr val="78A22F"/>
            </a:solidFill>
            <a:ln>
              <a:solidFill>
                <a:srgbClr val="78A22F"/>
              </a:solidFill>
            </a:ln>
          </c:spPr>
          <c:invertIfNegative val="0"/>
          <c:cat>
            <c:strRef>
              <c:f>Troy!$A$3:$A$59</c:f>
              <c:strCache>
                <c:ptCount val="57"/>
                <c:pt idx="0">
                  <c:v>1945-46</c:v>
                </c:pt>
                <c:pt idx="1">
                  <c:v>1946-47</c:v>
                </c:pt>
                <c:pt idx="2">
                  <c:v>1947-48</c:v>
                </c:pt>
                <c:pt idx="3">
                  <c:v>1948-49</c:v>
                </c:pt>
                <c:pt idx="4">
                  <c:v>1949-50</c:v>
                </c:pt>
                <c:pt idx="5">
                  <c:v>1950-51</c:v>
                </c:pt>
                <c:pt idx="6">
                  <c:v>1951-52</c:v>
                </c:pt>
                <c:pt idx="7">
                  <c:v>1952-53</c:v>
                </c:pt>
                <c:pt idx="8">
                  <c:v>1953-54</c:v>
                </c:pt>
                <c:pt idx="9">
                  <c:v>1954-55</c:v>
                </c:pt>
                <c:pt idx="10">
                  <c:v>1955-56</c:v>
                </c:pt>
                <c:pt idx="11">
                  <c:v>1956-57</c:v>
                </c:pt>
                <c:pt idx="12">
                  <c:v>1957-58</c:v>
                </c:pt>
                <c:pt idx="13">
                  <c:v>1958-59</c:v>
                </c:pt>
                <c:pt idx="14">
                  <c:v>1959-60</c:v>
                </c:pt>
                <c:pt idx="15">
                  <c:v>1960-61</c:v>
                </c:pt>
                <c:pt idx="16">
                  <c:v>1961-62</c:v>
                </c:pt>
                <c:pt idx="17">
                  <c:v>1962-63</c:v>
                </c:pt>
                <c:pt idx="18">
                  <c:v>1963-64</c:v>
                </c:pt>
                <c:pt idx="19">
                  <c:v>1964-65</c:v>
                </c:pt>
                <c:pt idx="20">
                  <c:v>1965-66</c:v>
                </c:pt>
                <c:pt idx="21">
                  <c:v>1966-67</c:v>
                </c:pt>
                <c:pt idx="22">
                  <c:v>1967-68</c:v>
                </c:pt>
                <c:pt idx="23">
                  <c:v>1968-69</c:v>
                </c:pt>
                <c:pt idx="24">
                  <c:v>1969-70</c:v>
                </c:pt>
                <c:pt idx="25">
                  <c:v>1970-71</c:v>
                </c:pt>
                <c:pt idx="26">
                  <c:v>1971-72</c:v>
                </c:pt>
                <c:pt idx="27">
                  <c:v>1972-73</c:v>
                </c:pt>
                <c:pt idx="28">
                  <c:v>1973-74</c:v>
                </c:pt>
                <c:pt idx="29">
                  <c:v>1974-75</c:v>
                </c:pt>
                <c:pt idx="30">
                  <c:v>1975-76</c:v>
                </c:pt>
                <c:pt idx="31">
                  <c:v>1976-77</c:v>
                </c:pt>
                <c:pt idx="32">
                  <c:v>1977-78</c:v>
                </c:pt>
                <c:pt idx="33">
                  <c:v>1978-79</c:v>
                </c:pt>
                <c:pt idx="34">
                  <c:v>1979-80</c:v>
                </c:pt>
                <c:pt idx="35">
                  <c:v>1980-81</c:v>
                </c:pt>
                <c:pt idx="36">
                  <c:v>1981-82</c:v>
                </c:pt>
                <c:pt idx="37">
                  <c:v>1982-83</c:v>
                </c:pt>
                <c:pt idx="38">
                  <c:v>1983-84</c:v>
                </c:pt>
                <c:pt idx="39">
                  <c:v>1984-85</c:v>
                </c:pt>
                <c:pt idx="40">
                  <c:v>1985-86</c:v>
                </c:pt>
                <c:pt idx="41">
                  <c:v>1986-87</c:v>
                </c:pt>
                <c:pt idx="42">
                  <c:v>1987-88</c:v>
                </c:pt>
                <c:pt idx="43">
                  <c:v>1988-89</c:v>
                </c:pt>
                <c:pt idx="44">
                  <c:v>1989-90</c:v>
                </c:pt>
                <c:pt idx="45">
                  <c:v>1990-91</c:v>
                </c:pt>
                <c:pt idx="46">
                  <c:v>1991-92</c:v>
                </c:pt>
                <c:pt idx="47">
                  <c:v>1992-93</c:v>
                </c:pt>
                <c:pt idx="48">
                  <c:v>1993-94</c:v>
                </c:pt>
                <c:pt idx="49">
                  <c:v>1994-95</c:v>
                </c:pt>
                <c:pt idx="50">
                  <c:v>1995-96</c:v>
                </c:pt>
                <c:pt idx="51">
                  <c:v>1996-97</c:v>
                </c:pt>
                <c:pt idx="52">
                  <c:v>1997-98</c:v>
                </c:pt>
                <c:pt idx="53">
                  <c:v>1998-99</c:v>
                </c:pt>
                <c:pt idx="54">
                  <c:v>1999-00</c:v>
                </c:pt>
                <c:pt idx="55">
                  <c:v>2000-01</c:v>
                </c:pt>
                <c:pt idx="56">
                  <c:v>2001-02</c:v>
                </c:pt>
              </c:strCache>
            </c:strRef>
          </c:cat>
          <c:val>
            <c:numRef>
              <c:f>Troy!$B$3:$B$59</c:f>
              <c:numCache>
                <c:formatCode>General</c:formatCode>
                <c:ptCount val="57"/>
                <c:pt idx="0">
                  <c:v>4028</c:v>
                </c:pt>
                <c:pt idx="1">
                  <c:v>4873</c:v>
                </c:pt>
                <c:pt idx="2">
                  <c:v>6427</c:v>
                </c:pt>
                <c:pt idx="3">
                  <c:v>7530</c:v>
                </c:pt>
                <c:pt idx="4">
                  <c:v>7438</c:v>
                </c:pt>
                <c:pt idx="5">
                  <c:v>7877</c:v>
                </c:pt>
                <c:pt idx="6">
                  <c:v>8783</c:v>
                </c:pt>
                <c:pt idx="7">
                  <c:v>10264</c:v>
                </c:pt>
                <c:pt idx="8">
                  <c:v>12683</c:v>
                </c:pt>
                <c:pt idx="9">
                  <c:v>14318</c:v>
                </c:pt>
                <c:pt idx="10">
                  <c:v>11917</c:v>
                </c:pt>
                <c:pt idx="11">
                  <c:v>8729</c:v>
                </c:pt>
                <c:pt idx="12">
                  <c:v>8312</c:v>
                </c:pt>
                <c:pt idx="13">
                  <c:v>8565</c:v>
                </c:pt>
                <c:pt idx="14">
                  <c:v>8233</c:v>
                </c:pt>
                <c:pt idx="15">
                  <c:v>7847</c:v>
                </c:pt>
                <c:pt idx="16">
                  <c:v>8690</c:v>
                </c:pt>
                <c:pt idx="17">
                  <c:v>9534</c:v>
                </c:pt>
                <c:pt idx="18">
                  <c:v>9300</c:v>
                </c:pt>
                <c:pt idx="19">
                  <c:v>9570</c:v>
                </c:pt>
                <c:pt idx="20">
                  <c:v>9841</c:v>
                </c:pt>
                <c:pt idx="21">
                  <c:v>9800</c:v>
                </c:pt>
                <c:pt idx="22">
                  <c:v>9503</c:v>
                </c:pt>
                <c:pt idx="23">
                  <c:v>8494</c:v>
                </c:pt>
                <c:pt idx="24">
                  <c:v>9845</c:v>
                </c:pt>
                <c:pt idx="25">
                  <c:v>11681</c:v>
                </c:pt>
                <c:pt idx="26">
                  <c:v>10079</c:v>
                </c:pt>
                <c:pt idx="27">
                  <c:v>7518</c:v>
                </c:pt>
                <c:pt idx="28">
                  <c:v>8178</c:v>
                </c:pt>
                <c:pt idx="29">
                  <c:v>8838</c:v>
                </c:pt>
                <c:pt idx="30">
                  <c:v>10143</c:v>
                </c:pt>
                <c:pt idx="31">
                  <c:v>7950</c:v>
                </c:pt>
                <c:pt idx="32">
                  <c:v>8480</c:v>
                </c:pt>
                <c:pt idx="33">
                  <c:v>8391</c:v>
                </c:pt>
                <c:pt idx="34">
                  <c:v>7489</c:v>
                </c:pt>
                <c:pt idx="35">
                  <c:v>7946</c:v>
                </c:pt>
                <c:pt idx="36">
                  <c:v>7101</c:v>
                </c:pt>
                <c:pt idx="37">
                  <c:v>7959</c:v>
                </c:pt>
                <c:pt idx="38">
                  <c:v>10715</c:v>
                </c:pt>
                <c:pt idx="39">
                  <c:v>13200</c:v>
                </c:pt>
                <c:pt idx="40">
                  <c:v>12215</c:v>
                </c:pt>
                <c:pt idx="41">
                  <c:v>9701</c:v>
                </c:pt>
                <c:pt idx="42">
                  <c:v>9701</c:v>
                </c:pt>
                <c:pt idx="44">
                  <c:v>12500</c:v>
                </c:pt>
                <c:pt idx="45">
                  <c:v>11500</c:v>
                </c:pt>
                <c:pt idx="46">
                  <c:v>9700</c:v>
                </c:pt>
                <c:pt idx="47">
                  <c:v>11100</c:v>
                </c:pt>
                <c:pt idx="49">
                  <c:v>7700</c:v>
                </c:pt>
                <c:pt idx="50">
                  <c:v>6863</c:v>
                </c:pt>
                <c:pt idx="51">
                  <c:v>6012</c:v>
                </c:pt>
                <c:pt idx="52">
                  <c:v>4441</c:v>
                </c:pt>
                <c:pt idx="53">
                  <c:v>4647</c:v>
                </c:pt>
                <c:pt idx="54">
                  <c:v>5264</c:v>
                </c:pt>
                <c:pt idx="55">
                  <c:v>4025</c:v>
                </c:pt>
                <c:pt idx="56">
                  <c:v>3744</c:v>
                </c:pt>
              </c:numCache>
            </c:numRef>
          </c:val>
        </c:ser>
        <c:ser>
          <c:idx val="1"/>
          <c:order val="1"/>
          <c:tx>
            <c:strRef>
              <c:f>Troy!$C$2</c:f>
              <c:strCache>
                <c:ptCount val="1"/>
                <c:pt idx="0">
                  <c:v>CSHA public housing sold</c:v>
                </c:pt>
              </c:strCache>
            </c:strRef>
          </c:tx>
          <c:spPr>
            <a:solidFill>
              <a:srgbClr val="265A9A"/>
            </a:solidFill>
            <a:ln>
              <a:solidFill>
                <a:srgbClr val="265A9A"/>
              </a:solidFill>
            </a:ln>
          </c:spPr>
          <c:invertIfNegative val="0"/>
          <c:cat>
            <c:strRef>
              <c:f>Troy!$A$3:$A$59</c:f>
              <c:strCache>
                <c:ptCount val="57"/>
                <c:pt idx="0">
                  <c:v>1945-46</c:v>
                </c:pt>
                <c:pt idx="1">
                  <c:v>1946-47</c:v>
                </c:pt>
                <c:pt idx="2">
                  <c:v>1947-48</c:v>
                </c:pt>
                <c:pt idx="3">
                  <c:v>1948-49</c:v>
                </c:pt>
                <c:pt idx="4">
                  <c:v>1949-50</c:v>
                </c:pt>
                <c:pt idx="5">
                  <c:v>1950-51</c:v>
                </c:pt>
                <c:pt idx="6">
                  <c:v>1951-52</c:v>
                </c:pt>
                <c:pt idx="7">
                  <c:v>1952-53</c:v>
                </c:pt>
                <c:pt idx="8">
                  <c:v>1953-54</c:v>
                </c:pt>
                <c:pt idx="9">
                  <c:v>1954-55</c:v>
                </c:pt>
                <c:pt idx="10">
                  <c:v>1955-56</c:v>
                </c:pt>
                <c:pt idx="11">
                  <c:v>1956-57</c:v>
                </c:pt>
                <c:pt idx="12">
                  <c:v>1957-58</c:v>
                </c:pt>
                <c:pt idx="13">
                  <c:v>1958-59</c:v>
                </c:pt>
                <c:pt idx="14">
                  <c:v>1959-60</c:v>
                </c:pt>
                <c:pt idx="15">
                  <c:v>1960-61</c:v>
                </c:pt>
                <c:pt idx="16">
                  <c:v>1961-62</c:v>
                </c:pt>
                <c:pt idx="17">
                  <c:v>1962-63</c:v>
                </c:pt>
                <c:pt idx="18">
                  <c:v>1963-64</c:v>
                </c:pt>
                <c:pt idx="19">
                  <c:v>1964-65</c:v>
                </c:pt>
                <c:pt idx="20">
                  <c:v>1965-66</c:v>
                </c:pt>
                <c:pt idx="21">
                  <c:v>1966-67</c:v>
                </c:pt>
                <c:pt idx="22">
                  <c:v>1967-68</c:v>
                </c:pt>
                <c:pt idx="23">
                  <c:v>1968-69</c:v>
                </c:pt>
                <c:pt idx="24">
                  <c:v>1969-70</c:v>
                </c:pt>
                <c:pt idx="25">
                  <c:v>1970-71</c:v>
                </c:pt>
                <c:pt idx="26">
                  <c:v>1971-72</c:v>
                </c:pt>
                <c:pt idx="27">
                  <c:v>1972-73</c:v>
                </c:pt>
                <c:pt idx="28">
                  <c:v>1973-74</c:v>
                </c:pt>
                <c:pt idx="29">
                  <c:v>1974-75</c:v>
                </c:pt>
                <c:pt idx="30">
                  <c:v>1975-76</c:v>
                </c:pt>
                <c:pt idx="31">
                  <c:v>1976-77</c:v>
                </c:pt>
                <c:pt idx="32">
                  <c:v>1977-78</c:v>
                </c:pt>
                <c:pt idx="33">
                  <c:v>1978-79</c:v>
                </c:pt>
                <c:pt idx="34">
                  <c:v>1979-80</c:v>
                </c:pt>
                <c:pt idx="35">
                  <c:v>1980-81</c:v>
                </c:pt>
                <c:pt idx="36">
                  <c:v>1981-82</c:v>
                </c:pt>
                <c:pt idx="37">
                  <c:v>1982-83</c:v>
                </c:pt>
                <c:pt idx="38">
                  <c:v>1983-84</c:v>
                </c:pt>
                <c:pt idx="39">
                  <c:v>1984-85</c:v>
                </c:pt>
                <c:pt idx="40">
                  <c:v>1985-86</c:v>
                </c:pt>
                <c:pt idx="41">
                  <c:v>1986-87</c:v>
                </c:pt>
                <c:pt idx="42">
                  <c:v>1987-88</c:v>
                </c:pt>
                <c:pt idx="43">
                  <c:v>1988-89</c:v>
                </c:pt>
                <c:pt idx="44">
                  <c:v>1989-90</c:v>
                </c:pt>
                <c:pt idx="45">
                  <c:v>1990-91</c:v>
                </c:pt>
                <c:pt idx="46">
                  <c:v>1991-92</c:v>
                </c:pt>
                <c:pt idx="47">
                  <c:v>1992-93</c:v>
                </c:pt>
                <c:pt idx="48">
                  <c:v>1993-94</c:v>
                </c:pt>
                <c:pt idx="49">
                  <c:v>1994-95</c:v>
                </c:pt>
                <c:pt idx="50">
                  <c:v>1995-96</c:v>
                </c:pt>
                <c:pt idx="51">
                  <c:v>1996-97</c:v>
                </c:pt>
                <c:pt idx="52">
                  <c:v>1997-98</c:v>
                </c:pt>
                <c:pt idx="53">
                  <c:v>1998-99</c:v>
                </c:pt>
                <c:pt idx="54">
                  <c:v>1999-00</c:v>
                </c:pt>
                <c:pt idx="55">
                  <c:v>2000-01</c:v>
                </c:pt>
                <c:pt idx="56">
                  <c:v>2001-02</c:v>
                </c:pt>
              </c:strCache>
            </c:strRef>
          </c:cat>
          <c:val>
            <c:numRef>
              <c:f>Troy!$C$3:$C$59</c:f>
              <c:numCache>
                <c:formatCode>General</c:formatCode>
                <c:ptCount val="57"/>
                <c:pt idx="2">
                  <c:v>109</c:v>
                </c:pt>
                <c:pt idx="3">
                  <c:v>78</c:v>
                </c:pt>
                <c:pt idx="4">
                  <c:v>231</c:v>
                </c:pt>
                <c:pt idx="5">
                  <c:v>763</c:v>
                </c:pt>
                <c:pt idx="6">
                  <c:v>930</c:v>
                </c:pt>
                <c:pt idx="7">
                  <c:v>863</c:v>
                </c:pt>
                <c:pt idx="8">
                  <c:v>520</c:v>
                </c:pt>
                <c:pt idx="9">
                  <c:v>294</c:v>
                </c:pt>
                <c:pt idx="10">
                  <c:v>2595</c:v>
                </c:pt>
                <c:pt idx="11">
                  <c:v>6063</c:v>
                </c:pt>
                <c:pt idx="12">
                  <c:v>7121</c:v>
                </c:pt>
                <c:pt idx="13">
                  <c:v>6579</c:v>
                </c:pt>
                <c:pt idx="14">
                  <c:v>6893</c:v>
                </c:pt>
                <c:pt idx="15">
                  <c:v>6506</c:v>
                </c:pt>
                <c:pt idx="16">
                  <c:v>6161</c:v>
                </c:pt>
                <c:pt idx="17">
                  <c:v>6015</c:v>
                </c:pt>
                <c:pt idx="18">
                  <c:v>4800</c:v>
                </c:pt>
                <c:pt idx="19">
                  <c:v>6143</c:v>
                </c:pt>
                <c:pt idx="20">
                  <c:v>6179</c:v>
                </c:pt>
                <c:pt idx="21">
                  <c:v>6969</c:v>
                </c:pt>
                <c:pt idx="22">
                  <c:v>6828</c:v>
                </c:pt>
                <c:pt idx="23">
                  <c:v>4985</c:v>
                </c:pt>
                <c:pt idx="24">
                  <c:v>5829</c:v>
                </c:pt>
                <c:pt idx="25">
                  <c:v>6597</c:v>
                </c:pt>
                <c:pt idx="26">
                  <c:v>6587</c:v>
                </c:pt>
                <c:pt idx="27">
                  <c:v>5174</c:v>
                </c:pt>
                <c:pt idx="28">
                  <c:v>5481</c:v>
                </c:pt>
                <c:pt idx="29">
                  <c:v>5789</c:v>
                </c:pt>
                <c:pt idx="30">
                  <c:v>6586</c:v>
                </c:pt>
                <c:pt idx="31">
                  <c:v>6047</c:v>
                </c:pt>
                <c:pt idx="32">
                  <c:v>3901</c:v>
                </c:pt>
                <c:pt idx="33">
                  <c:v>2643</c:v>
                </c:pt>
                <c:pt idx="34">
                  <c:v>2913</c:v>
                </c:pt>
                <c:pt idx="35">
                  <c:v>1461</c:v>
                </c:pt>
                <c:pt idx="36">
                  <c:v>1519</c:v>
                </c:pt>
                <c:pt idx="37">
                  <c:v>9098</c:v>
                </c:pt>
                <c:pt idx="38">
                  <c:v>977</c:v>
                </c:pt>
                <c:pt idx="40">
                  <c:v>1395</c:v>
                </c:pt>
                <c:pt idx="41">
                  <c:v>1220</c:v>
                </c:pt>
                <c:pt idx="42">
                  <c:v>1124</c:v>
                </c:pt>
                <c:pt idx="44">
                  <c:v>3680</c:v>
                </c:pt>
              </c:numCache>
            </c:numRef>
          </c:val>
        </c:ser>
        <c:dLbls>
          <c:showLegendKey val="0"/>
          <c:showVal val="0"/>
          <c:showCatName val="0"/>
          <c:showSerName val="0"/>
          <c:showPercent val="0"/>
          <c:showBubbleSize val="0"/>
        </c:dLbls>
        <c:gapWidth val="25"/>
        <c:axId val="102995456"/>
        <c:axId val="103011840"/>
      </c:barChart>
      <c:catAx>
        <c:axId val="102995456"/>
        <c:scaling>
          <c:orientation val="minMax"/>
        </c:scaling>
        <c:delete val="0"/>
        <c:axPos val="b"/>
        <c:majorTickMark val="out"/>
        <c:minorTickMark val="none"/>
        <c:tickLblPos val="nextTo"/>
        <c:spPr>
          <a:ln>
            <a:solidFill>
              <a:srgbClr val="BFBFBF"/>
            </a:solidFill>
          </a:ln>
        </c:spPr>
        <c:crossAx val="103011840"/>
        <c:crosses val="autoZero"/>
        <c:auto val="1"/>
        <c:lblAlgn val="ctr"/>
        <c:lblOffset val="100"/>
        <c:tickLblSkip val="2"/>
        <c:noMultiLvlLbl val="0"/>
      </c:catAx>
      <c:valAx>
        <c:axId val="103011840"/>
        <c:scaling>
          <c:orientation val="minMax"/>
        </c:scaling>
        <c:delete val="0"/>
        <c:axPos val="l"/>
        <c:majorGridlines>
          <c:spPr>
            <a:ln>
              <a:noFill/>
            </a:ln>
          </c:spPr>
        </c:majorGridlines>
        <c:numFmt formatCode="#\ ##0" sourceLinked="0"/>
        <c:majorTickMark val="out"/>
        <c:minorTickMark val="none"/>
        <c:tickLblPos val="nextTo"/>
        <c:spPr>
          <a:ln>
            <a:solidFill>
              <a:srgbClr val="BFBFBF"/>
            </a:solidFill>
          </a:ln>
        </c:spPr>
        <c:crossAx val="102995456"/>
        <c:crosses val="autoZero"/>
        <c:crossBetween val="between"/>
      </c:valAx>
      <c:spPr>
        <a:noFill/>
        <a:ln>
          <a:noFill/>
        </a:ln>
      </c:spPr>
    </c:plotArea>
    <c:legend>
      <c:legendPos val="b"/>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'proportion in PH'!$A$2</c:f>
              <c:strCache>
                <c:ptCount val="1"/>
                <c:pt idx="0">
                  <c:v>Public housing</c:v>
                </c:pt>
              </c:strCache>
            </c:strRef>
          </c:tx>
          <c:spPr>
            <a:solidFill>
              <a:srgbClr val="78A22F"/>
            </a:solidFill>
            <a:ln>
              <a:solidFill>
                <a:srgbClr val="78A22F"/>
              </a:solidFill>
            </a:ln>
          </c:spPr>
          <c:invertIfNegative val="0"/>
          <c:cat>
            <c:strRef>
              <c:f>'proportion in PH'!$B$1:$S$1</c:f>
              <c:strCache>
                <c:ptCount val="18"/>
                <c:pt idx="0">
                  <c:v>1994–95</c:v>
                </c:pt>
                <c:pt idx="1">
                  <c:v>1995–96</c:v>
                </c:pt>
                <c:pt idx="2">
                  <c:v>1996–97</c:v>
                </c:pt>
                <c:pt idx="3">
                  <c:v>1997–98</c:v>
                </c:pt>
                <c:pt idx="4">
                  <c:v>1998-99</c:v>
                </c:pt>
                <c:pt idx="5">
                  <c:v>1999–00</c:v>
                </c:pt>
                <c:pt idx="6">
                  <c:v>2000–01</c:v>
                </c:pt>
                <c:pt idx="7">
                  <c:v>2001-02</c:v>
                </c:pt>
                <c:pt idx="8">
                  <c:v>2002–03</c:v>
                </c:pt>
                <c:pt idx="9">
                  <c:v>2003–04</c:v>
                </c:pt>
                <c:pt idx="10">
                  <c:v>2004-05</c:v>
                </c:pt>
                <c:pt idx="11">
                  <c:v>2005–06</c:v>
                </c:pt>
                <c:pt idx="12">
                  <c:v>2006-07</c:v>
                </c:pt>
                <c:pt idx="13">
                  <c:v>2007–08</c:v>
                </c:pt>
                <c:pt idx="14">
                  <c:v>2008-09</c:v>
                </c:pt>
                <c:pt idx="15">
                  <c:v>2009–10</c:v>
                </c:pt>
                <c:pt idx="16">
                  <c:v>2010-11</c:v>
                </c:pt>
                <c:pt idx="17">
                  <c:v>2011–12</c:v>
                </c:pt>
              </c:strCache>
            </c:strRef>
          </c:cat>
          <c:val>
            <c:numRef>
              <c:f>'proportion in PH'!$B$2:$S$2</c:f>
              <c:numCache>
                <c:formatCode>#,##0.0</c:formatCode>
                <c:ptCount val="18"/>
                <c:pt idx="0">
                  <c:v>5.5</c:v>
                </c:pt>
                <c:pt idx="1">
                  <c:v>6</c:v>
                </c:pt>
                <c:pt idx="2">
                  <c:v>5.6</c:v>
                </c:pt>
                <c:pt idx="3">
                  <c:v>5.8</c:v>
                </c:pt>
                <c:pt idx="5">
                  <c:v>5.8</c:v>
                </c:pt>
                <c:pt idx="6">
                  <c:v>5</c:v>
                </c:pt>
                <c:pt idx="8">
                  <c:v>4.9000000000000004</c:v>
                </c:pt>
                <c:pt idx="9">
                  <c:v>4.9000000000000004</c:v>
                </c:pt>
                <c:pt idx="11">
                  <c:v>4.7</c:v>
                </c:pt>
                <c:pt idx="13">
                  <c:v>4.5</c:v>
                </c:pt>
                <c:pt idx="15">
                  <c:v>3.9</c:v>
                </c:pt>
                <c:pt idx="17">
                  <c:v>3.9</c:v>
                </c:pt>
              </c:numCache>
            </c:numRef>
          </c:val>
        </c:ser>
        <c:ser>
          <c:idx val="1"/>
          <c:order val="1"/>
          <c:tx>
            <c:strRef>
              <c:f>'proportion in PH'!$A$3</c:f>
              <c:strCache>
                <c:ptCount val="1"/>
                <c:pt idx="0">
                  <c:v>Private renter</c:v>
                </c:pt>
              </c:strCache>
            </c:strRef>
          </c:tx>
          <c:spPr>
            <a:solidFill>
              <a:srgbClr val="265A9A"/>
            </a:solidFill>
            <a:ln>
              <a:solidFill>
                <a:srgbClr val="265A9A"/>
              </a:solidFill>
            </a:ln>
          </c:spPr>
          <c:invertIfNegative val="0"/>
          <c:cat>
            <c:strRef>
              <c:f>'proportion in PH'!$B$1:$S$1</c:f>
              <c:strCache>
                <c:ptCount val="18"/>
                <c:pt idx="0">
                  <c:v>1994–95</c:v>
                </c:pt>
                <c:pt idx="1">
                  <c:v>1995–96</c:v>
                </c:pt>
                <c:pt idx="2">
                  <c:v>1996–97</c:v>
                </c:pt>
                <c:pt idx="3">
                  <c:v>1997–98</c:v>
                </c:pt>
                <c:pt idx="4">
                  <c:v>1998-99</c:v>
                </c:pt>
                <c:pt idx="5">
                  <c:v>1999–00</c:v>
                </c:pt>
                <c:pt idx="6">
                  <c:v>2000–01</c:v>
                </c:pt>
                <c:pt idx="7">
                  <c:v>2001-02</c:v>
                </c:pt>
                <c:pt idx="8">
                  <c:v>2002–03</c:v>
                </c:pt>
                <c:pt idx="9">
                  <c:v>2003–04</c:v>
                </c:pt>
                <c:pt idx="10">
                  <c:v>2004-05</c:v>
                </c:pt>
                <c:pt idx="11">
                  <c:v>2005–06</c:v>
                </c:pt>
                <c:pt idx="12">
                  <c:v>2006-07</c:v>
                </c:pt>
                <c:pt idx="13">
                  <c:v>2007–08</c:v>
                </c:pt>
                <c:pt idx="14">
                  <c:v>2008-09</c:v>
                </c:pt>
                <c:pt idx="15">
                  <c:v>2009–10</c:v>
                </c:pt>
                <c:pt idx="16">
                  <c:v>2010-11</c:v>
                </c:pt>
                <c:pt idx="17">
                  <c:v>2011–12</c:v>
                </c:pt>
              </c:strCache>
            </c:strRef>
          </c:cat>
          <c:val>
            <c:numRef>
              <c:f>'proportion in PH'!$B$3:$S$3</c:f>
              <c:numCache>
                <c:formatCode>#,##0.0</c:formatCode>
                <c:ptCount val="18"/>
                <c:pt idx="0">
                  <c:v>18.399999999999999</c:v>
                </c:pt>
                <c:pt idx="1">
                  <c:v>19</c:v>
                </c:pt>
                <c:pt idx="2">
                  <c:v>20.399999999999999</c:v>
                </c:pt>
                <c:pt idx="3">
                  <c:v>20</c:v>
                </c:pt>
                <c:pt idx="5">
                  <c:v>19.899999999999999</c:v>
                </c:pt>
                <c:pt idx="6">
                  <c:v>21</c:v>
                </c:pt>
                <c:pt idx="8">
                  <c:v>22</c:v>
                </c:pt>
                <c:pt idx="9">
                  <c:v>21.2</c:v>
                </c:pt>
                <c:pt idx="11">
                  <c:v>22</c:v>
                </c:pt>
                <c:pt idx="13">
                  <c:v>23.9</c:v>
                </c:pt>
                <c:pt idx="15">
                  <c:v>23.7</c:v>
                </c:pt>
                <c:pt idx="17">
                  <c:v>25.1</c:v>
                </c:pt>
              </c:numCache>
            </c:numRef>
          </c:val>
        </c:ser>
        <c:ser>
          <c:idx val="2"/>
          <c:order val="2"/>
          <c:tx>
            <c:strRef>
              <c:f>'proportion in PH'!$A$4</c:f>
              <c:strCache>
                <c:ptCount val="1"/>
                <c:pt idx="0">
                  <c:v>Other renter</c:v>
                </c:pt>
              </c:strCache>
            </c:strRef>
          </c:tx>
          <c:spPr>
            <a:solidFill>
              <a:srgbClr val="B2D673"/>
            </a:solidFill>
            <a:ln>
              <a:solidFill>
                <a:srgbClr val="B2D673"/>
              </a:solidFill>
            </a:ln>
          </c:spPr>
          <c:invertIfNegative val="0"/>
          <c:cat>
            <c:strRef>
              <c:f>'proportion in PH'!$B$1:$S$1</c:f>
              <c:strCache>
                <c:ptCount val="18"/>
                <c:pt idx="0">
                  <c:v>1994–95</c:v>
                </c:pt>
                <c:pt idx="1">
                  <c:v>1995–96</c:v>
                </c:pt>
                <c:pt idx="2">
                  <c:v>1996–97</c:v>
                </c:pt>
                <c:pt idx="3">
                  <c:v>1997–98</c:v>
                </c:pt>
                <c:pt idx="4">
                  <c:v>1998-99</c:v>
                </c:pt>
                <c:pt idx="5">
                  <c:v>1999–00</c:v>
                </c:pt>
                <c:pt idx="6">
                  <c:v>2000–01</c:v>
                </c:pt>
                <c:pt idx="7">
                  <c:v>2001-02</c:v>
                </c:pt>
                <c:pt idx="8">
                  <c:v>2002–03</c:v>
                </c:pt>
                <c:pt idx="9">
                  <c:v>2003–04</c:v>
                </c:pt>
                <c:pt idx="10">
                  <c:v>2004-05</c:v>
                </c:pt>
                <c:pt idx="11">
                  <c:v>2005–06</c:v>
                </c:pt>
                <c:pt idx="12">
                  <c:v>2006-07</c:v>
                </c:pt>
                <c:pt idx="13">
                  <c:v>2007–08</c:v>
                </c:pt>
                <c:pt idx="14">
                  <c:v>2008-09</c:v>
                </c:pt>
                <c:pt idx="15">
                  <c:v>2009–10</c:v>
                </c:pt>
                <c:pt idx="16">
                  <c:v>2010-11</c:v>
                </c:pt>
                <c:pt idx="17">
                  <c:v>2011–12</c:v>
                </c:pt>
              </c:strCache>
            </c:strRef>
          </c:cat>
          <c:val>
            <c:numRef>
              <c:f>'proportion in PH'!$B$4:$S$4</c:f>
              <c:numCache>
                <c:formatCode>#,##0.0</c:formatCode>
                <c:ptCount val="18"/>
                <c:pt idx="0">
                  <c:v>1.8000000000000009</c:v>
                </c:pt>
                <c:pt idx="1">
                  <c:v>1.8999999999999979</c:v>
                </c:pt>
                <c:pt idx="2">
                  <c:v>1.8999999999999979</c:v>
                </c:pt>
                <c:pt idx="3">
                  <c:v>1.3999999999999979</c:v>
                </c:pt>
                <c:pt idx="4">
                  <c:v>0</c:v>
                </c:pt>
                <c:pt idx="5">
                  <c:v>1.5</c:v>
                </c:pt>
                <c:pt idx="6">
                  <c:v>1.3999999999999979</c:v>
                </c:pt>
                <c:pt idx="7">
                  <c:v>0</c:v>
                </c:pt>
                <c:pt idx="8">
                  <c:v>1.3000000000000009</c:v>
                </c:pt>
                <c:pt idx="9">
                  <c:v>1.5</c:v>
                </c:pt>
                <c:pt idx="10">
                  <c:v>0</c:v>
                </c:pt>
                <c:pt idx="11">
                  <c:v>1.8000000000000009</c:v>
                </c:pt>
                <c:pt idx="12">
                  <c:v>0</c:v>
                </c:pt>
                <c:pt idx="13">
                  <c:v>1.3000000000000009</c:v>
                </c:pt>
                <c:pt idx="14">
                  <c:v>0</c:v>
                </c:pt>
                <c:pt idx="15">
                  <c:v>1.1000000000000021</c:v>
                </c:pt>
                <c:pt idx="16">
                  <c:v>0</c:v>
                </c:pt>
                <c:pt idx="17">
                  <c:v>1.3000000000000009</c:v>
                </c:pt>
              </c:numCache>
            </c:numRef>
          </c:val>
        </c:ser>
        <c:dLbls>
          <c:showLegendKey val="0"/>
          <c:showVal val="0"/>
          <c:showCatName val="0"/>
          <c:showSerName val="0"/>
          <c:showPercent val="0"/>
          <c:showBubbleSize val="0"/>
        </c:dLbls>
        <c:gapWidth val="150"/>
        <c:overlap val="100"/>
        <c:axId val="115875840"/>
        <c:axId val="115877376"/>
      </c:barChart>
      <c:catAx>
        <c:axId val="115875840"/>
        <c:scaling>
          <c:orientation val="minMax"/>
        </c:scaling>
        <c:delete val="0"/>
        <c:axPos val="b"/>
        <c:majorTickMark val="none"/>
        <c:minorTickMark val="none"/>
        <c:tickLblPos val="nextTo"/>
        <c:spPr>
          <a:ln>
            <a:solidFill>
              <a:srgbClr val="BFBFBF"/>
            </a:solidFill>
          </a:ln>
        </c:spPr>
        <c:crossAx val="115877376"/>
        <c:crosses val="autoZero"/>
        <c:auto val="1"/>
        <c:lblAlgn val="ctr"/>
        <c:lblOffset val="100"/>
        <c:noMultiLvlLbl val="0"/>
      </c:catAx>
      <c:valAx>
        <c:axId val="115877376"/>
        <c:scaling>
          <c:orientation val="minMax"/>
        </c:scaling>
        <c:delete val="0"/>
        <c:axPos val="l"/>
        <c:majorGridlines>
          <c:spPr>
            <a:ln>
              <a:noFill/>
            </a:ln>
          </c:spPr>
        </c:majorGridlines>
        <c:title>
          <c:tx>
            <c:rich>
              <a:bodyPr rot="-5400000" vert="horz"/>
              <a:lstStyle/>
              <a:p>
                <a:pPr>
                  <a:defRPr/>
                </a:pPr>
                <a:r>
                  <a:rPr lang="en-US"/>
                  <a:t>Per cent</a:t>
                </a:r>
              </a:p>
            </c:rich>
          </c:tx>
          <c:overlay val="0"/>
        </c:title>
        <c:numFmt formatCode="#,##0" sourceLinked="0"/>
        <c:majorTickMark val="out"/>
        <c:minorTickMark val="none"/>
        <c:tickLblPos val="nextTo"/>
        <c:spPr>
          <a:ln>
            <a:solidFill>
              <a:srgbClr val="BFBFBF"/>
            </a:solidFill>
          </a:ln>
        </c:spPr>
        <c:crossAx val="115875840"/>
        <c:crosses val="autoZero"/>
        <c:crossBetween val="between"/>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0FB2B7-C7E8-435C-BCE8-258A9EF39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97</TotalTime>
  <Pages>12</Pages>
  <Words>4491</Words>
  <Characters>27668</Characters>
  <Application>Microsoft Office Word</Application>
  <DocSecurity>0</DocSecurity>
  <Lines>728</Lines>
  <Paragraphs>527</Paragraphs>
  <ScaleCrop>false</ScaleCrop>
  <HeadingPairs>
    <vt:vector size="2" baseType="variant">
      <vt:variant>
        <vt:lpstr>Title</vt:lpstr>
      </vt:variant>
      <vt:variant>
        <vt:i4>1</vt:i4>
      </vt:variant>
    </vt:vector>
  </HeadingPairs>
  <TitlesOfParts>
    <vt:vector size="1" baseType="lpstr">
      <vt:lpstr>History of housing assistance</vt:lpstr>
    </vt:vector>
  </TitlesOfParts>
  <Company>Productivity Commission</Company>
  <LinksUpToDate>false</LinksUpToDate>
  <CharactersWithSpaces>31632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History of housing assistance</dc:title>
  <dc:subject>Housing Assistance in Australia</dc:subject>
  <dc:creator>Productivity Commission</dc:creator>
  <dc:description>1.</dc:description>
  <cp:lastModifiedBy>Cross, Michelle</cp:lastModifiedBy>
  <cp:revision>23</cp:revision>
  <cp:lastPrinted>2015-03-26T23:39:00Z</cp:lastPrinted>
  <dcterms:created xsi:type="dcterms:W3CDTF">2015-03-13T01:58:00Z</dcterms:created>
  <dcterms:modified xsi:type="dcterms:W3CDTF">2015-03-31T05:26:00Z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zotero-version="4.0.20"&gt;&lt;session id="EvujONzd"/&gt;&lt;style id="http://www.zotero.org/styles/unisa-harvard" hasBibliography="1" bibliographyStyleHasBeenSet="1"/&gt;&lt;prefs&gt;&lt;pref name="fieldType" value="Field"/&gt;&lt;pref name="storeReferences" va</vt:lpwstr>
  </property>
  <property fmtid="{D5CDD505-2E9C-101B-9397-08002B2CF9AE}" pid="3" name="ZOTERO_PREF_2">
    <vt:lpwstr>lue="true"/&gt;&lt;pref name="automaticJournalAbbreviations" value="true"/&gt;&lt;pref name="noteType" value="0"/&gt;&lt;/prefs&gt;&lt;/data&gt;</vt:lpwstr>
  </property>
</Properties>
</file>