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charts/chart4.xml" ContentType="application/vnd.openxmlformats-officedocument.drawingml.chart+xml"/>
  <Override PartName="/word/theme/themeOverride4.xml" ContentType="application/vnd.openxmlformats-officedocument.themeOverride+xml"/>
  <Override PartName="/word/drawings/drawing4.xml" ContentType="application/vnd.openxmlformats-officedocument.drawingml.chartshapes+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7615E2" w:rsidRDefault="00752A17" w:rsidP="00A8049E">
      <w:pPr>
        <w:pStyle w:val="Heading1"/>
        <w:spacing w:before="0"/>
        <w:ind w:left="0" w:firstLine="0"/>
        <w:rPr>
          <w:spacing w:val="-2"/>
        </w:rPr>
      </w:pPr>
      <w:r>
        <w:t>B</w:t>
      </w:r>
      <w:r w:rsidR="007615E2">
        <w:t xml:space="preserve">ackground paper </w:t>
      </w:r>
      <w:r>
        <w:t>2</w:t>
      </w:r>
      <w:r w:rsidR="007615E2">
        <w:br/>
      </w:r>
      <w:r w:rsidR="00F72CCC" w:rsidRPr="007615E2">
        <w:rPr>
          <w:spacing w:val="-2"/>
        </w:rPr>
        <w:t xml:space="preserve">Housing assistance and </w:t>
      </w:r>
      <w:r w:rsidR="00E42396">
        <w:rPr>
          <w:spacing w:val="-2"/>
        </w:rPr>
        <w:t xml:space="preserve">financial </w:t>
      </w:r>
      <w:r w:rsidR="00F72CCC" w:rsidRPr="007615E2">
        <w:rPr>
          <w:spacing w:val="-2"/>
        </w:rPr>
        <w:t>incentives to work</w:t>
      </w:r>
    </w:p>
    <w:p w:rsidR="0074457A" w:rsidRDefault="0074457A" w:rsidP="0074457A">
      <w:pPr>
        <w:pStyle w:val="BoxSpaceAbove"/>
      </w:pPr>
      <w:bookmarkStart w:id="0" w:name="begin"/>
      <w:bookmarkEnd w:id="0"/>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457A" w:rsidTr="00201389">
        <w:tc>
          <w:tcPr>
            <w:tcW w:w="8771" w:type="dxa"/>
            <w:tcBorders>
              <w:top w:val="single" w:sz="6" w:space="0" w:color="78A22F"/>
              <w:left w:val="nil"/>
              <w:bottom w:val="nil"/>
              <w:right w:val="nil"/>
            </w:tcBorders>
            <w:shd w:val="clear" w:color="auto" w:fill="F2F2F2"/>
          </w:tcPr>
          <w:p w:rsidR="0074457A" w:rsidRPr="00EA6FEF" w:rsidRDefault="0074457A" w:rsidP="00201389">
            <w:pPr>
              <w:pStyle w:val="BoxTitle"/>
            </w:pPr>
            <w:r>
              <w:t>Key points</w:t>
            </w:r>
          </w:p>
        </w:tc>
      </w:tr>
      <w:tr w:rsidR="0074457A" w:rsidTr="00201389">
        <w:trPr>
          <w:cantSplit/>
        </w:trPr>
        <w:tc>
          <w:tcPr>
            <w:tcW w:w="8771" w:type="dxa"/>
            <w:tcBorders>
              <w:top w:val="nil"/>
              <w:left w:val="nil"/>
              <w:bottom w:val="nil"/>
              <w:right w:val="nil"/>
            </w:tcBorders>
            <w:shd w:val="clear" w:color="auto" w:fill="F2F2F2"/>
          </w:tcPr>
          <w:p w:rsidR="00AF43BD" w:rsidRDefault="00AF43BD" w:rsidP="00312CDC">
            <w:pPr>
              <w:pStyle w:val="BoxListBullet"/>
            </w:pPr>
            <w:r>
              <w:t xml:space="preserve">Analysis of budget constraints and effective marginal tax rates (EMTRs) </w:t>
            </w:r>
            <w:r w:rsidR="00200AF1">
              <w:t xml:space="preserve">is used to shed </w:t>
            </w:r>
            <w:r w:rsidR="009D6CCB">
              <w:t>light on</w:t>
            </w:r>
            <w:r w:rsidR="00200AF1">
              <w:t xml:space="preserve"> </w:t>
            </w:r>
            <w:r w:rsidR="009D6CCB">
              <w:t xml:space="preserve">the effect of housing assistance (Commonwealth Rent Assistance (CRA) and social housing) on recipients’ </w:t>
            </w:r>
            <w:r>
              <w:t>financial incentives to work. A number of cav</w:t>
            </w:r>
            <w:r w:rsidR="00200AF1">
              <w:t>eats apply to analysis of this type</w:t>
            </w:r>
            <w:r w:rsidR="009D6CCB">
              <w:t>. It</w:t>
            </w:r>
            <w:r>
              <w:t>:</w:t>
            </w:r>
          </w:p>
          <w:p w:rsidR="00AF43BD" w:rsidRDefault="00200AF1" w:rsidP="009D6CCB">
            <w:pPr>
              <w:pStyle w:val="BoxListBullet2"/>
            </w:pPr>
            <w:r>
              <w:t xml:space="preserve">typically </w:t>
            </w:r>
            <w:r w:rsidR="00AF43BD">
              <w:t xml:space="preserve">does not </w:t>
            </w:r>
            <w:r w:rsidR="009D6CCB">
              <w:t xml:space="preserve">account for the </w:t>
            </w:r>
            <w:r w:rsidR="00AF43BD">
              <w:t>costs of working (for example, childcare and transport costs)</w:t>
            </w:r>
          </w:p>
          <w:p w:rsidR="00AF43BD" w:rsidRDefault="00200AF1" w:rsidP="00AF43BD">
            <w:pPr>
              <w:pStyle w:val="BoxListBullet2"/>
            </w:pPr>
            <w:r>
              <w:t>ignores non</w:t>
            </w:r>
            <w:r w:rsidR="00A61C8A">
              <w:noBreakHyphen/>
            </w:r>
            <w:r>
              <w:t>financial factors that influence employment decisions (for example, health issues)</w:t>
            </w:r>
          </w:p>
          <w:p w:rsidR="00200AF1" w:rsidRDefault="009D6CCB" w:rsidP="00AF43BD">
            <w:pPr>
              <w:pStyle w:val="BoxListBullet2"/>
            </w:pPr>
            <w:r>
              <w:t>cannot reveal whether a person works — that is an empirical question.</w:t>
            </w:r>
          </w:p>
          <w:p w:rsidR="009D6CCB" w:rsidRDefault="009D6CCB" w:rsidP="00312CDC">
            <w:pPr>
              <w:pStyle w:val="BoxListBullet"/>
            </w:pPr>
            <w:r>
              <w:t>Housing assistance affects recipients’ budget constraints and EMTRs.</w:t>
            </w:r>
          </w:p>
          <w:p w:rsidR="00312CDC" w:rsidRDefault="00312CDC" w:rsidP="00312CDC">
            <w:pPr>
              <w:pStyle w:val="BoxListBullet"/>
            </w:pPr>
            <w:r>
              <w:t>Withdrawal of income support payments (ISPs) with increases in market income contributes more to EMTRs than withdrawal of housing assistance.</w:t>
            </w:r>
          </w:p>
          <w:p w:rsidR="00312CDC" w:rsidRPr="000A3072" w:rsidRDefault="00312CDC" w:rsidP="00312CDC">
            <w:pPr>
              <w:pStyle w:val="BoxListBullet2"/>
            </w:pPr>
            <w:r w:rsidRPr="00332CCB">
              <w:t xml:space="preserve">Although CRA is withdrawn at the same rate as an </w:t>
            </w:r>
            <w:r w:rsidR="0060257A">
              <w:t>income support payment (</w:t>
            </w:r>
            <w:r w:rsidRPr="00332CCB">
              <w:t>ISP</w:t>
            </w:r>
            <w:r w:rsidR="0060257A">
              <w:t>)</w:t>
            </w:r>
            <w:r w:rsidRPr="00332CCB">
              <w:t xml:space="preserve"> (for recipients whose </w:t>
            </w:r>
            <w:r w:rsidR="000A3072" w:rsidRPr="00332CCB">
              <w:t xml:space="preserve">eligibility rests on receipt of an </w:t>
            </w:r>
            <w:r w:rsidRPr="00332CCB">
              <w:t>ISP rather than Family Tax Benefit Part A)</w:t>
            </w:r>
            <w:r w:rsidR="000A3072" w:rsidRPr="00332CCB">
              <w:t>,</w:t>
            </w:r>
            <w:r w:rsidRPr="00332CCB">
              <w:t xml:space="preserve"> </w:t>
            </w:r>
            <w:r w:rsidR="000A3072" w:rsidRPr="00332CCB">
              <w:t>this</w:t>
            </w:r>
            <w:r w:rsidRPr="00332CCB">
              <w:t xml:space="preserve"> affects </w:t>
            </w:r>
            <w:r w:rsidR="000A3072" w:rsidRPr="00332CCB">
              <w:t>recipients’ EMTRs</w:t>
            </w:r>
            <w:r w:rsidRPr="00332CCB">
              <w:t xml:space="preserve"> over a relatively small income range and at higher levels of income</w:t>
            </w:r>
            <w:r w:rsidR="000A3072" w:rsidRPr="00332CCB">
              <w:t xml:space="preserve"> than withdrawal of the ISP.</w:t>
            </w:r>
          </w:p>
          <w:p w:rsidR="0074457A" w:rsidRDefault="00312CDC" w:rsidP="00312CDC">
            <w:pPr>
              <w:pStyle w:val="BoxListBullet"/>
            </w:pPr>
            <w:r>
              <w:t>A majority of ISP recipients would have a higher disposable income post rent if they lived in social housing than if renting privately and receiving CRA.</w:t>
            </w:r>
          </w:p>
          <w:p w:rsidR="004E4775" w:rsidRDefault="004E4775" w:rsidP="00312CDC">
            <w:pPr>
              <w:pStyle w:val="BoxListBullet"/>
            </w:pPr>
            <w:r>
              <w:t>Differences in public housing rent setting arrangements around the country make for small differences in the contribution of these arrangements to EMTRs.</w:t>
            </w:r>
          </w:p>
        </w:tc>
      </w:tr>
      <w:tr w:rsidR="0074457A" w:rsidTr="00201389">
        <w:trPr>
          <w:cantSplit/>
        </w:trPr>
        <w:tc>
          <w:tcPr>
            <w:tcW w:w="8771" w:type="dxa"/>
            <w:tcBorders>
              <w:top w:val="nil"/>
              <w:left w:val="nil"/>
              <w:bottom w:val="single" w:sz="6" w:space="0" w:color="78A22F"/>
              <w:right w:val="nil"/>
            </w:tcBorders>
            <w:shd w:val="clear" w:color="auto" w:fill="F2F2F2"/>
          </w:tcPr>
          <w:p w:rsidR="0074457A" w:rsidRDefault="0074457A" w:rsidP="00201389">
            <w:pPr>
              <w:pStyle w:val="Box"/>
              <w:spacing w:before="0" w:line="120" w:lineRule="exact"/>
            </w:pPr>
          </w:p>
        </w:tc>
      </w:tr>
      <w:tr w:rsidR="0074457A" w:rsidRPr="000863A5" w:rsidTr="00201389">
        <w:tc>
          <w:tcPr>
            <w:tcW w:w="8771" w:type="dxa"/>
            <w:tcBorders>
              <w:top w:val="single" w:sz="6" w:space="0" w:color="78A22F"/>
              <w:left w:val="nil"/>
              <w:bottom w:val="nil"/>
              <w:right w:val="nil"/>
            </w:tcBorders>
          </w:tcPr>
          <w:p w:rsidR="0074457A" w:rsidRPr="00626D32" w:rsidRDefault="0074457A" w:rsidP="00201389">
            <w:pPr>
              <w:pStyle w:val="BoxSpaceBelow"/>
            </w:pPr>
          </w:p>
        </w:tc>
      </w:tr>
    </w:tbl>
    <w:p w:rsidR="00497AEE" w:rsidRDefault="009C77A8" w:rsidP="001D4B29">
      <w:pPr>
        <w:pStyle w:val="BodyText"/>
      </w:pPr>
      <w:r>
        <w:t xml:space="preserve">This background paper considers </w:t>
      </w:r>
      <w:r w:rsidR="00B63B60">
        <w:t>how the</w:t>
      </w:r>
      <w:r>
        <w:t xml:space="preserve"> two </w:t>
      </w:r>
      <w:r w:rsidR="00B63B60">
        <w:t xml:space="preserve">main Australian </w:t>
      </w:r>
      <w:r>
        <w:t xml:space="preserve">housing assistance policies, Commonwealth </w:t>
      </w:r>
      <w:r w:rsidR="00497AEE" w:rsidRPr="001D4B29">
        <w:t>R</w:t>
      </w:r>
      <w:r w:rsidRPr="001D4B29">
        <w:t>ent</w:t>
      </w:r>
      <w:r>
        <w:t xml:space="preserve"> </w:t>
      </w:r>
      <w:r w:rsidR="00497AEE">
        <w:t>A</w:t>
      </w:r>
      <w:r>
        <w:t xml:space="preserve">ssistance </w:t>
      </w:r>
      <w:r w:rsidR="002115CA">
        <w:t xml:space="preserve">(CRA) </w:t>
      </w:r>
      <w:r>
        <w:t xml:space="preserve">and rent </w:t>
      </w:r>
      <w:r w:rsidR="00B63B60">
        <w:t>subsidies</w:t>
      </w:r>
      <w:r>
        <w:t xml:space="preserve"> </w:t>
      </w:r>
      <w:r w:rsidR="00AA2C63">
        <w:t>associated with</w:t>
      </w:r>
      <w:r w:rsidR="00B63B60">
        <w:t xml:space="preserve"> </w:t>
      </w:r>
      <w:r>
        <w:t>social housing, alter</w:t>
      </w:r>
      <w:r w:rsidR="00E42396">
        <w:t xml:space="preserve"> financial</w:t>
      </w:r>
      <w:r w:rsidR="007E6357">
        <w:t xml:space="preserve"> </w:t>
      </w:r>
      <w:r>
        <w:t>incentives to work.</w:t>
      </w:r>
      <w:r w:rsidR="00C51867">
        <w:t xml:space="preserve"> </w:t>
      </w:r>
    </w:p>
    <w:p w:rsidR="00DB713C" w:rsidRDefault="00DB713C" w:rsidP="009C77A8">
      <w:pPr>
        <w:pStyle w:val="BodyText"/>
        <w:rPr>
          <w:spacing w:val="-2"/>
        </w:rPr>
      </w:pPr>
      <w:r>
        <w:rPr>
          <w:spacing w:val="-2"/>
        </w:rPr>
        <w:t>E</w:t>
      </w:r>
      <w:r w:rsidRPr="006D6164">
        <w:rPr>
          <w:spacing w:val="-2"/>
        </w:rPr>
        <w:t xml:space="preserve">stimates of the </w:t>
      </w:r>
      <w:r w:rsidR="00E42396">
        <w:rPr>
          <w:spacing w:val="-2"/>
        </w:rPr>
        <w:t xml:space="preserve">financial </w:t>
      </w:r>
      <w:r>
        <w:rPr>
          <w:spacing w:val="-2"/>
        </w:rPr>
        <w:t>incentive</w:t>
      </w:r>
      <w:r w:rsidR="00CA673A">
        <w:rPr>
          <w:spacing w:val="-2"/>
        </w:rPr>
        <w:t>s created by</w:t>
      </w:r>
      <w:r>
        <w:rPr>
          <w:spacing w:val="-2"/>
        </w:rPr>
        <w:t xml:space="preserve"> </w:t>
      </w:r>
      <w:r w:rsidRPr="006D6164">
        <w:rPr>
          <w:spacing w:val="-2"/>
        </w:rPr>
        <w:t xml:space="preserve">housing assistance </w:t>
      </w:r>
      <w:r>
        <w:rPr>
          <w:spacing w:val="-2"/>
        </w:rPr>
        <w:t>are presented for</w:t>
      </w:r>
      <w:r w:rsidRPr="006D6164">
        <w:rPr>
          <w:spacing w:val="-2"/>
        </w:rPr>
        <w:t xml:space="preserve"> </w:t>
      </w:r>
      <w:r>
        <w:rPr>
          <w:spacing w:val="-2"/>
        </w:rPr>
        <w:t xml:space="preserve">‘typical’ </w:t>
      </w:r>
      <w:r w:rsidRPr="006D6164">
        <w:rPr>
          <w:spacing w:val="-2"/>
        </w:rPr>
        <w:t>individuals</w:t>
      </w:r>
      <w:r w:rsidR="008F16BC">
        <w:rPr>
          <w:spacing w:val="-2"/>
        </w:rPr>
        <w:t> — </w:t>
      </w:r>
      <w:r w:rsidRPr="006D6164">
        <w:rPr>
          <w:spacing w:val="-2"/>
        </w:rPr>
        <w:t>identified by family structure, income support payment</w:t>
      </w:r>
      <w:r w:rsidR="0070318E">
        <w:rPr>
          <w:spacing w:val="-2"/>
        </w:rPr>
        <w:t xml:space="preserve"> (ISP)</w:t>
      </w:r>
      <w:r w:rsidRPr="006D6164">
        <w:rPr>
          <w:spacing w:val="-2"/>
        </w:rPr>
        <w:t xml:space="preserve"> and type of housing assistance. </w:t>
      </w:r>
      <w:r>
        <w:rPr>
          <w:spacing w:val="-2"/>
        </w:rPr>
        <w:t>An example is a single</w:t>
      </w:r>
      <w:r w:rsidR="00291412">
        <w:rPr>
          <w:spacing w:val="-2"/>
        </w:rPr>
        <w:t>,</w:t>
      </w:r>
      <w:r>
        <w:rPr>
          <w:spacing w:val="-2"/>
        </w:rPr>
        <w:t xml:space="preserve"> childless </w:t>
      </w:r>
      <w:r w:rsidR="00E542A3">
        <w:rPr>
          <w:spacing w:val="-2"/>
        </w:rPr>
        <w:t>D</w:t>
      </w:r>
      <w:r>
        <w:rPr>
          <w:spacing w:val="-2"/>
        </w:rPr>
        <w:t xml:space="preserve">isability </w:t>
      </w:r>
      <w:r w:rsidR="00E542A3">
        <w:rPr>
          <w:spacing w:val="-2"/>
        </w:rPr>
        <w:t>S</w:t>
      </w:r>
      <w:r>
        <w:rPr>
          <w:spacing w:val="-2"/>
        </w:rPr>
        <w:t xml:space="preserve">upport </w:t>
      </w:r>
      <w:r w:rsidR="00E542A3">
        <w:rPr>
          <w:spacing w:val="-2"/>
        </w:rPr>
        <w:t>P</w:t>
      </w:r>
      <w:r>
        <w:rPr>
          <w:spacing w:val="-2"/>
        </w:rPr>
        <w:t>ensioner living in public housing.</w:t>
      </w:r>
    </w:p>
    <w:p w:rsidR="000A09A2" w:rsidRDefault="00842B5D" w:rsidP="00DB713C">
      <w:pPr>
        <w:pStyle w:val="BodyText"/>
      </w:pPr>
      <w:r w:rsidRPr="007D361D">
        <w:lastRenderedPageBreak/>
        <w:t>A</w:t>
      </w:r>
      <w:r w:rsidR="008F16BC" w:rsidRPr="007D361D">
        <w:t xml:space="preserve"> person</w:t>
      </w:r>
      <w:r w:rsidRPr="007D361D">
        <w:t xml:space="preserve">’s </w:t>
      </w:r>
      <w:r w:rsidR="00E42396" w:rsidRPr="007D361D">
        <w:t xml:space="preserve">financial </w:t>
      </w:r>
      <w:r w:rsidRPr="007D361D">
        <w:t>i</w:t>
      </w:r>
      <w:r w:rsidR="007E6357" w:rsidRPr="007D361D">
        <w:t xml:space="preserve">ncentive </w:t>
      </w:r>
      <w:r w:rsidRPr="007D361D">
        <w:t xml:space="preserve">to work </w:t>
      </w:r>
      <w:r w:rsidR="00E42396" w:rsidRPr="007D361D">
        <w:t>depend</w:t>
      </w:r>
      <w:r w:rsidR="004F5733">
        <w:t>s</w:t>
      </w:r>
      <w:r w:rsidR="00E42396" w:rsidRPr="007D361D">
        <w:t xml:space="preserve"> on</w:t>
      </w:r>
      <w:r w:rsidR="00A960EE" w:rsidRPr="007D361D">
        <w:t xml:space="preserve"> </w:t>
      </w:r>
      <w:r w:rsidR="0018032A" w:rsidRPr="007D361D">
        <w:t xml:space="preserve">the relationship between </w:t>
      </w:r>
      <w:r w:rsidR="007E6357" w:rsidRPr="007D361D">
        <w:t xml:space="preserve">their </w:t>
      </w:r>
      <w:r w:rsidR="00497AEE" w:rsidRPr="007D361D">
        <w:t xml:space="preserve">market </w:t>
      </w:r>
      <w:r w:rsidR="00E94569" w:rsidRPr="007D361D">
        <w:t xml:space="preserve">income </w:t>
      </w:r>
      <w:r w:rsidR="00497AEE" w:rsidRPr="007D361D">
        <w:t xml:space="preserve">and </w:t>
      </w:r>
      <w:r w:rsidR="00E94569" w:rsidRPr="007D361D">
        <w:t xml:space="preserve">their </w:t>
      </w:r>
      <w:r w:rsidR="007E6357" w:rsidRPr="007D361D">
        <w:t>disposable income</w:t>
      </w:r>
      <w:r w:rsidR="001C05C2" w:rsidRPr="007D361D">
        <w:t> — that is</w:t>
      </w:r>
      <w:r w:rsidR="00341B1F" w:rsidRPr="007D361D">
        <w:t xml:space="preserve">, </w:t>
      </w:r>
      <w:r w:rsidR="001C05C2" w:rsidRPr="007D361D">
        <w:t xml:space="preserve">how much </w:t>
      </w:r>
      <w:r w:rsidR="009C6D59">
        <w:t xml:space="preserve">their </w:t>
      </w:r>
      <w:r w:rsidR="006B1B7D" w:rsidRPr="007D361D">
        <w:t xml:space="preserve">disposable </w:t>
      </w:r>
      <w:r w:rsidR="001C05C2" w:rsidRPr="007D361D">
        <w:t xml:space="preserve">income </w:t>
      </w:r>
      <w:r w:rsidR="009C6D59">
        <w:t xml:space="preserve">changes as a result of </w:t>
      </w:r>
      <w:r w:rsidR="001C05C2" w:rsidRPr="007D361D">
        <w:t xml:space="preserve">work. </w:t>
      </w:r>
      <w:r w:rsidR="000A09A2">
        <w:t xml:space="preserve">Market income </w:t>
      </w:r>
      <w:r w:rsidR="000A09A2" w:rsidRPr="00854775">
        <w:t>includes wages and salaries</w:t>
      </w:r>
      <w:r w:rsidR="000A09A2">
        <w:t>,</w:t>
      </w:r>
      <w:r w:rsidR="000A09A2" w:rsidRPr="00854775">
        <w:t xml:space="preserve"> income from business ownership, dividends, interest, superannuation</w:t>
      </w:r>
      <w:r w:rsidR="000A09A2">
        <w:t xml:space="preserve"> pensions</w:t>
      </w:r>
      <w:r w:rsidR="000A09A2" w:rsidRPr="00854775">
        <w:t xml:space="preserve"> and compensation for lost income</w:t>
      </w:r>
      <w:r w:rsidR="000A09A2">
        <w:t xml:space="preserve"> (for example, payments from an income protection </w:t>
      </w:r>
      <w:r w:rsidR="002B56E7">
        <w:t xml:space="preserve">insurance </w:t>
      </w:r>
      <w:r w:rsidR="000A09A2">
        <w:t>policy or workers’ compensation scheme). For many, market income consists largely of labour income. In the context of this paper, changes in market income are assumed to come from changes in labour supply. Gross income is market income plus direct government transfers (for example, the Age Pension and Family Tax Benefit Part A). Disposable income refers to gross income after direct taxes (for example, income tax).</w:t>
      </w:r>
    </w:p>
    <w:p w:rsidR="006E1DC4" w:rsidRPr="007D361D" w:rsidRDefault="00041E10" w:rsidP="00DB713C">
      <w:pPr>
        <w:pStyle w:val="BodyText"/>
      </w:pPr>
      <w:r w:rsidRPr="007D361D">
        <w:t>Th</w:t>
      </w:r>
      <w:r w:rsidR="001C05C2" w:rsidRPr="007D361D">
        <w:t>e</w:t>
      </w:r>
      <w:r w:rsidRPr="007D361D">
        <w:t xml:space="preserve"> relationship </w:t>
      </w:r>
      <w:r w:rsidR="001C05C2" w:rsidRPr="007D361D">
        <w:t xml:space="preserve">between market and disposable income </w:t>
      </w:r>
      <w:r w:rsidR="009C6D59">
        <w:t xml:space="preserve">mainly </w:t>
      </w:r>
      <w:r w:rsidR="001571DD" w:rsidRPr="007D361D">
        <w:t>depends on</w:t>
      </w:r>
      <w:r w:rsidR="00175D8E" w:rsidRPr="007D361D">
        <w:t xml:space="preserve"> income taxes</w:t>
      </w:r>
      <w:r w:rsidR="00A7710F" w:rsidRPr="007D361D">
        <w:t>,</w:t>
      </w:r>
      <w:r w:rsidR="00175D8E" w:rsidRPr="007D361D">
        <w:t xml:space="preserve"> and rules relating to </w:t>
      </w:r>
      <w:r w:rsidR="00DB713C" w:rsidRPr="007D361D">
        <w:t xml:space="preserve">the level and withdrawal of </w:t>
      </w:r>
      <w:r w:rsidR="00175D8E" w:rsidRPr="007D361D">
        <w:t>transfer payments — that is, the tax and transfer system</w:t>
      </w:r>
      <w:r w:rsidR="006E1DC4" w:rsidRPr="007D361D">
        <w:t>.</w:t>
      </w:r>
      <w:r w:rsidR="00CA673A">
        <w:rPr>
          <w:rStyle w:val="FootnoteReference"/>
        </w:rPr>
        <w:footnoteReference w:id="2"/>
      </w:r>
      <w:r w:rsidR="00C82E0C" w:rsidRPr="007D361D">
        <w:t xml:space="preserve"> </w:t>
      </w:r>
      <w:r w:rsidR="00E42396" w:rsidRPr="007D361D">
        <w:t>Financial i</w:t>
      </w:r>
      <w:r w:rsidR="00470346" w:rsidRPr="007D361D">
        <w:t xml:space="preserve">ncentives to work decrease </w:t>
      </w:r>
      <w:r w:rsidR="001C05C2" w:rsidRPr="007D361D">
        <w:t xml:space="preserve">as </w:t>
      </w:r>
      <w:r w:rsidR="00470346" w:rsidRPr="007D361D">
        <w:t xml:space="preserve">a person retains less of </w:t>
      </w:r>
      <w:r w:rsidR="001C05C2" w:rsidRPr="007D361D">
        <w:t xml:space="preserve">their </w:t>
      </w:r>
      <w:r w:rsidR="00470346" w:rsidRPr="007D361D">
        <w:t>market income</w:t>
      </w:r>
      <w:r w:rsidR="001571DD" w:rsidRPr="007D361D">
        <w:t>.</w:t>
      </w:r>
    </w:p>
    <w:p w:rsidR="00BC5738" w:rsidRPr="001C05C2" w:rsidRDefault="00A7710F" w:rsidP="00BC5738">
      <w:pPr>
        <w:pStyle w:val="BodyText"/>
        <w:rPr>
          <w:spacing w:val="-2"/>
        </w:rPr>
      </w:pPr>
      <w:r w:rsidRPr="00E42396">
        <w:rPr>
          <w:spacing w:val="-2"/>
        </w:rPr>
        <w:t>Housing assistance is part of the transfer system</w:t>
      </w:r>
      <w:r w:rsidR="00DB713C" w:rsidRPr="00E42396">
        <w:rPr>
          <w:spacing w:val="-2"/>
        </w:rPr>
        <w:t xml:space="preserve">, </w:t>
      </w:r>
      <w:r w:rsidR="00AA2C63" w:rsidRPr="00E42396">
        <w:rPr>
          <w:spacing w:val="-2"/>
        </w:rPr>
        <w:t xml:space="preserve">and </w:t>
      </w:r>
      <w:r w:rsidR="00DB713C" w:rsidRPr="00E42396">
        <w:rPr>
          <w:spacing w:val="-2"/>
        </w:rPr>
        <w:t xml:space="preserve">its effects </w:t>
      </w:r>
      <w:r w:rsidR="001D4B29">
        <w:rPr>
          <w:spacing w:val="-2"/>
        </w:rPr>
        <w:t xml:space="preserve">on incentives </w:t>
      </w:r>
      <w:r w:rsidR="00A960EE" w:rsidRPr="00E42396">
        <w:rPr>
          <w:spacing w:val="-2"/>
        </w:rPr>
        <w:t xml:space="preserve">vary greatly according to </w:t>
      </w:r>
      <w:r w:rsidR="004F5733">
        <w:rPr>
          <w:spacing w:val="-2"/>
        </w:rPr>
        <w:t>how it</w:t>
      </w:r>
      <w:r w:rsidR="004F5733" w:rsidRPr="00E42396">
        <w:rPr>
          <w:spacing w:val="-2"/>
        </w:rPr>
        <w:t xml:space="preserve"> </w:t>
      </w:r>
      <w:r w:rsidR="00DB713C" w:rsidRPr="00E42396">
        <w:rPr>
          <w:spacing w:val="-2"/>
        </w:rPr>
        <w:t>interact</w:t>
      </w:r>
      <w:r w:rsidR="004F5733">
        <w:rPr>
          <w:spacing w:val="-2"/>
        </w:rPr>
        <w:t>s</w:t>
      </w:r>
      <w:r w:rsidR="00DB713C" w:rsidRPr="00E42396">
        <w:rPr>
          <w:spacing w:val="-2"/>
        </w:rPr>
        <w:t xml:space="preserve"> with </w:t>
      </w:r>
      <w:r w:rsidR="00AA2C63" w:rsidRPr="00E42396">
        <w:rPr>
          <w:spacing w:val="-2"/>
        </w:rPr>
        <w:t>other parts of the</w:t>
      </w:r>
      <w:r w:rsidR="00DB713C" w:rsidRPr="00E42396">
        <w:rPr>
          <w:spacing w:val="-2"/>
        </w:rPr>
        <w:t xml:space="preserve"> </w:t>
      </w:r>
      <w:r w:rsidR="00466C02" w:rsidRPr="00E42396">
        <w:rPr>
          <w:spacing w:val="-2"/>
        </w:rPr>
        <w:t>tax and transfer</w:t>
      </w:r>
      <w:r w:rsidR="00175D8E" w:rsidRPr="00E42396">
        <w:rPr>
          <w:spacing w:val="-2"/>
        </w:rPr>
        <w:t xml:space="preserve"> system.</w:t>
      </w:r>
      <w:r w:rsidR="006E1DC4" w:rsidRPr="00E42396">
        <w:rPr>
          <w:spacing w:val="-2"/>
        </w:rPr>
        <w:t xml:space="preserve"> </w:t>
      </w:r>
      <w:r w:rsidR="00BC5738" w:rsidRPr="00E42396">
        <w:rPr>
          <w:spacing w:val="-2"/>
        </w:rPr>
        <w:t>The Commission built a</w:t>
      </w:r>
      <w:r w:rsidR="00BC5738" w:rsidRPr="001C05C2">
        <w:rPr>
          <w:spacing w:val="-2"/>
        </w:rPr>
        <w:t xml:space="preserve"> model of the Australian tax and transfer system</w:t>
      </w:r>
      <w:r w:rsidR="00C4781B">
        <w:rPr>
          <w:spacing w:val="-2"/>
        </w:rPr>
        <w:t xml:space="preserve"> </w:t>
      </w:r>
      <w:r w:rsidR="00BC5738" w:rsidRPr="001C05C2">
        <w:rPr>
          <w:spacing w:val="-2"/>
        </w:rPr>
        <w:t>(</w:t>
      </w:r>
      <w:r w:rsidR="00F37462">
        <w:rPr>
          <w:spacing w:val="-2"/>
        </w:rPr>
        <w:t>annex</w:t>
      </w:r>
      <w:r w:rsidR="00BC5738" w:rsidRPr="001C05C2">
        <w:rPr>
          <w:spacing w:val="-2"/>
        </w:rPr>
        <w:t xml:space="preserve"> A) to estimate the effects of housing assistance on </w:t>
      </w:r>
      <w:r w:rsidR="00E42396" w:rsidRPr="002159A1">
        <w:rPr>
          <w:spacing w:val="-2"/>
        </w:rPr>
        <w:t xml:space="preserve">financial </w:t>
      </w:r>
      <w:r w:rsidR="00BC5738" w:rsidRPr="002159A1">
        <w:rPr>
          <w:spacing w:val="-2"/>
        </w:rPr>
        <w:t>incentives to work</w:t>
      </w:r>
      <w:r w:rsidR="00BC5738" w:rsidRPr="00325B26">
        <w:rPr>
          <w:spacing w:val="-2"/>
        </w:rPr>
        <w:t>. The model and supporting documentation</w:t>
      </w:r>
      <w:r w:rsidR="00857E90">
        <w:rPr>
          <w:spacing w:val="-2"/>
        </w:rPr>
        <w:t xml:space="preserve"> will be</w:t>
      </w:r>
      <w:r w:rsidR="00BC5738" w:rsidRPr="001C05C2">
        <w:rPr>
          <w:spacing w:val="-2"/>
        </w:rPr>
        <w:t xml:space="preserve"> available from the Commission’s website.</w:t>
      </w:r>
      <w:r w:rsidR="00C4781B">
        <w:rPr>
          <w:spacing w:val="-2"/>
        </w:rPr>
        <w:t xml:space="preserve"> The model is referred to in the paper as PCTT 2014.</w:t>
      </w:r>
      <w:r w:rsidR="008F01EC">
        <w:rPr>
          <w:rStyle w:val="FootnoteReference"/>
          <w:spacing w:val="-2"/>
        </w:rPr>
        <w:footnoteReference w:id="3"/>
      </w:r>
    </w:p>
    <w:p w:rsidR="00CE120E" w:rsidRDefault="00814A72" w:rsidP="00CE120E">
      <w:pPr>
        <w:pStyle w:val="BodyText"/>
      </w:pPr>
      <w:r>
        <w:t>While this</w:t>
      </w:r>
      <w:r w:rsidR="00CE120E">
        <w:t xml:space="preserve"> paper identifies the effects of policies on the </w:t>
      </w:r>
      <w:r w:rsidR="002159A1">
        <w:t xml:space="preserve">financial </w:t>
      </w:r>
      <w:r w:rsidR="00CE120E">
        <w:t>incentives faced by typical individuals, the impact</w:t>
      </w:r>
      <w:r w:rsidR="00CE120E" w:rsidRPr="009C77A8">
        <w:t xml:space="preserve"> </w:t>
      </w:r>
      <w:r w:rsidR="00CE120E">
        <w:t xml:space="preserve">of those incentives on employment outcomes is </w:t>
      </w:r>
      <w:r w:rsidR="002159A1">
        <w:t>not considered. Analysis of that question is presented</w:t>
      </w:r>
      <w:r w:rsidR="00CE120E">
        <w:t xml:space="preserve"> in </w:t>
      </w:r>
      <w:r w:rsidR="008F16BC">
        <w:t>background paper 5</w:t>
      </w:r>
      <w:r w:rsidR="00CE120E">
        <w:t>.</w:t>
      </w:r>
    </w:p>
    <w:p w:rsidR="0059061B" w:rsidRDefault="003868E0" w:rsidP="003868E0">
      <w:pPr>
        <w:pStyle w:val="BodyText"/>
      </w:pPr>
      <w:r>
        <w:t xml:space="preserve">The next section </w:t>
      </w:r>
      <w:r w:rsidR="00611BD3">
        <w:t xml:space="preserve">defines </w:t>
      </w:r>
      <w:r w:rsidR="00CE120E">
        <w:t>the measures of</w:t>
      </w:r>
      <w:r w:rsidR="00E42396">
        <w:t xml:space="preserve"> financial</w:t>
      </w:r>
      <w:r w:rsidR="00CE120E">
        <w:t xml:space="preserve"> </w:t>
      </w:r>
      <w:r>
        <w:t>incentives to work</w:t>
      </w:r>
      <w:r w:rsidR="00CE120E">
        <w:t xml:space="preserve"> used</w:t>
      </w:r>
      <w:r w:rsidR="008F16BC">
        <w:t xml:space="preserve"> in th</w:t>
      </w:r>
      <w:r w:rsidR="006E1DC4">
        <w:t>e</w:t>
      </w:r>
      <w:r w:rsidR="008F16BC">
        <w:t xml:space="preserve"> paper</w:t>
      </w:r>
      <w:r>
        <w:t xml:space="preserve">, and </w:t>
      </w:r>
      <w:r w:rsidR="00611BD3">
        <w:t>describes how they are derived</w:t>
      </w:r>
      <w:r>
        <w:t xml:space="preserve">. </w:t>
      </w:r>
      <w:r w:rsidR="008F16BC">
        <w:t>T</w:t>
      </w:r>
      <w:r>
        <w:t>he two housing assistance policies</w:t>
      </w:r>
      <w:r w:rsidR="008F16BC">
        <w:t xml:space="preserve"> are summarised</w:t>
      </w:r>
      <w:r w:rsidR="004F5733">
        <w:t xml:space="preserve"> to demonstrate</w:t>
      </w:r>
      <w:r>
        <w:t xml:space="preserve"> how </w:t>
      </w:r>
      <w:r w:rsidR="00466C02">
        <w:t>assistance</w:t>
      </w:r>
      <w:r>
        <w:t xml:space="preserve"> changes as </w:t>
      </w:r>
      <w:r w:rsidR="00043DAB">
        <w:t>market income increases</w:t>
      </w:r>
      <w:r w:rsidR="006E1DC4">
        <w:t xml:space="preserve"> (section </w:t>
      </w:r>
      <w:r w:rsidR="008F16BC">
        <w:t>2)</w:t>
      </w:r>
      <w:r>
        <w:t xml:space="preserve">. </w:t>
      </w:r>
      <w:r w:rsidR="00E42396">
        <w:t>Financial i</w:t>
      </w:r>
      <w:r>
        <w:t>ncentives to work for typical housing assistance recipients</w:t>
      </w:r>
      <w:r w:rsidR="008F16BC">
        <w:t xml:space="preserve"> are then analysed (section</w:t>
      </w:r>
      <w:r w:rsidR="006E1DC4">
        <w:t> </w:t>
      </w:r>
      <w:r w:rsidR="008F16BC">
        <w:t xml:space="preserve">3) and </w:t>
      </w:r>
      <w:r w:rsidR="006E1DC4">
        <w:t>incentives for social housing residents and CRA recipients are compared (section 4).</w:t>
      </w:r>
    </w:p>
    <w:bookmarkStart w:id="1" w:name="OLE_LINK10"/>
    <w:bookmarkStart w:id="2" w:name="OLE_LINK35"/>
    <w:p w:rsidR="00A8391D" w:rsidRDefault="00931564" w:rsidP="00CE5F14">
      <w:pPr>
        <w:pStyle w:val="Heading2"/>
      </w:pPr>
      <w:r>
        <w:fldChar w:fldCharType="begin"/>
      </w:r>
      <w:r>
        <w:instrText xml:space="preserve"> SEQ Heading2 </w:instrText>
      </w:r>
      <w:r>
        <w:fldChar w:fldCharType="separate"/>
      </w:r>
      <w:r w:rsidR="002368BE">
        <w:rPr>
          <w:noProof/>
        </w:rPr>
        <w:t>1</w:t>
      </w:r>
      <w:r>
        <w:rPr>
          <w:noProof/>
        </w:rPr>
        <w:fldChar w:fldCharType="end"/>
      </w:r>
      <w:bookmarkEnd w:id="1"/>
      <w:bookmarkEnd w:id="2"/>
      <w:r w:rsidR="00A8391D">
        <w:tab/>
      </w:r>
      <w:r w:rsidR="001474EA">
        <w:t xml:space="preserve">What are </w:t>
      </w:r>
      <w:r w:rsidR="00341B1F">
        <w:t xml:space="preserve">financial </w:t>
      </w:r>
      <w:r w:rsidR="001474EA">
        <w:t>i</w:t>
      </w:r>
      <w:r w:rsidR="0046503B">
        <w:t>ncentives to work</w:t>
      </w:r>
      <w:r w:rsidR="001474EA">
        <w:t>?</w:t>
      </w:r>
    </w:p>
    <w:p w:rsidR="00987A5E" w:rsidRDefault="002159A1" w:rsidP="00987A5E">
      <w:pPr>
        <w:pStyle w:val="BodyText"/>
      </w:pPr>
      <w:r>
        <w:t xml:space="preserve">A </w:t>
      </w:r>
      <w:r w:rsidR="00751A76">
        <w:t xml:space="preserve">policy </w:t>
      </w:r>
      <w:r>
        <w:t xml:space="preserve">can affect </w:t>
      </w:r>
      <w:r w:rsidR="0056266D">
        <w:t xml:space="preserve">an individual’s </w:t>
      </w:r>
      <w:r w:rsidR="00751A76">
        <w:t xml:space="preserve">financial </w:t>
      </w:r>
      <w:r w:rsidR="00987A5E">
        <w:t>incentive to work</w:t>
      </w:r>
      <w:r>
        <w:t xml:space="preserve"> in two ways</w:t>
      </w:r>
      <w:r w:rsidR="00987A5E">
        <w:t>:</w:t>
      </w:r>
    </w:p>
    <w:p w:rsidR="00987A5E" w:rsidRPr="002159A1" w:rsidRDefault="002159A1" w:rsidP="00987A5E">
      <w:pPr>
        <w:pStyle w:val="ListBullet"/>
      </w:pPr>
      <w:r w:rsidRPr="002159A1">
        <w:t xml:space="preserve">First, </w:t>
      </w:r>
      <w:r w:rsidR="004F5733">
        <w:t>a housing</w:t>
      </w:r>
      <w:r w:rsidR="00C22C34">
        <w:t xml:space="preserve"> subsidy </w:t>
      </w:r>
      <w:r w:rsidR="002B56E7">
        <w:t xml:space="preserve">in </w:t>
      </w:r>
      <w:r w:rsidR="00C625E9">
        <w:t xml:space="preserve">effect </w:t>
      </w:r>
      <w:r w:rsidR="00C22C34">
        <w:t>increases a person’s income level</w:t>
      </w:r>
      <w:r w:rsidR="00987A5E" w:rsidRPr="002159A1">
        <w:t xml:space="preserve">. </w:t>
      </w:r>
      <w:r w:rsidR="00325B26">
        <w:t>Throughout the paper, t</w:t>
      </w:r>
      <w:r w:rsidR="00987A5E" w:rsidRPr="002159A1">
        <w:t xml:space="preserve">his is </w:t>
      </w:r>
      <w:r w:rsidR="00325B26">
        <w:t xml:space="preserve">termed </w:t>
      </w:r>
      <w:r w:rsidR="006E1DC4" w:rsidRPr="002159A1">
        <w:t xml:space="preserve">an </w:t>
      </w:r>
      <w:r w:rsidR="00987A5E" w:rsidRPr="002159A1">
        <w:t>income effect</w:t>
      </w:r>
      <w:r w:rsidR="00677C8E" w:rsidRPr="002159A1">
        <w:t xml:space="preserve">. </w:t>
      </w:r>
      <w:r w:rsidRPr="002159A1">
        <w:t>Receipt of h</w:t>
      </w:r>
      <w:r w:rsidR="005F004F" w:rsidRPr="002159A1">
        <w:t xml:space="preserve">ousing assistance </w:t>
      </w:r>
      <w:r w:rsidR="00987A5E" w:rsidRPr="002159A1">
        <w:t xml:space="preserve">increases a </w:t>
      </w:r>
      <w:r w:rsidR="00987A5E" w:rsidRPr="002159A1">
        <w:lastRenderedPageBreak/>
        <w:t>person’s disposable income</w:t>
      </w:r>
      <w:r w:rsidR="007E1903">
        <w:t xml:space="preserve"> </w:t>
      </w:r>
      <w:r w:rsidR="00C22C34">
        <w:t xml:space="preserve">in a way that is </w:t>
      </w:r>
      <w:r w:rsidR="00221B01">
        <w:t>independent of</w:t>
      </w:r>
      <w:r w:rsidR="00C22C34">
        <w:t xml:space="preserve"> </w:t>
      </w:r>
      <w:r w:rsidR="00221B01">
        <w:t>the price effect</w:t>
      </w:r>
      <w:r w:rsidR="00C22C34">
        <w:t xml:space="preserve"> on their work effort</w:t>
      </w:r>
      <w:r w:rsidR="00221B01">
        <w:t>. The income effect means</w:t>
      </w:r>
      <w:r w:rsidR="00CE120E" w:rsidRPr="002159A1">
        <w:t xml:space="preserve"> they can buy more</w:t>
      </w:r>
      <w:r w:rsidR="00ED7FA2" w:rsidRPr="002159A1">
        <w:t xml:space="preserve"> goods and services</w:t>
      </w:r>
      <w:r w:rsidR="00221B01">
        <w:t>, including leisure time</w:t>
      </w:r>
      <w:r w:rsidR="00ED7FA2" w:rsidRPr="002159A1">
        <w:t>.</w:t>
      </w:r>
      <w:r w:rsidR="00325B26" w:rsidRPr="007D361D">
        <w:rPr>
          <w:rStyle w:val="FootnoteReference"/>
        </w:rPr>
        <w:footnoteReference w:id="4"/>
      </w:r>
    </w:p>
    <w:p w:rsidR="006E0DC9" w:rsidRPr="007648DA" w:rsidRDefault="006E0DC9" w:rsidP="006E0DC9">
      <w:pPr>
        <w:pStyle w:val="ListBullet2"/>
      </w:pPr>
      <w:r w:rsidRPr="007648DA">
        <w:t xml:space="preserve">The income effect </w:t>
      </w:r>
      <w:r w:rsidR="00CE120E" w:rsidRPr="007648DA">
        <w:t>is measured as</w:t>
      </w:r>
      <w:r w:rsidRPr="007648DA">
        <w:t xml:space="preserve"> the dollar value of housing assistance received</w:t>
      </w:r>
      <w:r w:rsidR="002B56E7">
        <w:t xml:space="preserve">, </w:t>
      </w:r>
      <w:r w:rsidR="0054663C" w:rsidRPr="007648DA">
        <w:t>or the size of the subsidy</w:t>
      </w:r>
      <w:r w:rsidRPr="007648DA">
        <w:t>.</w:t>
      </w:r>
    </w:p>
    <w:p w:rsidR="00ED7FA2" w:rsidRDefault="00ED673C" w:rsidP="00987A5E">
      <w:pPr>
        <w:pStyle w:val="ListBullet"/>
      </w:pPr>
      <w:r>
        <w:t xml:space="preserve">Second, </w:t>
      </w:r>
      <w:r w:rsidR="00221B01">
        <w:t>when</w:t>
      </w:r>
      <w:r w:rsidR="005D44F1">
        <w:t xml:space="preserve"> the subsidy is </w:t>
      </w:r>
      <w:r w:rsidR="00221B01">
        <w:t>related to income levels</w:t>
      </w:r>
      <w:r w:rsidR="005D44F1">
        <w:t xml:space="preserve">, </w:t>
      </w:r>
      <w:r>
        <w:t xml:space="preserve">it can </w:t>
      </w:r>
      <w:r w:rsidR="00987A5E">
        <w:t xml:space="preserve">change </w:t>
      </w:r>
      <w:r>
        <w:t xml:space="preserve">how much </w:t>
      </w:r>
      <w:r w:rsidR="00987A5E">
        <w:t xml:space="preserve">disposable income </w:t>
      </w:r>
      <w:r>
        <w:t>a person takes home from</w:t>
      </w:r>
      <w:r w:rsidR="00BB27D3">
        <w:t xml:space="preserve"> </w:t>
      </w:r>
      <w:r w:rsidR="00BB27D3" w:rsidRPr="007A1D7E">
        <w:rPr>
          <w:i/>
        </w:rPr>
        <w:t>any</w:t>
      </w:r>
      <w:r w:rsidRPr="007A1D7E">
        <w:rPr>
          <w:i/>
        </w:rPr>
        <w:t xml:space="preserve"> </w:t>
      </w:r>
      <w:r w:rsidR="00BB27D3" w:rsidRPr="007A1D7E">
        <w:rPr>
          <w:i/>
        </w:rPr>
        <w:t xml:space="preserve">increase </w:t>
      </w:r>
      <w:r w:rsidR="00BB27D3" w:rsidRPr="00BB27D3">
        <w:t>in</w:t>
      </w:r>
      <w:r w:rsidR="00BB27D3">
        <w:t xml:space="preserve"> </w:t>
      </w:r>
      <w:r w:rsidR="00383663">
        <w:t>market income</w:t>
      </w:r>
      <w:r w:rsidR="00CE120E">
        <w:t xml:space="preserve"> (or income earned from employment)</w:t>
      </w:r>
      <w:r w:rsidR="00987A5E">
        <w:t>.</w:t>
      </w:r>
      <w:r w:rsidR="007B4CBA" w:rsidRPr="007D361D">
        <w:rPr>
          <w:rStyle w:val="FootnoteReference"/>
        </w:rPr>
        <w:footnoteReference w:id="5"/>
      </w:r>
      <w:r w:rsidR="00677C8E">
        <w:t xml:space="preserve"> </w:t>
      </w:r>
      <w:r w:rsidR="00BB27D3">
        <w:t xml:space="preserve">Throughout the paper, this is termed </w:t>
      </w:r>
      <w:r w:rsidR="00CE120E">
        <w:t>a</w:t>
      </w:r>
      <w:r w:rsidR="00325B26">
        <w:t xml:space="preserve"> </w:t>
      </w:r>
      <w:r w:rsidR="005F004F">
        <w:t xml:space="preserve">price </w:t>
      </w:r>
      <w:r w:rsidR="00A0328D">
        <w:t>effect</w:t>
      </w:r>
      <w:r w:rsidR="00602EEC">
        <w:t xml:space="preserve">. </w:t>
      </w:r>
      <w:r w:rsidR="00BB27D3">
        <w:t xml:space="preserve">The withdrawal of </w:t>
      </w:r>
      <w:r w:rsidR="005F004F">
        <w:t xml:space="preserve">housing assistance </w:t>
      </w:r>
      <w:r w:rsidR="00677C8E">
        <w:t>as market income rises</w:t>
      </w:r>
      <w:r w:rsidR="00BB27D3">
        <w:t xml:space="preserve"> means that</w:t>
      </w:r>
      <w:r w:rsidR="00677C8E">
        <w:t xml:space="preserve"> </w:t>
      </w:r>
      <w:r w:rsidR="00A0328D">
        <w:t xml:space="preserve">disposable </w:t>
      </w:r>
      <w:r w:rsidR="00677C8E">
        <w:t>income increase</w:t>
      </w:r>
      <w:r w:rsidR="00597EA1">
        <w:t>s</w:t>
      </w:r>
      <w:r w:rsidR="00677C8E">
        <w:t xml:space="preserve"> by less than </w:t>
      </w:r>
      <w:r w:rsidR="00383663">
        <w:t>market income</w:t>
      </w:r>
      <w:r w:rsidR="00677C8E">
        <w:t xml:space="preserve"> </w:t>
      </w:r>
      <w:r w:rsidR="005F004F">
        <w:t>(the ‘price’</w:t>
      </w:r>
      <w:r w:rsidR="00470346">
        <w:t xml:space="preserve"> of work</w:t>
      </w:r>
      <w:r w:rsidR="005F004F">
        <w:t>)</w:t>
      </w:r>
      <w:r w:rsidR="00677C8E">
        <w:t>.</w:t>
      </w:r>
      <w:r w:rsidR="00325B26" w:rsidRPr="007D361D">
        <w:rPr>
          <w:rStyle w:val="FootnoteReference"/>
        </w:rPr>
        <w:footnoteReference w:id="6"/>
      </w:r>
    </w:p>
    <w:p w:rsidR="00987A5E" w:rsidRDefault="001449CD" w:rsidP="00383663">
      <w:pPr>
        <w:pStyle w:val="ListBullet2"/>
      </w:pPr>
      <w:r>
        <w:t xml:space="preserve">The price effect </w:t>
      </w:r>
      <w:r w:rsidR="00822831">
        <w:t xml:space="preserve">acts as </w:t>
      </w:r>
      <w:r w:rsidR="00677C8E">
        <w:t>a tax on work</w:t>
      </w:r>
      <w:r w:rsidR="00CE120E">
        <w:t>.</w:t>
      </w:r>
      <w:r w:rsidR="00677C8E">
        <w:t xml:space="preserve"> </w:t>
      </w:r>
      <w:r w:rsidR="00CE120E">
        <w:t>T</w:t>
      </w:r>
      <w:r w:rsidR="00677C8E">
        <w:t xml:space="preserve">he </w:t>
      </w:r>
      <w:r w:rsidR="00822831">
        <w:t xml:space="preserve">increase in </w:t>
      </w:r>
      <w:r w:rsidR="00605E8D">
        <w:t xml:space="preserve">disposable </w:t>
      </w:r>
      <w:r w:rsidR="00822831">
        <w:t xml:space="preserve">income </w:t>
      </w:r>
      <w:r w:rsidR="00383663">
        <w:t xml:space="preserve">per dollar of </w:t>
      </w:r>
      <w:r w:rsidR="00602EEC">
        <w:t>market income</w:t>
      </w:r>
      <w:r w:rsidR="00822831">
        <w:t xml:space="preserve"> </w:t>
      </w:r>
      <w:r w:rsidR="00383663">
        <w:t xml:space="preserve">is less than one, and can be thought of as </w:t>
      </w:r>
      <w:r w:rsidR="00383663" w:rsidRPr="00494E95">
        <w:rPr>
          <w:i/>
        </w:rPr>
        <w:t>(1 – tax)</w:t>
      </w:r>
      <w:r w:rsidR="00383663">
        <w:t xml:space="preserve">. </w:t>
      </w:r>
      <w:r w:rsidR="00D114D1">
        <w:t>More generally,</w:t>
      </w:r>
      <w:r w:rsidR="00822831">
        <w:t xml:space="preserve"> </w:t>
      </w:r>
      <w:r w:rsidR="00822831" w:rsidRPr="00383663">
        <w:rPr>
          <w:i/>
        </w:rPr>
        <w:t>tax</w:t>
      </w:r>
      <w:r w:rsidR="00822831">
        <w:t xml:space="preserve"> </w:t>
      </w:r>
      <w:r w:rsidR="00D114D1">
        <w:t>can be thought of as</w:t>
      </w:r>
      <w:r w:rsidR="00822831">
        <w:t xml:space="preserve"> a</w:t>
      </w:r>
      <w:r w:rsidR="007C316C">
        <w:t>n</w:t>
      </w:r>
      <w:r w:rsidR="00822831">
        <w:t xml:space="preserve"> ‘</w:t>
      </w:r>
      <w:r w:rsidR="007C316C">
        <w:t>effective tax rate</w:t>
      </w:r>
      <w:r w:rsidR="00822831">
        <w:t>’</w:t>
      </w:r>
      <w:r w:rsidR="00AA334C">
        <w:t xml:space="preserve"> that accounts for the net effect of all aspects of the tax and transfer system, including </w:t>
      </w:r>
      <w:r w:rsidR="00605E8D">
        <w:t xml:space="preserve">income tax payments and </w:t>
      </w:r>
      <w:r w:rsidR="00AA334C">
        <w:t>any withdrawal of benefits</w:t>
      </w:r>
      <w:r w:rsidR="00D114D1">
        <w:t xml:space="preserve"> in addition to the withdrawal of housing assistance</w:t>
      </w:r>
      <w:r w:rsidR="00822831">
        <w:t>.</w:t>
      </w:r>
    </w:p>
    <w:p w:rsidR="00665132" w:rsidRPr="00AE045F" w:rsidRDefault="00AA334C" w:rsidP="002E6562">
      <w:pPr>
        <w:pStyle w:val="BodyText"/>
      </w:pPr>
      <w:r w:rsidRPr="00AE045F">
        <w:t>E</w:t>
      </w:r>
      <w:r w:rsidR="002A5698" w:rsidRPr="00AE045F">
        <w:t xml:space="preserve">conomists </w:t>
      </w:r>
      <w:r w:rsidRPr="00AE045F">
        <w:t xml:space="preserve">often </w:t>
      </w:r>
      <w:r w:rsidR="002A5698" w:rsidRPr="00AE045F">
        <w:t>use</w:t>
      </w:r>
      <w:r w:rsidR="002E6562" w:rsidRPr="00AE045F">
        <w:t xml:space="preserve"> </w:t>
      </w:r>
      <w:r w:rsidR="00D67048" w:rsidRPr="00AE045F">
        <w:t xml:space="preserve">shifts in </w:t>
      </w:r>
      <w:r w:rsidR="002E6562" w:rsidRPr="00AE045F">
        <w:t>budget constraint</w:t>
      </w:r>
      <w:r w:rsidR="00411033" w:rsidRPr="00AE045F">
        <w:t>s</w:t>
      </w:r>
      <w:r w:rsidR="002E6562" w:rsidRPr="00AE045F">
        <w:t xml:space="preserve"> and</w:t>
      </w:r>
      <w:r w:rsidR="00D67048" w:rsidRPr="00AE045F">
        <w:t xml:space="preserve"> changes in</w:t>
      </w:r>
      <w:r w:rsidR="002E6562" w:rsidRPr="00AE045F">
        <w:t xml:space="preserve"> </w:t>
      </w:r>
      <w:r w:rsidR="00ED7FA2" w:rsidRPr="00AE045F">
        <w:t xml:space="preserve">effective </w:t>
      </w:r>
      <w:r w:rsidR="002E6562" w:rsidRPr="00AE045F">
        <w:t>marginal tax rates</w:t>
      </w:r>
      <w:r w:rsidR="00616777" w:rsidRPr="00AE045F">
        <w:t xml:space="preserve"> (EMTR</w:t>
      </w:r>
      <w:r w:rsidR="00602EEC" w:rsidRPr="00AE045F">
        <w:t>s</w:t>
      </w:r>
      <w:r w:rsidR="00616777" w:rsidRPr="00AE045F">
        <w:t>)</w:t>
      </w:r>
      <w:r w:rsidR="00D67048" w:rsidRPr="00AE045F">
        <w:t>, respectively,</w:t>
      </w:r>
      <w:r w:rsidR="002E6562" w:rsidRPr="00AE045F">
        <w:t xml:space="preserve"> to represent </w:t>
      </w:r>
      <w:r w:rsidR="00552FFC" w:rsidRPr="00AE045F">
        <w:t>the</w:t>
      </w:r>
      <w:r w:rsidR="00ED7FA2" w:rsidRPr="00AE045F">
        <w:t>se</w:t>
      </w:r>
      <w:r w:rsidR="00552FFC" w:rsidRPr="00AE045F">
        <w:t xml:space="preserve"> two effects of subsidies on </w:t>
      </w:r>
      <w:r w:rsidR="002E6562" w:rsidRPr="00AE045F">
        <w:t>financial incentives</w:t>
      </w:r>
      <w:r w:rsidR="00AE045F">
        <w:rPr>
          <w:spacing w:val="-2"/>
        </w:rPr>
        <w:t xml:space="preserve"> to work</w:t>
      </w:r>
      <w:r w:rsidR="002E6562" w:rsidRPr="00AE045F">
        <w:t>.</w:t>
      </w:r>
      <w:r w:rsidR="00B07DFE">
        <w:rPr>
          <w:rStyle w:val="FootnoteReference"/>
        </w:rPr>
        <w:footnoteReference w:id="7"/>
      </w:r>
      <w:r w:rsidR="00383663" w:rsidRPr="00AE045F">
        <w:t xml:space="preserve"> </w:t>
      </w:r>
      <w:r w:rsidR="00160357">
        <w:t>Financial i</w:t>
      </w:r>
      <w:r w:rsidR="00665132" w:rsidRPr="00AE045F">
        <w:t xml:space="preserve">ncentives to work </w:t>
      </w:r>
      <w:r w:rsidR="0054663C">
        <w:t>are</w:t>
      </w:r>
      <w:r w:rsidR="00665132" w:rsidRPr="00AE045F">
        <w:t xml:space="preserve"> </w:t>
      </w:r>
      <w:r w:rsidR="00160357">
        <w:t>described</w:t>
      </w:r>
      <w:r w:rsidR="00160357" w:rsidRPr="00AE045F">
        <w:t xml:space="preserve"> </w:t>
      </w:r>
      <w:r w:rsidR="00665132" w:rsidRPr="00AE045F">
        <w:t xml:space="preserve">in </w:t>
      </w:r>
      <w:r w:rsidR="00160357">
        <w:t xml:space="preserve">more </w:t>
      </w:r>
      <w:r w:rsidR="00AE045F">
        <w:rPr>
          <w:spacing w:val="-2"/>
        </w:rPr>
        <w:t xml:space="preserve">detail in </w:t>
      </w:r>
      <w:r w:rsidR="00665132" w:rsidRPr="00AE045F">
        <w:t>box</w:t>
      </w:r>
      <w:r w:rsidR="00CD1A47" w:rsidRPr="00AE045F">
        <w:t> </w:t>
      </w:r>
      <w:r w:rsidR="008F16BC">
        <w:t>1</w:t>
      </w:r>
      <w:r w:rsidR="00383663" w:rsidRPr="00AE045F">
        <w:t>.</w:t>
      </w:r>
      <w:r w:rsidR="00FB72A9" w:rsidRPr="007D361D">
        <w:rPr>
          <w:rStyle w:val="FootnoteReference"/>
        </w:rPr>
        <w:footnoteReference w:id="8"/>
      </w:r>
    </w:p>
    <w:p w:rsidR="00A75965" w:rsidRPr="00CD1A47" w:rsidRDefault="00A75965" w:rsidP="00CD1A4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75965" w:rsidTr="007E6357">
        <w:tc>
          <w:tcPr>
            <w:tcW w:w="8771" w:type="dxa"/>
            <w:tcBorders>
              <w:top w:val="single" w:sz="6" w:space="0" w:color="78A22F"/>
              <w:left w:val="nil"/>
              <w:bottom w:val="nil"/>
              <w:right w:val="nil"/>
            </w:tcBorders>
            <w:shd w:val="clear" w:color="auto" w:fill="F2F2F2" w:themeFill="background1" w:themeFillShade="F2"/>
          </w:tcPr>
          <w:p w:rsidR="00A75965" w:rsidRDefault="00A75965" w:rsidP="00160357">
            <w:pPr>
              <w:pStyle w:val="BoxTitle"/>
            </w:pPr>
            <w:r>
              <w:rPr>
                <w:b w:val="0"/>
              </w:rPr>
              <w:t xml:space="preserve">Box </w:t>
            </w:r>
            <w:bookmarkStart w:id="3" w:name="OLE_LINK33"/>
            <w:bookmarkStart w:id="4" w:name="OLE_LINK6"/>
            <w:r>
              <w:rPr>
                <w:b w:val="0"/>
              </w:rPr>
              <w:fldChar w:fldCharType="begin"/>
            </w:r>
            <w:r>
              <w:rPr>
                <w:b w:val="0"/>
              </w:rPr>
              <w:instrText xml:space="preserve"> SEQ Box \* ARABIC </w:instrText>
            </w:r>
            <w:r>
              <w:rPr>
                <w:b w:val="0"/>
              </w:rPr>
              <w:fldChar w:fldCharType="separate"/>
            </w:r>
            <w:r w:rsidR="002368BE">
              <w:rPr>
                <w:b w:val="0"/>
                <w:noProof/>
              </w:rPr>
              <w:t>1</w:t>
            </w:r>
            <w:r>
              <w:rPr>
                <w:b w:val="0"/>
              </w:rPr>
              <w:fldChar w:fldCharType="end"/>
            </w:r>
            <w:bookmarkEnd w:id="3"/>
            <w:bookmarkEnd w:id="4"/>
            <w:r>
              <w:tab/>
            </w:r>
            <w:r w:rsidR="00160357">
              <w:t>Financial i</w:t>
            </w:r>
            <w:r>
              <w:t>ncentives to work</w:t>
            </w:r>
          </w:p>
        </w:tc>
      </w:tr>
      <w:tr w:rsidR="00A75965" w:rsidTr="007E6357">
        <w:trPr>
          <w:cantSplit/>
        </w:trPr>
        <w:tc>
          <w:tcPr>
            <w:tcW w:w="8771" w:type="dxa"/>
            <w:tcBorders>
              <w:top w:val="nil"/>
              <w:left w:val="nil"/>
              <w:bottom w:val="nil"/>
              <w:right w:val="nil"/>
            </w:tcBorders>
            <w:shd w:val="clear" w:color="auto" w:fill="F2F2F2" w:themeFill="background1" w:themeFillShade="F2"/>
          </w:tcPr>
          <w:p w:rsidR="00957397" w:rsidRDefault="007F3505" w:rsidP="00CD1A47">
            <w:pPr>
              <w:pStyle w:val="Box"/>
            </w:pPr>
            <w:r>
              <w:t xml:space="preserve">The amount of </w:t>
            </w:r>
            <w:r w:rsidR="00251AD2">
              <w:t xml:space="preserve">disposable income </w:t>
            </w:r>
            <w:r>
              <w:t xml:space="preserve">that a person has </w:t>
            </w:r>
            <w:r w:rsidR="00251AD2">
              <w:t>at a</w:t>
            </w:r>
            <w:r>
              <w:t>ny</w:t>
            </w:r>
            <w:r w:rsidR="00251AD2">
              <w:t xml:space="preserve"> given level of market income can be represented </w:t>
            </w:r>
            <w:r w:rsidR="004A33DE">
              <w:t>as</w:t>
            </w:r>
            <w:r w:rsidR="00251AD2">
              <w:t xml:space="preserve"> a budget constraint.</w:t>
            </w:r>
            <w:r w:rsidR="00957397">
              <w:t xml:space="preserve"> A comparison of </w:t>
            </w:r>
            <w:r w:rsidR="00384449">
              <w:t xml:space="preserve">budget constraints </w:t>
            </w:r>
            <w:r w:rsidR="00CE120E">
              <w:t>‘with’</w:t>
            </w:r>
            <w:r w:rsidR="00957397">
              <w:t xml:space="preserve"> and </w:t>
            </w:r>
            <w:r w:rsidR="00CE120E">
              <w:t xml:space="preserve">‘without’ </w:t>
            </w:r>
            <w:r w:rsidR="00384449">
              <w:t xml:space="preserve">a </w:t>
            </w:r>
            <w:r w:rsidR="00957397">
              <w:t>policy reveal</w:t>
            </w:r>
            <w:r w:rsidR="00B23C56">
              <w:t>s</w:t>
            </w:r>
            <w:r w:rsidR="00957397">
              <w:t xml:space="preserve"> the income effect of </w:t>
            </w:r>
            <w:r w:rsidR="00384449">
              <w:t>that</w:t>
            </w:r>
            <w:r w:rsidR="00957397">
              <w:t xml:space="preserve"> policy.</w:t>
            </w:r>
          </w:p>
          <w:p w:rsidR="003A4DA5" w:rsidRDefault="00A75965" w:rsidP="00CD1A47">
            <w:pPr>
              <w:pStyle w:val="Box"/>
            </w:pPr>
            <w:r>
              <w:t xml:space="preserve">In the figure below, </w:t>
            </w:r>
            <w:r w:rsidR="003A4DA5">
              <w:t xml:space="preserve">the 45 degree line represents </w:t>
            </w:r>
            <w:r w:rsidR="00B23C56">
              <w:t>a</w:t>
            </w:r>
            <w:r w:rsidR="00CE120E">
              <w:t xml:space="preserve"> </w:t>
            </w:r>
            <w:r w:rsidR="003A4DA5">
              <w:t>budget constraint</w:t>
            </w:r>
            <w:r w:rsidR="00384449">
              <w:t xml:space="preserve"> without </w:t>
            </w:r>
            <w:r w:rsidR="000707EE">
              <w:t>taxes or transfers</w:t>
            </w:r>
            <w:r w:rsidR="00965462">
              <w:t> </w:t>
            </w:r>
            <w:r w:rsidR="000707EE">
              <w:t>— </w:t>
            </w:r>
            <w:r w:rsidR="00957397">
              <w:t>disposable income equals market income</w:t>
            </w:r>
            <w:r w:rsidR="000707EE">
              <w:t>. This line is identified as ‘without policy’.</w:t>
            </w:r>
          </w:p>
          <w:p w:rsidR="00A75965" w:rsidRDefault="003E353E" w:rsidP="00CD1A47">
            <w:pPr>
              <w:pStyle w:val="Box"/>
            </w:pPr>
            <w:r>
              <w:t>Imagine a</w:t>
            </w:r>
            <w:r w:rsidR="00A75965">
              <w:t xml:space="preserve">n illustrative policy </w:t>
            </w:r>
            <w:r>
              <w:t xml:space="preserve">that </w:t>
            </w:r>
            <w:r w:rsidR="00391535">
              <w:t xml:space="preserve">provides a subsidy to renters. </w:t>
            </w:r>
            <w:r w:rsidR="00384449">
              <w:t>D</w:t>
            </w:r>
            <w:r w:rsidR="00A75965">
              <w:t xml:space="preserve">isposable income </w:t>
            </w:r>
            <w:r w:rsidR="00391535">
              <w:t xml:space="preserve">at zero market income increases by the amount of this subsidy, </w:t>
            </w:r>
            <w:r w:rsidR="00A75965">
              <w:t>$A</w:t>
            </w:r>
            <w:r w:rsidR="00391535">
              <w:t> </w:t>
            </w:r>
            <w:r w:rsidR="00A75965">
              <w:t>—</w:t>
            </w:r>
            <w:r w:rsidR="00391535">
              <w:t> </w:t>
            </w:r>
            <w:r w:rsidR="00A75965">
              <w:t>an income effect.</w:t>
            </w:r>
            <w:r w:rsidR="00F555F7">
              <w:t xml:space="preserve"> </w:t>
            </w:r>
            <w:r w:rsidR="003A4DA5">
              <w:t xml:space="preserve">The subsidy is unchanged </w:t>
            </w:r>
            <w:r w:rsidR="00AE045F">
              <w:t xml:space="preserve">as </w:t>
            </w:r>
            <w:r w:rsidR="003A4DA5">
              <w:t xml:space="preserve">market income </w:t>
            </w:r>
            <w:r w:rsidR="00AE045F">
              <w:t xml:space="preserve">increases to </w:t>
            </w:r>
            <w:r w:rsidR="003A4DA5">
              <w:t xml:space="preserve">$X, </w:t>
            </w:r>
            <w:r w:rsidR="00AE045F">
              <w:t xml:space="preserve">and </w:t>
            </w:r>
            <w:r w:rsidR="00A75965">
              <w:t xml:space="preserve">is </w:t>
            </w:r>
            <w:r w:rsidR="00AE045F">
              <w:t xml:space="preserve">then </w:t>
            </w:r>
            <w:r w:rsidR="00A75965">
              <w:t xml:space="preserve">withdrawn </w:t>
            </w:r>
            <w:r w:rsidR="00AE045F">
              <w:t>as market income</w:t>
            </w:r>
            <w:r w:rsidR="00A75965">
              <w:t xml:space="preserve"> increases beyond $X, reducing the income effect and imposing a price effect (explained below). At higher levels of labour supply (beyond $Y market income), the subsidy goes to zero, and the </w:t>
            </w:r>
            <w:r w:rsidR="00384449">
              <w:t xml:space="preserve">budget constraints </w:t>
            </w:r>
            <w:r w:rsidR="00CE120E">
              <w:t xml:space="preserve">with </w:t>
            </w:r>
            <w:r w:rsidR="00384449">
              <w:t xml:space="preserve">and without the </w:t>
            </w:r>
            <w:r w:rsidR="00CE120E">
              <w:t>policy</w:t>
            </w:r>
            <w:r w:rsidR="00A75965">
              <w:t xml:space="preserve"> coincide.</w:t>
            </w:r>
            <w:r w:rsidR="003A4DA5">
              <w:t xml:space="preserve"> The budget constraint </w:t>
            </w:r>
            <w:r w:rsidR="00384449">
              <w:t xml:space="preserve">with the policy in place </w:t>
            </w:r>
            <w:r w:rsidR="003A4DA5">
              <w:t>is represented by the solid line up to market income $Y and the 45 degree line thereafter.</w:t>
            </w:r>
          </w:p>
          <w:p w:rsidR="00DB76EC" w:rsidRDefault="00DB76EC" w:rsidP="00DB76EC">
            <w:pPr>
              <w:pStyle w:val="Box"/>
              <w:rPr>
                <w:spacing w:val="-2"/>
              </w:rPr>
            </w:pPr>
            <w:r w:rsidRPr="0001555D">
              <w:rPr>
                <w:spacing w:val="-2"/>
              </w:rPr>
              <w:t>The distance between the</w:t>
            </w:r>
            <w:r>
              <w:rPr>
                <w:spacing w:val="-2"/>
              </w:rPr>
              <w:t xml:space="preserve"> two</w:t>
            </w:r>
            <w:r w:rsidRPr="0001555D">
              <w:rPr>
                <w:spacing w:val="-2"/>
              </w:rPr>
              <w:t xml:space="preserve"> budget constraints at any level of market income represents the size of the housing assistance </w:t>
            </w:r>
            <w:r>
              <w:rPr>
                <w:spacing w:val="-2"/>
              </w:rPr>
              <w:t>(</w:t>
            </w:r>
            <w:r w:rsidRPr="0001555D">
              <w:rPr>
                <w:spacing w:val="-2"/>
              </w:rPr>
              <w:t>subsidy</w:t>
            </w:r>
            <w:r>
              <w:rPr>
                <w:spacing w:val="-2"/>
              </w:rPr>
              <w:t>)</w:t>
            </w:r>
            <w:r w:rsidRPr="0001555D">
              <w:rPr>
                <w:spacing w:val="-2"/>
              </w:rPr>
              <w:t xml:space="preserve"> at that income level.</w:t>
            </w:r>
          </w:p>
          <w:p w:rsidR="0001555D" w:rsidRDefault="00DB76EC" w:rsidP="002368BE">
            <w:pPr>
              <w:pStyle w:val="Box"/>
              <w:spacing w:after="240"/>
            </w:pPr>
            <w:r>
              <w:t>The price effect of a policy at any level of market income is captured by comparing the effective marginal tax rates (EMTRs) faced by a person with and without the policy.</w:t>
            </w:r>
          </w:p>
          <w:p w:rsidR="00FF69F3" w:rsidRPr="0001555D" w:rsidRDefault="002368BE" w:rsidP="002368BE">
            <w:pPr>
              <w:pStyle w:val="Box"/>
            </w:pPr>
            <w:r>
              <w:rPr>
                <w:noProof/>
              </w:rPr>
              <w:drawing>
                <wp:inline distT="0" distB="0" distL="0" distR="0">
                  <wp:extent cx="5273675" cy="2519680"/>
                  <wp:effectExtent l="0" t="0" r="0" b="0"/>
                  <wp:docPr id="5" name="Picture 5" descr="This chart illustrates the effects of rent subsidies on disposable income. Disposable income at zero market income increases by the amount of the subsidy (income effect). The subsidy is unchanged as market income increases to $X, and is then withdrawn as market income increases beyond $X, reducing the income effect and imposing a price effect. At higher levels of labour supply (beyond $Y market income), the subsidy goes to zero, and the budget constraints with and without the policy coincide." title="The price and income effects of rent subsid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3675" cy="2519680"/>
                          </a:xfrm>
                          <a:prstGeom prst="rect">
                            <a:avLst/>
                          </a:prstGeom>
                          <a:noFill/>
                          <a:ln>
                            <a:noFill/>
                          </a:ln>
                        </pic:spPr>
                      </pic:pic>
                    </a:graphicData>
                  </a:graphic>
                </wp:inline>
              </w:drawing>
            </w:r>
          </w:p>
        </w:tc>
      </w:tr>
      <w:tr w:rsidR="00A75965" w:rsidTr="007E6357">
        <w:trPr>
          <w:cantSplit/>
        </w:trPr>
        <w:tc>
          <w:tcPr>
            <w:tcW w:w="8771" w:type="dxa"/>
            <w:tcBorders>
              <w:top w:val="nil"/>
              <w:left w:val="nil"/>
              <w:bottom w:val="nil"/>
              <w:right w:val="nil"/>
            </w:tcBorders>
            <w:shd w:val="clear" w:color="auto" w:fill="F2F2F2" w:themeFill="background1" w:themeFillShade="F2"/>
          </w:tcPr>
          <w:p w:rsidR="00A75965" w:rsidRDefault="00591E23" w:rsidP="0002035B">
            <w:pPr>
              <w:pStyle w:val="Continued"/>
            </w:pPr>
            <w:r>
              <w:t>(c</w:t>
            </w:r>
            <w:r w:rsidR="00A75965">
              <w:t>ontinued next page</w:t>
            </w:r>
            <w:r>
              <w:t>)</w:t>
            </w:r>
          </w:p>
        </w:tc>
      </w:tr>
      <w:tr w:rsidR="00A75965" w:rsidTr="007E6357">
        <w:trPr>
          <w:cantSplit/>
        </w:trPr>
        <w:tc>
          <w:tcPr>
            <w:tcW w:w="8771" w:type="dxa"/>
            <w:tcBorders>
              <w:top w:val="nil"/>
              <w:left w:val="nil"/>
              <w:bottom w:val="single" w:sz="6" w:space="0" w:color="78A22F"/>
              <w:right w:val="nil"/>
            </w:tcBorders>
            <w:shd w:val="clear" w:color="auto" w:fill="F2F2F2" w:themeFill="background1" w:themeFillShade="F2"/>
          </w:tcPr>
          <w:p w:rsidR="00A75965" w:rsidRDefault="00A75965">
            <w:pPr>
              <w:pStyle w:val="Box"/>
              <w:spacing w:before="0" w:line="120" w:lineRule="exact"/>
            </w:pPr>
          </w:p>
        </w:tc>
      </w:tr>
      <w:tr w:rsidR="00A75965" w:rsidRPr="000863A5" w:rsidTr="007E6357">
        <w:tc>
          <w:tcPr>
            <w:tcW w:w="8771" w:type="dxa"/>
            <w:tcBorders>
              <w:top w:val="single" w:sz="6" w:space="0" w:color="78A22F"/>
              <w:left w:val="nil"/>
              <w:bottom w:val="nil"/>
              <w:right w:val="nil"/>
            </w:tcBorders>
          </w:tcPr>
          <w:p w:rsidR="00A75965" w:rsidRPr="00626D32" w:rsidRDefault="00A75965" w:rsidP="007E6357">
            <w:pPr>
              <w:pStyle w:val="BoxSpaceBelow"/>
            </w:pPr>
          </w:p>
        </w:tc>
      </w:tr>
    </w:tbl>
    <w:p w:rsidR="00665132" w:rsidRDefault="0066513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65132" w:rsidTr="00081BA3">
        <w:tc>
          <w:tcPr>
            <w:tcW w:w="8771" w:type="dxa"/>
            <w:tcBorders>
              <w:top w:val="single" w:sz="6" w:space="0" w:color="78A22F"/>
              <w:left w:val="nil"/>
              <w:bottom w:val="nil"/>
              <w:right w:val="nil"/>
            </w:tcBorders>
            <w:shd w:val="clear" w:color="auto" w:fill="F2F2F2" w:themeFill="background1" w:themeFillShade="F2"/>
          </w:tcPr>
          <w:p w:rsidR="00665132" w:rsidRDefault="00665132" w:rsidP="00591E23">
            <w:pPr>
              <w:pStyle w:val="BoxTitle"/>
            </w:pPr>
            <w:r w:rsidRPr="00CF1BE3">
              <w:rPr>
                <w:b w:val="0"/>
              </w:rPr>
              <w:t>Box</w:t>
            </w:r>
            <w:r w:rsidR="00A75965" w:rsidRPr="00CF1BE3">
              <w:rPr>
                <w:b w:val="0"/>
              </w:rPr>
              <w:t xml:space="preserve"> </w:t>
            </w:r>
            <w:r w:rsidR="00CF1BE3">
              <w:rPr>
                <w:b w:val="0"/>
              </w:rPr>
              <w:t>1</w:t>
            </w:r>
            <w:r>
              <w:tab/>
            </w:r>
            <w:r w:rsidR="00591E23" w:rsidRPr="00591E23">
              <w:rPr>
                <w:b w:val="0"/>
                <w:sz w:val="18"/>
                <w:szCs w:val="18"/>
              </w:rPr>
              <w:t>(continued)</w:t>
            </w:r>
          </w:p>
        </w:tc>
      </w:tr>
      <w:tr w:rsidR="00665132" w:rsidTr="00081BA3">
        <w:trPr>
          <w:cantSplit/>
        </w:trPr>
        <w:tc>
          <w:tcPr>
            <w:tcW w:w="8771" w:type="dxa"/>
            <w:tcBorders>
              <w:top w:val="nil"/>
              <w:left w:val="nil"/>
              <w:bottom w:val="nil"/>
              <w:right w:val="nil"/>
            </w:tcBorders>
            <w:shd w:val="clear" w:color="auto" w:fill="F2F2F2" w:themeFill="background1" w:themeFillShade="F2"/>
          </w:tcPr>
          <w:p w:rsidR="00291DE7" w:rsidRDefault="00291DE7" w:rsidP="00665132">
            <w:pPr>
              <w:pStyle w:val="Box"/>
            </w:pPr>
            <w:r>
              <w:t xml:space="preserve">EMTRs are derived from the slope of the budget constraints. The slope equals the proportion of an additional unit of market income (the ‘marginal’ market income) that is retained as disposable income. For example, a slope of 0.8 indicates that a person retains 80 per cent of their marginal market income. The effective marginal tax rate is calculated as 1 minus the slope of the budget constraint — in this example, it would be 0.2, or 20 per cent (effective marginal tax rates are often expressed in percentage form). All else equal, the </w:t>
            </w:r>
            <w:r>
              <w:rPr>
                <w:i/>
              </w:rPr>
              <w:t>lower</w:t>
            </w:r>
            <w:r>
              <w:t xml:space="preserve"> (flatter) the slope of the budget constraint, the </w:t>
            </w:r>
            <w:r>
              <w:rPr>
                <w:i/>
              </w:rPr>
              <w:t>higher</w:t>
            </w:r>
            <w:r>
              <w:t xml:space="preserve"> the effective marginal tax rate.</w:t>
            </w:r>
          </w:p>
          <w:p w:rsidR="009C0CC4" w:rsidRDefault="009C0CC4" w:rsidP="00665132">
            <w:pPr>
              <w:pStyle w:val="Box"/>
            </w:pPr>
            <w:r>
              <w:t>In the figure, the slope of the budget constraint with the policy in place is equal to 1 both up to $X and beyond $Y. In this range, the contribution of the policy to the EMTR is zero. The person retains all of each additional dollar of income.</w:t>
            </w:r>
          </w:p>
          <w:p w:rsidR="0001555D" w:rsidRDefault="0001555D" w:rsidP="00665132">
            <w:pPr>
              <w:pStyle w:val="Box"/>
            </w:pPr>
            <w:r>
              <w:t xml:space="preserve">Between $X and $Y, the slope </w:t>
            </w:r>
            <w:r w:rsidR="00036619">
              <w:t xml:space="preserve">of the budget constraint </w:t>
            </w:r>
            <w:r w:rsidR="00384449">
              <w:t xml:space="preserve">with the policy in place </w:t>
            </w:r>
            <w:r>
              <w:t xml:space="preserve">is </w:t>
            </w:r>
            <w:r w:rsidR="008D0CB3">
              <w:t xml:space="preserve">less </w:t>
            </w:r>
            <w:r w:rsidR="00384449">
              <w:t>than 1 —</w:t>
            </w:r>
            <w:r w:rsidR="00594786">
              <w:t xml:space="preserve"> </w:t>
            </w:r>
            <w:r>
              <w:t xml:space="preserve">the </w:t>
            </w:r>
            <w:r w:rsidR="005C14AD">
              <w:t>EMTR</w:t>
            </w:r>
            <w:r>
              <w:t xml:space="preserve"> is greater than zero. In comparison, the slope of the </w:t>
            </w:r>
            <w:r w:rsidR="008D0CB3">
              <w:t>no</w:t>
            </w:r>
            <w:r>
              <w:noBreakHyphen/>
              <w:t xml:space="preserve">policy budget constraint remains equal to 1 over this income range, and the EMTR, therefore, is zero. The difference in EMTRs derived from the budget constraints </w:t>
            </w:r>
            <w:r w:rsidR="00384449">
              <w:t xml:space="preserve">with and without the policy in place </w:t>
            </w:r>
            <w:r>
              <w:t>represents the price effect of the policy.</w:t>
            </w:r>
          </w:p>
          <w:p w:rsidR="00665132" w:rsidRDefault="008D0CB3" w:rsidP="002B56E7">
            <w:pPr>
              <w:pStyle w:val="Box"/>
            </w:pPr>
            <w:r>
              <w:t>T</w:t>
            </w:r>
            <w:r w:rsidR="007C316C" w:rsidRPr="007C316C">
              <w:t xml:space="preserve">he income and price effects of multiple policies </w:t>
            </w:r>
            <w:r w:rsidR="00384449">
              <w:t>are</w:t>
            </w:r>
            <w:r w:rsidR="007C316C" w:rsidRPr="007C316C">
              <w:t xml:space="preserve"> established by comparing </w:t>
            </w:r>
            <w:r>
              <w:t xml:space="preserve">the </w:t>
            </w:r>
            <w:r w:rsidR="007C316C" w:rsidRPr="007C316C">
              <w:t>budget constraints</w:t>
            </w:r>
            <w:r>
              <w:t xml:space="preserve"> associated with each policy</w:t>
            </w:r>
            <w:r w:rsidR="007C316C" w:rsidRPr="007C316C">
              <w:t xml:space="preserve">. For example, a </w:t>
            </w:r>
            <w:r w:rsidR="002B56E7">
              <w:t>person</w:t>
            </w:r>
            <w:r w:rsidR="002B56E7" w:rsidRPr="007C316C">
              <w:t xml:space="preserve"> </w:t>
            </w:r>
            <w:r w:rsidR="007C316C" w:rsidRPr="007C316C">
              <w:t>may receive both housing assistance and a welfare payment. In this case (</w:t>
            </w:r>
            <w:r w:rsidR="00384449">
              <w:t>re</w:t>
            </w:r>
            <w:r w:rsidR="00A61C8A">
              <w:noBreakHyphen/>
            </w:r>
            <w:r w:rsidR="00384449">
              <w:t>interpreting the figure to include the effect of both policies</w:t>
            </w:r>
            <w:r w:rsidR="007C316C" w:rsidRPr="007C316C">
              <w:t xml:space="preserve">), comparing the ‘with policies’ </w:t>
            </w:r>
            <w:r w:rsidR="00384449">
              <w:t xml:space="preserve">and </w:t>
            </w:r>
            <w:r w:rsidR="007C316C" w:rsidRPr="007C316C">
              <w:t>‘without policies’ budget constraint</w:t>
            </w:r>
            <w:r w:rsidR="00384449">
              <w:t>s</w:t>
            </w:r>
            <w:r w:rsidR="007C316C" w:rsidRPr="007C316C">
              <w:t xml:space="preserve"> identifies the incentives due to the combination of policies. Similarly, the effect of housing assistance </w:t>
            </w:r>
            <w:r w:rsidR="001334F5">
              <w:t>could</w:t>
            </w:r>
            <w:r w:rsidR="001334F5" w:rsidRPr="007C316C">
              <w:t xml:space="preserve"> </w:t>
            </w:r>
            <w:r w:rsidR="007C316C" w:rsidRPr="007C316C">
              <w:t xml:space="preserve">be isolated by comparing the ‘with </w:t>
            </w:r>
            <w:r w:rsidR="006269F1">
              <w:t xml:space="preserve">all </w:t>
            </w:r>
            <w:r w:rsidR="007C316C" w:rsidRPr="007C316C">
              <w:t>policies’ budget constraint to a ‘welfare payment</w:t>
            </w:r>
            <w:r>
              <w:t xml:space="preserve"> only</w:t>
            </w:r>
            <w:r w:rsidR="007C316C" w:rsidRPr="007C316C">
              <w:t>’ budget constraint</w:t>
            </w:r>
            <w:r w:rsidR="001334F5">
              <w:t xml:space="preserve"> (not illustrated)</w:t>
            </w:r>
            <w:r w:rsidR="007C316C" w:rsidRPr="007C316C">
              <w:t>.</w:t>
            </w:r>
          </w:p>
        </w:tc>
      </w:tr>
      <w:tr w:rsidR="00665132" w:rsidTr="00081BA3">
        <w:trPr>
          <w:cantSplit/>
        </w:trPr>
        <w:tc>
          <w:tcPr>
            <w:tcW w:w="8771" w:type="dxa"/>
            <w:tcBorders>
              <w:top w:val="nil"/>
              <w:left w:val="nil"/>
              <w:bottom w:val="single" w:sz="6" w:space="0" w:color="78A22F"/>
              <w:right w:val="nil"/>
            </w:tcBorders>
            <w:shd w:val="clear" w:color="auto" w:fill="F2F2F2" w:themeFill="background1" w:themeFillShade="F2"/>
          </w:tcPr>
          <w:p w:rsidR="00665132" w:rsidRDefault="00665132">
            <w:pPr>
              <w:pStyle w:val="Box"/>
              <w:spacing w:before="0" w:line="120" w:lineRule="exact"/>
            </w:pPr>
          </w:p>
        </w:tc>
      </w:tr>
      <w:tr w:rsidR="00665132" w:rsidRPr="000863A5" w:rsidTr="00081BA3">
        <w:tc>
          <w:tcPr>
            <w:tcW w:w="8771" w:type="dxa"/>
            <w:tcBorders>
              <w:top w:val="single" w:sz="6" w:space="0" w:color="78A22F"/>
              <w:left w:val="nil"/>
              <w:bottom w:val="nil"/>
              <w:right w:val="nil"/>
            </w:tcBorders>
          </w:tcPr>
          <w:p w:rsidR="00665132" w:rsidRPr="00626D32" w:rsidRDefault="00665132" w:rsidP="00081BA3">
            <w:pPr>
              <w:pStyle w:val="BoxSpaceBelow"/>
            </w:pPr>
          </w:p>
        </w:tc>
      </w:tr>
    </w:tbl>
    <w:p w:rsidR="009D2216" w:rsidRPr="000A3D3C" w:rsidRDefault="008D0CB3" w:rsidP="004F049B">
      <w:pPr>
        <w:pStyle w:val="BodyText"/>
        <w:rPr>
          <w:spacing w:val="-2"/>
        </w:rPr>
      </w:pPr>
      <w:r w:rsidRPr="00937BE7">
        <w:rPr>
          <w:spacing w:val="-2"/>
        </w:rPr>
        <w:t xml:space="preserve">In this paper, the effects of housing assistance policies on budget constraints and EMTRs are used to identify the </w:t>
      </w:r>
      <w:r w:rsidR="004E2312" w:rsidRPr="00937BE7">
        <w:rPr>
          <w:spacing w:val="-2"/>
        </w:rPr>
        <w:t xml:space="preserve">impacts of Commonwealth Rent Assistance </w:t>
      </w:r>
      <w:r w:rsidR="002B56E7">
        <w:rPr>
          <w:spacing w:val="-2"/>
        </w:rPr>
        <w:t xml:space="preserve">(CRA) </w:t>
      </w:r>
      <w:r w:rsidR="004E2312" w:rsidRPr="00937BE7">
        <w:rPr>
          <w:spacing w:val="-2"/>
        </w:rPr>
        <w:t xml:space="preserve">and social housing rent setting on </w:t>
      </w:r>
      <w:r w:rsidR="00160357" w:rsidRPr="00937BE7">
        <w:rPr>
          <w:spacing w:val="-2"/>
        </w:rPr>
        <w:t xml:space="preserve">financial </w:t>
      </w:r>
      <w:r w:rsidRPr="00937BE7">
        <w:rPr>
          <w:spacing w:val="-2"/>
        </w:rPr>
        <w:t xml:space="preserve">incentives to work. </w:t>
      </w:r>
      <w:r w:rsidR="005C4B86" w:rsidRPr="00937BE7">
        <w:rPr>
          <w:spacing w:val="-2"/>
        </w:rPr>
        <w:t xml:space="preserve">In adopting this focus, the analysis </w:t>
      </w:r>
      <w:r w:rsidR="00407C04">
        <w:rPr>
          <w:spacing w:val="-2"/>
        </w:rPr>
        <w:t>abstracts from</w:t>
      </w:r>
      <w:r w:rsidR="005C4B86" w:rsidRPr="00937BE7">
        <w:rPr>
          <w:spacing w:val="-2"/>
        </w:rPr>
        <w:t xml:space="preserve"> many other factors that might affect a person’s employment decisions including, for example, costs associated with working (childcare, transport and the like), health </w:t>
      </w:r>
      <w:r w:rsidR="004B32E7" w:rsidRPr="00937BE7">
        <w:rPr>
          <w:spacing w:val="-2"/>
        </w:rPr>
        <w:t>problems</w:t>
      </w:r>
      <w:r w:rsidR="005C4B86" w:rsidRPr="00937BE7">
        <w:rPr>
          <w:spacing w:val="-2"/>
        </w:rPr>
        <w:t xml:space="preserve"> and </w:t>
      </w:r>
      <w:r w:rsidR="004B32E7" w:rsidRPr="00937BE7">
        <w:rPr>
          <w:spacing w:val="-2"/>
        </w:rPr>
        <w:t xml:space="preserve">cultural attitudes towards work </w:t>
      </w:r>
      <w:r w:rsidR="001334F5" w:rsidRPr="000A3D3C">
        <w:rPr>
          <w:spacing w:val="-2"/>
        </w:rPr>
        <w:t>(box 2)</w:t>
      </w:r>
      <w:r w:rsidR="00407C04">
        <w:rPr>
          <w:spacing w:val="-2"/>
        </w:rPr>
        <w:t xml:space="preserve">. Despite these abstractions, the approach provides insights into the effects of the </w:t>
      </w:r>
      <w:r w:rsidR="004B32E7" w:rsidRPr="000A3D3C">
        <w:rPr>
          <w:spacing w:val="-2"/>
        </w:rPr>
        <w:t xml:space="preserve">housing assistance </w:t>
      </w:r>
      <w:r w:rsidR="005975FE" w:rsidRPr="000A3D3C">
        <w:rPr>
          <w:spacing w:val="-2"/>
        </w:rPr>
        <w:t xml:space="preserve">policies under study </w:t>
      </w:r>
      <w:r w:rsidR="005C14AD" w:rsidRPr="000A3D3C">
        <w:rPr>
          <w:spacing w:val="-2"/>
        </w:rPr>
        <w:t xml:space="preserve">on </w:t>
      </w:r>
      <w:r w:rsidR="004B32E7" w:rsidRPr="000A3D3C">
        <w:rPr>
          <w:spacing w:val="-2"/>
        </w:rPr>
        <w:t xml:space="preserve">the financial incentives faced by </w:t>
      </w:r>
      <w:r w:rsidR="005975FE" w:rsidRPr="000A3D3C">
        <w:rPr>
          <w:spacing w:val="-2"/>
        </w:rPr>
        <w:t>different recipients.</w:t>
      </w:r>
    </w:p>
    <w:p w:rsidR="00056FE8" w:rsidRDefault="00056FE8" w:rsidP="00056F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14AD" w:rsidTr="00E7417F">
        <w:tc>
          <w:tcPr>
            <w:tcW w:w="8771" w:type="dxa"/>
            <w:tcBorders>
              <w:top w:val="single" w:sz="6" w:space="0" w:color="78A22F"/>
              <w:left w:val="nil"/>
              <w:bottom w:val="nil"/>
              <w:right w:val="nil"/>
            </w:tcBorders>
            <w:shd w:val="clear" w:color="auto" w:fill="F2F2F2" w:themeFill="background1" w:themeFillShade="F2"/>
          </w:tcPr>
          <w:p w:rsidR="005C14AD" w:rsidRDefault="005C14AD" w:rsidP="008F16BC">
            <w:pPr>
              <w:pStyle w:val="BoxTitle"/>
            </w:pPr>
            <w:r>
              <w:rPr>
                <w:b w:val="0"/>
              </w:rPr>
              <w:t xml:space="preserve">Box </w:t>
            </w:r>
            <w:bookmarkStart w:id="5" w:name="OLE_LINK2"/>
            <w:r>
              <w:rPr>
                <w:b w:val="0"/>
              </w:rPr>
              <w:fldChar w:fldCharType="begin"/>
            </w:r>
            <w:r>
              <w:rPr>
                <w:b w:val="0"/>
              </w:rPr>
              <w:instrText xml:space="preserve"> SEQ Box \* ARABIC </w:instrText>
            </w:r>
            <w:r>
              <w:rPr>
                <w:b w:val="0"/>
              </w:rPr>
              <w:fldChar w:fldCharType="separate"/>
            </w:r>
            <w:r w:rsidR="002368BE">
              <w:rPr>
                <w:b w:val="0"/>
                <w:noProof/>
              </w:rPr>
              <w:t>2</w:t>
            </w:r>
            <w:r>
              <w:rPr>
                <w:b w:val="0"/>
              </w:rPr>
              <w:fldChar w:fldCharType="end"/>
            </w:r>
            <w:bookmarkEnd w:id="5"/>
            <w:r>
              <w:tab/>
              <w:t xml:space="preserve">Limitations of </w:t>
            </w:r>
            <w:r w:rsidR="00946E98">
              <w:t>measures of</w:t>
            </w:r>
            <w:r w:rsidR="00160357">
              <w:t xml:space="preserve"> financial</w:t>
            </w:r>
            <w:r w:rsidR="00946E98">
              <w:t xml:space="preserve"> </w:t>
            </w:r>
            <w:r>
              <w:t>incentives to work</w:t>
            </w:r>
          </w:p>
        </w:tc>
      </w:tr>
      <w:tr w:rsidR="009D2216" w:rsidTr="006F2270">
        <w:trPr>
          <w:cantSplit/>
        </w:trPr>
        <w:tc>
          <w:tcPr>
            <w:tcW w:w="8771" w:type="dxa"/>
            <w:tcBorders>
              <w:top w:val="nil"/>
              <w:left w:val="nil"/>
              <w:bottom w:val="nil"/>
              <w:right w:val="nil"/>
            </w:tcBorders>
            <w:shd w:val="clear" w:color="auto" w:fill="F2F2F2" w:themeFill="background1" w:themeFillShade="F2"/>
          </w:tcPr>
          <w:p w:rsidR="005C14AD" w:rsidRPr="00883517" w:rsidRDefault="00946E98" w:rsidP="00883517">
            <w:pPr>
              <w:pStyle w:val="Box"/>
            </w:pPr>
            <w:r w:rsidRPr="00883517">
              <w:t>Measures of financial i</w:t>
            </w:r>
            <w:r w:rsidR="005C14AD" w:rsidRPr="00883517">
              <w:t>ncentives to work, and particularly changes in EMTRs, are widely used to investigate the likely ef</w:t>
            </w:r>
            <w:r w:rsidR="00C2116C">
              <w:t xml:space="preserve">fect of a policy on employment </w:t>
            </w:r>
            <w:r w:rsidR="00EB26CD" w:rsidRPr="00EB26CD">
              <w:rPr>
                <w:rFonts w:cs="Arial"/>
                <w:szCs w:val="24"/>
              </w:rPr>
              <w:t>(</w:t>
            </w:r>
            <w:proofErr w:type="spellStart"/>
            <w:r w:rsidR="00EB26CD" w:rsidRPr="00EB26CD">
              <w:rPr>
                <w:rFonts w:cs="Arial"/>
                <w:szCs w:val="24"/>
              </w:rPr>
              <w:t>Lovering</w:t>
            </w:r>
            <w:proofErr w:type="spellEnd"/>
            <w:r w:rsidR="00EB26CD" w:rsidRPr="00EB26CD">
              <w:rPr>
                <w:rFonts w:cs="Arial"/>
                <w:szCs w:val="24"/>
              </w:rPr>
              <w:t> 2014; National Commission of Audit 2014; Treasury 2010)</w:t>
            </w:r>
            <w:r w:rsidR="005C14AD" w:rsidRPr="00883517">
              <w:t>. However, for a number of reasons, analysis of income and price effects supports only limited conclusions about the employment effects of a policy.</w:t>
            </w:r>
          </w:p>
          <w:p w:rsidR="005975FE" w:rsidRDefault="005975FE" w:rsidP="006F2270">
            <w:pPr>
              <w:pStyle w:val="Box"/>
            </w:pPr>
            <w:r>
              <w:t>First, a policy is likely to affect other, non</w:t>
            </w:r>
            <w:r w:rsidR="00A61C8A">
              <w:noBreakHyphen/>
            </w:r>
            <w:r>
              <w:t>financial incentives to work that influence the labour–leisure decision</w:t>
            </w:r>
            <w:r w:rsidR="002019E6">
              <w:t xml:space="preserve"> </w:t>
            </w:r>
            <w:r w:rsidR="002019E6" w:rsidRPr="007D361D">
              <w:rPr>
                <w:rFonts w:cs="Arial"/>
              </w:rPr>
              <w:t>(Dockery et al. 2008)</w:t>
            </w:r>
            <w:r>
              <w:t xml:space="preserve">. For example, </w:t>
            </w:r>
            <w:r w:rsidR="00883517">
              <w:t xml:space="preserve">a </w:t>
            </w:r>
            <w:r>
              <w:t>housing policy may allow a recipient to move closer to locations of employment, decreasing the time (and other costs) required to commute.</w:t>
            </w:r>
            <w:r w:rsidR="008A4B37">
              <w:t xml:space="preserve"> The </w:t>
            </w:r>
            <w:r w:rsidR="00BC55DA">
              <w:t>effective marginal tax rate (</w:t>
            </w:r>
            <w:r w:rsidR="008A4B37">
              <w:t>EMTR</w:t>
            </w:r>
            <w:r w:rsidR="00BC55DA">
              <w:t>)</w:t>
            </w:r>
            <w:r w:rsidR="008A4B37">
              <w:t xml:space="preserve"> estimates do not usually include the effect o</w:t>
            </w:r>
            <w:r w:rsidR="004E54EF">
              <w:t>f</w:t>
            </w:r>
            <w:r w:rsidR="008A4B37">
              <w:t xml:space="preserve"> </w:t>
            </w:r>
            <w:r w:rsidR="004E54EF">
              <w:t xml:space="preserve">a policy on </w:t>
            </w:r>
            <w:r w:rsidR="008A4B37">
              <w:t>costs associated with working</w:t>
            </w:r>
            <w:r w:rsidR="004E54EF">
              <w:t>,</w:t>
            </w:r>
            <w:r w:rsidR="008A4B37">
              <w:t xml:space="preserve"> </w:t>
            </w:r>
            <w:r w:rsidR="004E54EF">
              <w:t>nor</w:t>
            </w:r>
            <w:r w:rsidR="008A4B37">
              <w:t xml:space="preserve"> </w:t>
            </w:r>
            <w:r w:rsidR="004E54EF">
              <w:t xml:space="preserve">on </w:t>
            </w:r>
            <w:r w:rsidR="008A4B37">
              <w:t>disposable income after these costs have been deducted.</w:t>
            </w:r>
          </w:p>
          <w:p w:rsidR="00993345" w:rsidRDefault="009D2216" w:rsidP="006F2270">
            <w:pPr>
              <w:pStyle w:val="Box"/>
            </w:pPr>
            <w:r>
              <w:t xml:space="preserve">Second, the </w:t>
            </w:r>
            <w:r w:rsidR="008A4B37">
              <w:t xml:space="preserve">estimation </w:t>
            </w:r>
            <w:r w:rsidR="00161AF8">
              <w:t xml:space="preserve">of </w:t>
            </w:r>
            <w:r w:rsidR="008A4B37">
              <w:t>the EMTR is only a first step</w:t>
            </w:r>
            <w:r w:rsidR="004E54EF">
              <w:t xml:space="preserve"> in estimating employment effects</w:t>
            </w:r>
            <w:r w:rsidR="008A4B37">
              <w:t xml:space="preserve"> — what matters is </w:t>
            </w:r>
            <w:r>
              <w:t xml:space="preserve">the behavioural response of affected </w:t>
            </w:r>
            <w:r w:rsidR="00F24BDA">
              <w:t>people</w:t>
            </w:r>
            <w:r>
              <w:t xml:space="preserve">. </w:t>
            </w:r>
            <w:r w:rsidR="00D17C0B">
              <w:t xml:space="preserve">The price effect is ambiguous (footnote 4). On the one hand, </w:t>
            </w:r>
            <w:r w:rsidR="00993345">
              <w:t>a rise in the EMTR has a substitution effect as the return to working declines (which lowers the price of leisure). On the other hand, the decline in income associated with the higher EMTR may see a person increase their work to maintain their disposable income.</w:t>
            </w:r>
            <w:r w:rsidR="004E54EF">
              <w:t xml:space="preserve"> Then</w:t>
            </w:r>
            <w:r w:rsidR="00993345">
              <w:t xml:space="preserve"> there is the separate income effect of the subsidy</w:t>
            </w:r>
            <w:r w:rsidR="004E54EF">
              <w:t>.</w:t>
            </w:r>
            <w:r w:rsidR="00993345">
              <w:t xml:space="preserve"> T</w:t>
            </w:r>
            <w:r>
              <w:t xml:space="preserve">he recipient may work less, since the subsidy allows them to achieve the same level of income at fewer hours worked. </w:t>
            </w:r>
          </w:p>
          <w:p w:rsidR="009D2216" w:rsidRDefault="009D2216" w:rsidP="006F2270">
            <w:pPr>
              <w:pStyle w:val="Box"/>
            </w:pPr>
            <w:r>
              <w:t xml:space="preserve">Ultimately, empirical analysis is required to determine </w:t>
            </w:r>
            <w:r w:rsidR="0001775B">
              <w:t>individuals’</w:t>
            </w:r>
            <w:r w:rsidR="00F24BDA">
              <w:t xml:space="preserve"> </w:t>
            </w:r>
            <w:r>
              <w:t>response</w:t>
            </w:r>
            <w:r w:rsidR="00F24BDA">
              <w:t>s</w:t>
            </w:r>
            <w:r>
              <w:t xml:space="preserve"> to different</w:t>
            </w:r>
            <w:r w:rsidR="00993345">
              <w:t xml:space="preserve"> financial</w:t>
            </w:r>
            <w:r>
              <w:t xml:space="preserve"> incentives to work</w:t>
            </w:r>
            <w:r w:rsidR="00993345">
              <w:t xml:space="preserve">, </w:t>
            </w:r>
            <w:r w:rsidR="004E54EF">
              <w:t xml:space="preserve">and </w:t>
            </w:r>
            <w:r w:rsidR="00993345">
              <w:t xml:space="preserve">that </w:t>
            </w:r>
            <w:r w:rsidR="002B56E7">
              <w:t xml:space="preserve">analysis </w:t>
            </w:r>
            <w:r w:rsidR="004E54EF">
              <w:t xml:space="preserve">should </w:t>
            </w:r>
            <w:r w:rsidR="00993345">
              <w:t>ideally take into account all financial and non</w:t>
            </w:r>
            <w:r w:rsidR="00A61C8A">
              <w:noBreakHyphen/>
            </w:r>
            <w:r w:rsidR="00993345">
              <w:t>financial factors affected by the policy</w:t>
            </w:r>
            <w:r>
              <w:t>.</w:t>
            </w:r>
          </w:p>
          <w:p w:rsidR="009D2216" w:rsidRDefault="00993345" w:rsidP="006F2270">
            <w:pPr>
              <w:pStyle w:val="Box"/>
            </w:pPr>
            <w:r>
              <w:t>More generally</w:t>
            </w:r>
            <w:r w:rsidR="009D2216">
              <w:t>, EMTRs must be interpreted with care:</w:t>
            </w:r>
          </w:p>
          <w:p w:rsidR="009D2216" w:rsidRDefault="00631D13" w:rsidP="006F2270">
            <w:pPr>
              <w:pStyle w:val="BoxListBullet"/>
            </w:pPr>
            <w:r>
              <w:t xml:space="preserve">The same </w:t>
            </w:r>
            <w:r w:rsidR="009D2216">
              <w:t>EMTR</w:t>
            </w:r>
            <w:r>
              <w:t xml:space="preserve"> can be associated with very different income effects</w:t>
            </w:r>
            <w:r w:rsidR="00A61C8A">
              <w:t>.</w:t>
            </w:r>
            <w:r w:rsidR="009D2216">
              <w:t xml:space="preserve"> For example, </w:t>
            </w:r>
            <w:r w:rsidR="00693F87">
              <w:t>a</w:t>
            </w:r>
            <w:r w:rsidR="009D2216">
              <w:t xml:space="preserve"> </w:t>
            </w:r>
            <w:r>
              <w:t xml:space="preserve">person can face the same EMTR </w:t>
            </w:r>
            <w:r w:rsidR="00617B1A">
              <w:t>when faced with the progressive withdrawal of a subsidy of $10</w:t>
            </w:r>
            <w:r w:rsidR="00A61C8A">
              <w:t> </w:t>
            </w:r>
            <w:r w:rsidR="00617B1A">
              <w:t>000 as with th</w:t>
            </w:r>
            <w:r w:rsidR="00A61C8A">
              <w:t>e withdrawal of a subsidy of $1</w:t>
            </w:r>
            <w:r w:rsidR="00617B1A">
              <w:t>000</w:t>
            </w:r>
            <w:r w:rsidR="00693F87">
              <w:t>.</w:t>
            </w:r>
          </w:p>
          <w:p w:rsidR="009D2216" w:rsidRDefault="007648DA" w:rsidP="00BC55DA">
            <w:pPr>
              <w:pStyle w:val="BoxListBullet"/>
            </w:pPr>
            <w:r>
              <w:t xml:space="preserve">By definition, EMTRs illustrate changes at the margin — the share of an additional dollar of market </w:t>
            </w:r>
            <w:r w:rsidR="008946B9">
              <w:t xml:space="preserve">income that an individual pays in tax or that is offset by </w:t>
            </w:r>
            <w:r w:rsidR="00BC55DA">
              <w:t>the</w:t>
            </w:r>
            <w:r w:rsidR="008946B9">
              <w:t xml:space="preserve"> withdrawal</w:t>
            </w:r>
            <w:r w:rsidR="00BC55DA">
              <w:t xml:space="preserve"> of their income support payment</w:t>
            </w:r>
            <w:r w:rsidR="008946B9">
              <w:t xml:space="preserve">. It is the </w:t>
            </w:r>
            <w:r w:rsidR="00D23111">
              <w:t>net</w:t>
            </w:r>
            <w:r w:rsidR="008946B9">
              <w:t xml:space="preserve"> return to working that influences work decisions.</w:t>
            </w:r>
          </w:p>
        </w:tc>
      </w:tr>
      <w:tr w:rsidR="009D2216" w:rsidTr="006F2270">
        <w:trPr>
          <w:cantSplit/>
        </w:trPr>
        <w:tc>
          <w:tcPr>
            <w:tcW w:w="8771" w:type="dxa"/>
            <w:tcBorders>
              <w:top w:val="nil"/>
              <w:left w:val="nil"/>
              <w:bottom w:val="single" w:sz="6" w:space="0" w:color="78A22F"/>
              <w:right w:val="nil"/>
            </w:tcBorders>
            <w:shd w:val="clear" w:color="auto" w:fill="F2F2F2" w:themeFill="background1" w:themeFillShade="F2"/>
          </w:tcPr>
          <w:p w:rsidR="009D2216" w:rsidRDefault="009D2216" w:rsidP="006F2270">
            <w:pPr>
              <w:pStyle w:val="Box"/>
              <w:spacing w:before="0" w:line="120" w:lineRule="exact"/>
            </w:pPr>
          </w:p>
        </w:tc>
      </w:tr>
      <w:tr w:rsidR="009D2216" w:rsidRPr="000863A5" w:rsidTr="006F2270">
        <w:tc>
          <w:tcPr>
            <w:tcW w:w="8771" w:type="dxa"/>
            <w:tcBorders>
              <w:top w:val="single" w:sz="6" w:space="0" w:color="78A22F"/>
              <w:left w:val="nil"/>
              <w:bottom w:val="nil"/>
              <w:right w:val="nil"/>
            </w:tcBorders>
          </w:tcPr>
          <w:p w:rsidR="009D2216" w:rsidRPr="00626D32" w:rsidRDefault="009D2216" w:rsidP="006F2270">
            <w:pPr>
              <w:pStyle w:val="BoxSpaceBelow"/>
            </w:pPr>
          </w:p>
        </w:tc>
      </w:tr>
    </w:tbl>
    <w:p w:rsidR="00B66332" w:rsidRDefault="0063472B" w:rsidP="0079656C">
      <w:pPr>
        <w:pStyle w:val="Heading2"/>
      </w:pPr>
      <w:r>
        <w:fldChar w:fldCharType="begin"/>
      </w:r>
      <w:r>
        <w:instrText xml:space="preserve"> SEQ Heading2 </w:instrText>
      </w:r>
      <w:r>
        <w:fldChar w:fldCharType="separate"/>
      </w:r>
      <w:r w:rsidR="002368BE">
        <w:rPr>
          <w:noProof/>
        </w:rPr>
        <w:t>2</w:t>
      </w:r>
      <w:r>
        <w:rPr>
          <w:noProof/>
        </w:rPr>
        <w:fldChar w:fldCharType="end"/>
      </w:r>
      <w:r w:rsidR="0079656C">
        <w:tab/>
      </w:r>
      <w:r w:rsidR="000D4865">
        <w:t>I</w:t>
      </w:r>
      <w:r w:rsidR="00EA7065">
        <w:t>nteraction</w:t>
      </w:r>
      <w:r w:rsidR="000D4865">
        <w:t>s</w:t>
      </w:r>
      <w:r w:rsidR="00EA7065">
        <w:t xml:space="preserve"> between housing assistance policies and market income</w:t>
      </w:r>
    </w:p>
    <w:p w:rsidR="00E41A17" w:rsidRPr="004042BE" w:rsidRDefault="008A5780" w:rsidP="00BF5528">
      <w:pPr>
        <w:pStyle w:val="BodyText"/>
      </w:pPr>
      <w:r>
        <w:t>T</w:t>
      </w:r>
      <w:r w:rsidR="00D45038">
        <w:t xml:space="preserve">o </w:t>
      </w:r>
      <w:r>
        <w:t xml:space="preserve">assess </w:t>
      </w:r>
      <w:r w:rsidR="00D45038">
        <w:t xml:space="preserve">the </w:t>
      </w:r>
      <w:r w:rsidR="00F90F61">
        <w:t xml:space="preserve">financial </w:t>
      </w:r>
      <w:r w:rsidR="00D45038">
        <w:t xml:space="preserve">incentives to work </w:t>
      </w:r>
      <w:r w:rsidR="00AE266B">
        <w:t>associated with</w:t>
      </w:r>
      <w:r w:rsidR="00D45038">
        <w:t xml:space="preserve"> housing assistance policies, </w:t>
      </w:r>
      <w:r w:rsidR="00DB4E10">
        <w:t xml:space="preserve">it is </w:t>
      </w:r>
      <w:r w:rsidR="000D4865">
        <w:t>necessary</w:t>
      </w:r>
      <w:r w:rsidR="00DB4E10">
        <w:t xml:space="preserve"> to </w:t>
      </w:r>
      <w:r>
        <w:t xml:space="preserve">understand </w:t>
      </w:r>
      <w:r w:rsidR="00DB4E10">
        <w:t>how the</w:t>
      </w:r>
      <w:r w:rsidR="00D45038">
        <w:t xml:space="preserve"> </w:t>
      </w:r>
      <w:r w:rsidR="009D2435">
        <w:t xml:space="preserve">policies </w:t>
      </w:r>
      <w:r w:rsidR="00DB4E10">
        <w:t xml:space="preserve">affect </w:t>
      </w:r>
      <w:r w:rsidR="009D2435">
        <w:t xml:space="preserve">disposable income </w:t>
      </w:r>
      <w:r w:rsidR="001449CD">
        <w:t>at</w:t>
      </w:r>
      <w:r w:rsidR="009D2435">
        <w:t xml:space="preserve"> different levels of</w:t>
      </w:r>
      <w:r w:rsidR="00D45038">
        <w:t xml:space="preserve"> market income.</w:t>
      </w:r>
      <w:r w:rsidR="00BF5528">
        <w:t xml:space="preserve"> To that end, this </w:t>
      </w:r>
      <w:r w:rsidR="009D2435">
        <w:t xml:space="preserve">section provides an overview of </w:t>
      </w:r>
      <w:r w:rsidR="00871E84">
        <w:t xml:space="preserve">CRA </w:t>
      </w:r>
      <w:r w:rsidR="00BF5528">
        <w:t xml:space="preserve">and </w:t>
      </w:r>
      <w:r w:rsidR="009D2435">
        <w:t xml:space="preserve">social housing rent setting arrangements. More </w:t>
      </w:r>
      <w:r w:rsidR="00E41A17">
        <w:t>detail on these policies is available in background paper</w:t>
      </w:r>
      <w:r w:rsidR="00440100">
        <w:t> 1</w:t>
      </w:r>
      <w:r w:rsidR="00E41A17">
        <w:t>.</w:t>
      </w:r>
    </w:p>
    <w:p w:rsidR="0079656C" w:rsidRDefault="0079656C" w:rsidP="00E41A17">
      <w:pPr>
        <w:pStyle w:val="Heading3"/>
      </w:pPr>
      <w:r>
        <w:lastRenderedPageBreak/>
        <w:t xml:space="preserve">An overview of Commonwealth </w:t>
      </w:r>
      <w:r w:rsidR="00B86D50">
        <w:t>R</w:t>
      </w:r>
      <w:r>
        <w:t xml:space="preserve">ent </w:t>
      </w:r>
      <w:r w:rsidR="00B86D50">
        <w:t>A</w:t>
      </w:r>
      <w:r>
        <w:t>ssistance</w:t>
      </w:r>
      <w:r w:rsidR="00F90F61">
        <w:t xml:space="preserve"> (CRA)</w:t>
      </w:r>
    </w:p>
    <w:p w:rsidR="0030737B" w:rsidRPr="006532E9" w:rsidRDefault="0030737B" w:rsidP="006532E9">
      <w:pPr>
        <w:pStyle w:val="Heading4"/>
        <w:spacing w:before="240"/>
      </w:pPr>
      <w:r w:rsidRPr="006532E9">
        <w:t>Eligibility and payment amounts</w:t>
      </w:r>
    </w:p>
    <w:p w:rsidR="00602352" w:rsidRDefault="00F90F61" w:rsidP="00602352">
      <w:pPr>
        <w:pStyle w:val="BodyText"/>
      </w:pPr>
      <w:r>
        <w:t>CRA</w:t>
      </w:r>
      <w:r w:rsidR="00602352">
        <w:t xml:space="preserve"> is a subsidy paid to </w:t>
      </w:r>
      <w:r w:rsidR="00F96040">
        <w:t xml:space="preserve">recipients of </w:t>
      </w:r>
      <w:r w:rsidR="0070318E">
        <w:t>ISP</w:t>
      </w:r>
      <w:r w:rsidR="00B86D50">
        <w:t>s</w:t>
      </w:r>
      <w:r w:rsidR="00245DD2" w:rsidRPr="007D361D">
        <w:rPr>
          <w:rStyle w:val="FootnoteReference"/>
        </w:rPr>
        <w:footnoteReference w:id="9"/>
      </w:r>
      <w:r w:rsidR="00E00AF3">
        <w:t xml:space="preserve"> and Family Tax Benefit </w:t>
      </w:r>
      <w:r w:rsidR="00814C87">
        <w:t>P</w:t>
      </w:r>
      <w:r w:rsidR="00E00AF3">
        <w:t>art A</w:t>
      </w:r>
      <w:r>
        <w:t xml:space="preserve"> </w:t>
      </w:r>
      <w:r w:rsidR="008F01EC">
        <w:t xml:space="preserve">(FTB A) </w:t>
      </w:r>
      <w:r w:rsidR="00F96040">
        <w:t>(in excess of the ‘base rate’)</w:t>
      </w:r>
      <w:r w:rsidR="00B86D50">
        <w:t xml:space="preserve"> </w:t>
      </w:r>
      <w:r w:rsidR="00245DD2">
        <w:t>who rent in the private market</w:t>
      </w:r>
      <w:r w:rsidR="00193451">
        <w:t xml:space="preserve"> or</w:t>
      </w:r>
      <w:r w:rsidR="002B56E7">
        <w:t xml:space="preserve"> from a</w:t>
      </w:r>
      <w:r w:rsidR="00193451">
        <w:t xml:space="preserve"> community housing</w:t>
      </w:r>
      <w:r w:rsidR="002B56E7">
        <w:t xml:space="preserve"> provider</w:t>
      </w:r>
      <w:r w:rsidR="00245DD2">
        <w:t>.</w:t>
      </w:r>
      <w:r w:rsidR="00C27EA1" w:rsidRPr="007D361D">
        <w:rPr>
          <w:rStyle w:val="FootnoteReference"/>
        </w:rPr>
        <w:footnoteReference w:id="10"/>
      </w:r>
    </w:p>
    <w:p w:rsidR="00602352" w:rsidRDefault="0030737B" w:rsidP="00602352">
      <w:pPr>
        <w:pStyle w:val="BodyText"/>
      </w:pPr>
      <w:r>
        <w:t xml:space="preserve">Eligible </w:t>
      </w:r>
      <w:r w:rsidR="00F24BDA">
        <w:t>people</w:t>
      </w:r>
      <w:r>
        <w:t xml:space="preserve"> </w:t>
      </w:r>
      <w:r w:rsidR="006532E9">
        <w:t xml:space="preserve">who pay rent above a threshold level </w:t>
      </w:r>
      <w:r>
        <w:t xml:space="preserve">receive </w:t>
      </w:r>
      <w:r w:rsidR="00602352">
        <w:t>the lower of:</w:t>
      </w:r>
    </w:p>
    <w:p w:rsidR="00602352" w:rsidRDefault="00602352" w:rsidP="00602352">
      <w:pPr>
        <w:pStyle w:val="ListBullet"/>
      </w:pPr>
      <w:r>
        <w:t>75</w:t>
      </w:r>
      <w:r w:rsidR="00B86D50">
        <w:t xml:space="preserve"> per cent </w:t>
      </w:r>
      <w:r>
        <w:t xml:space="preserve">of the difference between </w:t>
      </w:r>
      <w:r w:rsidR="00914109">
        <w:t xml:space="preserve">their </w:t>
      </w:r>
      <w:r>
        <w:t xml:space="preserve">rent and </w:t>
      </w:r>
      <w:r w:rsidR="006532E9">
        <w:t>that</w:t>
      </w:r>
      <w:r>
        <w:t xml:space="preserve"> threshold amount</w:t>
      </w:r>
    </w:p>
    <w:p w:rsidR="00602352" w:rsidRDefault="006F7108" w:rsidP="00602352">
      <w:pPr>
        <w:pStyle w:val="ListBullet"/>
      </w:pPr>
      <w:r>
        <w:t>a</w:t>
      </w:r>
      <w:r w:rsidR="00602352">
        <w:t xml:space="preserve"> maximum amount</w:t>
      </w:r>
      <w:r w:rsidR="00276F20">
        <w:t>.</w:t>
      </w:r>
    </w:p>
    <w:p w:rsidR="00602352" w:rsidRDefault="00276F20" w:rsidP="00C93756">
      <w:pPr>
        <w:pStyle w:val="BodyText"/>
      </w:pPr>
      <w:r>
        <w:t>T</w:t>
      </w:r>
      <w:r w:rsidR="00602352">
        <w:t>he threshold and maximum amounts vary by family situation</w:t>
      </w:r>
      <w:r w:rsidR="006F7108">
        <w:t xml:space="preserve"> (table</w:t>
      </w:r>
      <w:r w:rsidR="00A61C8A">
        <w:t> </w:t>
      </w:r>
      <w:r w:rsidR="008A5780">
        <w:t>1</w:t>
      </w:r>
      <w:r w:rsidR="006F7108">
        <w:t>).</w:t>
      </w:r>
    </w:p>
    <w:p w:rsidR="009C0CC4" w:rsidRDefault="009C0CC4" w:rsidP="009C0CC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C0CC4" w:rsidTr="009C0CC4">
        <w:tc>
          <w:tcPr>
            <w:tcW w:w="8771" w:type="dxa"/>
            <w:tcBorders>
              <w:top w:val="single" w:sz="6" w:space="0" w:color="78A22F"/>
              <w:left w:val="nil"/>
              <w:bottom w:val="nil"/>
              <w:right w:val="nil"/>
            </w:tcBorders>
            <w:shd w:val="clear" w:color="auto" w:fill="auto"/>
          </w:tcPr>
          <w:p w:rsidR="009C0CC4" w:rsidRPr="00784A05" w:rsidRDefault="009C0CC4" w:rsidP="009C0CC4">
            <w:pPr>
              <w:pStyle w:val="TableTitle"/>
            </w:pPr>
            <w:r>
              <w:rPr>
                <w:b w:val="0"/>
              </w:rPr>
              <w:t xml:space="preserve">Table </w:t>
            </w:r>
            <w:r>
              <w:rPr>
                <w:b w:val="0"/>
              </w:rPr>
              <w:fldChar w:fldCharType="begin"/>
            </w:r>
            <w:r>
              <w:rPr>
                <w:b w:val="0"/>
              </w:rPr>
              <w:instrText xml:space="preserve"> COMMENTS  \* MERGEFORMAT </w:instrText>
            </w:r>
            <w:r>
              <w:rPr>
                <w:b w:val="0"/>
              </w:rPr>
              <w:fldChar w:fldCharType="end"/>
            </w:r>
            <w:r>
              <w:rPr>
                <w:b w:val="0"/>
              </w:rPr>
              <w:fldChar w:fldCharType="begin"/>
            </w:r>
            <w:r>
              <w:rPr>
                <w:b w:val="0"/>
              </w:rPr>
              <w:instrText xml:space="preserve"> SEQ Table \* ARABIC </w:instrText>
            </w:r>
            <w:r>
              <w:rPr>
                <w:b w:val="0"/>
              </w:rPr>
              <w:fldChar w:fldCharType="separate"/>
            </w:r>
            <w:r w:rsidR="002368BE">
              <w:rPr>
                <w:b w:val="0"/>
                <w:noProof/>
              </w:rPr>
              <w:t>1</w:t>
            </w:r>
            <w:r>
              <w:rPr>
                <w:b w:val="0"/>
              </w:rPr>
              <w:fldChar w:fldCharType="end"/>
            </w:r>
            <w:r>
              <w:tab/>
            </w:r>
            <w:proofErr w:type="spellStart"/>
            <w:r>
              <w:t>CRA</w:t>
            </w:r>
            <w:proofErr w:type="spellEnd"/>
            <w:r>
              <w:t xml:space="preserve"> threshold and maximum amounts by family situation, as at March 2014</w:t>
            </w:r>
          </w:p>
        </w:tc>
      </w:tr>
      <w:tr w:rsidR="009C0CC4" w:rsidTr="009C0CC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2"/>
              <w:gridCol w:w="2123"/>
              <w:gridCol w:w="2122"/>
              <w:gridCol w:w="2120"/>
            </w:tblGrid>
            <w:tr w:rsidR="006B1435" w:rsidTr="006B1435">
              <w:tc>
                <w:tcPr>
                  <w:tcW w:w="1250" w:type="pct"/>
                  <w:tcBorders>
                    <w:top w:val="single" w:sz="6" w:space="0" w:color="BFBFBF"/>
                    <w:bottom w:val="single" w:sz="6" w:space="0" w:color="BFBFBF"/>
                  </w:tcBorders>
                  <w:shd w:val="clear" w:color="auto" w:fill="auto"/>
                  <w:tcMar>
                    <w:top w:w="28" w:type="dxa"/>
                  </w:tcMar>
                </w:tcPr>
                <w:p w:rsidR="006B1435" w:rsidRPr="00ED3F04" w:rsidRDefault="006B1435" w:rsidP="001C53E2">
                  <w:pPr>
                    <w:pStyle w:val="TableColumnHeading"/>
                    <w:jc w:val="left"/>
                    <w:rPr>
                      <w:rStyle w:val="NoteLabel"/>
                    </w:rPr>
                  </w:pPr>
                  <w:r>
                    <w:t>Family situation</w:t>
                  </w:r>
                  <w:r>
                    <w:rPr>
                      <w:rStyle w:val="NoteLabel"/>
                    </w:rPr>
                    <w:t>a</w:t>
                  </w:r>
                </w:p>
              </w:tc>
              <w:tc>
                <w:tcPr>
                  <w:tcW w:w="1251" w:type="pct"/>
                  <w:tcBorders>
                    <w:top w:val="single" w:sz="6" w:space="0" w:color="BFBFBF"/>
                    <w:bottom w:val="single" w:sz="6" w:space="0" w:color="BFBFBF"/>
                  </w:tcBorders>
                  <w:shd w:val="clear" w:color="auto" w:fill="auto"/>
                  <w:tcMar>
                    <w:top w:w="28" w:type="dxa"/>
                  </w:tcMar>
                </w:tcPr>
                <w:p w:rsidR="006B1435" w:rsidRDefault="006B1435" w:rsidP="001C53E2">
                  <w:pPr>
                    <w:pStyle w:val="TableColumnHeading"/>
                  </w:pPr>
                  <w:r>
                    <w:t>Number of dependent children</w:t>
                  </w:r>
                </w:p>
              </w:tc>
              <w:tc>
                <w:tcPr>
                  <w:tcW w:w="1250" w:type="pct"/>
                  <w:tcBorders>
                    <w:top w:val="single" w:sz="6" w:space="0" w:color="BFBFBF"/>
                    <w:bottom w:val="single" w:sz="6" w:space="0" w:color="BFBFBF"/>
                  </w:tcBorders>
                </w:tcPr>
                <w:p w:rsidR="006B1435" w:rsidRDefault="006B1435" w:rsidP="001C53E2">
                  <w:pPr>
                    <w:pStyle w:val="TableColumnHeading"/>
                  </w:pPr>
                  <w:r>
                    <w:t>Threshold amount</w:t>
                  </w:r>
                </w:p>
              </w:tc>
              <w:tc>
                <w:tcPr>
                  <w:tcW w:w="1249" w:type="pct"/>
                  <w:tcBorders>
                    <w:top w:val="single" w:sz="6" w:space="0" w:color="BFBFBF"/>
                    <w:bottom w:val="single" w:sz="6" w:space="0" w:color="BFBFBF"/>
                  </w:tcBorders>
                  <w:shd w:val="clear" w:color="auto" w:fill="auto"/>
                  <w:tcMar>
                    <w:top w:w="28" w:type="dxa"/>
                  </w:tcMar>
                </w:tcPr>
                <w:p w:rsidR="006B1435" w:rsidRDefault="006B1435" w:rsidP="001C53E2">
                  <w:pPr>
                    <w:pStyle w:val="TableColumnHeading"/>
                    <w:ind w:right="28"/>
                  </w:pPr>
                  <w:r>
                    <w:t>Maximum amount</w:t>
                  </w:r>
                </w:p>
              </w:tc>
            </w:tr>
            <w:tr w:rsidR="006B1435" w:rsidTr="006B1435">
              <w:tc>
                <w:tcPr>
                  <w:tcW w:w="1250" w:type="pct"/>
                  <w:tcBorders>
                    <w:top w:val="single" w:sz="6" w:space="0" w:color="BFBFBF"/>
                  </w:tcBorders>
                </w:tcPr>
                <w:p w:rsidR="006B1435" w:rsidRDefault="006B1435" w:rsidP="001C53E2">
                  <w:pPr>
                    <w:pStyle w:val="TableUnitsRow"/>
                    <w:jc w:val="left"/>
                  </w:pPr>
                </w:p>
              </w:tc>
              <w:tc>
                <w:tcPr>
                  <w:tcW w:w="1251" w:type="pct"/>
                  <w:tcBorders>
                    <w:top w:val="single" w:sz="6" w:space="0" w:color="BFBFBF"/>
                  </w:tcBorders>
                </w:tcPr>
                <w:p w:rsidR="006B1435" w:rsidRDefault="006B1435" w:rsidP="001C53E2">
                  <w:pPr>
                    <w:pStyle w:val="TableUnitsRow"/>
                  </w:pPr>
                  <w:r>
                    <w:t>Number</w:t>
                  </w:r>
                </w:p>
              </w:tc>
              <w:tc>
                <w:tcPr>
                  <w:tcW w:w="1250" w:type="pct"/>
                  <w:tcBorders>
                    <w:top w:val="single" w:sz="6" w:space="0" w:color="BFBFBF"/>
                  </w:tcBorders>
                </w:tcPr>
                <w:p w:rsidR="006B1435" w:rsidRDefault="006B1435" w:rsidP="001C53E2">
                  <w:pPr>
                    <w:pStyle w:val="TableUnitsRow"/>
                  </w:pPr>
                  <w:r>
                    <w:t>$ per annum</w:t>
                  </w:r>
                </w:p>
              </w:tc>
              <w:tc>
                <w:tcPr>
                  <w:tcW w:w="1249" w:type="pct"/>
                  <w:tcBorders>
                    <w:top w:val="single" w:sz="6" w:space="0" w:color="BFBFBF"/>
                  </w:tcBorders>
                </w:tcPr>
                <w:p w:rsidR="006B1435" w:rsidRDefault="006B1435" w:rsidP="001C53E2">
                  <w:pPr>
                    <w:pStyle w:val="TableUnitsRow"/>
                    <w:ind w:right="28"/>
                  </w:pPr>
                  <w:r>
                    <w:t>$ per annum</w:t>
                  </w:r>
                </w:p>
              </w:tc>
            </w:tr>
            <w:tr w:rsidR="006B1435" w:rsidTr="006B1435">
              <w:tc>
                <w:tcPr>
                  <w:tcW w:w="1250" w:type="pct"/>
                </w:tcPr>
                <w:p w:rsidR="006B1435" w:rsidRDefault="006B1435" w:rsidP="001C53E2">
                  <w:pPr>
                    <w:pStyle w:val="TableBodyText"/>
                    <w:jc w:val="left"/>
                  </w:pPr>
                  <w:r>
                    <w:t xml:space="preserve">Single </w:t>
                  </w:r>
                </w:p>
              </w:tc>
              <w:tc>
                <w:tcPr>
                  <w:tcW w:w="1251" w:type="pct"/>
                </w:tcPr>
                <w:p w:rsidR="006B1435" w:rsidRDefault="006B1435" w:rsidP="001C53E2">
                  <w:pPr>
                    <w:pStyle w:val="TableBodyText"/>
                  </w:pPr>
                  <w:r>
                    <w:t>0</w:t>
                  </w:r>
                </w:p>
              </w:tc>
              <w:tc>
                <w:tcPr>
                  <w:tcW w:w="1250" w:type="pct"/>
                </w:tcPr>
                <w:p w:rsidR="006B1435" w:rsidRDefault="006B1435" w:rsidP="001C53E2">
                  <w:pPr>
                    <w:pStyle w:val="TableBodyText"/>
                  </w:pPr>
                  <w:r>
                    <w:t>2 912</w:t>
                  </w:r>
                </w:p>
              </w:tc>
              <w:tc>
                <w:tcPr>
                  <w:tcW w:w="1249" w:type="pct"/>
                </w:tcPr>
                <w:p w:rsidR="006B1435" w:rsidRDefault="006B1435" w:rsidP="001C53E2">
                  <w:pPr>
                    <w:pStyle w:val="TableBodyText"/>
                    <w:ind w:right="28"/>
                  </w:pPr>
                  <w:r>
                    <w:t>3 286</w:t>
                  </w:r>
                </w:p>
              </w:tc>
            </w:tr>
            <w:tr w:rsidR="006B1435" w:rsidTr="006B1435">
              <w:tc>
                <w:tcPr>
                  <w:tcW w:w="1250" w:type="pct"/>
                </w:tcPr>
                <w:p w:rsidR="006B1435" w:rsidRDefault="006B1435" w:rsidP="001C53E2">
                  <w:pPr>
                    <w:pStyle w:val="TableBodyText"/>
                    <w:jc w:val="left"/>
                  </w:pPr>
                  <w:r>
                    <w:t>Couple</w:t>
                  </w:r>
                </w:p>
              </w:tc>
              <w:tc>
                <w:tcPr>
                  <w:tcW w:w="1251" w:type="pct"/>
                </w:tcPr>
                <w:p w:rsidR="006B1435" w:rsidRDefault="006B1435" w:rsidP="001C53E2">
                  <w:pPr>
                    <w:pStyle w:val="TableBodyText"/>
                  </w:pPr>
                  <w:r>
                    <w:t>0</w:t>
                  </w:r>
                </w:p>
              </w:tc>
              <w:tc>
                <w:tcPr>
                  <w:tcW w:w="1250" w:type="pct"/>
                </w:tcPr>
                <w:p w:rsidR="006B1435" w:rsidRDefault="006B1435" w:rsidP="001C53E2">
                  <w:pPr>
                    <w:pStyle w:val="TableBodyText"/>
                  </w:pPr>
                  <w:r>
                    <w:t>4 742</w:t>
                  </w:r>
                </w:p>
              </w:tc>
              <w:tc>
                <w:tcPr>
                  <w:tcW w:w="1249" w:type="pct"/>
                </w:tcPr>
                <w:p w:rsidR="006B1435" w:rsidRDefault="006B1435" w:rsidP="001C53E2">
                  <w:pPr>
                    <w:pStyle w:val="TableBodyText"/>
                    <w:ind w:right="28"/>
                  </w:pPr>
                  <w:r>
                    <w:t>3 089</w:t>
                  </w:r>
                </w:p>
              </w:tc>
            </w:tr>
            <w:tr w:rsidR="006B1435" w:rsidTr="006B1435">
              <w:tc>
                <w:tcPr>
                  <w:tcW w:w="1250" w:type="pct"/>
                </w:tcPr>
                <w:p w:rsidR="006B1435" w:rsidRDefault="006B1435" w:rsidP="001C53E2">
                  <w:pPr>
                    <w:pStyle w:val="TableBodyText"/>
                    <w:jc w:val="left"/>
                  </w:pPr>
                  <w:r>
                    <w:t xml:space="preserve">Single </w:t>
                  </w:r>
                </w:p>
              </w:tc>
              <w:tc>
                <w:tcPr>
                  <w:tcW w:w="1251" w:type="pct"/>
                </w:tcPr>
                <w:p w:rsidR="006B1435" w:rsidRDefault="006B1435" w:rsidP="001C53E2">
                  <w:pPr>
                    <w:pStyle w:val="TableBodyText"/>
                  </w:pPr>
                  <w:r>
                    <w:t>One to two</w:t>
                  </w:r>
                </w:p>
              </w:tc>
              <w:tc>
                <w:tcPr>
                  <w:tcW w:w="1250" w:type="pct"/>
                </w:tcPr>
                <w:p w:rsidR="006B1435" w:rsidRDefault="006B1435" w:rsidP="001C53E2">
                  <w:pPr>
                    <w:pStyle w:val="TableBodyText"/>
                  </w:pPr>
                  <w:r>
                    <w:t>3 837</w:t>
                  </w:r>
                </w:p>
              </w:tc>
              <w:tc>
                <w:tcPr>
                  <w:tcW w:w="1249" w:type="pct"/>
                </w:tcPr>
                <w:p w:rsidR="006B1435" w:rsidRDefault="006B1435" w:rsidP="001C53E2">
                  <w:pPr>
                    <w:pStyle w:val="TableBodyText"/>
                    <w:ind w:right="28"/>
                  </w:pPr>
                  <w:r>
                    <w:t>3 847</w:t>
                  </w:r>
                </w:p>
              </w:tc>
            </w:tr>
            <w:tr w:rsidR="006B1435" w:rsidTr="006B1435">
              <w:tc>
                <w:tcPr>
                  <w:tcW w:w="1250" w:type="pct"/>
                </w:tcPr>
                <w:p w:rsidR="006B1435" w:rsidRDefault="006B1435" w:rsidP="001C53E2">
                  <w:pPr>
                    <w:pStyle w:val="TableBodyText"/>
                    <w:jc w:val="left"/>
                  </w:pPr>
                  <w:r>
                    <w:t>Couple</w:t>
                  </w:r>
                </w:p>
              </w:tc>
              <w:tc>
                <w:tcPr>
                  <w:tcW w:w="1251" w:type="pct"/>
                </w:tcPr>
                <w:p w:rsidR="006B1435" w:rsidRDefault="006B1435" w:rsidP="001C53E2">
                  <w:pPr>
                    <w:pStyle w:val="TableBodyText"/>
                  </w:pPr>
                  <w:r>
                    <w:t>One to two</w:t>
                  </w:r>
                </w:p>
              </w:tc>
              <w:tc>
                <w:tcPr>
                  <w:tcW w:w="1250" w:type="pct"/>
                </w:tcPr>
                <w:p w:rsidR="006B1435" w:rsidRDefault="006B1435" w:rsidP="001C53E2">
                  <w:pPr>
                    <w:pStyle w:val="TableBodyText"/>
                  </w:pPr>
                  <w:r>
                    <w:t>5 678</w:t>
                  </w:r>
                </w:p>
              </w:tc>
              <w:tc>
                <w:tcPr>
                  <w:tcW w:w="1249" w:type="pct"/>
                </w:tcPr>
                <w:p w:rsidR="006B1435" w:rsidRDefault="006B1435" w:rsidP="001C53E2">
                  <w:pPr>
                    <w:pStyle w:val="TableBodyText"/>
                    <w:ind w:right="28"/>
                  </w:pPr>
                  <w:r>
                    <w:t>3 847</w:t>
                  </w:r>
                </w:p>
              </w:tc>
            </w:tr>
            <w:tr w:rsidR="006B1435" w:rsidTr="008B3BB6">
              <w:tc>
                <w:tcPr>
                  <w:tcW w:w="1250" w:type="pct"/>
                </w:tcPr>
                <w:p w:rsidR="006B1435" w:rsidRDefault="006B1435" w:rsidP="001C53E2">
                  <w:pPr>
                    <w:pStyle w:val="TableBodyText"/>
                    <w:jc w:val="left"/>
                  </w:pPr>
                  <w:r>
                    <w:t>Single</w:t>
                  </w:r>
                </w:p>
              </w:tc>
              <w:tc>
                <w:tcPr>
                  <w:tcW w:w="1251" w:type="pct"/>
                </w:tcPr>
                <w:p w:rsidR="006B1435" w:rsidRDefault="006B1435" w:rsidP="001C53E2">
                  <w:pPr>
                    <w:pStyle w:val="TableBodyText"/>
                  </w:pPr>
                  <w:r>
                    <w:t>Three or more</w:t>
                  </w:r>
                </w:p>
              </w:tc>
              <w:tc>
                <w:tcPr>
                  <w:tcW w:w="1250" w:type="pct"/>
                </w:tcPr>
                <w:p w:rsidR="006B1435" w:rsidRDefault="006B1435" w:rsidP="001C53E2">
                  <w:pPr>
                    <w:pStyle w:val="TableBodyText"/>
                  </w:pPr>
                  <w:r>
                    <w:t>3 837</w:t>
                  </w:r>
                </w:p>
              </w:tc>
              <w:tc>
                <w:tcPr>
                  <w:tcW w:w="1249" w:type="pct"/>
                </w:tcPr>
                <w:p w:rsidR="006B1435" w:rsidRDefault="006B1435" w:rsidP="001C53E2">
                  <w:pPr>
                    <w:pStyle w:val="TableBodyText"/>
                    <w:ind w:right="28"/>
                  </w:pPr>
                  <w:r>
                    <w:t>4 350</w:t>
                  </w:r>
                </w:p>
              </w:tc>
            </w:tr>
            <w:tr w:rsidR="006B1435" w:rsidTr="008B3BB6">
              <w:tc>
                <w:tcPr>
                  <w:tcW w:w="1250" w:type="pct"/>
                  <w:tcBorders>
                    <w:bottom w:val="single" w:sz="4" w:space="0" w:color="BFBFBF"/>
                  </w:tcBorders>
                </w:tcPr>
                <w:p w:rsidR="006B1435" w:rsidRDefault="006B1435" w:rsidP="001C53E2">
                  <w:pPr>
                    <w:pStyle w:val="TableBodyText"/>
                    <w:jc w:val="left"/>
                  </w:pPr>
                  <w:r>
                    <w:t>Couple</w:t>
                  </w:r>
                </w:p>
              </w:tc>
              <w:tc>
                <w:tcPr>
                  <w:tcW w:w="1251" w:type="pct"/>
                  <w:tcBorders>
                    <w:bottom w:val="single" w:sz="4" w:space="0" w:color="BFBFBF"/>
                  </w:tcBorders>
                </w:tcPr>
                <w:p w:rsidR="006B1435" w:rsidRDefault="006B1435" w:rsidP="001C53E2">
                  <w:pPr>
                    <w:pStyle w:val="TableBodyText"/>
                  </w:pPr>
                  <w:r>
                    <w:t>Three or more</w:t>
                  </w:r>
                </w:p>
              </w:tc>
              <w:tc>
                <w:tcPr>
                  <w:tcW w:w="1250" w:type="pct"/>
                  <w:tcBorders>
                    <w:bottom w:val="single" w:sz="4" w:space="0" w:color="BFBFBF"/>
                  </w:tcBorders>
                </w:tcPr>
                <w:p w:rsidR="006B1435" w:rsidRDefault="006B1435" w:rsidP="001C53E2">
                  <w:pPr>
                    <w:pStyle w:val="TableBodyText"/>
                  </w:pPr>
                  <w:r>
                    <w:t>5 678</w:t>
                  </w:r>
                </w:p>
              </w:tc>
              <w:tc>
                <w:tcPr>
                  <w:tcW w:w="1249" w:type="pct"/>
                  <w:tcBorders>
                    <w:bottom w:val="single" w:sz="4" w:space="0" w:color="BFBFBF"/>
                  </w:tcBorders>
                </w:tcPr>
                <w:p w:rsidR="006B1435" w:rsidRDefault="006B1435" w:rsidP="001C53E2">
                  <w:pPr>
                    <w:pStyle w:val="TableBodyText"/>
                    <w:ind w:right="28"/>
                  </w:pPr>
                  <w:r>
                    <w:t>4 350</w:t>
                  </w:r>
                </w:p>
              </w:tc>
            </w:tr>
          </w:tbl>
          <w:p w:rsidR="009C0CC4" w:rsidRDefault="009C0CC4" w:rsidP="009C0CC4">
            <w:pPr>
              <w:pStyle w:val="Box"/>
            </w:pPr>
          </w:p>
        </w:tc>
      </w:tr>
      <w:tr w:rsidR="009C0CC4" w:rsidTr="009C0CC4">
        <w:trPr>
          <w:cantSplit/>
        </w:trPr>
        <w:tc>
          <w:tcPr>
            <w:tcW w:w="8771" w:type="dxa"/>
            <w:tcBorders>
              <w:top w:val="nil"/>
              <w:left w:val="nil"/>
              <w:bottom w:val="nil"/>
              <w:right w:val="nil"/>
            </w:tcBorders>
            <w:shd w:val="clear" w:color="auto" w:fill="auto"/>
          </w:tcPr>
          <w:p w:rsidR="009C0CC4" w:rsidRPr="009C0CC4" w:rsidRDefault="009C0CC4" w:rsidP="009C0CC4">
            <w:pPr>
              <w:pStyle w:val="Note"/>
            </w:pPr>
            <w:r w:rsidRPr="008E77FE">
              <w:rPr>
                <w:rStyle w:val="NoteLabel"/>
              </w:rPr>
              <w:t>a</w:t>
            </w:r>
            <w:r>
              <w:t xml:space="preserve"> Other rules apply to people sharing a rental property and for temporarily</w:t>
            </w:r>
            <w:r w:rsidR="00A61C8A">
              <w:noBreakHyphen/>
            </w:r>
            <w:r>
              <w:t>separated couples.</w:t>
            </w:r>
          </w:p>
        </w:tc>
      </w:tr>
      <w:tr w:rsidR="009C0CC4" w:rsidTr="009C0CC4">
        <w:trPr>
          <w:cantSplit/>
        </w:trPr>
        <w:tc>
          <w:tcPr>
            <w:tcW w:w="8771" w:type="dxa"/>
            <w:tcBorders>
              <w:top w:val="nil"/>
              <w:left w:val="nil"/>
              <w:bottom w:val="nil"/>
              <w:right w:val="nil"/>
            </w:tcBorders>
            <w:shd w:val="clear" w:color="auto" w:fill="auto"/>
          </w:tcPr>
          <w:p w:rsidR="009C0CC4" w:rsidRDefault="009C0CC4" w:rsidP="001537DA">
            <w:pPr>
              <w:pStyle w:val="Source"/>
            </w:pPr>
            <w:r>
              <w:rPr>
                <w:i/>
              </w:rPr>
              <w:t>Source</w:t>
            </w:r>
            <w:r>
              <w:t xml:space="preserve">: </w:t>
            </w:r>
            <w:proofErr w:type="spellStart"/>
            <w:r w:rsidR="001537DA" w:rsidRPr="001537DA">
              <w:rPr>
                <w:rFonts w:cs="Arial"/>
                <w:szCs w:val="24"/>
              </w:rPr>
              <w:t>DSS</w:t>
            </w:r>
            <w:proofErr w:type="spellEnd"/>
            <w:r w:rsidR="001537DA" w:rsidRPr="001537DA">
              <w:rPr>
                <w:rFonts w:cs="Arial"/>
                <w:szCs w:val="24"/>
              </w:rPr>
              <w:t> </w:t>
            </w:r>
            <w:r w:rsidR="00E33E49">
              <w:rPr>
                <w:rFonts w:cs="Arial"/>
                <w:szCs w:val="24"/>
              </w:rPr>
              <w:t>(</w:t>
            </w:r>
            <w:r w:rsidR="001537DA" w:rsidRPr="001537DA">
              <w:rPr>
                <w:rFonts w:cs="Arial"/>
                <w:szCs w:val="24"/>
              </w:rPr>
              <w:t>2014</w:t>
            </w:r>
            <w:r w:rsidR="00E33E49">
              <w:t>)</w:t>
            </w:r>
            <w:r>
              <w:t xml:space="preserve">. </w:t>
            </w:r>
          </w:p>
        </w:tc>
      </w:tr>
      <w:tr w:rsidR="009C0CC4" w:rsidTr="009C0CC4">
        <w:trPr>
          <w:cantSplit/>
        </w:trPr>
        <w:tc>
          <w:tcPr>
            <w:tcW w:w="8771" w:type="dxa"/>
            <w:tcBorders>
              <w:top w:val="nil"/>
              <w:left w:val="nil"/>
              <w:bottom w:val="single" w:sz="6" w:space="0" w:color="78A22F"/>
              <w:right w:val="nil"/>
            </w:tcBorders>
            <w:shd w:val="clear" w:color="auto" w:fill="auto"/>
          </w:tcPr>
          <w:p w:rsidR="009C0CC4" w:rsidRDefault="009C0CC4" w:rsidP="009C0CC4">
            <w:pPr>
              <w:pStyle w:val="Box"/>
              <w:spacing w:before="0" w:line="120" w:lineRule="exact"/>
            </w:pPr>
          </w:p>
        </w:tc>
      </w:tr>
      <w:tr w:rsidR="009C0CC4" w:rsidRPr="000863A5" w:rsidTr="009C0CC4">
        <w:tc>
          <w:tcPr>
            <w:tcW w:w="8771" w:type="dxa"/>
            <w:tcBorders>
              <w:top w:val="single" w:sz="6" w:space="0" w:color="78A22F"/>
              <w:left w:val="nil"/>
              <w:bottom w:val="nil"/>
              <w:right w:val="nil"/>
            </w:tcBorders>
          </w:tcPr>
          <w:p w:rsidR="009C0CC4" w:rsidRPr="00626D32" w:rsidRDefault="009C0CC4" w:rsidP="009C0CC4">
            <w:pPr>
              <w:pStyle w:val="BoxSpaceBelow"/>
            </w:pPr>
          </w:p>
        </w:tc>
      </w:tr>
    </w:tbl>
    <w:p w:rsidR="00602352" w:rsidRDefault="00436C00" w:rsidP="0030737B">
      <w:pPr>
        <w:pStyle w:val="Heading4"/>
      </w:pPr>
      <w:r>
        <w:t>Rules governing withdrawal of r</w:t>
      </w:r>
      <w:r w:rsidR="00ED3F04">
        <w:t>ent assistance</w:t>
      </w:r>
    </w:p>
    <w:p w:rsidR="00C504A0" w:rsidRPr="007D361D" w:rsidRDefault="001E1032" w:rsidP="00120072">
      <w:pPr>
        <w:pStyle w:val="BodyText"/>
        <w:rPr>
          <w:spacing w:val="-2"/>
        </w:rPr>
      </w:pPr>
      <w:r w:rsidRPr="007D361D">
        <w:rPr>
          <w:spacing w:val="-2"/>
        </w:rPr>
        <w:t>Once market income reaches a certain level</w:t>
      </w:r>
      <w:r w:rsidR="0030737B" w:rsidRPr="007D361D">
        <w:rPr>
          <w:spacing w:val="-2"/>
        </w:rPr>
        <w:t xml:space="preserve">, rent assistance </w:t>
      </w:r>
      <w:r w:rsidR="000E0A00" w:rsidRPr="007D361D">
        <w:rPr>
          <w:spacing w:val="-2"/>
        </w:rPr>
        <w:t>is</w:t>
      </w:r>
      <w:r w:rsidRPr="007D361D">
        <w:rPr>
          <w:spacing w:val="-2"/>
        </w:rPr>
        <w:t xml:space="preserve"> </w:t>
      </w:r>
      <w:r w:rsidR="00C463FE" w:rsidRPr="007D361D">
        <w:rPr>
          <w:spacing w:val="-2"/>
        </w:rPr>
        <w:t>withdrawn</w:t>
      </w:r>
      <w:r w:rsidRPr="007D361D">
        <w:rPr>
          <w:spacing w:val="-2"/>
        </w:rPr>
        <w:t xml:space="preserve"> as </w:t>
      </w:r>
      <w:r w:rsidR="00214F7E" w:rsidRPr="007D361D">
        <w:rPr>
          <w:spacing w:val="-2"/>
        </w:rPr>
        <w:t>income</w:t>
      </w:r>
      <w:r w:rsidRPr="007D361D">
        <w:rPr>
          <w:spacing w:val="-2"/>
        </w:rPr>
        <w:t xml:space="preserve"> increase</w:t>
      </w:r>
      <w:r w:rsidR="00214F7E" w:rsidRPr="007D361D">
        <w:rPr>
          <w:spacing w:val="-2"/>
        </w:rPr>
        <w:t>s</w:t>
      </w:r>
      <w:r w:rsidR="0030737B" w:rsidRPr="007D361D">
        <w:rPr>
          <w:spacing w:val="-2"/>
        </w:rPr>
        <w:t xml:space="preserve">. </w:t>
      </w:r>
      <w:r w:rsidR="00C463FE" w:rsidRPr="007D361D">
        <w:rPr>
          <w:spacing w:val="-2"/>
        </w:rPr>
        <w:t>T</w:t>
      </w:r>
      <w:r w:rsidR="003242C0" w:rsidRPr="007D361D">
        <w:rPr>
          <w:spacing w:val="-2"/>
        </w:rPr>
        <w:t>he</w:t>
      </w:r>
      <w:r w:rsidR="00742D2A" w:rsidRPr="007D361D">
        <w:rPr>
          <w:spacing w:val="-2"/>
        </w:rPr>
        <w:t xml:space="preserve"> withdrawal of CRA is determined by the</w:t>
      </w:r>
      <w:r w:rsidR="003242C0" w:rsidRPr="007D361D">
        <w:rPr>
          <w:spacing w:val="-2"/>
        </w:rPr>
        <w:t xml:space="preserve"> </w:t>
      </w:r>
      <w:r w:rsidR="00400B57" w:rsidRPr="007D361D">
        <w:rPr>
          <w:spacing w:val="-2"/>
        </w:rPr>
        <w:t>‘</w:t>
      </w:r>
      <w:r w:rsidR="00742D2A" w:rsidRPr="007D361D">
        <w:rPr>
          <w:spacing w:val="-2"/>
        </w:rPr>
        <w:t>income test</w:t>
      </w:r>
      <w:r w:rsidR="00400B57" w:rsidRPr="007D361D">
        <w:rPr>
          <w:spacing w:val="-2"/>
        </w:rPr>
        <w:t>’</w:t>
      </w:r>
      <w:r w:rsidR="00742D2A" w:rsidRPr="007D361D">
        <w:rPr>
          <w:spacing w:val="-2"/>
        </w:rPr>
        <w:t xml:space="preserve"> that applies to the recipient’s welfare payment (the </w:t>
      </w:r>
      <w:r w:rsidR="00470346" w:rsidRPr="007D361D">
        <w:rPr>
          <w:spacing w:val="-2"/>
        </w:rPr>
        <w:t xml:space="preserve">Department of Human Services defines the </w:t>
      </w:r>
      <w:r w:rsidR="00742D2A" w:rsidRPr="007D361D">
        <w:rPr>
          <w:spacing w:val="-2"/>
        </w:rPr>
        <w:t xml:space="preserve">income test </w:t>
      </w:r>
      <w:r w:rsidR="00470346" w:rsidRPr="007D361D">
        <w:rPr>
          <w:spacing w:val="-2"/>
        </w:rPr>
        <w:t>to include</w:t>
      </w:r>
      <w:r w:rsidR="00742D2A" w:rsidRPr="007D361D">
        <w:rPr>
          <w:spacing w:val="-2"/>
        </w:rPr>
        <w:t xml:space="preserve"> both </w:t>
      </w:r>
      <w:r w:rsidR="00814C87" w:rsidRPr="007D361D">
        <w:rPr>
          <w:spacing w:val="-2"/>
        </w:rPr>
        <w:t xml:space="preserve">the </w:t>
      </w:r>
      <w:r w:rsidR="00814C87" w:rsidRPr="007D361D">
        <w:rPr>
          <w:i/>
          <w:spacing w:val="-2"/>
        </w:rPr>
        <w:t>level</w:t>
      </w:r>
      <w:r w:rsidR="00814C87" w:rsidRPr="007D361D">
        <w:rPr>
          <w:spacing w:val="-2"/>
        </w:rPr>
        <w:t xml:space="preserve"> of income above which the benefit is withdrawn and </w:t>
      </w:r>
      <w:r w:rsidR="00742D2A" w:rsidRPr="007D361D">
        <w:rPr>
          <w:spacing w:val="-2"/>
        </w:rPr>
        <w:t xml:space="preserve">the </w:t>
      </w:r>
      <w:r w:rsidR="00742D2A" w:rsidRPr="007D361D">
        <w:rPr>
          <w:i/>
          <w:spacing w:val="-2"/>
        </w:rPr>
        <w:t>rate</w:t>
      </w:r>
      <w:r w:rsidR="00742D2A" w:rsidRPr="007D361D">
        <w:rPr>
          <w:spacing w:val="-2"/>
        </w:rPr>
        <w:t xml:space="preserve"> of withdrawal). </w:t>
      </w:r>
      <w:r w:rsidR="003242C0" w:rsidRPr="007D361D">
        <w:rPr>
          <w:spacing w:val="-2"/>
        </w:rPr>
        <w:t>For examp</w:t>
      </w:r>
      <w:r w:rsidR="00AD0A79" w:rsidRPr="007D361D">
        <w:rPr>
          <w:spacing w:val="-2"/>
        </w:rPr>
        <w:t>le, if a</w:t>
      </w:r>
      <w:r w:rsidR="00140E2D" w:rsidRPr="007D361D">
        <w:rPr>
          <w:spacing w:val="-2"/>
        </w:rPr>
        <w:t xml:space="preserve"> person</w:t>
      </w:r>
      <w:r w:rsidR="00AD0A79" w:rsidRPr="007D361D">
        <w:rPr>
          <w:spacing w:val="-2"/>
        </w:rPr>
        <w:t xml:space="preserve"> receives the </w:t>
      </w:r>
      <w:r w:rsidR="00F90F61" w:rsidRPr="007D361D">
        <w:rPr>
          <w:spacing w:val="-2"/>
        </w:rPr>
        <w:t>Disability Support Pension (DSP)</w:t>
      </w:r>
      <w:r w:rsidR="00AD0A79" w:rsidRPr="007D361D">
        <w:rPr>
          <w:spacing w:val="-2"/>
        </w:rPr>
        <w:t xml:space="preserve"> </w:t>
      </w:r>
      <w:r w:rsidR="003242C0" w:rsidRPr="007D361D">
        <w:rPr>
          <w:spacing w:val="-2"/>
        </w:rPr>
        <w:t xml:space="preserve">and </w:t>
      </w:r>
      <w:r w:rsidR="00276F20" w:rsidRPr="007D361D">
        <w:rPr>
          <w:spacing w:val="-2"/>
        </w:rPr>
        <w:lastRenderedPageBreak/>
        <w:t>CRA</w:t>
      </w:r>
      <w:r w:rsidR="003242C0" w:rsidRPr="007D361D">
        <w:rPr>
          <w:spacing w:val="-2"/>
        </w:rPr>
        <w:t xml:space="preserve">, </w:t>
      </w:r>
      <w:r w:rsidR="00AA6A23" w:rsidRPr="007D361D">
        <w:rPr>
          <w:spacing w:val="-2"/>
        </w:rPr>
        <w:t xml:space="preserve">then the withdrawal of CRA is determined by the </w:t>
      </w:r>
      <w:r w:rsidR="007C5D7E" w:rsidRPr="007D361D">
        <w:rPr>
          <w:spacing w:val="-2"/>
        </w:rPr>
        <w:t>DSP</w:t>
      </w:r>
      <w:r w:rsidR="00AA6A23" w:rsidRPr="007D361D">
        <w:rPr>
          <w:spacing w:val="-2"/>
        </w:rPr>
        <w:t xml:space="preserve"> income test.</w:t>
      </w:r>
      <w:r w:rsidR="00140E2D" w:rsidRPr="007D361D">
        <w:rPr>
          <w:spacing w:val="-2"/>
        </w:rPr>
        <w:t xml:space="preserve"> If they receive CRA because they get more than the base rate of </w:t>
      </w:r>
      <w:r w:rsidR="008F01EC">
        <w:rPr>
          <w:spacing w:val="-2"/>
        </w:rPr>
        <w:t>FTB A</w:t>
      </w:r>
      <w:r w:rsidR="00140E2D" w:rsidRPr="007D361D">
        <w:rPr>
          <w:spacing w:val="-2"/>
        </w:rPr>
        <w:t>, withdrawal of CRA is based on the FTB income test.</w:t>
      </w:r>
    </w:p>
    <w:p w:rsidR="0030737B" w:rsidRDefault="00C504A0" w:rsidP="00C504A0">
      <w:pPr>
        <w:pStyle w:val="Heading5"/>
      </w:pPr>
      <w:r>
        <w:t xml:space="preserve">Income </w:t>
      </w:r>
      <w:r w:rsidR="00B86D50">
        <w:t>s</w:t>
      </w:r>
      <w:r>
        <w:t xml:space="preserve">upport </w:t>
      </w:r>
      <w:r w:rsidR="00B86D50">
        <w:t>p</w:t>
      </w:r>
      <w:r>
        <w:t>ayment income tests</w:t>
      </w:r>
    </w:p>
    <w:p w:rsidR="008A5780" w:rsidRDefault="00276F20" w:rsidP="00E024AD">
      <w:pPr>
        <w:pStyle w:val="BodyText"/>
      </w:pPr>
      <w:r>
        <w:t>I</w:t>
      </w:r>
      <w:r w:rsidR="002E122E">
        <w:t>ncome tests</w:t>
      </w:r>
      <w:r w:rsidR="003242C0">
        <w:t xml:space="preserve"> var</w:t>
      </w:r>
      <w:r w:rsidR="00742D2A">
        <w:t>y</w:t>
      </w:r>
      <w:r w:rsidR="003242C0">
        <w:t xml:space="preserve"> by payment type and </w:t>
      </w:r>
      <w:r w:rsidR="0001433C">
        <w:t xml:space="preserve">a </w:t>
      </w:r>
      <w:r w:rsidR="00400B57">
        <w:t>recipient’s</w:t>
      </w:r>
      <w:r w:rsidR="003242C0">
        <w:t xml:space="preserve"> characteristics.</w:t>
      </w:r>
      <w:r w:rsidR="00123A81" w:rsidRPr="007D361D">
        <w:rPr>
          <w:rStyle w:val="FootnoteReference"/>
        </w:rPr>
        <w:footnoteReference w:id="11"/>
      </w:r>
      <w:r w:rsidR="009447AD">
        <w:t xml:space="preserve"> For example, the </w:t>
      </w:r>
      <w:r w:rsidR="0001433C">
        <w:t xml:space="preserve">income </w:t>
      </w:r>
      <w:r w:rsidR="00777D08">
        <w:t xml:space="preserve">threshold </w:t>
      </w:r>
      <w:r w:rsidR="00DD543D">
        <w:t xml:space="preserve">at </w:t>
      </w:r>
      <w:r w:rsidR="009447AD">
        <w:t xml:space="preserve">which </w:t>
      </w:r>
      <w:r w:rsidR="0001433C">
        <w:t xml:space="preserve">an </w:t>
      </w:r>
      <w:r w:rsidR="006711AA">
        <w:t>ISP</w:t>
      </w:r>
      <w:r w:rsidR="009447AD">
        <w:t xml:space="preserve"> </w:t>
      </w:r>
      <w:r w:rsidR="00DD543D">
        <w:t xml:space="preserve">starts to be </w:t>
      </w:r>
      <w:r w:rsidR="009447AD">
        <w:t xml:space="preserve">withdrawn </w:t>
      </w:r>
      <w:r w:rsidR="00957E6D">
        <w:t xml:space="preserve">(also known as the income free area) </w:t>
      </w:r>
      <w:r w:rsidR="009447AD">
        <w:t xml:space="preserve">and the rate of withdrawal </w:t>
      </w:r>
      <w:r w:rsidR="00957E6D">
        <w:t xml:space="preserve">(also known as the taper rate) </w:t>
      </w:r>
      <w:r w:rsidR="009447AD">
        <w:t xml:space="preserve">will be different for </w:t>
      </w:r>
      <w:r w:rsidR="0001433C">
        <w:t>Disability Support Pension</w:t>
      </w:r>
      <w:r w:rsidR="00AC25CA">
        <w:t xml:space="preserve"> </w:t>
      </w:r>
      <w:r w:rsidR="00493CF4">
        <w:t xml:space="preserve">(DSP) </w:t>
      </w:r>
      <w:r w:rsidR="0001433C">
        <w:t xml:space="preserve">recipients and Parenting Payment recipients, and for </w:t>
      </w:r>
      <w:r w:rsidR="009447AD">
        <w:t>single</w:t>
      </w:r>
      <w:r w:rsidR="006711AA">
        <w:t>s</w:t>
      </w:r>
      <w:r w:rsidR="009447AD">
        <w:t xml:space="preserve"> and couple</w:t>
      </w:r>
      <w:r w:rsidR="006711AA">
        <w:t>s.</w:t>
      </w:r>
      <w:r w:rsidR="007831A5" w:rsidRPr="007D361D">
        <w:rPr>
          <w:rStyle w:val="FootnoteReference"/>
        </w:rPr>
        <w:footnoteReference w:id="12"/>
      </w:r>
    </w:p>
    <w:p w:rsidR="00E024AD" w:rsidRDefault="007C5D7E" w:rsidP="00E024AD">
      <w:pPr>
        <w:pStyle w:val="BodyText"/>
      </w:pPr>
      <w:r>
        <w:t>CRA</w:t>
      </w:r>
      <w:r w:rsidR="003242C0">
        <w:t xml:space="preserve"> is withdrawn </w:t>
      </w:r>
      <w:r w:rsidR="006711AA">
        <w:t xml:space="preserve">only </w:t>
      </w:r>
      <w:r w:rsidR="003242C0">
        <w:t xml:space="preserve">after the </w:t>
      </w:r>
      <w:r w:rsidR="00F7129D">
        <w:t>ISP</w:t>
      </w:r>
      <w:r w:rsidR="003242C0">
        <w:t xml:space="preserve"> has reduced to zero.</w:t>
      </w:r>
      <w:r w:rsidR="007831A5" w:rsidRPr="007D361D">
        <w:rPr>
          <w:rStyle w:val="FootnoteReference"/>
        </w:rPr>
        <w:footnoteReference w:id="13"/>
      </w:r>
    </w:p>
    <w:p w:rsidR="001E1D9D" w:rsidRDefault="00F22308" w:rsidP="00F22308">
      <w:pPr>
        <w:pStyle w:val="BodyText"/>
      </w:pPr>
      <w:r>
        <w:t xml:space="preserve">The effect of </w:t>
      </w:r>
      <w:r w:rsidR="00117CD3">
        <w:t xml:space="preserve">an </w:t>
      </w:r>
      <w:r>
        <w:t xml:space="preserve">ISP income test on CRA payments is illustrated in </w:t>
      </w:r>
      <w:r w:rsidR="00E222ED">
        <w:t>figure </w:t>
      </w:r>
      <w:r w:rsidR="009C56C8">
        <w:t>1</w:t>
      </w:r>
      <w:r w:rsidR="00E222ED">
        <w:t xml:space="preserve">. </w:t>
      </w:r>
      <w:r w:rsidR="00D06E74">
        <w:t xml:space="preserve">Up to </w:t>
      </w:r>
      <w:r>
        <w:t xml:space="preserve">market </w:t>
      </w:r>
      <w:r w:rsidR="00D06E74">
        <w:t xml:space="preserve">income </w:t>
      </w:r>
      <w:r w:rsidR="004679E5">
        <w:t>$</w:t>
      </w:r>
      <w:r w:rsidR="00E222ED">
        <w:t>A</w:t>
      </w:r>
      <w:r w:rsidR="00D06E74">
        <w:t xml:space="preserve"> the </w:t>
      </w:r>
      <w:r w:rsidR="002D2799">
        <w:t xml:space="preserve">full ISP and </w:t>
      </w:r>
      <w:r w:rsidR="00E222ED">
        <w:t>CRA</w:t>
      </w:r>
      <w:r w:rsidR="002D2799">
        <w:t xml:space="preserve"> </w:t>
      </w:r>
      <w:r w:rsidR="00B030E5">
        <w:t>are</w:t>
      </w:r>
      <w:r w:rsidR="002D2799">
        <w:t xml:space="preserve"> paid</w:t>
      </w:r>
      <w:r w:rsidR="00D06E74">
        <w:t xml:space="preserve">. Between </w:t>
      </w:r>
      <w:r w:rsidR="004679E5">
        <w:t>$</w:t>
      </w:r>
      <w:r w:rsidR="00E222ED">
        <w:t>A</w:t>
      </w:r>
      <w:r w:rsidR="00D06E74">
        <w:t xml:space="preserve"> and </w:t>
      </w:r>
      <w:r w:rsidR="004679E5">
        <w:t>$</w:t>
      </w:r>
      <w:r w:rsidR="00E222ED">
        <w:t>B</w:t>
      </w:r>
      <w:r w:rsidR="00D06E74">
        <w:t>, the ISP is withdrawn as market income increases</w:t>
      </w:r>
      <w:r w:rsidR="00400B57">
        <w:t>, but the</w:t>
      </w:r>
      <w:r w:rsidR="007831A5">
        <w:t xml:space="preserve"> full CRA amount is </w:t>
      </w:r>
      <w:r w:rsidR="004F0E39">
        <w:t>received</w:t>
      </w:r>
      <w:r w:rsidR="00D06E74">
        <w:t xml:space="preserve">. Finally, </w:t>
      </w:r>
      <w:r w:rsidR="002D2799">
        <w:t xml:space="preserve">after the ISP has reduced to zero (at </w:t>
      </w:r>
      <w:r w:rsidR="004679E5">
        <w:t>$</w:t>
      </w:r>
      <w:r w:rsidR="00E222ED">
        <w:t>B</w:t>
      </w:r>
      <w:r w:rsidR="002D2799">
        <w:t>)</w:t>
      </w:r>
      <w:r w:rsidR="00692AEA">
        <w:t>,</w:t>
      </w:r>
      <w:r w:rsidR="002D2799">
        <w:t xml:space="preserve"> </w:t>
      </w:r>
      <w:r w:rsidR="00D06E74">
        <w:t>CRA is withdrawn</w:t>
      </w:r>
      <w:r w:rsidR="005D6E43">
        <w:t xml:space="preserve"> at the same rate as the ISP was withdrawn</w:t>
      </w:r>
      <w:r w:rsidR="00D06E74">
        <w:t xml:space="preserve">. At levels of market income above </w:t>
      </w:r>
      <w:r w:rsidR="004679E5">
        <w:t>$</w:t>
      </w:r>
      <w:r w:rsidR="00E222ED">
        <w:t>C</w:t>
      </w:r>
      <w:r w:rsidR="00D06E74">
        <w:t xml:space="preserve">, the </w:t>
      </w:r>
      <w:r w:rsidR="00F24BDA">
        <w:t>person</w:t>
      </w:r>
      <w:r w:rsidR="00D06E74">
        <w:t xml:space="preserve"> no longer receives any </w:t>
      </w:r>
      <w:r w:rsidR="007370C9">
        <w:t>CRA</w:t>
      </w:r>
      <w:r w:rsidR="00D06E74">
        <w:t>.</w:t>
      </w:r>
    </w:p>
    <w:p w:rsidR="00871FC0" w:rsidRDefault="00E4602F" w:rsidP="00F22308">
      <w:pPr>
        <w:pStyle w:val="BodyText"/>
      </w:pPr>
      <w:r>
        <w:t>The effect of this approach to withdrawing CRA is to extend the range over which welfare payments are withdrawn,</w:t>
      </w:r>
      <w:r w:rsidR="00D23111">
        <w:t xml:space="preserve"> rather than to</w:t>
      </w:r>
      <w:r>
        <w:t xml:space="preserve"> increase the rate of withdrawal. An alternative approach would see CRA withdrawn at the same time as an ISP — contributing to higher EMTRs for CRA recipients.</w:t>
      </w:r>
    </w:p>
    <w:p w:rsidR="006B1435" w:rsidRDefault="006B1435"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B1435" w:rsidTr="001C53E2">
        <w:tc>
          <w:tcPr>
            <w:tcW w:w="8771" w:type="dxa"/>
            <w:tcBorders>
              <w:top w:val="single" w:sz="6" w:space="0" w:color="78A22F"/>
              <w:left w:val="nil"/>
              <w:bottom w:val="nil"/>
              <w:right w:val="nil"/>
            </w:tcBorders>
            <w:shd w:val="clear" w:color="auto" w:fill="auto"/>
          </w:tcPr>
          <w:p w:rsidR="006B1435" w:rsidRPr="00176D3F" w:rsidRDefault="006B1435" w:rsidP="006B1435">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1</w:t>
            </w:r>
            <w:r w:rsidRPr="00784A05">
              <w:rPr>
                <w:b w:val="0"/>
              </w:rPr>
              <w:fldChar w:fldCharType="end"/>
            </w:r>
            <w:r>
              <w:tab/>
              <w:t>The interaction between CRA and the ISP income test</w:t>
            </w:r>
            <w:r w:rsidRPr="00D71EB8">
              <w:rPr>
                <w:rStyle w:val="NoteLabel"/>
                <w:b/>
              </w:rPr>
              <w:t>a</w:t>
            </w:r>
          </w:p>
        </w:tc>
      </w:tr>
      <w:tr w:rsidR="006B1435"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B1435" w:rsidTr="001C53E2">
              <w:trPr>
                <w:jc w:val="center"/>
              </w:trPr>
              <w:tc>
                <w:tcPr>
                  <w:tcW w:w="5000" w:type="pct"/>
                  <w:tcBorders>
                    <w:top w:val="nil"/>
                    <w:bottom w:val="nil"/>
                  </w:tcBorders>
                </w:tcPr>
                <w:p w:rsidR="006B1435" w:rsidRDefault="009371E0" w:rsidP="001C53E2">
                  <w:pPr>
                    <w:pStyle w:val="Figure"/>
                    <w:spacing w:before="60" w:after="60"/>
                  </w:pPr>
                  <w:r>
                    <w:object w:dxaOrig="15675" w:dyaOrig="8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The interaction between CRA and the ISP income test.&#10;This chart shows the interaction between CRA and the ISP income test. CRA is withdrawn only after a person is no longer receiving an ISP as their income rises.&#10;" style="width:424.45pt;height:219.35pt" o:ole="">
                        <v:imagedata r:id="rId11" o:title=""/>
                      </v:shape>
                      <o:OLEObject Type="Embed" ProgID="PBrush" ShapeID="_x0000_i1027" DrawAspect="Content" ObjectID="_1489918527" r:id="rId12"/>
                    </w:object>
                  </w:r>
                </w:p>
              </w:tc>
            </w:tr>
          </w:tbl>
          <w:p w:rsidR="006B1435" w:rsidRDefault="006B1435" w:rsidP="001C53E2">
            <w:pPr>
              <w:pStyle w:val="Figure"/>
            </w:pPr>
          </w:p>
        </w:tc>
      </w:tr>
      <w:tr w:rsidR="006B1435" w:rsidRPr="00176D3F" w:rsidTr="001C53E2">
        <w:tc>
          <w:tcPr>
            <w:tcW w:w="8771" w:type="dxa"/>
            <w:tcBorders>
              <w:top w:val="nil"/>
              <w:left w:val="nil"/>
              <w:bottom w:val="nil"/>
              <w:right w:val="nil"/>
            </w:tcBorders>
            <w:shd w:val="clear" w:color="auto" w:fill="auto"/>
          </w:tcPr>
          <w:p w:rsidR="006B1435" w:rsidRPr="00176D3F" w:rsidRDefault="006B1435" w:rsidP="001C53E2">
            <w:pPr>
              <w:pStyle w:val="Note"/>
            </w:pPr>
            <w:r>
              <w:rPr>
                <w:rStyle w:val="NoteLabel"/>
              </w:rPr>
              <w:t>a</w:t>
            </w:r>
            <w:r>
              <w:t xml:space="preserve"> This schematic ignores supplement payments and is not to scale.</w:t>
            </w:r>
          </w:p>
        </w:tc>
      </w:tr>
      <w:tr w:rsidR="006B1435" w:rsidTr="001C53E2">
        <w:tc>
          <w:tcPr>
            <w:tcW w:w="8771" w:type="dxa"/>
            <w:tcBorders>
              <w:top w:val="nil"/>
              <w:left w:val="nil"/>
              <w:bottom w:val="single" w:sz="6" w:space="0" w:color="78A22F"/>
              <w:right w:val="nil"/>
            </w:tcBorders>
            <w:shd w:val="clear" w:color="auto" w:fill="auto"/>
          </w:tcPr>
          <w:p w:rsidR="006B1435" w:rsidRDefault="006B1435" w:rsidP="001C53E2">
            <w:pPr>
              <w:pStyle w:val="Figurespace"/>
            </w:pPr>
          </w:p>
        </w:tc>
      </w:tr>
      <w:tr w:rsidR="006B1435" w:rsidRPr="000863A5" w:rsidTr="001C53E2">
        <w:tc>
          <w:tcPr>
            <w:tcW w:w="8771" w:type="dxa"/>
            <w:tcBorders>
              <w:top w:val="single" w:sz="6" w:space="0" w:color="78A22F"/>
              <w:left w:val="nil"/>
              <w:bottom w:val="nil"/>
              <w:right w:val="nil"/>
            </w:tcBorders>
          </w:tcPr>
          <w:p w:rsidR="006B1435" w:rsidRPr="00626D32" w:rsidRDefault="006B1435" w:rsidP="001C53E2">
            <w:pPr>
              <w:pStyle w:val="BoxSpaceBelow"/>
            </w:pPr>
          </w:p>
        </w:tc>
      </w:tr>
    </w:tbl>
    <w:p w:rsidR="00436C00" w:rsidRDefault="00436C00" w:rsidP="00436C00">
      <w:pPr>
        <w:pStyle w:val="Heading5"/>
      </w:pPr>
      <w:r>
        <w:t>Family Tax Benefit Part A income test</w:t>
      </w:r>
    </w:p>
    <w:p w:rsidR="007B6F1C" w:rsidRDefault="000513D0" w:rsidP="00E024AD">
      <w:pPr>
        <w:pStyle w:val="BodyText"/>
      </w:pPr>
      <w:r>
        <w:t>The</w:t>
      </w:r>
      <w:r w:rsidR="006702A1">
        <w:t xml:space="preserve"> </w:t>
      </w:r>
      <w:r w:rsidR="00245DD2">
        <w:t>Family Tax Benefit (FTB)</w:t>
      </w:r>
      <w:r w:rsidR="00E024AD">
        <w:t xml:space="preserve"> </w:t>
      </w:r>
      <w:r w:rsidR="00A30FE6">
        <w:t>P</w:t>
      </w:r>
      <w:r w:rsidR="00E024AD">
        <w:t xml:space="preserve">art A </w:t>
      </w:r>
      <w:r w:rsidR="007B6F1C">
        <w:t>is the larger of two amounts</w:t>
      </w:r>
      <w:r w:rsidR="00A6739A">
        <w:t xml:space="preserve"> (</w:t>
      </w:r>
      <w:proofErr w:type="spellStart"/>
      <w:r w:rsidR="00C2116C">
        <w:t>DHS</w:t>
      </w:r>
      <w:proofErr w:type="spellEnd"/>
      <w:r w:rsidR="00C2116C" w:rsidRPr="00C2116C">
        <w:t> 2014)</w:t>
      </w:r>
      <w:r w:rsidR="007B6F1C">
        <w:t>:</w:t>
      </w:r>
    </w:p>
    <w:p w:rsidR="007B6F1C" w:rsidRPr="00C361B2" w:rsidRDefault="00477D41" w:rsidP="007B6F1C">
      <w:pPr>
        <w:pStyle w:val="ListBullet"/>
        <w:rPr>
          <w:spacing w:val="-2"/>
        </w:rPr>
      </w:pPr>
      <w:r w:rsidRPr="00C361B2">
        <w:rPr>
          <w:spacing w:val="-2"/>
        </w:rPr>
        <w:t>a</w:t>
      </w:r>
      <w:r w:rsidR="007B6F1C" w:rsidRPr="00C361B2">
        <w:rPr>
          <w:spacing w:val="-2"/>
        </w:rPr>
        <w:t xml:space="preserve"> maximum </w:t>
      </w:r>
      <w:r w:rsidR="00D71EB8" w:rsidRPr="00C361B2">
        <w:rPr>
          <w:spacing w:val="-2"/>
        </w:rPr>
        <w:t>rate</w:t>
      </w:r>
      <w:r w:rsidR="007B6F1C" w:rsidRPr="00C361B2">
        <w:rPr>
          <w:spacing w:val="-2"/>
        </w:rPr>
        <w:t xml:space="preserve"> less 20 cents per dollar of </w:t>
      </w:r>
      <w:r w:rsidR="007A06EB" w:rsidRPr="00C361B2">
        <w:rPr>
          <w:spacing w:val="-2"/>
        </w:rPr>
        <w:t xml:space="preserve">adjusted </w:t>
      </w:r>
      <w:r w:rsidR="007B6F1C" w:rsidRPr="00C361B2">
        <w:rPr>
          <w:spacing w:val="-2"/>
        </w:rPr>
        <w:t>family</w:t>
      </w:r>
      <w:r w:rsidR="00302F8E" w:rsidRPr="00C361B2">
        <w:rPr>
          <w:spacing w:val="-2"/>
        </w:rPr>
        <w:t xml:space="preserve"> </w:t>
      </w:r>
      <w:r w:rsidR="007B6F1C" w:rsidRPr="00C361B2">
        <w:rPr>
          <w:spacing w:val="-2"/>
        </w:rPr>
        <w:t>income</w:t>
      </w:r>
      <w:r w:rsidR="00D9413E" w:rsidRPr="007D361D">
        <w:rPr>
          <w:rStyle w:val="FootnoteReference"/>
        </w:rPr>
        <w:footnoteReference w:id="14"/>
      </w:r>
      <w:r w:rsidR="007B6F1C" w:rsidRPr="00C361B2">
        <w:rPr>
          <w:spacing w:val="-2"/>
        </w:rPr>
        <w:t xml:space="preserve"> above </w:t>
      </w:r>
      <w:r w:rsidR="007A6E72" w:rsidRPr="00C361B2">
        <w:rPr>
          <w:spacing w:val="-2"/>
        </w:rPr>
        <w:t>$</w:t>
      </w:r>
      <w:r w:rsidR="00A6739A" w:rsidRPr="00C361B2">
        <w:rPr>
          <w:spacing w:val="-2"/>
        </w:rPr>
        <w:t>50 151</w:t>
      </w:r>
    </w:p>
    <w:p w:rsidR="007B6F1C" w:rsidRDefault="00477D41" w:rsidP="007B6F1C">
      <w:pPr>
        <w:pStyle w:val="ListBullet"/>
      </w:pPr>
      <w:r>
        <w:t>a</w:t>
      </w:r>
      <w:r w:rsidR="007B6F1C">
        <w:t xml:space="preserve"> base </w:t>
      </w:r>
      <w:r w:rsidR="00AD0A79">
        <w:t>rate</w:t>
      </w:r>
      <w:r w:rsidR="007B6F1C">
        <w:t xml:space="preserve"> less 30 cents per dollar of </w:t>
      </w:r>
      <w:r w:rsidR="007A06EB">
        <w:t>adjusted</w:t>
      </w:r>
      <w:r w:rsidR="004D4359">
        <w:t xml:space="preserve"> </w:t>
      </w:r>
      <w:r w:rsidR="007B6F1C">
        <w:t xml:space="preserve">family income above </w:t>
      </w:r>
      <w:r w:rsidR="007A6E72">
        <w:t>$</w:t>
      </w:r>
      <w:r w:rsidR="00382EA0">
        <w:t>94 </w:t>
      </w:r>
      <w:r w:rsidR="007B6F1C">
        <w:t xml:space="preserve">316 (or higher if </w:t>
      </w:r>
      <w:r w:rsidR="007A6E72">
        <w:t xml:space="preserve">the family includes </w:t>
      </w:r>
      <w:r w:rsidR="007B6F1C">
        <w:t>more than one eligible child)</w:t>
      </w:r>
      <w:r w:rsidR="00382EA0">
        <w:t>.</w:t>
      </w:r>
    </w:p>
    <w:p w:rsidR="006C024B" w:rsidRPr="00D55BB9" w:rsidRDefault="006C024B" w:rsidP="007B6F1C">
      <w:pPr>
        <w:pStyle w:val="BodyText"/>
        <w:rPr>
          <w:spacing w:val="-2"/>
        </w:rPr>
      </w:pPr>
      <w:r w:rsidRPr="00D55BB9">
        <w:rPr>
          <w:spacing w:val="-2"/>
        </w:rPr>
        <w:t>The maximum and base rates vary according to the number and characteristics</w:t>
      </w:r>
      <w:r w:rsidR="006064A4" w:rsidRPr="00D55BB9">
        <w:rPr>
          <w:spacing w:val="-2"/>
        </w:rPr>
        <w:t xml:space="preserve"> </w:t>
      </w:r>
      <w:r w:rsidRPr="00D55BB9">
        <w:rPr>
          <w:spacing w:val="-2"/>
        </w:rPr>
        <w:t xml:space="preserve">of children </w:t>
      </w:r>
      <w:r w:rsidR="00C36A4F" w:rsidRPr="00D55BB9">
        <w:rPr>
          <w:spacing w:val="-2"/>
        </w:rPr>
        <w:t xml:space="preserve">in the family </w:t>
      </w:r>
      <w:r w:rsidR="006064A4" w:rsidRPr="00D55BB9">
        <w:rPr>
          <w:spacing w:val="-2"/>
        </w:rPr>
        <w:t>(</w:t>
      </w:r>
      <w:r w:rsidR="00F24BDA" w:rsidRPr="00D55BB9">
        <w:rPr>
          <w:spacing w:val="-2"/>
        </w:rPr>
        <w:t>for example</w:t>
      </w:r>
      <w:r w:rsidR="00C36A4F" w:rsidRPr="00D55BB9">
        <w:rPr>
          <w:spacing w:val="-2"/>
        </w:rPr>
        <w:t>, their</w:t>
      </w:r>
      <w:r w:rsidR="006064A4" w:rsidRPr="00D55BB9">
        <w:rPr>
          <w:spacing w:val="-2"/>
        </w:rPr>
        <w:t xml:space="preserve"> age</w:t>
      </w:r>
      <w:r w:rsidR="00F24BDA" w:rsidRPr="00D55BB9">
        <w:rPr>
          <w:spacing w:val="-2"/>
        </w:rPr>
        <w:t>,</w:t>
      </w:r>
      <w:r w:rsidR="006064A4" w:rsidRPr="00D55BB9">
        <w:rPr>
          <w:spacing w:val="-2"/>
        </w:rPr>
        <w:t xml:space="preserve"> student status</w:t>
      </w:r>
      <w:r w:rsidR="00F24BDA" w:rsidRPr="00D55BB9">
        <w:rPr>
          <w:spacing w:val="-2"/>
        </w:rPr>
        <w:t xml:space="preserve"> and whether they are a triplet</w:t>
      </w:r>
      <w:r w:rsidR="002D4145" w:rsidRPr="00D55BB9">
        <w:rPr>
          <w:spacing w:val="-2"/>
        </w:rPr>
        <w:t xml:space="preserve"> or quadruplet</w:t>
      </w:r>
      <w:r w:rsidR="006064A4" w:rsidRPr="00D55BB9">
        <w:rPr>
          <w:spacing w:val="-2"/>
        </w:rPr>
        <w:t>)</w:t>
      </w:r>
      <w:r w:rsidRPr="00D55BB9">
        <w:rPr>
          <w:spacing w:val="-2"/>
        </w:rPr>
        <w:t>.</w:t>
      </w:r>
      <w:r w:rsidR="00F450A7" w:rsidRPr="00D55BB9">
        <w:rPr>
          <w:spacing w:val="-2"/>
        </w:rPr>
        <w:t xml:space="preserve"> </w:t>
      </w:r>
      <w:r w:rsidR="00817543" w:rsidRPr="00D55BB9">
        <w:rPr>
          <w:spacing w:val="-2"/>
        </w:rPr>
        <w:t>The maximum rate also depends on CRA</w:t>
      </w:r>
      <w:r w:rsidR="00F450A7" w:rsidRPr="00D55BB9">
        <w:rPr>
          <w:spacing w:val="-2"/>
        </w:rPr>
        <w:t xml:space="preserve">, which is included in </w:t>
      </w:r>
      <w:r w:rsidR="005519A6" w:rsidRPr="00D55BB9">
        <w:rPr>
          <w:spacing w:val="-2"/>
        </w:rPr>
        <w:t xml:space="preserve">calculating </w:t>
      </w:r>
      <w:r w:rsidR="00F450A7" w:rsidRPr="00D55BB9">
        <w:rPr>
          <w:spacing w:val="-2"/>
        </w:rPr>
        <w:t>the maximum rate f</w:t>
      </w:r>
      <w:r w:rsidR="004D4359" w:rsidRPr="00D55BB9">
        <w:rPr>
          <w:spacing w:val="-2"/>
        </w:rPr>
        <w:t xml:space="preserve">or all families that rent in the private market. That is, a family that rents has a higher </w:t>
      </w:r>
      <w:r w:rsidR="008F01EC" w:rsidRPr="00D55BB9">
        <w:rPr>
          <w:spacing w:val="-2"/>
        </w:rPr>
        <w:t>FTB A</w:t>
      </w:r>
      <w:r w:rsidR="004D4359" w:rsidRPr="00D55BB9">
        <w:rPr>
          <w:spacing w:val="-2"/>
        </w:rPr>
        <w:t xml:space="preserve"> maximum rate than a family </w:t>
      </w:r>
      <w:r w:rsidR="00E45A8F" w:rsidRPr="00D55BB9">
        <w:rPr>
          <w:spacing w:val="-2"/>
        </w:rPr>
        <w:t xml:space="preserve">with otherwise identical characteristics, including income, </w:t>
      </w:r>
      <w:r w:rsidR="004D4359" w:rsidRPr="00D55BB9">
        <w:rPr>
          <w:spacing w:val="-2"/>
        </w:rPr>
        <w:t>that owns their home</w:t>
      </w:r>
      <w:r w:rsidR="00E90C37" w:rsidRPr="00D55BB9">
        <w:rPr>
          <w:spacing w:val="-2"/>
        </w:rPr>
        <w:t xml:space="preserve">. (Summary tables for each tenure type are presented in </w:t>
      </w:r>
      <w:r w:rsidR="00A8049E" w:rsidRPr="00D55BB9">
        <w:rPr>
          <w:spacing w:val="-2"/>
        </w:rPr>
        <w:t>annex</w:t>
      </w:r>
      <w:r w:rsidR="00E90C37" w:rsidRPr="00D55BB9">
        <w:rPr>
          <w:spacing w:val="-2"/>
        </w:rPr>
        <w:t> B.)</w:t>
      </w:r>
      <w:r w:rsidR="004D4359" w:rsidRPr="00D55BB9">
        <w:rPr>
          <w:spacing w:val="-2"/>
        </w:rPr>
        <w:t xml:space="preserve"> CRA </w:t>
      </w:r>
      <w:r w:rsidR="005519A6" w:rsidRPr="00D55BB9">
        <w:rPr>
          <w:spacing w:val="-2"/>
        </w:rPr>
        <w:t xml:space="preserve">is withdrawn as </w:t>
      </w:r>
      <w:r w:rsidR="007A06EB" w:rsidRPr="00D55BB9">
        <w:rPr>
          <w:spacing w:val="-2"/>
        </w:rPr>
        <w:t>adjusted</w:t>
      </w:r>
      <w:r w:rsidR="005519A6" w:rsidRPr="00D55BB9">
        <w:rPr>
          <w:spacing w:val="-2"/>
        </w:rPr>
        <w:t xml:space="preserve"> family income rises</w:t>
      </w:r>
      <w:r w:rsidR="00E519D6" w:rsidRPr="00D55BB9">
        <w:rPr>
          <w:spacing w:val="-2"/>
        </w:rPr>
        <w:t>,</w:t>
      </w:r>
      <w:r w:rsidR="005519A6" w:rsidRPr="00D55BB9">
        <w:rPr>
          <w:spacing w:val="-2"/>
        </w:rPr>
        <w:t xml:space="preserve"> and is zero at the income </w:t>
      </w:r>
      <w:r w:rsidR="00A30FE6" w:rsidRPr="00D55BB9">
        <w:rPr>
          <w:spacing w:val="-2"/>
        </w:rPr>
        <w:t>level that qualifies</w:t>
      </w:r>
      <w:r w:rsidR="005519A6" w:rsidRPr="00D55BB9">
        <w:rPr>
          <w:spacing w:val="-2"/>
        </w:rPr>
        <w:t xml:space="preserve"> a family to receive </w:t>
      </w:r>
      <w:r w:rsidR="004D4359" w:rsidRPr="00D55BB9">
        <w:rPr>
          <w:spacing w:val="-2"/>
        </w:rPr>
        <w:t>the base rate</w:t>
      </w:r>
      <w:r w:rsidR="005519A6" w:rsidRPr="00D55BB9">
        <w:rPr>
          <w:spacing w:val="-2"/>
        </w:rPr>
        <w:t xml:space="preserve"> of </w:t>
      </w:r>
      <w:r w:rsidR="008F01EC" w:rsidRPr="00D55BB9">
        <w:rPr>
          <w:spacing w:val="-2"/>
        </w:rPr>
        <w:t>FTB A</w:t>
      </w:r>
      <w:r w:rsidR="001B70E1" w:rsidRPr="00D55BB9">
        <w:rPr>
          <w:spacing w:val="-2"/>
        </w:rPr>
        <w:t xml:space="preserve">, </w:t>
      </w:r>
      <w:r w:rsidR="00E519D6" w:rsidRPr="00D55BB9">
        <w:rPr>
          <w:spacing w:val="-2"/>
        </w:rPr>
        <w:t>that is,</w:t>
      </w:r>
      <w:r w:rsidR="001B70E1" w:rsidRPr="00D55BB9">
        <w:rPr>
          <w:spacing w:val="-2"/>
        </w:rPr>
        <w:t xml:space="preserve"> $94</w:t>
      </w:r>
      <w:r w:rsidR="00E519D6" w:rsidRPr="00D55BB9">
        <w:rPr>
          <w:spacing w:val="-2"/>
        </w:rPr>
        <w:t> </w:t>
      </w:r>
      <w:r w:rsidR="001B70E1" w:rsidRPr="00D55BB9">
        <w:rPr>
          <w:spacing w:val="-2"/>
        </w:rPr>
        <w:t xml:space="preserve">316 if </w:t>
      </w:r>
      <w:r w:rsidR="00E519D6" w:rsidRPr="00D55BB9">
        <w:rPr>
          <w:spacing w:val="-2"/>
        </w:rPr>
        <w:t xml:space="preserve">the family includes </w:t>
      </w:r>
      <w:r w:rsidR="001B70E1" w:rsidRPr="00D55BB9">
        <w:rPr>
          <w:spacing w:val="-2"/>
        </w:rPr>
        <w:t>one child</w:t>
      </w:r>
      <w:r w:rsidR="004D4359" w:rsidRPr="00D55BB9">
        <w:rPr>
          <w:spacing w:val="-2"/>
        </w:rPr>
        <w:t>.</w:t>
      </w:r>
      <w:r w:rsidR="00BB04C0" w:rsidRPr="00D55BB9">
        <w:rPr>
          <w:spacing w:val="-2"/>
        </w:rPr>
        <w:t xml:space="preserve"> For families with three or more children, income does not reach a level at which a base rate of FTB applies. In this case, FTB continues to reduce from the maximum payment at a rate of 20 cents per dollar of extra income until it reaches zero.</w:t>
      </w:r>
    </w:p>
    <w:p w:rsidR="004D4359" w:rsidRDefault="004D4359" w:rsidP="004D4359">
      <w:pPr>
        <w:pStyle w:val="BodyText"/>
      </w:pPr>
      <w:r>
        <w:lastRenderedPageBreak/>
        <w:t xml:space="preserve">If CRA was not included in the maximum rate of </w:t>
      </w:r>
      <w:r w:rsidR="008F01EC">
        <w:t>FTB A</w:t>
      </w:r>
      <w:r>
        <w:t xml:space="preserve">, the maximum rate would be lower by exactly the CRA amount, and would decrease to the base rate </w:t>
      </w:r>
      <w:r w:rsidR="00D849E6">
        <w:t>(</w:t>
      </w:r>
      <w:r w:rsidR="00D23111">
        <w:t xml:space="preserve">or to zero </w:t>
      </w:r>
      <w:r w:rsidR="00F342D3">
        <w:t xml:space="preserve">for families for whom </w:t>
      </w:r>
      <w:r w:rsidR="00D23111">
        <w:t>the base rate doesn’t apply</w:t>
      </w:r>
      <w:r w:rsidR="00D849E6">
        <w:t xml:space="preserve">) </w:t>
      </w:r>
      <w:r>
        <w:t xml:space="preserve">at a lower level </w:t>
      </w:r>
      <w:r w:rsidR="00817543">
        <w:t xml:space="preserve">of </w:t>
      </w:r>
      <w:r w:rsidR="007A06EB">
        <w:t>adjusted</w:t>
      </w:r>
      <w:r>
        <w:t xml:space="preserve"> family income. </w:t>
      </w:r>
      <w:r w:rsidR="00A30FE6">
        <w:t>In other words,</w:t>
      </w:r>
      <w:r>
        <w:t xml:space="preserve"> receipt of CRA</w:t>
      </w:r>
      <w:r w:rsidR="006064A4">
        <w:t xml:space="preserve"> both</w:t>
      </w:r>
      <w:r>
        <w:t xml:space="preserve"> increases </w:t>
      </w:r>
      <w:r w:rsidR="00A30FE6">
        <w:t xml:space="preserve">a </w:t>
      </w:r>
      <w:r>
        <w:t>family’s maximum</w:t>
      </w:r>
      <w:r w:rsidR="004F227E">
        <w:t xml:space="preserve"> </w:t>
      </w:r>
      <w:r w:rsidR="008F01EC">
        <w:t>FTB A</w:t>
      </w:r>
      <w:r>
        <w:t xml:space="preserve"> rate, and increases the range of income </w:t>
      </w:r>
      <w:r w:rsidR="00F450A7">
        <w:t xml:space="preserve">over which </w:t>
      </w:r>
      <w:r>
        <w:t>th</w:t>
      </w:r>
      <w:r w:rsidR="004F227E">
        <w:t>is</w:t>
      </w:r>
      <w:r>
        <w:t xml:space="preserve"> payment is higher than the base rate.</w:t>
      </w:r>
    </w:p>
    <w:p w:rsidR="007B6F1C" w:rsidRDefault="006E1463" w:rsidP="007B6F1C">
      <w:pPr>
        <w:pStyle w:val="BodyText"/>
        <w:rPr>
          <w:spacing w:val="-2"/>
        </w:rPr>
      </w:pPr>
      <w:r w:rsidRPr="00E45A8F">
        <w:rPr>
          <w:spacing w:val="-2"/>
        </w:rPr>
        <w:t>This is illustrated in figure </w:t>
      </w:r>
      <w:r w:rsidR="009C56C8" w:rsidRPr="00E45A8F">
        <w:rPr>
          <w:spacing w:val="-2"/>
        </w:rPr>
        <w:t>2</w:t>
      </w:r>
      <w:r w:rsidRPr="00E45A8F">
        <w:rPr>
          <w:spacing w:val="-2"/>
        </w:rPr>
        <w:t xml:space="preserve"> </w:t>
      </w:r>
      <w:r w:rsidR="00D849E6">
        <w:rPr>
          <w:spacing w:val="-2"/>
        </w:rPr>
        <w:t>for a family for whom the base rate applies. T</w:t>
      </w:r>
      <w:r w:rsidRPr="00E45A8F">
        <w:rPr>
          <w:spacing w:val="-2"/>
        </w:rPr>
        <w:t xml:space="preserve">he bold line represents the amount of </w:t>
      </w:r>
      <w:r w:rsidR="008F01EC">
        <w:rPr>
          <w:spacing w:val="-2"/>
        </w:rPr>
        <w:t>FTB A</w:t>
      </w:r>
      <w:r w:rsidR="00E45A8F">
        <w:rPr>
          <w:spacing w:val="-2"/>
        </w:rPr>
        <w:t>, including CRA,</w:t>
      </w:r>
      <w:r w:rsidRPr="00E45A8F">
        <w:rPr>
          <w:spacing w:val="-2"/>
        </w:rPr>
        <w:t xml:space="preserve"> received </w:t>
      </w:r>
      <w:r w:rsidR="005F2105" w:rsidRPr="00E45A8F">
        <w:rPr>
          <w:spacing w:val="-2"/>
        </w:rPr>
        <w:t>at different</w:t>
      </w:r>
      <w:r w:rsidRPr="00E45A8F">
        <w:rPr>
          <w:spacing w:val="-2"/>
        </w:rPr>
        <w:t xml:space="preserve"> level</w:t>
      </w:r>
      <w:r w:rsidR="005F2105" w:rsidRPr="00E45A8F">
        <w:rPr>
          <w:spacing w:val="-2"/>
        </w:rPr>
        <w:t>s</w:t>
      </w:r>
      <w:r w:rsidRPr="00E45A8F">
        <w:rPr>
          <w:spacing w:val="-2"/>
        </w:rPr>
        <w:t xml:space="preserve"> of </w:t>
      </w:r>
      <w:r w:rsidR="007A06EB" w:rsidRPr="00E45A8F">
        <w:rPr>
          <w:spacing w:val="-2"/>
        </w:rPr>
        <w:t>adjusted</w:t>
      </w:r>
      <w:r w:rsidR="002029B4" w:rsidRPr="00E45A8F">
        <w:rPr>
          <w:spacing w:val="-2"/>
        </w:rPr>
        <w:t xml:space="preserve"> </w:t>
      </w:r>
      <w:r w:rsidR="001F1866" w:rsidRPr="00E45A8F">
        <w:rPr>
          <w:spacing w:val="-2"/>
        </w:rPr>
        <w:t xml:space="preserve">family </w:t>
      </w:r>
      <w:r w:rsidRPr="00E45A8F">
        <w:rPr>
          <w:spacing w:val="-2"/>
        </w:rPr>
        <w:t>income</w:t>
      </w:r>
      <w:r w:rsidR="005519A6" w:rsidRPr="00E45A8F">
        <w:rPr>
          <w:spacing w:val="-2"/>
        </w:rPr>
        <w:t xml:space="preserve"> by a renting </w:t>
      </w:r>
      <w:r w:rsidR="005519A6" w:rsidRPr="00C36A4F">
        <w:t>family</w:t>
      </w:r>
      <w:r w:rsidRPr="00C36A4F">
        <w:t xml:space="preserve">. </w:t>
      </w:r>
      <w:r w:rsidR="00E46BD4" w:rsidRPr="00C36A4F">
        <w:t>A</w:t>
      </w:r>
      <w:r w:rsidR="005519A6" w:rsidRPr="00C36A4F">
        <w:t>t</w:t>
      </w:r>
      <w:r w:rsidR="00E46BD4" w:rsidRPr="00C36A4F">
        <w:t xml:space="preserve"> income</w:t>
      </w:r>
      <w:r w:rsidR="005519A6" w:rsidRPr="00C36A4F">
        <w:t>s</w:t>
      </w:r>
      <w:r w:rsidR="00E46BD4" w:rsidRPr="00C36A4F">
        <w:t xml:space="preserve"> </w:t>
      </w:r>
      <w:r w:rsidR="005519A6" w:rsidRPr="00C36A4F">
        <w:t>up to</w:t>
      </w:r>
      <w:r w:rsidR="00E46BD4" w:rsidRPr="00C36A4F">
        <w:t xml:space="preserve"> $</w:t>
      </w:r>
      <w:r w:rsidR="006E0DC9" w:rsidRPr="00C36A4F">
        <w:t>50 151</w:t>
      </w:r>
      <w:r w:rsidR="00E46BD4" w:rsidRPr="00C36A4F">
        <w:t xml:space="preserve"> </w:t>
      </w:r>
      <w:r w:rsidR="005519A6" w:rsidRPr="00C36A4F">
        <w:t xml:space="preserve">the family </w:t>
      </w:r>
      <w:r w:rsidR="00E46BD4" w:rsidRPr="00C36A4F">
        <w:t xml:space="preserve">receives the maximum </w:t>
      </w:r>
      <w:r w:rsidR="008F01EC">
        <w:t>FTB A</w:t>
      </w:r>
      <w:r w:rsidR="00E46BD4" w:rsidRPr="00C36A4F">
        <w:t xml:space="preserve"> rate</w:t>
      </w:r>
      <w:r w:rsidR="001F1866" w:rsidRPr="00C36A4F">
        <w:t xml:space="preserve">, </w:t>
      </w:r>
      <w:r w:rsidR="004D4359" w:rsidRPr="00C36A4F">
        <w:t xml:space="preserve">which </w:t>
      </w:r>
      <w:r w:rsidR="005519A6" w:rsidRPr="00C36A4F">
        <w:t>includes</w:t>
      </w:r>
      <w:r w:rsidR="001F1866" w:rsidRPr="00C36A4F">
        <w:t xml:space="preserve"> CRA</w:t>
      </w:r>
      <w:r w:rsidR="00E46BD4" w:rsidRPr="00C36A4F">
        <w:t>. Above this level</w:t>
      </w:r>
      <w:r w:rsidR="00EC1032" w:rsidRPr="00C36A4F">
        <w:t xml:space="preserve"> of </w:t>
      </w:r>
      <w:r w:rsidR="007A06EB" w:rsidRPr="00C36A4F">
        <w:t>adjusted</w:t>
      </w:r>
      <w:r w:rsidR="00EC1032" w:rsidRPr="00C36A4F">
        <w:t xml:space="preserve"> income</w:t>
      </w:r>
      <w:r w:rsidR="00E46BD4" w:rsidRPr="00C36A4F">
        <w:t xml:space="preserve">, the maximum rate is reduced until it reaches the base rate at $C. </w:t>
      </w:r>
      <w:r w:rsidR="001F1866" w:rsidRPr="00C36A4F">
        <w:t xml:space="preserve">If the CRA component was not included in the maximum rate, the </w:t>
      </w:r>
      <w:r w:rsidR="004D4359" w:rsidRPr="00C36A4F">
        <w:t xml:space="preserve">FTB payment </w:t>
      </w:r>
      <w:r w:rsidR="001F1866" w:rsidRPr="00C36A4F">
        <w:t xml:space="preserve">would </w:t>
      </w:r>
      <w:r w:rsidR="004D4359" w:rsidRPr="00C36A4F">
        <w:t xml:space="preserve">reach </w:t>
      </w:r>
      <w:r w:rsidR="001F1866" w:rsidRPr="00C36A4F">
        <w:t xml:space="preserve">the base rate at </w:t>
      </w:r>
      <w:r w:rsidR="004D4359" w:rsidRPr="00C36A4F">
        <w:t xml:space="preserve">a </w:t>
      </w:r>
      <w:r w:rsidR="001F1866" w:rsidRPr="00C36A4F">
        <w:t>lower family income ($B)</w:t>
      </w:r>
      <w:r w:rsidR="00400B57" w:rsidRPr="00C36A4F">
        <w:t>.</w:t>
      </w:r>
      <w:r w:rsidR="001F1866" w:rsidRPr="00C36A4F" w:rsidDel="001F1866">
        <w:t xml:space="preserve"> </w:t>
      </w:r>
      <w:r w:rsidR="000513D0" w:rsidRPr="00C36A4F">
        <w:t xml:space="preserve">The family receives the </w:t>
      </w:r>
      <w:r w:rsidR="000513D0" w:rsidRPr="00E45A8F">
        <w:rPr>
          <w:spacing w:val="-2"/>
        </w:rPr>
        <w:t xml:space="preserve">base rate of </w:t>
      </w:r>
      <w:r w:rsidR="008F01EC">
        <w:rPr>
          <w:spacing w:val="-2"/>
        </w:rPr>
        <w:t>FTB A</w:t>
      </w:r>
      <w:r w:rsidR="000513D0" w:rsidRPr="00E45A8F">
        <w:rPr>
          <w:spacing w:val="-2"/>
        </w:rPr>
        <w:t xml:space="preserve"> up to income $D (for example, $94 316 if a family has one eligible child, or $</w:t>
      </w:r>
      <w:r w:rsidR="004E6778" w:rsidRPr="00E45A8F">
        <w:rPr>
          <w:spacing w:val="-2"/>
        </w:rPr>
        <w:t xml:space="preserve">98 112 </w:t>
      </w:r>
      <w:r w:rsidR="000513D0" w:rsidRPr="00E45A8F">
        <w:rPr>
          <w:spacing w:val="-2"/>
        </w:rPr>
        <w:t xml:space="preserve">with two eligible children). As income rises beyond $D the family’s base rate of </w:t>
      </w:r>
      <w:r w:rsidR="008F01EC">
        <w:rPr>
          <w:spacing w:val="-2"/>
        </w:rPr>
        <w:t>FTB A</w:t>
      </w:r>
      <w:r w:rsidR="000513D0" w:rsidRPr="00E45A8F">
        <w:rPr>
          <w:spacing w:val="-2"/>
        </w:rPr>
        <w:t xml:space="preserve"> is withdrawn.</w:t>
      </w:r>
    </w:p>
    <w:p w:rsidR="006B1435" w:rsidRDefault="006B1435"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B1435" w:rsidTr="001C53E2">
        <w:tc>
          <w:tcPr>
            <w:tcW w:w="8771" w:type="dxa"/>
            <w:tcBorders>
              <w:top w:val="single" w:sz="6" w:space="0" w:color="78A22F"/>
              <w:left w:val="nil"/>
              <w:bottom w:val="nil"/>
              <w:right w:val="nil"/>
            </w:tcBorders>
            <w:shd w:val="clear" w:color="auto" w:fill="auto"/>
          </w:tcPr>
          <w:p w:rsidR="006B1435" w:rsidRDefault="006B1435" w:rsidP="001C53E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2</w:t>
            </w:r>
            <w:r w:rsidRPr="00784A05">
              <w:rPr>
                <w:b w:val="0"/>
              </w:rPr>
              <w:fldChar w:fldCharType="end"/>
            </w:r>
            <w:r>
              <w:tab/>
              <w:t xml:space="preserve">The interaction between CRA and the </w:t>
            </w:r>
            <w:r w:rsidR="008F01EC">
              <w:t>FTB A</w:t>
            </w:r>
            <w:r>
              <w:t xml:space="preserve"> income test</w:t>
            </w:r>
            <w:r w:rsidRPr="00D71EB8">
              <w:rPr>
                <w:rStyle w:val="NoteLabel"/>
                <w:b/>
              </w:rPr>
              <w:t>a</w:t>
            </w:r>
            <w:r w:rsidR="00E16DDC">
              <w:rPr>
                <w:rStyle w:val="NoteLabel"/>
                <w:b/>
              </w:rPr>
              <w:t>,b</w:t>
            </w:r>
          </w:p>
          <w:p w:rsidR="006B1435" w:rsidRPr="00176D3F" w:rsidRDefault="006B1435" w:rsidP="001C53E2">
            <w:pPr>
              <w:pStyle w:val="Subtitle"/>
            </w:pPr>
            <w:r w:rsidRPr="00BB04C0">
              <w:t>Sit</w:t>
            </w:r>
            <w:r>
              <w:t>uation for families for which the base rate applies</w:t>
            </w:r>
          </w:p>
        </w:tc>
      </w:tr>
      <w:tr w:rsidR="006B1435"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B1435" w:rsidTr="001C53E2">
              <w:trPr>
                <w:jc w:val="center"/>
              </w:trPr>
              <w:tc>
                <w:tcPr>
                  <w:tcW w:w="5000" w:type="pct"/>
                  <w:tcBorders>
                    <w:top w:val="nil"/>
                    <w:bottom w:val="nil"/>
                  </w:tcBorders>
                </w:tcPr>
                <w:p w:rsidR="006B1435" w:rsidRDefault="00591E23" w:rsidP="001C53E2">
                  <w:pPr>
                    <w:pStyle w:val="Figure"/>
                    <w:spacing w:before="60" w:after="60"/>
                  </w:pPr>
                  <w:r>
                    <w:rPr>
                      <w:noProof/>
                    </w:rPr>
                    <w:drawing>
                      <wp:inline distT="0" distB="0" distL="0" distR="0" wp14:anchorId="040BDE6B" wp14:editId="56605C5A">
                        <wp:extent cx="5380990" cy="3028315"/>
                        <wp:effectExtent l="0" t="0" r="0" b="635"/>
                        <wp:docPr id="4" name="Picture 4" descr="This chart shows the interaction between CRA and the FTB Part A income test. As income rises, CRA is withdrawn at the same time as FTB." title="The interaction between CRA and the FTB Part A income t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0990" cy="3028315"/>
                                </a:xfrm>
                                <a:prstGeom prst="rect">
                                  <a:avLst/>
                                </a:prstGeom>
                                <a:noFill/>
                              </pic:spPr>
                            </pic:pic>
                          </a:graphicData>
                        </a:graphic>
                      </wp:inline>
                    </w:drawing>
                  </w:r>
                </w:p>
              </w:tc>
            </w:tr>
          </w:tbl>
          <w:p w:rsidR="006B1435" w:rsidRDefault="006B1435" w:rsidP="001C53E2">
            <w:pPr>
              <w:pStyle w:val="Figure"/>
            </w:pPr>
          </w:p>
        </w:tc>
      </w:tr>
      <w:tr w:rsidR="006B1435" w:rsidRPr="00176D3F" w:rsidTr="001C53E2">
        <w:tc>
          <w:tcPr>
            <w:tcW w:w="8771" w:type="dxa"/>
            <w:tcBorders>
              <w:top w:val="nil"/>
              <w:left w:val="nil"/>
              <w:bottom w:val="nil"/>
              <w:right w:val="nil"/>
            </w:tcBorders>
            <w:shd w:val="clear" w:color="auto" w:fill="auto"/>
          </w:tcPr>
          <w:p w:rsidR="006B1435" w:rsidRPr="00176D3F" w:rsidRDefault="006B1435" w:rsidP="00E16DDC">
            <w:pPr>
              <w:pStyle w:val="Note"/>
            </w:pPr>
            <w:r w:rsidRPr="00602352">
              <w:rPr>
                <w:rStyle w:val="NoteLabel"/>
              </w:rPr>
              <w:t>a</w:t>
            </w:r>
            <w:r>
              <w:t xml:space="preserve"> This schematic is not to scale. For instance, the positions of $B, $C and $D depend on family characteristics.</w:t>
            </w:r>
            <w:r w:rsidR="00E16DDC">
              <w:t xml:space="preserve"> </w:t>
            </w:r>
            <w:r w:rsidR="00E16DDC">
              <w:rPr>
                <w:rStyle w:val="NoteLabel"/>
              </w:rPr>
              <w:t>b</w:t>
            </w:r>
            <w:r w:rsidR="00E16DDC">
              <w:t xml:space="preserve"> As per previous comment, this diagram only applies to FTB recipients (eligible for CRA) where the base rate is applicable. The base rate is not applicable where the rate calculated under the first income test is higher than the rate calculated under the second income test (i.e. where there are 3 or more children).</w:t>
            </w:r>
          </w:p>
        </w:tc>
      </w:tr>
      <w:tr w:rsidR="006B1435" w:rsidTr="001C53E2">
        <w:tc>
          <w:tcPr>
            <w:tcW w:w="8771" w:type="dxa"/>
            <w:tcBorders>
              <w:top w:val="nil"/>
              <w:left w:val="nil"/>
              <w:bottom w:val="single" w:sz="6" w:space="0" w:color="78A22F"/>
              <w:right w:val="nil"/>
            </w:tcBorders>
            <w:shd w:val="clear" w:color="auto" w:fill="auto"/>
          </w:tcPr>
          <w:p w:rsidR="006B1435" w:rsidRDefault="006B1435" w:rsidP="001C53E2">
            <w:pPr>
              <w:pStyle w:val="Figurespace"/>
            </w:pPr>
          </w:p>
        </w:tc>
      </w:tr>
      <w:tr w:rsidR="006B1435" w:rsidRPr="000863A5" w:rsidTr="001C53E2">
        <w:tc>
          <w:tcPr>
            <w:tcW w:w="8771" w:type="dxa"/>
            <w:tcBorders>
              <w:top w:val="single" w:sz="6" w:space="0" w:color="78A22F"/>
              <w:left w:val="nil"/>
              <w:bottom w:val="nil"/>
              <w:right w:val="nil"/>
            </w:tcBorders>
          </w:tcPr>
          <w:p w:rsidR="006B1435" w:rsidRPr="00626D32" w:rsidRDefault="006B1435" w:rsidP="001C53E2">
            <w:pPr>
              <w:pStyle w:val="BoxSpaceBelow"/>
            </w:pPr>
          </w:p>
        </w:tc>
      </w:tr>
    </w:tbl>
    <w:p w:rsidR="00F73B0B" w:rsidRDefault="007A06EB" w:rsidP="004F049B">
      <w:pPr>
        <w:pStyle w:val="BodyText"/>
      </w:pPr>
      <w:r>
        <w:t xml:space="preserve">There are special rules for families that receive both an ISP and </w:t>
      </w:r>
      <w:r w:rsidR="008F01EC">
        <w:t>FTB A</w:t>
      </w:r>
      <w:r>
        <w:t xml:space="preserve">. First, ISP recipients always receive the maximum rate of </w:t>
      </w:r>
      <w:r w:rsidR="008F01EC">
        <w:t>FTB A</w:t>
      </w:r>
      <w:r>
        <w:t xml:space="preserve">. Second, </w:t>
      </w:r>
      <w:r w:rsidR="006A4DB1">
        <w:t xml:space="preserve">recipients receive rent assistance through </w:t>
      </w:r>
      <w:r w:rsidR="008F01EC">
        <w:t>FTB A</w:t>
      </w:r>
      <w:r w:rsidR="006A4DB1">
        <w:t xml:space="preserve"> rather than through the ISP payment</w:t>
      </w:r>
      <w:r w:rsidR="00F73B0B">
        <w:t xml:space="preserve">, so CRA is withdrawn </w:t>
      </w:r>
      <w:r w:rsidR="00F73B0B">
        <w:lastRenderedPageBreak/>
        <w:t xml:space="preserve">along with </w:t>
      </w:r>
      <w:r w:rsidR="008F01EC">
        <w:t>FTB A</w:t>
      </w:r>
      <w:r w:rsidR="002B56E7">
        <w:t>,</w:t>
      </w:r>
      <w:r w:rsidR="00F73B0B">
        <w:t xml:space="preserve"> not the ISP.</w:t>
      </w:r>
      <w:r w:rsidR="00436C00">
        <w:t xml:space="preserve"> Withdrawal of CRA does not commence unt</w:t>
      </w:r>
      <w:r w:rsidR="002D4145">
        <w:t>il family income reaches $50 151 or all ISP is withdrawn, whichever is higher.</w:t>
      </w:r>
      <w:r w:rsidR="00F73B0B">
        <w:t xml:space="preserve"> </w:t>
      </w:r>
      <w:r w:rsidR="00C36A4F">
        <w:t xml:space="preserve">CRA is withdrawn in line with the </w:t>
      </w:r>
      <w:r w:rsidR="008F01EC">
        <w:t>FTB A</w:t>
      </w:r>
      <w:r w:rsidR="00C36A4F">
        <w:t xml:space="preserve"> income test, not the ISP income test</w:t>
      </w:r>
      <w:r w:rsidR="002B56E7">
        <w:t>,</w:t>
      </w:r>
      <w:r w:rsidR="008B26D8">
        <w:t xml:space="preserve"> meaning that the EMTRs are lower</w:t>
      </w:r>
      <w:r w:rsidR="00C36A4F">
        <w:t>.</w:t>
      </w:r>
      <w:r w:rsidR="00436C00">
        <w:t xml:space="preserve"> </w:t>
      </w:r>
    </w:p>
    <w:p w:rsidR="00D45038" w:rsidRDefault="00D45038" w:rsidP="00D45038">
      <w:pPr>
        <w:pStyle w:val="Heading3"/>
      </w:pPr>
      <w:r>
        <w:t>An overview of social housing rent setting</w:t>
      </w:r>
    </w:p>
    <w:p w:rsidR="00D45038" w:rsidRPr="00FE76DF" w:rsidRDefault="00D45038" w:rsidP="00D45038">
      <w:pPr>
        <w:pStyle w:val="Heading4"/>
        <w:spacing w:before="240"/>
      </w:pPr>
      <w:r>
        <w:t>Rent setting in public housing</w:t>
      </w:r>
    </w:p>
    <w:p w:rsidR="00D45038" w:rsidRDefault="00D45038" w:rsidP="00D45038">
      <w:pPr>
        <w:pStyle w:val="BodyText"/>
      </w:pPr>
      <w:r>
        <w:t xml:space="preserve">As discussed in </w:t>
      </w:r>
      <w:r w:rsidR="0095558F">
        <w:t>b</w:t>
      </w:r>
      <w:r>
        <w:t xml:space="preserve">ackground </w:t>
      </w:r>
      <w:r w:rsidR="0095558F">
        <w:t>p</w:t>
      </w:r>
      <w:r>
        <w:t xml:space="preserve">aper </w:t>
      </w:r>
      <w:r w:rsidR="001B0128">
        <w:t>1</w:t>
      </w:r>
      <w:r>
        <w:t xml:space="preserve">, </w:t>
      </w:r>
      <w:r w:rsidR="004F227E">
        <w:t xml:space="preserve">rent setting arrangements vary across the country </w:t>
      </w:r>
      <w:r>
        <w:t>because public housing is provided by state governments. Nonetheless, there are substantial similarities across jurisdictions:</w:t>
      </w:r>
    </w:p>
    <w:p w:rsidR="00D45038" w:rsidRDefault="00D45038" w:rsidP="00D45038">
      <w:pPr>
        <w:pStyle w:val="ListBullet"/>
      </w:pPr>
      <w:r>
        <w:t>Most states charge residents 25</w:t>
      </w:r>
      <w:r w:rsidR="001B0128">
        <w:t xml:space="preserve"> per cent</w:t>
      </w:r>
      <w:r>
        <w:t xml:space="preserve"> of </w:t>
      </w:r>
      <w:r w:rsidR="00C63EDA">
        <w:t>‘</w:t>
      </w:r>
      <w:r w:rsidR="00674B1C">
        <w:t>assessable</w:t>
      </w:r>
      <w:r>
        <w:t xml:space="preserve"> household income</w:t>
      </w:r>
      <w:r w:rsidR="00C63EDA">
        <w:t>’</w:t>
      </w:r>
      <w:r>
        <w:t xml:space="preserve">, up to market rent. </w:t>
      </w:r>
      <w:r w:rsidR="006A2B21">
        <w:t>The exceptions are the Northern Territory (23 per cent is charged, up to market rent) and New South Wales (between 25 per cent and 30 per cent is charged depending on household income, up to market rent).</w:t>
      </w:r>
      <w:r w:rsidR="00EC5BD5">
        <w:rPr>
          <w:rStyle w:val="FootnoteReference"/>
        </w:rPr>
        <w:footnoteReference w:id="15"/>
      </w:r>
    </w:p>
    <w:p w:rsidR="00D45038" w:rsidRDefault="00D45038" w:rsidP="00D45038">
      <w:pPr>
        <w:pStyle w:val="ListBullet"/>
      </w:pPr>
      <w:r>
        <w:t xml:space="preserve">In calculating </w:t>
      </w:r>
      <w:r w:rsidR="00942A81">
        <w:t xml:space="preserve">assessable </w:t>
      </w:r>
      <w:r>
        <w:t>income:</w:t>
      </w:r>
    </w:p>
    <w:p w:rsidR="00D45038" w:rsidRDefault="001B0128" w:rsidP="00D45038">
      <w:pPr>
        <w:pStyle w:val="ListBullet2"/>
      </w:pPr>
      <w:r>
        <w:t>s</w:t>
      </w:r>
      <w:r w:rsidR="00D45038">
        <w:t>tates include income from all household members, although some states treat income from youths</w:t>
      </w:r>
      <w:r w:rsidR="00674B1C">
        <w:t xml:space="preserve"> or </w:t>
      </w:r>
      <w:r w:rsidR="006A4DB1">
        <w:t xml:space="preserve">aged </w:t>
      </w:r>
      <w:r w:rsidR="00674B1C">
        <w:t>pensioners</w:t>
      </w:r>
      <w:r w:rsidR="00D45038">
        <w:t xml:space="preserve"> differently. Also, some states count only a proportion of income from </w:t>
      </w:r>
      <w:r w:rsidR="004D40E7">
        <w:t xml:space="preserve">some </w:t>
      </w:r>
      <w:r w:rsidR="00D45038">
        <w:t>members of the household (such as children, carers or secondary income earners)</w:t>
      </w:r>
    </w:p>
    <w:p w:rsidR="00D45038" w:rsidRDefault="004D40E7" w:rsidP="00D45038">
      <w:pPr>
        <w:pStyle w:val="ListBullet2"/>
      </w:pPr>
      <w:r>
        <w:t xml:space="preserve">states </w:t>
      </w:r>
      <w:r w:rsidR="0095558F">
        <w:t xml:space="preserve">take </w:t>
      </w:r>
      <w:r w:rsidR="00D45038">
        <w:t>a similar approach to income from government payments (table </w:t>
      </w:r>
      <w:r w:rsidR="009C56C8">
        <w:t>2</w:t>
      </w:r>
      <w:r w:rsidR="00D45038">
        <w:t>). The main ISPs are fully counted, and payments that are deemed to be for ‘specific purposes’ are fully excluded (including the Child Care Benefit and Child Care Rebate). Sixty per cent of Family Tax Benefit is included in most states</w:t>
      </w:r>
      <w:r w:rsidR="00D45038" w:rsidRPr="007D361D">
        <w:rPr>
          <w:rStyle w:val="FootnoteReference"/>
        </w:rPr>
        <w:footnoteReference w:id="16"/>
      </w:r>
      <w:r w:rsidR="00D45038">
        <w:t xml:space="preserve">, although </w:t>
      </w:r>
      <w:r>
        <w:t>the Northern Territory</w:t>
      </w:r>
      <w:r w:rsidR="00D45038">
        <w:t xml:space="preserve"> has different rules</w:t>
      </w:r>
    </w:p>
    <w:p w:rsidR="00D45038" w:rsidRDefault="00D45038" w:rsidP="00D45038">
      <w:pPr>
        <w:pStyle w:val="ListBullet2"/>
      </w:pPr>
      <w:r>
        <w:t xml:space="preserve">Tasmania is alone in deducting income tax and </w:t>
      </w:r>
      <w:r w:rsidR="008D4554">
        <w:t xml:space="preserve">the </w:t>
      </w:r>
      <w:r w:rsidR="004A2D5D">
        <w:t>M</w:t>
      </w:r>
      <w:r>
        <w:t xml:space="preserve">edicare </w:t>
      </w:r>
      <w:r w:rsidR="008D4554">
        <w:t xml:space="preserve">levy </w:t>
      </w:r>
      <w:r>
        <w:t>from gross income</w:t>
      </w:r>
      <w:r w:rsidR="008B26D8">
        <w:t xml:space="preserve"> (market income plus transfers)</w:t>
      </w:r>
      <w:r>
        <w:t>. Other jurisdictions use pre</w:t>
      </w:r>
      <w:r w:rsidR="00A61C8A">
        <w:noBreakHyphen/>
      </w:r>
      <w:r>
        <w:t>tax income.</w:t>
      </w:r>
    </w:p>
    <w:p w:rsidR="00D64C60" w:rsidRDefault="00D64C60" w:rsidP="001C53E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D64C60" w:rsidTr="001C53E2">
        <w:tc>
          <w:tcPr>
            <w:tcW w:w="8771" w:type="dxa"/>
            <w:tcBorders>
              <w:top w:val="single" w:sz="6" w:space="0" w:color="78A22F"/>
              <w:left w:val="nil"/>
              <w:bottom w:val="nil"/>
              <w:right w:val="nil"/>
            </w:tcBorders>
            <w:shd w:val="clear" w:color="auto" w:fill="auto"/>
          </w:tcPr>
          <w:p w:rsidR="00D64C60" w:rsidRDefault="00D64C60" w:rsidP="001C53E2">
            <w:pPr>
              <w:pStyle w:val="TableTitle"/>
            </w:pPr>
            <w:r>
              <w:rPr>
                <w:b w:val="0"/>
              </w:rPr>
              <w:t xml:space="preserve">Table </w:t>
            </w:r>
            <w:r>
              <w:rPr>
                <w:b w:val="0"/>
              </w:rPr>
              <w:fldChar w:fldCharType="begin"/>
            </w:r>
            <w:r>
              <w:rPr>
                <w:b w:val="0"/>
              </w:rPr>
              <w:instrText xml:space="preserve"> COMMENTS  \* MERGEFORMAT </w:instrText>
            </w:r>
            <w:r>
              <w:rPr>
                <w:b w:val="0"/>
              </w:rPr>
              <w:fldChar w:fldCharType="end"/>
            </w:r>
            <w:r>
              <w:rPr>
                <w:b w:val="0"/>
              </w:rPr>
              <w:fldChar w:fldCharType="begin"/>
            </w:r>
            <w:r>
              <w:rPr>
                <w:b w:val="0"/>
              </w:rPr>
              <w:instrText xml:space="preserve"> SEQ Table \* ARABIC </w:instrText>
            </w:r>
            <w:r>
              <w:rPr>
                <w:b w:val="0"/>
              </w:rPr>
              <w:fldChar w:fldCharType="separate"/>
            </w:r>
            <w:r w:rsidR="002368BE">
              <w:rPr>
                <w:b w:val="0"/>
                <w:noProof/>
              </w:rPr>
              <w:t>2</w:t>
            </w:r>
            <w:r>
              <w:rPr>
                <w:b w:val="0"/>
              </w:rPr>
              <w:fldChar w:fldCharType="end"/>
            </w:r>
            <w:r>
              <w:tab/>
              <w:t>Proportion of government payment counting as income for public housing rent setting</w:t>
            </w:r>
            <w:r w:rsidR="00C415D4" w:rsidRPr="002B56E7">
              <w:rPr>
                <w:rStyle w:val="NoteLabel"/>
                <w:b/>
              </w:rPr>
              <w:t>a</w:t>
            </w:r>
          </w:p>
          <w:p w:rsidR="00D64C60" w:rsidRPr="00784A05" w:rsidRDefault="00D64C60" w:rsidP="001C53E2">
            <w:pPr>
              <w:pStyle w:val="Subtitle"/>
            </w:pPr>
            <w:r>
              <w:t>Per cent</w:t>
            </w:r>
          </w:p>
        </w:tc>
      </w:tr>
      <w:tr w:rsidR="00D64C60" w:rsidTr="001C53E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947"/>
              <w:gridCol w:w="2269"/>
              <w:gridCol w:w="2271"/>
            </w:tblGrid>
            <w:tr w:rsidR="00D64C60" w:rsidTr="00D64C60">
              <w:tc>
                <w:tcPr>
                  <w:tcW w:w="2325" w:type="pct"/>
                  <w:tcBorders>
                    <w:top w:val="single" w:sz="6" w:space="0" w:color="BFBFBF"/>
                    <w:bottom w:val="single" w:sz="6" w:space="0" w:color="BFBFBF"/>
                  </w:tcBorders>
                  <w:shd w:val="clear" w:color="auto" w:fill="auto"/>
                  <w:tcMar>
                    <w:top w:w="28" w:type="dxa"/>
                  </w:tcMar>
                </w:tcPr>
                <w:p w:rsidR="00D64C60" w:rsidRDefault="00D64C60" w:rsidP="001C53E2">
                  <w:pPr>
                    <w:pStyle w:val="TableColumnHeading"/>
                    <w:jc w:val="left"/>
                  </w:pPr>
                  <w:r>
                    <w:t>Government payment</w:t>
                  </w:r>
                </w:p>
              </w:tc>
              <w:tc>
                <w:tcPr>
                  <w:tcW w:w="1337" w:type="pct"/>
                  <w:tcBorders>
                    <w:top w:val="single" w:sz="6" w:space="0" w:color="BFBFBF"/>
                    <w:bottom w:val="single" w:sz="6" w:space="0" w:color="BFBFBF"/>
                  </w:tcBorders>
                  <w:shd w:val="clear" w:color="auto" w:fill="auto"/>
                  <w:tcMar>
                    <w:top w:w="28" w:type="dxa"/>
                  </w:tcMar>
                </w:tcPr>
                <w:p w:rsidR="00D64C60" w:rsidRPr="0058694C" w:rsidRDefault="00D64C60" w:rsidP="001C53E2">
                  <w:pPr>
                    <w:pStyle w:val="TableColumnHeading"/>
                  </w:pPr>
                  <w:r>
                    <w:t>NSW, SA, Tas</w:t>
                  </w:r>
                </w:p>
              </w:tc>
              <w:tc>
                <w:tcPr>
                  <w:tcW w:w="1338" w:type="pct"/>
                  <w:tcBorders>
                    <w:top w:val="single" w:sz="6" w:space="0" w:color="BFBFBF"/>
                    <w:bottom w:val="single" w:sz="6" w:space="0" w:color="BFBFBF"/>
                  </w:tcBorders>
                  <w:shd w:val="clear" w:color="auto" w:fill="auto"/>
                  <w:tcMar>
                    <w:top w:w="28" w:type="dxa"/>
                  </w:tcMar>
                </w:tcPr>
                <w:p w:rsidR="00D64C60" w:rsidRDefault="00D64C60" w:rsidP="001C53E2">
                  <w:pPr>
                    <w:pStyle w:val="TableColumnHeading"/>
                    <w:ind w:right="28"/>
                  </w:pPr>
                  <w:r>
                    <w:t>NT</w:t>
                  </w:r>
                </w:p>
              </w:tc>
            </w:tr>
            <w:tr w:rsidR="00D64C60" w:rsidTr="00D64C60">
              <w:tc>
                <w:tcPr>
                  <w:tcW w:w="2325" w:type="pct"/>
                  <w:tcBorders>
                    <w:top w:val="single" w:sz="6" w:space="0" w:color="BFBFBF"/>
                  </w:tcBorders>
                </w:tcPr>
                <w:p w:rsidR="00D64C60" w:rsidRDefault="00D64C60" w:rsidP="00E05380">
                  <w:pPr>
                    <w:pStyle w:val="TableBodyText"/>
                    <w:spacing w:before="80"/>
                    <w:jc w:val="left"/>
                  </w:pPr>
                  <w:r>
                    <w:t>Age Pension; Disability Support Pension</w:t>
                  </w:r>
                </w:p>
              </w:tc>
              <w:tc>
                <w:tcPr>
                  <w:tcW w:w="1337" w:type="pct"/>
                  <w:tcBorders>
                    <w:top w:val="single" w:sz="6" w:space="0" w:color="BFBFBF"/>
                  </w:tcBorders>
                </w:tcPr>
                <w:p w:rsidR="00D64C60" w:rsidRPr="00C87FF6" w:rsidRDefault="00D64C60" w:rsidP="00E05380">
                  <w:pPr>
                    <w:pStyle w:val="TableBodyText"/>
                    <w:spacing w:before="80"/>
                  </w:pPr>
                  <w:r w:rsidRPr="00C87FF6">
                    <w:t>100</w:t>
                  </w:r>
                </w:p>
              </w:tc>
              <w:tc>
                <w:tcPr>
                  <w:tcW w:w="1338" w:type="pct"/>
                  <w:tcBorders>
                    <w:top w:val="single" w:sz="6" w:space="0" w:color="BFBFBF"/>
                  </w:tcBorders>
                </w:tcPr>
                <w:p w:rsidR="00D64C60" w:rsidRPr="00C87FF6" w:rsidRDefault="00D64C60" w:rsidP="00E05380">
                  <w:pPr>
                    <w:pStyle w:val="TableBodyText"/>
                    <w:spacing w:before="80"/>
                    <w:ind w:right="28"/>
                  </w:pPr>
                  <w:r>
                    <w:t>100</w:t>
                  </w:r>
                </w:p>
              </w:tc>
            </w:tr>
            <w:tr w:rsidR="00D64C60" w:rsidTr="00D64C60">
              <w:tc>
                <w:tcPr>
                  <w:tcW w:w="2325" w:type="pct"/>
                </w:tcPr>
                <w:p w:rsidR="00D64C60" w:rsidRDefault="00D64C60" w:rsidP="001C53E2">
                  <w:pPr>
                    <w:pStyle w:val="TableBodyText"/>
                    <w:jc w:val="left"/>
                  </w:pPr>
                  <w:r>
                    <w:t>Newstart Allowance, Youth Allowance</w:t>
                  </w:r>
                </w:p>
              </w:tc>
              <w:tc>
                <w:tcPr>
                  <w:tcW w:w="1337" w:type="pct"/>
                </w:tcPr>
                <w:p w:rsidR="00D64C60" w:rsidRDefault="00D64C60" w:rsidP="001C53E2">
                  <w:pPr>
                    <w:pStyle w:val="TableBodyText"/>
                  </w:pPr>
                  <w:r>
                    <w:t>100</w:t>
                  </w:r>
                </w:p>
              </w:tc>
              <w:tc>
                <w:tcPr>
                  <w:tcW w:w="1338" w:type="pct"/>
                </w:tcPr>
                <w:p w:rsidR="00D64C60" w:rsidRPr="00C87FF6" w:rsidRDefault="00D64C60" w:rsidP="001C53E2">
                  <w:pPr>
                    <w:pStyle w:val="TableBodyText"/>
                    <w:ind w:right="28"/>
                  </w:pPr>
                  <w:r>
                    <w:t>100</w:t>
                  </w:r>
                </w:p>
              </w:tc>
            </w:tr>
            <w:tr w:rsidR="00D64C60" w:rsidTr="00D64C60">
              <w:tc>
                <w:tcPr>
                  <w:tcW w:w="2325" w:type="pct"/>
                </w:tcPr>
                <w:p w:rsidR="00D64C60" w:rsidRDefault="00D64C60" w:rsidP="001C53E2">
                  <w:pPr>
                    <w:pStyle w:val="TableBodyText"/>
                    <w:jc w:val="left"/>
                  </w:pPr>
                  <w:r>
                    <w:t>Parenting Payment, Carer Payment</w:t>
                  </w:r>
                </w:p>
              </w:tc>
              <w:tc>
                <w:tcPr>
                  <w:tcW w:w="1337" w:type="pct"/>
                </w:tcPr>
                <w:p w:rsidR="00D64C60" w:rsidRPr="00C87FF6" w:rsidRDefault="00D64C60" w:rsidP="001C53E2">
                  <w:pPr>
                    <w:pStyle w:val="TableBodyText"/>
                  </w:pPr>
                  <w:r>
                    <w:t>100</w:t>
                  </w:r>
                </w:p>
              </w:tc>
              <w:tc>
                <w:tcPr>
                  <w:tcW w:w="1338" w:type="pct"/>
                </w:tcPr>
                <w:p w:rsidR="00D64C60" w:rsidRPr="00C87FF6" w:rsidRDefault="00D64C60" w:rsidP="001C53E2">
                  <w:pPr>
                    <w:pStyle w:val="TableBodyText"/>
                    <w:ind w:right="28"/>
                  </w:pPr>
                  <w:r>
                    <w:t>100</w:t>
                  </w:r>
                </w:p>
              </w:tc>
            </w:tr>
            <w:tr w:rsidR="00D64C60" w:rsidTr="00D64C60">
              <w:tc>
                <w:tcPr>
                  <w:tcW w:w="2325" w:type="pct"/>
                </w:tcPr>
                <w:p w:rsidR="00D64C60" w:rsidRDefault="00D64C60" w:rsidP="001C53E2">
                  <w:pPr>
                    <w:pStyle w:val="TableBodyText"/>
                    <w:jc w:val="left"/>
                  </w:pPr>
                  <w:r>
                    <w:t>Austudy</w:t>
                  </w:r>
                </w:p>
              </w:tc>
              <w:tc>
                <w:tcPr>
                  <w:tcW w:w="1337" w:type="pct"/>
                </w:tcPr>
                <w:p w:rsidR="00D64C60" w:rsidRPr="00C87FF6" w:rsidRDefault="00D64C60" w:rsidP="001C53E2">
                  <w:pPr>
                    <w:pStyle w:val="TableBodyText"/>
                  </w:pPr>
                  <w:r>
                    <w:t>100</w:t>
                  </w:r>
                </w:p>
              </w:tc>
              <w:tc>
                <w:tcPr>
                  <w:tcW w:w="1338" w:type="pct"/>
                </w:tcPr>
                <w:p w:rsidR="00D64C60" w:rsidRPr="00C87FF6" w:rsidRDefault="00D64C60" w:rsidP="001C53E2">
                  <w:pPr>
                    <w:pStyle w:val="TableBodyText"/>
                    <w:ind w:right="28"/>
                  </w:pPr>
                  <w:r>
                    <w:t>100</w:t>
                  </w:r>
                </w:p>
              </w:tc>
            </w:tr>
            <w:tr w:rsidR="00D64C60" w:rsidTr="00D64C60">
              <w:tc>
                <w:tcPr>
                  <w:tcW w:w="2325" w:type="pct"/>
                </w:tcPr>
                <w:p w:rsidR="00D64C60" w:rsidRDefault="00D64C60" w:rsidP="001C53E2">
                  <w:pPr>
                    <w:pStyle w:val="TableBodyText"/>
                    <w:jc w:val="left"/>
                  </w:pPr>
                  <w:r>
                    <w:t>Family Tax Benefit part A</w:t>
                  </w:r>
                </w:p>
              </w:tc>
              <w:tc>
                <w:tcPr>
                  <w:tcW w:w="1337" w:type="pct"/>
                </w:tcPr>
                <w:p w:rsidR="00D64C60" w:rsidRPr="00C87FF6" w:rsidRDefault="00D64C60" w:rsidP="001C53E2">
                  <w:pPr>
                    <w:pStyle w:val="TableBodyText"/>
                  </w:pPr>
                  <w:r>
                    <w:t>60</w:t>
                  </w:r>
                </w:p>
              </w:tc>
              <w:tc>
                <w:tcPr>
                  <w:tcW w:w="1338" w:type="pct"/>
                </w:tcPr>
                <w:p w:rsidR="00D64C60" w:rsidRPr="00C87FF6" w:rsidRDefault="00D64C60" w:rsidP="001C53E2">
                  <w:pPr>
                    <w:pStyle w:val="TableBodyText"/>
                    <w:ind w:right="28"/>
                  </w:pPr>
                  <w:r>
                    <w:t>43</w:t>
                  </w:r>
                </w:p>
              </w:tc>
            </w:tr>
            <w:tr w:rsidR="00D64C60" w:rsidTr="00D64C60">
              <w:tc>
                <w:tcPr>
                  <w:tcW w:w="2325" w:type="pct"/>
                </w:tcPr>
                <w:p w:rsidR="00D64C60" w:rsidRDefault="00D64C60" w:rsidP="001C53E2">
                  <w:pPr>
                    <w:pStyle w:val="TableBodyText"/>
                    <w:jc w:val="left"/>
                  </w:pPr>
                  <w:r>
                    <w:t>Family Tax Benefit part B</w:t>
                  </w:r>
                </w:p>
              </w:tc>
              <w:tc>
                <w:tcPr>
                  <w:tcW w:w="1337" w:type="pct"/>
                </w:tcPr>
                <w:p w:rsidR="00D64C60" w:rsidRPr="00C87FF6" w:rsidRDefault="00D64C60" w:rsidP="001C53E2">
                  <w:pPr>
                    <w:pStyle w:val="TableBodyText"/>
                  </w:pPr>
                  <w:r>
                    <w:t>60</w:t>
                  </w:r>
                </w:p>
              </w:tc>
              <w:tc>
                <w:tcPr>
                  <w:tcW w:w="1338" w:type="pct"/>
                </w:tcPr>
                <w:p w:rsidR="00D64C60" w:rsidRPr="00C87FF6" w:rsidRDefault="00D64C60" w:rsidP="001C53E2">
                  <w:pPr>
                    <w:pStyle w:val="TableBodyText"/>
                    <w:ind w:right="28"/>
                  </w:pPr>
                  <w:r>
                    <w:t>0</w:t>
                  </w:r>
                </w:p>
              </w:tc>
            </w:tr>
            <w:tr w:rsidR="00D64C60" w:rsidTr="00D64C60">
              <w:tc>
                <w:tcPr>
                  <w:tcW w:w="2325" w:type="pct"/>
                </w:tcPr>
                <w:p w:rsidR="00D64C60" w:rsidRDefault="00D64C60" w:rsidP="001C53E2">
                  <w:pPr>
                    <w:pStyle w:val="TableBodyText"/>
                    <w:jc w:val="left"/>
                  </w:pPr>
                  <w:r>
                    <w:t>Child Care Benefit</w:t>
                  </w:r>
                </w:p>
              </w:tc>
              <w:tc>
                <w:tcPr>
                  <w:tcW w:w="1337" w:type="pct"/>
                </w:tcPr>
                <w:p w:rsidR="00D64C60" w:rsidRPr="00C87FF6" w:rsidRDefault="00D64C60" w:rsidP="001C53E2">
                  <w:pPr>
                    <w:pStyle w:val="TableBodyText"/>
                  </w:pPr>
                  <w:r>
                    <w:t>0</w:t>
                  </w:r>
                </w:p>
              </w:tc>
              <w:tc>
                <w:tcPr>
                  <w:tcW w:w="1338" w:type="pct"/>
                </w:tcPr>
                <w:p w:rsidR="00D64C60" w:rsidRPr="00C87FF6" w:rsidRDefault="00D64C60" w:rsidP="001C53E2">
                  <w:pPr>
                    <w:pStyle w:val="TableBodyText"/>
                    <w:ind w:right="28"/>
                  </w:pPr>
                  <w:r>
                    <w:t>0</w:t>
                  </w:r>
                </w:p>
              </w:tc>
            </w:tr>
            <w:tr w:rsidR="00D64C60" w:rsidTr="00D64C60">
              <w:tc>
                <w:tcPr>
                  <w:tcW w:w="2325" w:type="pct"/>
                  <w:tcBorders>
                    <w:bottom w:val="single" w:sz="6" w:space="0" w:color="BFBFBF"/>
                  </w:tcBorders>
                  <w:shd w:val="clear" w:color="auto" w:fill="auto"/>
                </w:tcPr>
                <w:p w:rsidR="00D64C60" w:rsidRDefault="00D64C60" w:rsidP="001C53E2">
                  <w:pPr>
                    <w:pStyle w:val="TableBodyText"/>
                    <w:jc w:val="left"/>
                  </w:pPr>
                  <w:r>
                    <w:t>Child Care Rebate</w:t>
                  </w:r>
                </w:p>
              </w:tc>
              <w:tc>
                <w:tcPr>
                  <w:tcW w:w="1337" w:type="pct"/>
                  <w:tcBorders>
                    <w:bottom w:val="single" w:sz="6" w:space="0" w:color="BFBFBF"/>
                  </w:tcBorders>
                  <w:shd w:val="clear" w:color="auto" w:fill="auto"/>
                </w:tcPr>
                <w:p w:rsidR="00D64C60" w:rsidRPr="00C87FF6" w:rsidRDefault="00D64C60" w:rsidP="001C53E2">
                  <w:pPr>
                    <w:pStyle w:val="TableBodyText"/>
                  </w:pPr>
                  <w:r>
                    <w:t>0</w:t>
                  </w:r>
                </w:p>
              </w:tc>
              <w:tc>
                <w:tcPr>
                  <w:tcW w:w="1338" w:type="pct"/>
                  <w:tcBorders>
                    <w:bottom w:val="single" w:sz="6" w:space="0" w:color="BFBFBF"/>
                  </w:tcBorders>
                  <w:shd w:val="clear" w:color="auto" w:fill="auto"/>
                </w:tcPr>
                <w:p w:rsidR="00D64C60" w:rsidRPr="00C87FF6" w:rsidRDefault="00D64C60" w:rsidP="001C53E2">
                  <w:pPr>
                    <w:pStyle w:val="TableBodyText"/>
                    <w:ind w:right="28"/>
                  </w:pPr>
                  <w:r>
                    <w:t>0</w:t>
                  </w:r>
                </w:p>
              </w:tc>
            </w:tr>
          </w:tbl>
          <w:p w:rsidR="00D64C60" w:rsidRDefault="00D64C60" w:rsidP="001C53E2">
            <w:pPr>
              <w:pStyle w:val="Box"/>
            </w:pPr>
          </w:p>
        </w:tc>
      </w:tr>
      <w:tr w:rsidR="00D64C60" w:rsidTr="001C53E2">
        <w:trPr>
          <w:cantSplit/>
        </w:trPr>
        <w:tc>
          <w:tcPr>
            <w:tcW w:w="8771" w:type="dxa"/>
            <w:tcBorders>
              <w:top w:val="nil"/>
              <w:left w:val="nil"/>
              <w:bottom w:val="nil"/>
              <w:right w:val="nil"/>
            </w:tcBorders>
            <w:shd w:val="clear" w:color="auto" w:fill="auto"/>
          </w:tcPr>
          <w:p w:rsidR="002B56E7" w:rsidRDefault="002B56E7" w:rsidP="002B56E7">
            <w:pPr>
              <w:pStyle w:val="Note"/>
              <w:rPr>
                <w:i/>
              </w:rPr>
            </w:pPr>
            <w:r w:rsidRPr="002B56E7">
              <w:rPr>
                <w:rStyle w:val="NoteLabel"/>
              </w:rPr>
              <w:t>a</w:t>
            </w:r>
            <w:r>
              <w:t xml:space="preserve"> Information could not be included for Victoria, Queensland or Western Australia.</w:t>
            </w:r>
          </w:p>
          <w:p w:rsidR="00D64C60" w:rsidRDefault="00D64C60" w:rsidP="002B56E7">
            <w:pPr>
              <w:pStyle w:val="Source"/>
            </w:pPr>
            <w:r>
              <w:rPr>
                <w:i/>
              </w:rPr>
              <w:t>Source</w:t>
            </w:r>
            <w:r>
              <w:t>: Personal communication with State Housing Authorities.</w:t>
            </w:r>
            <w:r w:rsidR="00C415D4">
              <w:t xml:space="preserve"> </w:t>
            </w:r>
          </w:p>
        </w:tc>
      </w:tr>
      <w:tr w:rsidR="00D64C60" w:rsidTr="001C53E2">
        <w:trPr>
          <w:cantSplit/>
        </w:trPr>
        <w:tc>
          <w:tcPr>
            <w:tcW w:w="8771" w:type="dxa"/>
            <w:tcBorders>
              <w:top w:val="nil"/>
              <w:left w:val="nil"/>
              <w:bottom w:val="single" w:sz="6" w:space="0" w:color="78A22F"/>
              <w:right w:val="nil"/>
            </w:tcBorders>
            <w:shd w:val="clear" w:color="auto" w:fill="auto"/>
          </w:tcPr>
          <w:p w:rsidR="00D64C60" w:rsidRDefault="00D64C60" w:rsidP="001C53E2">
            <w:pPr>
              <w:pStyle w:val="Box"/>
              <w:spacing w:before="0" w:line="120" w:lineRule="exact"/>
            </w:pPr>
          </w:p>
        </w:tc>
      </w:tr>
      <w:tr w:rsidR="00D64C60" w:rsidRPr="000863A5" w:rsidTr="001C53E2">
        <w:tc>
          <w:tcPr>
            <w:tcW w:w="8771" w:type="dxa"/>
            <w:tcBorders>
              <w:top w:val="single" w:sz="6" w:space="0" w:color="78A22F"/>
              <w:left w:val="nil"/>
              <w:bottom w:val="nil"/>
              <w:right w:val="nil"/>
            </w:tcBorders>
          </w:tcPr>
          <w:p w:rsidR="00D64C60" w:rsidRPr="00626D32" w:rsidRDefault="00D64C60" w:rsidP="001C53E2">
            <w:pPr>
              <w:pStyle w:val="BoxSpaceBelow"/>
            </w:pPr>
          </w:p>
        </w:tc>
      </w:tr>
    </w:tbl>
    <w:p w:rsidR="00D45038" w:rsidRDefault="00D45038" w:rsidP="00591E23">
      <w:pPr>
        <w:pStyle w:val="Heading4"/>
        <w:spacing w:before="300"/>
      </w:pPr>
      <w:r>
        <w:t>Rent setting in community housing</w:t>
      </w:r>
    </w:p>
    <w:p w:rsidR="009505A8" w:rsidRDefault="00D45038" w:rsidP="00591E23">
      <w:pPr>
        <w:pStyle w:val="BodyText"/>
        <w:spacing w:before="200"/>
      </w:pPr>
      <w:r>
        <w:t xml:space="preserve">Community housing rent setting closely follows public housing rent setting rules in most jurisdictions </w:t>
      </w:r>
      <w:r w:rsidRPr="006C46A4">
        <w:t>(</w:t>
      </w:r>
      <w:proofErr w:type="spellStart"/>
      <w:r w:rsidRPr="006C46A4">
        <w:t>CHFA</w:t>
      </w:r>
      <w:proofErr w:type="spellEnd"/>
      <w:r w:rsidRPr="006C46A4">
        <w:t> 2014)</w:t>
      </w:r>
      <w:r>
        <w:t xml:space="preserve">. For example, in Victoria, community housing rent is set at </w:t>
      </w:r>
      <w:r w:rsidR="002B56E7">
        <w:t>25 </w:t>
      </w:r>
      <w:r>
        <w:t xml:space="preserve">to 30 per cent of </w:t>
      </w:r>
      <w:r w:rsidR="00674B1C">
        <w:t>assessable</w:t>
      </w:r>
      <w:r>
        <w:t xml:space="preserve"> income, </w:t>
      </w:r>
      <w:r w:rsidR="00B8756F">
        <w:t xml:space="preserve">although </w:t>
      </w:r>
      <w:r>
        <w:t xml:space="preserve">family payments </w:t>
      </w:r>
      <w:r w:rsidR="00B8756F">
        <w:t xml:space="preserve">are </w:t>
      </w:r>
      <w:r w:rsidR="00674B1C">
        <w:t>charged</w:t>
      </w:r>
      <w:r w:rsidR="00B8756F">
        <w:t xml:space="preserve"> at 15 per cent </w:t>
      </w:r>
      <w:r w:rsidR="00C2116C" w:rsidRPr="00C2116C">
        <w:t>(</w:t>
      </w:r>
      <w:proofErr w:type="spellStart"/>
      <w:r w:rsidR="00C2116C" w:rsidRPr="00C2116C">
        <w:t>CHFV</w:t>
      </w:r>
      <w:proofErr w:type="spellEnd"/>
      <w:r w:rsidR="00C2116C" w:rsidRPr="00C2116C">
        <w:t> 2013)</w:t>
      </w:r>
      <w:r>
        <w:t>.</w:t>
      </w:r>
      <w:r w:rsidR="000E5CCC">
        <w:t xml:space="preserve"> </w:t>
      </w:r>
      <w:r w:rsidR="009505A8">
        <w:t xml:space="preserve">While community housing tenants are eligible for CRA, </w:t>
      </w:r>
      <w:r w:rsidR="001C34CB">
        <w:t>tenants are required to pay it to the landlord</w:t>
      </w:r>
      <w:r w:rsidR="009505A8">
        <w:t xml:space="preserve"> (CHFV 2013), and </w:t>
      </w:r>
      <w:r w:rsidR="001C34CB">
        <w:t xml:space="preserve">it </w:t>
      </w:r>
      <w:r w:rsidR="009505A8">
        <w:t>has no bearing on a tenant</w:t>
      </w:r>
      <w:r w:rsidR="002B56E7">
        <w:t>’</w:t>
      </w:r>
      <w:r w:rsidR="009505A8">
        <w:t>s disposable income</w:t>
      </w:r>
      <w:r w:rsidR="002E5491">
        <w:t xml:space="preserve"> or financial incentives to work</w:t>
      </w:r>
      <w:r w:rsidR="001C34CB">
        <w:t xml:space="preserve"> (BP 1)</w:t>
      </w:r>
      <w:r w:rsidR="009505A8">
        <w:t xml:space="preserve">. </w:t>
      </w:r>
      <w:r w:rsidR="000E5CCC">
        <w:t>C</w:t>
      </w:r>
      <w:r>
        <w:t>ommunity housing rent setting</w:t>
      </w:r>
      <w:r w:rsidR="000E5CCC">
        <w:t xml:space="preserve">, therefore, </w:t>
      </w:r>
      <w:r>
        <w:t>affects incentives to work in much the same way as public housing rent setting</w:t>
      </w:r>
      <w:r w:rsidR="001B70E1">
        <w:t xml:space="preserve"> despite the receipt of </w:t>
      </w:r>
      <w:r w:rsidR="001C53E2">
        <w:t>CRA</w:t>
      </w:r>
      <w:r>
        <w:t>.</w:t>
      </w:r>
      <w:r w:rsidR="00E519D6">
        <w:t xml:space="preserve"> </w:t>
      </w:r>
      <w:r w:rsidR="000E5CCC">
        <w:t>All of the analysis presented below for public housing tenants can be read as also applying to community housing tenants.</w:t>
      </w:r>
    </w:p>
    <w:bookmarkStart w:id="6" w:name="OLE_LINK5"/>
    <w:p w:rsidR="009B15D4" w:rsidRDefault="00066D73" w:rsidP="00591E23">
      <w:pPr>
        <w:pStyle w:val="Heading2"/>
        <w:spacing w:before="480"/>
      </w:pPr>
      <w:r>
        <w:fldChar w:fldCharType="begin"/>
      </w:r>
      <w:r>
        <w:instrText xml:space="preserve"> SEQ Heading2 </w:instrText>
      </w:r>
      <w:r>
        <w:fldChar w:fldCharType="separate"/>
      </w:r>
      <w:r w:rsidR="002368BE">
        <w:rPr>
          <w:noProof/>
        </w:rPr>
        <w:t>3</w:t>
      </w:r>
      <w:r>
        <w:rPr>
          <w:noProof/>
        </w:rPr>
        <w:fldChar w:fldCharType="end"/>
      </w:r>
      <w:bookmarkEnd w:id="6"/>
      <w:r w:rsidR="009B15D4">
        <w:tab/>
      </w:r>
      <w:r w:rsidR="002E5491">
        <w:t>Financial i</w:t>
      </w:r>
      <w:r w:rsidR="009B15D4">
        <w:t xml:space="preserve">ncentives to work </w:t>
      </w:r>
      <w:r w:rsidR="002E5491">
        <w:t xml:space="preserve">related to </w:t>
      </w:r>
      <w:r w:rsidR="009B15D4">
        <w:t>housing assistance</w:t>
      </w:r>
    </w:p>
    <w:p w:rsidR="009B15D4" w:rsidRDefault="009B15D4" w:rsidP="00591E23">
      <w:pPr>
        <w:pStyle w:val="BodyText"/>
        <w:spacing w:before="200"/>
        <w:rPr>
          <w:spacing w:val="-2"/>
        </w:rPr>
      </w:pPr>
      <w:r w:rsidRPr="00F73B0B">
        <w:rPr>
          <w:spacing w:val="-2"/>
        </w:rPr>
        <w:t>This section summarises and discusses incentives to work under CRA and social housing rent settings for ‘typical’ housing assistance recipients — the most prevalent types of recipient</w:t>
      </w:r>
      <w:r w:rsidR="002B56E7">
        <w:rPr>
          <w:spacing w:val="-2"/>
        </w:rPr>
        <w:t>s</w:t>
      </w:r>
      <w:r w:rsidRPr="00F73B0B">
        <w:rPr>
          <w:spacing w:val="-2"/>
        </w:rPr>
        <w:t xml:space="preserve"> (box </w:t>
      </w:r>
      <w:r w:rsidR="009C56C8" w:rsidRPr="00F73B0B">
        <w:rPr>
          <w:spacing w:val="-2"/>
        </w:rPr>
        <w:t>3</w:t>
      </w:r>
      <w:r w:rsidRPr="00F73B0B">
        <w:rPr>
          <w:spacing w:val="-2"/>
        </w:rPr>
        <w:t>).</w:t>
      </w:r>
    </w:p>
    <w:p w:rsidR="00291DE7" w:rsidRPr="00CE543D" w:rsidRDefault="00291DE7" w:rsidP="00591E23">
      <w:pPr>
        <w:pStyle w:val="BodyText"/>
        <w:spacing w:before="200"/>
        <w:rPr>
          <w:spacing w:val="-2"/>
        </w:rPr>
      </w:pPr>
      <w:r w:rsidRPr="007D361D">
        <w:rPr>
          <w:spacing w:val="-2"/>
        </w:rPr>
        <w:t xml:space="preserve">The observations presented rely on analysis of budget constraints for each typical recipient. The Commission has used </w:t>
      </w:r>
      <w:r>
        <w:rPr>
          <w:spacing w:val="-2"/>
        </w:rPr>
        <w:t>the PCTT 2014</w:t>
      </w:r>
      <w:r w:rsidRPr="007D361D">
        <w:rPr>
          <w:spacing w:val="-2"/>
        </w:rPr>
        <w:t xml:space="preserve"> model to derive these curves, applying the logic set out in section 1 to isolate the effect</w:t>
      </w:r>
      <w:r>
        <w:rPr>
          <w:spacing w:val="-2"/>
        </w:rPr>
        <w:t>s</w:t>
      </w:r>
      <w:r w:rsidRPr="007D361D">
        <w:rPr>
          <w:spacing w:val="-2"/>
        </w:rPr>
        <w:t xml:space="preserve"> of housing assistance.</w:t>
      </w:r>
    </w:p>
    <w:p w:rsidR="00291DE7" w:rsidRPr="00633F64" w:rsidRDefault="00291DE7" w:rsidP="00591E23">
      <w:pPr>
        <w:pStyle w:val="BodyText"/>
        <w:spacing w:before="200"/>
        <w:rPr>
          <w:spacing w:val="-2"/>
        </w:rPr>
      </w:pPr>
      <w:r>
        <w:rPr>
          <w:spacing w:val="-2"/>
        </w:rPr>
        <w:t>Rather than explain</w:t>
      </w:r>
      <w:r w:rsidRPr="004F049B">
        <w:rPr>
          <w:spacing w:val="-2"/>
        </w:rPr>
        <w:t xml:space="preserve"> budget constraints and EMTRs </w:t>
      </w:r>
      <w:r>
        <w:rPr>
          <w:spacing w:val="-2"/>
        </w:rPr>
        <w:t xml:space="preserve">for all </w:t>
      </w:r>
      <w:r w:rsidRPr="004F049B">
        <w:rPr>
          <w:spacing w:val="-2"/>
        </w:rPr>
        <w:t>typical recipient</w:t>
      </w:r>
      <w:r>
        <w:rPr>
          <w:spacing w:val="-2"/>
        </w:rPr>
        <w:t>s, only one example is worked through in this paper</w:t>
      </w:r>
      <w:r w:rsidRPr="004F049B">
        <w:rPr>
          <w:spacing w:val="-2"/>
        </w:rPr>
        <w:t> — </w:t>
      </w:r>
      <w:r>
        <w:rPr>
          <w:spacing w:val="-2"/>
        </w:rPr>
        <w:t xml:space="preserve">for </w:t>
      </w:r>
      <w:r w:rsidRPr="004F049B">
        <w:rPr>
          <w:spacing w:val="-2"/>
        </w:rPr>
        <w:t xml:space="preserve">a </w:t>
      </w:r>
      <w:r>
        <w:rPr>
          <w:spacing w:val="-2"/>
        </w:rPr>
        <w:t>single, childless DSP recipient. Using this model, other examples can be similarly examined, as needed.</w:t>
      </w:r>
      <w:r w:rsidRPr="004F049B">
        <w:rPr>
          <w:spacing w:val="-2"/>
        </w:rPr>
        <w:t xml:space="preserve"> </w:t>
      </w:r>
      <w:r>
        <w:rPr>
          <w:spacing w:val="-2"/>
        </w:rPr>
        <w:t xml:space="preserve">This example was chosen because the budget constraints and EMTR curves for a person with these characteristics are </w:t>
      </w:r>
      <w:r>
        <w:rPr>
          <w:spacing w:val="-2"/>
        </w:rPr>
        <w:lastRenderedPageBreak/>
        <w:t>relatively simple to explain. This relative simplicity arises because the DSP is not</w:t>
      </w:r>
      <w:r w:rsidRPr="00871FC0">
        <w:t xml:space="preserve"> </w:t>
      </w:r>
      <w:r>
        <w:t xml:space="preserve">assessable for income tax purposes for people under age pension age. Other welfare payments, including the Age Pension, Newstart Allowance, Youth Allowance and Parenting Payment </w:t>
      </w:r>
      <w:r w:rsidRPr="00633F64">
        <w:rPr>
          <w:spacing w:val="-2"/>
        </w:rPr>
        <w:t>(Partnered) are assessable, complicating the analysis for these groups (</w:t>
      </w:r>
      <w:proofErr w:type="spellStart"/>
      <w:r w:rsidRPr="00633F64">
        <w:rPr>
          <w:spacing w:val="-2"/>
        </w:rPr>
        <w:t>ATO</w:t>
      </w:r>
      <w:proofErr w:type="spellEnd"/>
      <w:r w:rsidRPr="00633F64">
        <w:rPr>
          <w:spacing w:val="-2"/>
        </w:rPr>
        <w:t xml:space="preserve"> 2014). It is recognised that DSP recipients face barriers to employment. Nonetheless, some do work and most </w:t>
      </w:r>
      <w:r>
        <w:rPr>
          <w:spacing w:val="-2"/>
        </w:rPr>
        <w:t>new recipients since 2006</w:t>
      </w:r>
      <w:r w:rsidRPr="00633F64">
        <w:rPr>
          <w:spacing w:val="-2"/>
        </w:rPr>
        <w:t xml:space="preserve"> have been assessed as having some job capacity (BP 3).</w:t>
      </w:r>
    </w:p>
    <w:p w:rsidR="009B15D4" w:rsidRDefault="009B15D4" w:rsidP="00D924E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15D4" w:rsidTr="009E4808">
        <w:tc>
          <w:tcPr>
            <w:tcW w:w="8771" w:type="dxa"/>
            <w:tcBorders>
              <w:top w:val="single" w:sz="6" w:space="0" w:color="78A22F"/>
              <w:left w:val="nil"/>
              <w:bottom w:val="nil"/>
              <w:right w:val="nil"/>
            </w:tcBorders>
            <w:shd w:val="clear" w:color="auto" w:fill="F2F2F2" w:themeFill="background1" w:themeFillShade="F2"/>
          </w:tcPr>
          <w:p w:rsidR="009B15D4" w:rsidRDefault="009B15D4" w:rsidP="009C56C8">
            <w:pPr>
              <w:pStyle w:val="BoxTitle"/>
            </w:pPr>
            <w:r>
              <w:rPr>
                <w:b w:val="0"/>
              </w:rPr>
              <w:t xml:space="preserve">Box </w:t>
            </w:r>
            <w:bookmarkStart w:id="7" w:name="OLE_LINK8"/>
            <w:bookmarkStart w:id="8" w:name="OLE_LINK17"/>
            <w:r>
              <w:rPr>
                <w:b w:val="0"/>
              </w:rPr>
              <w:fldChar w:fldCharType="begin"/>
            </w:r>
            <w:r>
              <w:rPr>
                <w:b w:val="0"/>
              </w:rPr>
              <w:instrText xml:space="preserve"> SEQ Box \* ARABIC </w:instrText>
            </w:r>
            <w:r>
              <w:rPr>
                <w:b w:val="0"/>
              </w:rPr>
              <w:fldChar w:fldCharType="separate"/>
            </w:r>
            <w:r w:rsidR="002368BE">
              <w:rPr>
                <w:b w:val="0"/>
                <w:noProof/>
              </w:rPr>
              <w:t>3</w:t>
            </w:r>
            <w:r>
              <w:rPr>
                <w:b w:val="0"/>
              </w:rPr>
              <w:fldChar w:fldCharType="end"/>
            </w:r>
            <w:bookmarkEnd w:id="7"/>
            <w:bookmarkEnd w:id="8"/>
            <w:r>
              <w:tab/>
              <w:t>The most prevalent groups receiving housing assistance</w:t>
            </w:r>
          </w:p>
        </w:tc>
      </w:tr>
      <w:tr w:rsidR="009B15D4" w:rsidTr="009E4808">
        <w:trPr>
          <w:cantSplit/>
        </w:trPr>
        <w:tc>
          <w:tcPr>
            <w:tcW w:w="8771" w:type="dxa"/>
            <w:tcBorders>
              <w:top w:val="nil"/>
              <w:left w:val="nil"/>
              <w:bottom w:val="nil"/>
              <w:right w:val="nil"/>
            </w:tcBorders>
            <w:shd w:val="clear" w:color="auto" w:fill="F2F2F2" w:themeFill="background1" w:themeFillShade="F2"/>
          </w:tcPr>
          <w:p w:rsidR="009B15D4" w:rsidRDefault="009B15D4" w:rsidP="009E4808">
            <w:pPr>
              <w:pStyle w:val="Box"/>
            </w:pPr>
            <w:r>
              <w:t xml:space="preserve">Data from the Department of Human Service’s administrative collection indicate that </w:t>
            </w:r>
            <w:r w:rsidR="00D1097E">
              <w:t xml:space="preserve">three </w:t>
            </w:r>
            <w:r>
              <w:t xml:space="preserve">groups, classified by ISP and family situation, accounted for </w:t>
            </w:r>
            <w:r w:rsidR="00D1097E">
              <w:t xml:space="preserve">over </w:t>
            </w:r>
            <w:r w:rsidR="00A010F0">
              <w:t xml:space="preserve">50 </w:t>
            </w:r>
            <w:r>
              <w:t xml:space="preserve">per cent of working age </w:t>
            </w:r>
            <w:r w:rsidR="00C52093">
              <w:t>CRA</w:t>
            </w:r>
            <w:r>
              <w:t xml:space="preserve"> recipients</w:t>
            </w:r>
            <w:r w:rsidR="00A010F0">
              <w:t xml:space="preserve"> who receive ISPs</w:t>
            </w:r>
            <w:r>
              <w:t xml:space="preserve"> in 2013:</w:t>
            </w:r>
            <w:r w:rsidR="003F5970" w:rsidRPr="000A3D3C">
              <w:rPr>
                <w:rStyle w:val="NoteLabel"/>
              </w:rPr>
              <w:t>a</w:t>
            </w:r>
          </w:p>
          <w:p w:rsidR="00D1097E" w:rsidRDefault="00D1097E" w:rsidP="00A33DF7">
            <w:pPr>
              <w:pStyle w:val="BoxListBullet"/>
            </w:pPr>
            <w:r>
              <w:t>childless singles receiving the Newstart Allowance</w:t>
            </w:r>
            <w:r w:rsidR="00A33DF7">
              <w:t> — </w:t>
            </w:r>
            <w:r w:rsidR="00A010F0">
              <w:t>20.5</w:t>
            </w:r>
            <w:r w:rsidR="00A33DF7">
              <w:t xml:space="preserve"> per cent</w:t>
            </w:r>
          </w:p>
          <w:p w:rsidR="009B15D4" w:rsidRDefault="009B15D4" w:rsidP="009E4808">
            <w:pPr>
              <w:pStyle w:val="BoxListBullet"/>
            </w:pPr>
            <w:r>
              <w:t>childless singles receiving the Disability Support Pension</w:t>
            </w:r>
            <w:r w:rsidR="00A33DF7">
              <w:t> — </w:t>
            </w:r>
            <w:r w:rsidR="00A010F0">
              <w:t>18.4</w:t>
            </w:r>
            <w:r w:rsidR="00D1097E">
              <w:t xml:space="preserve"> </w:t>
            </w:r>
            <w:r>
              <w:t>per cent</w:t>
            </w:r>
          </w:p>
          <w:p w:rsidR="009B15D4" w:rsidRDefault="009B15D4" w:rsidP="009E4808">
            <w:pPr>
              <w:pStyle w:val="BoxListBullet"/>
            </w:pPr>
            <w:r>
              <w:t>single parents receiving the Parenting Payment and the FTB</w:t>
            </w:r>
            <w:r w:rsidR="00A33DF7">
              <w:t> — </w:t>
            </w:r>
            <w:r>
              <w:t>1</w:t>
            </w:r>
            <w:r w:rsidR="00A33DF7">
              <w:t>4.8</w:t>
            </w:r>
            <w:r>
              <w:t> per cent</w:t>
            </w:r>
            <w:r w:rsidR="00A33DF7">
              <w:t>.</w:t>
            </w:r>
          </w:p>
          <w:p w:rsidR="009B15D4" w:rsidRDefault="009B15D4" w:rsidP="009E4808">
            <w:pPr>
              <w:pStyle w:val="Box"/>
            </w:pPr>
            <w:r>
              <w:t>The same dataset indicate</w:t>
            </w:r>
            <w:r w:rsidR="00A33DF7">
              <w:t>s</w:t>
            </w:r>
            <w:r>
              <w:t xml:space="preserve"> that the </w:t>
            </w:r>
            <w:r w:rsidR="00A33DF7">
              <w:t>same</w:t>
            </w:r>
            <w:r>
              <w:t xml:space="preserve"> groups make up </w:t>
            </w:r>
            <w:r w:rsidR="00A33DF7">
              <w:t xml:space="preserve">nearly </w:t>
            </w:r>
            <w:r w:rsidR="00A010F0">
              <w:t>6</w:t>
            </w:r>
            <w:r w:rsidR="00A33DF7">
              <w:t>0</w:t>
            </w:r>
            <w:r w:rsidR="003E493D">
              <w:t xml:space="preserve"> </w:t>
            </w:r>
            <w:r>
              <w:t>per cent of working age public housing tenants</w:t>
            </w:r>
            <w:r w:rsidR="00A33DF7">
              <w:t xml:space="preserve"> who receive ISPs</w:t>
            </w:r>
            <w:r>
              <w:t>:</w:t>
            </w:r>
          </w:p>
          <w:p w:rsidR="009B15D4" w:rsidRDefault="009B15D4" w:rsidP="009E4808">
            <w:pPr>
              <w:pStyle w:val="BoxListBullet"/>
            </w:pPr>
            <w:r>
              <w:t>childless singles receiving the Disability Support Pension</w:t>
            </w:r>
            <w:r w:rsidR="00A33DF7">
              <w:t> — </w:t>
            </w:r>
            <w:r w:rsidR="00A010F0">
              <w:t>36.6</w:t>
            </w:r>
            <w:r w:rsidR="00A33DF7">
              <w:t xml:space="preserve"> </w:t>
            </w:r>
            <w:r>
              <w:t>per cent</w:t>
            </w:r>
          </w:p>
          <w:p w:rsidR="009B15D4" w:rsidRDefault="009B15D4" w:rsidP="009E4808">
            <w:pPr>
              <w:pStyle w:val="BoxListBullet"/>
            </w:pPr>
            <w:r>
              <w:t>childless singles receiving the Newstart Allowance</w:t>
            </w:r>
            <w:r w:rsidR="00A33DF7">
              <w:t> — 1</w:t>
            </w:r>
            <w:r w:rsidR="00A010F0">
              <w:t>0.3</w:t>
            </w:r>
            <w:r w:rsidR="00A33DF7">
              <w:t xml:space="preserve"> </w:t>
            </w:r>
            <w:r>
              <w:t>per cent</w:t>
            </w:r>
          </w:p>
          <w:p w:rsidR="009B15D4" w:rsidRPr="00E33E49" w:rsidRDefault="009B15D4" w:rsidP="00A33DF7">
            <w:pPr>
              <w:pStyle w:val="BoxListBullet"/>
              <w:rPr>
                <w:rStyle w:val="NoteLabel"/>
                <w:b w:val="0"/>
                <w:position w:val="0"/>
                <w:sz w:val="20"/>
              </w:rPr>
            </w:pPr>
            <w:r>
              <w:t>single parents receiving the Parenting Payment and the FTB</w:t>
            </w:r>
            <w:r w:rsidR="00A33DF7">
              <w:t xml:space="preserve"> — 10.7 </w:t>
            </w:r>
            <w:r>
              <w:t>per cent.</w:t>
            </w:r>
          </w:p>
        </w:tc>
      </w:tr>
      <w:tr w:rsidR="00E33E49" w:rsidTr="009E4808">
        <w:trPr>
          <w:cantSplit/>
        </w:trPr>
        <w:tc>
          <w:tcPr>
            <w:tcW w:w="8771" w:type="dxa"/>
            <w:tcBorders>
              <w:top w:val="nil"/>
              <w:left w:val="nil"/>
              <w:bottom w:val="nil"/>
              <w:right w:val="nil"/>
            </w:tcBorders>
            <w:shd w:val="clear" w:color="auto" w:fill="F2F2F2" w:themeFill="background1" w:themeFillShade="F2"/>
          </w:tcPr>
          <w:p w:rsidR="00E33E49" w:rsidRDefault="00E33E49" w:rsidP="00E33E49">
            <w:pPr>
              <w:pStyle w:val="Note"/>
            </w:pPr>
            <w:r>
              <w:rPr>
                <w:rStyle w:val="NoteLabel"/>
              </w:rPr>
              <w:t xml:space="preserve">a </w:t>
            </w:r>
            <w:r w:rsidRPr="000A3D3C">
              <w:t>Data e</w:t>
            </w:r>
            <w:r>
              <w:t>xclude people who receive FTB only (that is, no ISP).</w:t>
            </w:r>
          </w:p>
        </w:tc>
      </w:tr>
      <w:tr w:rsidR="009B15D4" w:rsidTr="009E4808">
        <w:trPr>
          <w:cantSplit/>
        </w:trPr>
        <w:tc>
          <w:tcPr>
            <w:tcW w:w="8771" w:type="dxa"/>
            <w:tcBorders>
              <w:top w:val="nil"/>
              <w:left w:val="nil"/>
              <w:bottom w:val="single" w:sz="6" w:space="0" w:color="78A22F"/>
              <w:right w:val="nil"/>
            </w:tcBorders>
            <w:shd w:val="clear" w:color="auto" w:fill="F2F2F2" w:themeFill="background1" w:themeFillShade="F2"/>
          </w:tcPr>
          <w:p w:rsidR="009B15D4" w:rsidRDefault="009B15D4" w:rsidP="009E4808">
            <w:pPr>
              <w:pStyle w:val="Box"/>
              <w:spacing w:before="0" w:line="120" w:lineRule="exact"/>
            </w:pPr>
          </w:p>
        </w:tc>
      </w:tr>
      <w:tr w:rsidR="009B15D4" w:rsidRPr="000863A5" w:rsidTr="009E4808">
        <w:tc>
          <w:tcPr>
            <w:tcW w:w="8771" w:type="dxa"/>
            <w:tcBorders>
              <w:top w:val="single" w:sz="6" w:space="0" w:color="78A22F"/>
              <w:left w:val="nil"/>
              <w:bottom w:val="nil"/>
              <w:right w:val="nil"/>
            </w:tcBorders>
          </w:tcPr>
          <w:p w:rsidR="009B15D4" w:rsidRPr="00626D32" w:rsidRDefault="009B15D4" w:rsidP="009E4808">
            <w:pPr>
              <w:pStyle w:val="BoxSpaceBelow"/>
            </w:pPr>
          </w:p>
        </w:tc>
      </w:tr>
    </w:tbl>
    <w:p w:rsidR="00F73B0B" w:rsidRPr="00D924E6" w:rsidRDefault="00F73B0B" w:rsidP="00D924E6">
      <w:pPr>
        <w:pStyle w:val="BodyText"/>
      </w:pPr>
      <w:r w:rsidRPr="00D924E6">
        <w:t xml:space="preserve">Summary insights are presented for other typical recipients. Budget constraints and </w:t>
      </w:r>
      <w:r w:rsidR="0032158A" w:rsidRPr="00D924E6">
        <w:t>EMTR</w:t>
      </w:r>
      <w:r w:rsidRPr="00D924E6">
        <w:t xml:space="preserve"> curves for the other typical recipients are </w:t>
      </w:r>
      <w:r w:rsidR="00C27434" w:rsidRPr="00D924E6">
        <w:t xml:space="preserve">presented in annex </w:t>
      </w:r>
      <w:r w:rsidR="00F37462" w:rsidRPr="00D924E6">
        <w:t xml:space="preserve">C </w:t>
      </w:r>
      <w:r w:rsidR="00C27434" w:rsidRPr="00D924E6">
        <w:t>to this background paper</w:t>
      </w:r>
      <w:r w:rsidRPr="00D924E6">
        <w:t>.</w:t>
      </w:r>
    </w:p>
    <w:p w:rsidR="00F73B0B" w:rsidRPr="00D924E6" w:rsidRDefault="00F73B0B" w:rsidP="00D924E6">
      <w:pPr>
        <w:pStyle w:val="BodyText"/>
      </w:pPr>
      <w:r w:rsidRPr="00D924E6">
        <w:t>Unlike in section</w:t>
      </w:r>
      <w:bookmarkStart w:id="9" w:name="OLE_LINK36"/>
      <w:r w:rsidR="00A61C8A" w:rsidRPr="00D924E6">
        <w:t> </w:t>
      </w:r>
      <w:r w:rsidR="00C52093" w:rsidRPr="00D924E6">
        <w:t>1</w:t>
      </w:r>
      <w:r w:rsidRPr="00D924E6">
        <w:t>,</w:t>
      </w:r>
      <w:bookmarkEnd w:id="9"/>
      <w:r w:rsidRPr="00D924E6">
        <w:t xml:space="preserve"> the budget constraints that are presented link market income to disposable income </w:t>
      </w:r>
      <w:r w:rsidRPr="00D924E6">
        <w:rPr>
          <w:i/>
        </w:rPr>
        <w:t>less</w:t>
      </w:r>
      <w:r w:rsidRPr="00D924E6">
        <w:t xml:space="preserve"> </w:t>
      </w:r>
      <w:r w:rsidRPr="00D924E6">
        <w:rPr>
          <w:i/>
        </w:rPr>
        <w:t>rent paid</w:t>
      </w:r>
      <w:r w:rsidRPr="00D924E6">
        <w:t xml:space="preserve">. This small change in approach is needed in order to compare the two housing policies. Both policies mean that a recipient has more disposable income after paying rent, but this outcome is achieved in different ways. CRA increases a tenant’s disposable income directly, but doesn’t change the rent that they pay (they still pay the market rent). </w:t>
      </w:r>
      <w:r w:rsidR="0054652A" w:rsidRPr="00D924E6">
        <w:t xml:space="preserve">In this case, the housing assistance subsidy </w:t>
      </w:r>
      <w:r w:rsidR="00DC7A43" w:rsidRPr="00D924E6">
        <w:t xml:space="preserve">received by the tenant </w:t>
      </w:r>
      <w:r w:rsidR="0054652A" w:rsidRPr="00D924E6">
        <w:t xml:space="preserve">is explicit. </w:t>
      </w:r>
      <w:r w:rsidRPr="00D924E6">
        <w:t xml:space="preserve">Social housing rent setting doesn’t change a tenant’s disposable income, but reduces the rent that they pay (they pay less than the market rent). </w:t>
      </w:r>
      <w:r w:rsidR="00DC7A43" w:rsidRPr="00D924E6">
        <w:t xml:space="preserve">In this case, the housing assistance subsidy received by the tenant is implicit. </w:t>
      </w:r>
      <w:r w:rsidRPr="00D924E6">
        <w:t>An example illustrating these differences is presented in table 3.</w:t>
      </w:r>
    </w:p>
    <w:p w:rsidR="009B15D4" w:rsidRPr="00D924E6" w:rsidRDefault="009B15D4" w:rsidP="00D924E6">
      <w:pPr>
        <w:pStyle w:val="BodyText"/>
      </w:pPr>
      <w:r w:rsidRPr="00D924E6">
        <w:t>The different ways in which rent subsidies are delivered also means that the income effect described in section</w:t>
      </w:r>
      <w:r w:rsidR="00A61C8A" w:rsidRPr="00D924E6">
        <w:t> </w:t>
      </w:r>
      <w:r w:rsidR="00C52093" w:rsidRPr="00D924E6">
        <w:t>1</w:t>
      </w:r>
      <w:r w:rsidRPr="00D924E6">
        <w:t xml:space="preserve"> is defined slightly differently for social housing tenants. Because a</w:t>
      </w:r>
      <w:r w:rsidR="00C52093" w:rsidRPr="00D924E6">
        <w:t xml:space="preserve"> person</w:t>
      </w:r>
      <w:r w:rsidRPr="00D924E6">
        <w:t>’s disposable income doesn’t change</w:t>
      </w:r>
      <w:r w:rsidR="001B70E1" w:rsidRPr="00D924E6">
        <w:t xml:space="preserve"> </w:t>
      </w:r>
      <w:r w:rsidRPr="00D924E6">
        <w:t>when they move into social housing</w:t>
      </w:r>
      <w:r w:rsidR="00DC7A43" w:rsidRPr="00D924E6">
        <w:t xml:space="preserve"> (because </w:t>
      </w:r>
      <w:r w:rsidR="00DC7A43" w:rsidRPr="00D924E6">
        <w:lastRenderedPageBreak/>
        <w:t>the subsidy is implicit)</w:t>
      </w:r>
      <w:r w:rsidRPr="00D924E6">
        <w:t xml:space="preserve">, the income effect is measured as the change in disposable income less rent. This is equal to the </w:t>
      </w:r>
      <w:r w:rsidR="004B6123" w:rsidRPr="00D924E6">
        <w:t xml:space="preserve">implicit </w:t>
      </w:r>
      <w:r w:rsidRPr="00D924E6">
        <w:t>rent subsidy.</w:t>
      </w:r>
      <w:r w:rsidR="000E1EE1" w:rsidRPr="00D924E6">
        <w:rPr>
          <w:rStyle w:val="FootnoteReference"/>
        </w:rPr>
        <w:footnoteReference w:id="17"/>
      </w:r>
    </w:p>
    <w:p w:rsidR="009B15D4" w:rsidRDefault="009B15D4" w:rsidP="009B15D4">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B15D4" w:rsidTr="009E4808">
        <w:tc>
          <w:tcPr>
            <w:tcW w:w="8771" w:type="dxa"/>
            <w:tcBorders>
              <w:top w:val="single" w:sz="6" w:space="0" w:color="78A22F"/>
              <w:left w:val="nil"/>
              <w:bottom w:val="nil"/>
              <w:right w:val="nil"/>
            </w:tcBorders>
            <w:shd w:val="clear" w:color="auto" w:fill="auto"/>
          </w:tcPr>
          <w:p w:rsidR="009B15D4" w:rsidRPr="00784A05" w:rsidRDefault="009B15D4" w:rsidP="00916574">
            <w:pPr>
              <w:pStyle w:val="TableTitle"/>
            </w:pPr>
            <w:r>
              <w:rPr>
                <w:b w:val="0"/>
              </w:rPr>
              <w:t xml:space="preserve">Table </w:t>
            </w:r>
            <w:bookmarkStart w:id="10" w:name="OLE_LINK12"/>
            <w:bookmarkStart w:id="11" w:name="OLE_LINK18"/>
            <w:r>
              <w:rPr>
                <w:b w:val="0"/>
              </w:rPr>
              <w:fldChar w:fldCharType="begin"/>
            </w:r>
            <w:r>
              <w:rPr>
                <w:b w:val="0"/>
              </w:rPr>
              <w:instrText xml:space="preserve"> SEQ Table \* ARABIC </w:instrText>
            </w:r>
            <w:r>
              <w:rPr>
                <w:b w:val="0"/>
              </w:rPr>
              <w:fldChar w:fldCharType="separate"/>
            </w:r>
            <w:r w:rsidR="002368BE">
              <w:rPr>
                <w:b w:val="0"/>
                <w:noProof/>
              </w:rPr>
              <w:t>3</w:t>
            </w:r>
            <w:r>
              <w:rPr>
                <w:b w:val="0"/>
              </w:rPr>
              <w:fldChar w:fldCharType="end"/>
            </w:r>
            <w:bookmarkEnd w:id="10"/>
            <w:bookmarkEnd w:id="11"/>
            <w:r>
              <w:tab/>
              <w:t>Illustrative example — rent subsidies for private renters and social housing tenants</w:t>
            </w:r>
            <w:r w:rsidR="002D339C" w:rsidRPr="002D339C">
              <w:rPr>
                <w:rStyle w:val="NoteLabel"/>
                <w:b/>
              </w:rPr>
              <w:t>a</w:t>
            </w:r>
          </w:p>
        </w:tc>
      </w:tr>
      <w:tr w:rsidR="009B15D4" w:rsidTr="009E4808">
        <w:trPr>
          <w:cantSplit/>
        </w:trPr>
        <w:tc>
          <w:tcPr>
            <w:tcW w:w="8771" w:type="dxa"/>
            <w:tcBorders>
              <w:top w:val="nil"/>
              <w:left w:val="nil"/>
              <w:bottom w:val="nil"/>
              <w:right w:val="nil"/>
            </w:tcBorders>
            <w:shd w:val="clear" w:color="auto" w:fill="auto"/>
          </w:tcPr>
          <w:tbl>
            <w:tblPr>
              <w:tblW w:w="8487" w:type="dxa"/>
              <w:tblCellMar>
                <w:top w:w="28" w:type="dxa"/>
                <w:left w:w="0" w:type="dxa"/>
                <w:right w:w="0" w:type="dxa"/>
              </w:tblCellMar>
              <w:tblLook w:val="0000" w:firstRow="0" w:lastRow="0" w:firstColumn="0" w:lastColumn="0" w:noHBand="0" w:noVBand="0"/>
            </w:tblPr>
            <w:tblGrid>
              <w:gridCol w:w="1064"/>
              <w:gridCol w:w="912"/>
              <w:gridCol w:w="912"/>
              <w:gridCol w:w="1059"/>
              <w:gridCol w:w="764"/>
              <w:gridCol w:w="1024"/>
              <w:gridCol w:w="913"/>
              <w:gridCol w:w="1107"/>
              <w:gridCol w:w="732"/>
            </w:tblGrid>
            <w:tr w:rsidR="009B15D4" w:rsidTr="009E4808">
              <w:tc>
                <w:tcPr>
                  <w:tcW w:w="627" w:type="pct"/>
                  <w:tcBorders>
                    <w:top w:val="single" w:sz="6" w:space="0" w:color="BFBFBF"/>
                    <w:bottom w:val="single" w:sz="6" w:space="0" w:color="BFBFBF"/>
                  </w:tcBorders>
                  <w:shd w:val="clear" w:color="auto" w:fill="auto"/>
                  <w:tcMar>
                    <w:top w:w="28" w:type="dxa"/>
                  </w:tcMar>
                </w:tcPr>
                <w:p w:rsidR="009B15D4" w:rsidRDefault="009B15D4" w:rsidP="009E4808">
                  <w:pPr>
                    <w:pStyle w:val="TableColumnHeading"/>
                    <w:jc w:val="left"/>
                  </w:pPr>
                  <w:r>
                    <w:t>Housing assistance</w:t>
                  </w:r>
                </w:p>
              </w:tc>
              <w:tc>
                <w:tcPr>
                  <w:tcW w:w="537" w:type="pct"/>
                  <w:tcBorders>
                    <w:top w:val="single" w:sz="6" w:space="0" w:color="BFBFBF"/>
                    <w:bottom w:val="single" w:sz="6" w:space="0" w:color="BFBFBF"/>
                  </w:tcBorders>
                  <w:shd w:val="clear" w:color="auto" w:fill="auto"/>
                  <w:tcMar>
                    <w:top w:w="28" w:type="dxa"/>
                  </w:tcMar>
                </w:tcPr>
                <w:p w:rsidR="009B15D4" w:rsidRDefault="009B15D4" w:rsidP="009E4808">
                  <w:pPr>
                    <w:pStyle w:val="TableColumnHeading"/>
                  </w:pPr>
                  <w:r>
                    <w:t>Income</w:t>
                  </w:r>
                </w:p>
              </w:tc>
              <w:tc>
                <w:tcPr>
                  <w:tcW w:w="537" w:type="pct"/>
                  <w:tcBorders>
                    <w:top w:val="single" w:sz="6" w:space="0" w:color="BFBFBF"/>
                    <w:bottom w:val="single" w:sz="6" w:space="0" w:color="BFBFBF"/>
                  </w:tcBorders>
                </w:tcPr>
                <w:p w:rsidR="009B15D4" w:rsidRDefault="009B15D4" w:rsidP="009E4808">
                  <w:pPr>
                    <w:pStyle w:val="TableColumnHeading"/>
                  </w:pPr>
                  <w:r>
                    <w:t>Market rent</w:t>
                  </w:r>
                </w:p>
              </w:tc>
              <w:tc>
                <w:tcPr>
                  <w:tcW w:w="624" w:type="pct"/>
                  <w:tcBorders>
                    <w:top w:val="single" w:sz="6" w:space="0" w:color="BFBFBF"/>
                    <w:bottom w:val="single" w:sz="6" w:space="0" w:color="BFBFBF"/>
                  </w:tcBorders>
                </w:tcPr>
                <w:p w:rsidR="009B15D4" w:rsidRDefault="009B15D4" w:rsidP="009E4808">
                  <w:pPr>
                    <w:pStyle w:val="TableColumnHeading"/>
                  </w:pPr>
                  <w:r>
                    <w:t>Income less market rent</w:t>
                  </w:r>
                </w:p>
              </w:tc>
              <w:tc>
                <w:tcPr>
                  <w:tcW w:w="450" w:type="pct"/>
                  <w:tcBorders>
                    <w:top w:val="single" w:sz="6" w:space="0" w:color="BFBFBF"/>
                    <w:bottom w:val="single" w:sz="6" w:space="0" w:color="BFBFBF"/>
                  </w:tcBorders>
                </w:tcPr>
                <w:p w:rsidR="009B15D4" w:rsidRDefault="009B15D4" w:rsidP="009E4808">
                  <w:pPr>
                    <w:pStyle w:val="TableColumnHeading"/>
                  </w:pPr>
                  <w:r>
                    <w:t>CRA</w:t>
                  </w:r>
                </w:p>
              </w:tc>
              <w:tc>
                <w:tcPr>
                  <w:tcW w:w="603" w:type="pct"/>
                  <w:tcBorders>
                    <w:top w:val="single" w:sz="6" w:space="0" w:color="BFBFBF"/>
                    <w:bottom w:val="single" w:sz="6" w:space="0" w:color="BFBFBF"/>
                  </w:tcBorders>
                </w:tcPr>
                <w:p w:rsidR="009B15D4" w:rsidRDefault="009B15D4" w:rsidP="009E4808">
                  <w:pPr>
                    <w:pStyle w:val="TableColumnHeading"/>
                  </w:pPr>
                  <w:r>
                    <w:t>Disposable income</w:t>
                  </w:r>
                </w:p>
              </w:tc>
              <w:tc>
                <w:tcPr>
                  <w:tcW w:w="538" w:type="pct"/>
                  <w:tcBorders>
                    <w:top w:val="single" w:sz="6" w:space="0" w:color="BFBFBF"/>
                    <w:bottom w:val="single" w:sz="6" w:space="0" w:color="BFBFBF"/>
                  </w:tcBorders>
                </w:tcPr>
                <w:p w:rsidR="009B15D4" w:rsidRDefault="009B15D4" w:rsidP="009E4808">
                  <w:pPr>
                    <w:pStyle w:val="TableColumnHeading"/>
                  </w:pPr>
                  <w:r>
                    <w:t>Rent paid</w:t>
                  </w:r>
                </w:p>
              </w:tc>
              <w:tc>
                <w:tcPr>
                  <w:tcW w:w="652" w:type="pct"/>
                  <w:tcBorders>
                    <w:top w:val="single" w:sz="6" w:space="0" w:color="BFBFBF"/>
                    <w:bottom w:val="single" w:sz="6" w:space="0" w:color="BFBFBF"/>
                  </w:tcBorders>
                </w:tcPr>
                <w:p w:rsidR="009B15D4" w:rsidRDefault="009B15D4" w:rsidP="009E4808">
                  <w:pPr>
                    <w:pStyle w:val="TableColumnHeading"/>
                  </w:pPr>
                  <w:r>
                    <w:t>Disposable income less rent paid</w:t>
                  </w:r>
                </w:p>
              </w:tc>
              <w:tc>
                <w:tcPr>
                  <w:tcW w:w="431" w:type="pct"/>
                  <w:tcBorders>
                    <w:top w:val="single" w:sz="6" w:space="0" w:color="BFBFBF"/>
                    <w:bottom w:val="single" w:sz="6" w:space="0" w:color="BFBFBF"/>
                  </w:tcBorders>
                  <w:shd w:val="clear" w:color="auto" w:fill="auto"/>
                  <w:tcMar>
                    <w:top w:w="28" w:type="dxa"/>
                  </w:tcMar>
                </w:tcPr>
                <w:p w:rsidR="009B15D4" w:rsidRDefault="009B15D4" w:rsidP="009E4808">
                  <w:pPr>
                    <w:pStyle w:val="TableColumnHeading"/>
                    <w:ind w:right="28"/>
                  </w:pPr>
                  <w:r>
                    <w:t>Rent subsidy/</w:t>
                  </w:r>
                  <w:r>
                    <w:br/>
                    <w:t>income effect</w:t>
                  </w:r>
                </w:p>
              </w:tc>
            </w:tr>
            <w:tr w:rsidR="009B15D4" w:rsidTr="009E4808">
              <w:tc>
                <w:tcPr>
                  <w:tcW w:w="627" w:type="pct"/>
                </w:tcPr>
                <w:p w:rsidR="009B15D4" w:rsidRDefault="009B15D4" w:rsidP="00E05380">
                  <w:pPr>
                    <w:pStyle w:val="TableBodyText"/>
                    <w:spacing w:before="80"/>
                    <w:jc w:val="left"/>
                  </w:pPr>
                  <w:r>
                    <w:t>CRA</w:t>
                  </w:r>
                </w:p>
              </w:tc>
              <w:tc>
                <w:tcPr>
                  <w:tcW w:w="537" w:type="pct"/>
                </w:tcPr>
                <w:p w:rsidR="009B15D4" w:rsidRDefault="009B15D4" w:rsidP="00E05380">
                  <w:pPr>
                    <w:pStyle w:val="TableBodyText"/>
                    <w:spacing w:before="80"/>
                  </w:pPr>
                  <w:r>
                    <w:t>20 000</w:t>
                  </w:r>
                </w:p>
              </w:tc>
              <w:tc>
                <w:tcPr>
                  <w:tcW w:w="537" w:type="pct"/>
                </w:tcPr>
                <w:p w:rsidR="009B15D4" w:rsidRDefault="009B15D4" w:rsidP="00E05380">
                  <w:pPr>
                    <w:pStyle w:val="TableBodyText"/>
                    <w:spacing w:before="80"/>
                  </w:pPr>
                  <w:r>
                    <w:t>10 000</w:t>
                  </w:r>
                </w:p>
              </w:tc>
              <w:tc>
                <w:tcPr>
                  <w:tcW w:w="624" w:type="pct"/>
                </w:tcPr>
                <w:p w:rsidR="009B15D4" w:rsidRDefault="009B15D4" w:rsidP="00E05380">
                  <w:pPr>
                    <w:pStyle w:val="TableBodyText"/>
                    <w:spacing w:before="80"/>
                  </w:pPr>
                  <w:r>
                    <w:t>10 000</w:t>
                  </w:r>
                </w:p>
              </w:tc>
              <w:tc>
                <w:tcPr>
                  <w:tcW w:w="450" w:type="pct"/>
                </w:tcPr>
                <w:p w:rsidR="009B15D4" w:rsidRDefault="009B15D4" w:rsidP="00E05380">
                  <w:pPr>
                    <w:pStyle w:val="TableBodyText"/>
                    <w:spacing w:before="80"/>
                  </w:pPr>
                  <w:r>
                    <w:t>5 000</w:t>
                  </w:r>
                </w:p>
              </w:tc>
              <w:tc>
                <w:tcPr>
                  <w:tcW w:w="603" w:type="pct"/>
                </w:tcPr>
                <w:p w:rsidR="009B15D4" w:rsidRDefault="009B15D4" w:rsidP="00E05380">
                  <w:pPr>
                    <w:pStyle w:val="TableBodyText"/>
                    <w:spacing w:before="80"/>
                  </w:pPr>
                  <w:r>
                    <w:t>25 000</w:t>
                  </w:r>
                </w:p>
              </w:tc>
              <w:tc>
                <w:tcPr>
                  <w:tcW w:w="538" w:type="pct"/>
                </w:tcPr>
                <w:p w:rsidR="009B15D4" w:rsidRDefault="009B15D4" w:rsidP="00E05380">
                  <w:pPr>
                    <w:pStyle w:val="TableBodyText"/>
                    <w:spacing w:before="80"/>
                  </w:pPr>
                  <w:r>
                    <w:t>10 000</w:t>
                  </w:r>
                </w:p>
              </w:tc>
              <w:tc>
                <w:tcPr>
                  <w:tcW w:w="652" w:type="pct"/>
                </w:tcPr>
                <w:p w:rsidR="009B15D4" w:rsidRDefault="009B15D4" w:rsidP="00E05380">
                  <w:pPr>
                    <w:pStyle w:val="TableBodyText"/>
                    <w:spacing w:before="80"/>
                  </w:pPr>
                  <w:r>
                    <w:t>15 000</w:t>
                  </w:r>
                </w:p>
              </w:tc>
              <w:tc>
                <w:tcPr>
                  <w:tcW w:w="431" w:type="pct"/>
                </w:tcPr>
                <w:p w:rsidR="009B15D4" w:rsidRDefault="009B15D4" w:rsidP="00E05380">
                  <w:pPr>
                    <w:pStyle w:val="TableBodyText"/>
                    <w:spacing w:before="80"/>
                    <w:ind w:right="28"/>
                  </w:pPr>
                  <w:r>
                    <w:t>5 000</w:t>
                  </w:r>
                </w:p>
              </w:tc>
            </w:tr>
            <w:tr w:rsidR="009B15D4" w:rsidTr="009E4808">
              <w:tc>
                <w:tcPr>
                  <w:tcW w:w="627" w:type="pct"/>
                  <w:tcBorders>
                    <w:bottom w:val="single" w:sz="6" w:space="0" w:color="BFBFBF"/>
                  </w:tcBorders>
                  <w:shd w:val="clear" w:color="auto" w:fill="auto"/>
                </w:tcPr>
                <w:p w:rsidR="009B15D4" w:rsidRDefault="009B15D4" w:rsidP="009E4808">
                  <w:pPr>
                    <w:pStyle w:val="TableBodyText"/>
                    <w:jc w:val="left"/>
                  </w:pPr>
                  <w:r>
                    <w:t>SH</w:t>
                  </w:r>
                </w:p>
              </w:tc>
              <w:tc>
                <w:tcPr>
                  <w:tcW w:w="537" w:type="pct"/>
                  <w:tcBorders>
                    <w:bottom w:val="single" w:sz="6" w:space="0" w:color="BFBFBF"/>
                  </w:tcBorders>
                  <w:shd w:val="clear" w:color="auto" w:fill="auto"/>
                </w:tcPr>
                <w:p w:rsidR="009B15D4" w:rsidRDefault="009B15D4" w:rsidP="009E4808">
                  <w:pPr>
                    <w:pStyle w:val="TableBodyText"/>
                  </w:pPr>
                  <w:r>
                    <w:t>20 000</w:t>
                  </w:r>
                </w:p>
              </w:tc>
              <w:tc>
                <w:tcPr>
                  <w:tcW w:w="537" w:type="pct"/>
                  <w:tcBorders>
                    <w:bottom w:val="single" w:sz="6" w:space="0" w:color="BFBFBF"/>
                  </w:tcBorders>
                </w:tcPr>
                <w:p w:rsidR="009B15D4" w:rsidRDefault="009B15D4" w:rsidP="009E4808">
                  <w:pPr>
                    <w:pStyle w:val="TableBodyText"/>
                  </w:pPr>
                  <w:r>
                    <w:t>10 000</w:t>
                  </w:r>
                </w:p>
              </w:tc>
              <w:tc>
                <w:tcPr>
                  <w:tcW w:w="624" w:type="pct"/>
                  <w:tcBorders>
                    <w:bottom w:val="single" w:sz="6" w:space="0" w:color="BFBFBF"/>
                  </w:tcBorders>
                </w:tcPr>
                <w:p w:rsidR="009B15D4" w:rsidRDefault="009B15D4" w:rsidP="009E4808">
                  <w:pPr>
                    <w:pStyle w:val="TableBodyText"/>
                  </w:pPr>
                  <w:r>
                    <w:t>10 000</w:t>
                  </w:r>
                </w:p>
              </w:tc>
              <w:tc>
                <w:tcPr>
                  <w:tcW w:w="450" w:type="pct"/>
                  <w:tcBorders>
                    <w:bottom w:val="single" w:sz="6" w:space="0" w:color="BFBFBF"/>
                  </w:tcBorders>
                </w:tcPr>
                <w:p w:rsidR="009B15D4" w:rsidRDefault="009B15D4" w:rsidP="009E4808">
                  <w:pPr>
                    <w:pStyle w:val="TableBodyText"/>
                  </w:pPr>
                  <w:r>
                    <w:t>..</w:t>
                  </w:r>
                </w:p>
              </w:tc>
              <w:tc>
                <w:tcPr>
                  <w:tcW w:w="603" w:type="pct"/>
                  <w:tcBorders>
                    <w:bottom w:val="single" w:sz="6" w:space="0" w:color="BFBFBF"/>
                  </w:tcBorders>
                </w:tcPr>
                <w:p w:rsidR="009B15D4" w:rsidRDefault="009B15D4" w:rsidP="009E4808">
                  <w:pPr>
                    <w:pStyle w:val="TableBodyText"/>
                  </w:pPr>
                  <w:r>
                    <w:t>20 000</w:t>
                  </w:r>
                </w:p>
              </w:tc>
              <w:tc>
                <w:tcPr>
                  <w:tcW w:w="538" w:type="pct"/>
                  <w:tcBorders>
                    <w:bottom w:val="single" w:sz="6" w:space="0" w:color="BFBFBF"/>
                  </w:tcBorders>
                </w:tcPr>
                <w:p w:rsidR="009B15D4" w:rsidRDefault="009B15D4" w:rsidP="009E4808">
                  <w:pPr>
                    <w:pStyle w:val="TableBodyText"/>
                  </w:pPr>
                  <w:r>
                    <w:t>5 000</w:t>
                  </w:r>
                </w:p>
              </w:tc>
              <w:tc>
                <w:tcPr>
                  <w:tcW w:w="652" w:type="pct"/>
                  <w:tcBorders>
                    <w:bottom w:val="single" w:sz="6" w:space="0" w:color="BFBFBF"/>
                  </w:tcBorders>
                </w:tcPr>
                <w:p w:rsidR="009B15D4" w:rsidRDefault="009B15D4" w:rsidP="009E4808">
                  <w:pPr>
                    <w:pStyle w:val="TableBodyText"/>
                  </w:pPr>
                  <w:r>
                    <w:t>15 000</w:t>
                  </w:r>
                </w:p>
              </w:tc>
              <w:tc>
                <w:tcPr>
                  <w:tcW w:w="431" w:type="pct"/>
                  <w:tcBorders>
                    <w:bottom w:val="single" w:sz="6" w:space="0" w:color="BFBFBF"/>
                  </w:tcBorders>
                  <w:shd w:val="clear" w:color="auto" w:fill="auto"/>
                </w:tcPr>
                <w:p w:rsidR="009B15D4" w:rsidRDefault="009B15D4" w:rsidP="009E4808">
                  <w:pPr>
                    <w:pStyle w:val="TableBodyText"/>
                    <w:ind w:right="28"/>
                  </w:pPr>
                  <w:r>
                    <w:t>5 000</w:t>
                  </w:r>
                </w:p>
              </w:tc>
            </w:tr>
          </w:tbl>
          <w:p w:rsidR="009B15D4" w:rsidRDefault="009B15D4" w:rsidP="009E4808">
            <w:pPr>
              <w:pStyle w:val="Box"/>
            </w:pPr>
          </w:p>
        </w:tc>
      </w:tr>
      <w:tr w:rsidR="002D339C" w:rsidTr="006E71E0">
        <w:trPr>
          <w:cantSplit/>
        </w:trPr>
        <w:tc>
          <w:tcPr>
            <w:tcW w:w="8771" w:type="dxa"/>
            <w:tcBorders>
              <w:top w:val="nil"/>
              <w:left w:val="nil"/>
              <w:bottom w:val="nil"/>
              <w:right w:val="nil"/>
            </w:tcBorders>
            <w:shd w:val="clear" w:color="auto" w:fill="auto"/>
          </w:tcPr>
          <w:p w:rsidR="002D339C" w:rsidRDefault="002D339C" w:rsidP="00123A81">
            <w:pPr>
              <w:pStyle w:val="Note"/>
              <w:rPr>
                <w:i/>
              </w:rPr>
            </w:pPr>
            <w:r w:rsidRPr="008E77FE">
              <w:rPr>
                <w:rStyle w:val="NoteLabel"/>
              </w:rPr>
              <w:t>a</w:t>
            </w:r>
            <w:r>
              <w:t xml:space="preserve"> This illustrative example does not use actual data. The numbers have been chosen to illustrate the difference between rent subsidies for the two types </w:t>
            </w:r>
            <w:r w:rsidR="00810D2D">
              <w:t xml:space="preserve">of housing assistance — not to reflect </w:t>
            </w:r>
            <w:r w:rsidR="00123A81">
              <w:t>actual scenarios</w:t>
            </w:r>
            <w:r w:rsidR="00810D2D">
              <w:t>.</w:t>
            </w:r>
          </w:p>
        </w:tc>
      </w:tr>
      <w:tr w:rsidR="009B15D4" w:rsidTr="009E4808">
        <w:trPr>
          <w:cantSplit/>
        </w:trPr>
        <w:tc>
          <w:tcPr>
            <w:tcW w:w="8771" w:type="dxa"/>
            <w:tcBorders>
              <w:top w:val="nil"/>
              <w:left w:val="nil"/>
              <w:bottom w:val="single" w:sz="6" w:space="0" w:color="78A22F"/>
              <w:right w:val="nil"/>
            </w:tcBorders>
            <w:shd w:val="clear" w:color="auto" w:fill="auto"/>
          </w:tcPr>
          <w:p w:rsidR="009B15D4" w:rsidRDefault="009B15D4" w:rsidP="009E4808">
            <w:pPr>
              <w:pStyle w:val="Box"/>
              <w:spacing w:before="0" w:line="120" w:lineRule="exact"/>
            </w:pPr>
          </w:p>
        </w:tc>
      </w:tr>
      <w:tr w:rsidR="009B15D4" w:rsidRPr="000863A5" w:rsidTr="009E4808">
        <w:tc>
          <w:tcPr>
            <w:tcW w:w="8771" w:type="dxa"/>
            <w:tcBorders>
              <w:top w:val="single" w:sz="6" w:space="0" w:color="78A22F"/>
              <w:left w:val="nil"/>
              <w:bottom w:val="nil"/>
              <w:right w:val="nil"/>
            </w:tcBorders>
          </w:tcPr>
          <w:p w:rsidR="009B15D4" w:rsidRPr="00626D32" w:rsidRDefault="009B15D4" w:rsidP="009E4808">
            <w:pPr>
              <w:pStyle w:val="BoxSpaceBelow"/>
            </w:pPr>
          </w:p>
        </w:tc>
      </w:tr>
    </w:tbl>
    <w:p w:rsidR="009B15D4" w:rsidRDefault="009B15D4" w:rsidP="009B15D4">
      <w:pPr>
        <w:pStyle w:val="BodyText"/>
      </w:pPr>
      <w:r>
        <w:t xml:space="preserve">The mechanics of the two rent subsidies are </w:t>
      </w:r>
      <w:r w:rsidR="00493E3D">
        <w:t xml:space="preserve">summarised </w:t>
      </w:r>
      <w:r>
        <w:t>in box </w:t>
      </w:r>
      <w:r w:rsidR="009C56C8">
        <w:t>4</w:t>
      </w:r>
      <w:r>
        <w:t>.</w:t>
      </w:r>
    </w:p>
    <w:p w:rsidR="00D64C60" w:rsidRPr="00155B97" w:rsidRDefault="00D64C60" w:rsidP="00D64C60">
      <w:pPr>
        <w:pStyle w:val="BodyText"/>
        <w:rPr>
          <w:spacing w:val="-2"/>
        </w:rPr>
      </w:pPr>
      <w:r w:rsidRPr="00155B97">
        <w:rPr>
          <w:spacing w:val="-2"/>
        </w:rPr>
        <w:t xml:space="preserve">Finally, unless otherwise indicated, it is assumed in examples presented throughout the section that housing assistance recipients live in properties with a market rent of $10 000 per year ($192 per week). This amount would allocate the maximum rate of CRA to an eligible private renter. It is also </w:t>
      </w:r>
      <w:r>
        <w:rPr>
          <w:spacing w:val="-2"/>
        </w:rPr>
        <w:t>consistent with</w:t>
      </w:r>
      <w:r w:rsidRPr="00155B97">
        <w:rPr>
          <w:spacing w:val="-2"/>
        </w:rPr>
        <w:t xml:space="preserve"> an estimate of the median rent paid by DSP recipients who rented privately and received CRA in June 2013 (BP 3, </w:t>
      </w:r>
      <w:r w:rsidR="00F37462">
        <w:rPr>
          <w:spacing w:val="-2"/>
        </w:rPr>
        <w:t>annex</w:t>
      </w:r>
      <w:r w:rsidR="00A61C8A">
        <w:rPr>
          <w:spacing w:val="-2"/>
        </w:rPr>
        <w:t> </w:t>
      </w:r>
      <w:r w:rsidRPr="00155B97">
        <w:rPr>
          <w:spacing w:val="-2"/>
        </w:rPr>
        <w:t>A).</w:t>
      </w:r>
      <w:r w:rsidRPr="00155B97">
        <w:rPr>
          <w:rStyle w:val="FootnoteReference"/>
          <w:spacing w:val="-2"/>
        </w:rPr>
        <w:footnoteReference w:id="18"/>
      </w:r>
    </w:p>
    <w:p w:rsidR="00D64C60" w:rsidRDefault="00D64C60" w:rsidP="00D64C60">
      <w:pPr>
        <w:pStyle w:val="BodyText"/>
      </w:pPr>
      <w:r>
        <w:t>A description of the budget constraints and EMTR schedules for a single, childless DSP recipient in either the private rental market or social housing follows. A summary of the income and price effects of housing assistance for CRA recipients and social housing tenants is then presented. Finally, the disposable incomes of otherwise similar CRA recipients and social housing tenants are compared.</w:t>
      </w:r>
    </w:p>
    <w:p w:rsidR="009B15D4" w:rsidRDefault="009B15D4" w:rsidP="009B15D4">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B15D4" w:rsidTr="009E4808">
        <w:tc>
          <w:tcPr>
            <w:tcW w:w="8771" w:type="dxa"/>
            <w:tcBorders>
              <w:top w:val="single" w:sz="6" w:space="0" w:color="78A22F"/>
              <w:left w:val="nil"/>
              <w:bottom w:val="nil"/>
              <w:right w:val="nil"/>
            </w:tcBorders>
            <w:shd w:val="clear" w:color="auto" w:fill="F2F2F2" w:themeFill="background1" w:themeFillShade="F2"/>
          </w:tcPr>
          <w:p w:rsidR="009B15D4" w:rsidRDefault="009B15D4" w:rsidP="009C56C8">
            <w:pPr>
              <w:pStyle w:val="BoxTitle"/>
            </w:pPr>
            <w:r>
              <w:rPr>
                <w:b w:val="0"/>
              </w:rPr>
              <w:t xml:space="preserve">Box </w:t>
            </w:r>
            <w:bookmarkStart w:id="12" w:name="OLE_LINK32"/>
            <w:bookmarkStart w:id="13" w:name="OLE_LINK19"/>
            <w:r>
              <w:rPr>
                <w:b w:val="0"/>
              </w:rPr>
              <w:fldChar w:fldCharType="begin"/>
            </w:r>
            <w:r>
              <w:rPr>
                <w:b w:val="0"/>
              </w:rPr>
              <w:instrText xml:space="preserve"> SEQ Box \* ARABIC </w:instrText>
            </w:r>
            <w:r>
              <w:rPr>
                <w:b w:val="0"/>
              </w:rPr>
              <w:fldChar w:fldCharType="separate"/>
            </w:r>
            <w:r w:rsidR="002368BE">
              <w:rPr>
                <w:b w:val="0"/>
                <w:noProof/>
              </w:rPr>
              <w:t>4</w:t>
            </w:r>
            <w:r>
              <w:rPr>
                <w:b w:val="0"/>
              </w:rPr>
              <w:fldChar w:fldCharType="end"/>
            </w:r>
            <w:bookmarkEnd w:id="12"/>
            <w:bookmarkEnd w:id="13"/>
            <w:r>
              <w:tab/>
              <w:t>The mechanics of Australian rent subsidies</w:t>
            </w:r>
            <w:r w:rsidR="00493E3D">
              <w:t xml:space="preserve"> in a nutshell</w:t>
            </w:r>
          </w:p>
        </w:tc>
      </w:tr>
      <w:tr w:rsidR="009B15D4" w:rsidTr="009E4808">
        <w:trPr>
          <w:cantSplit/>
        </w:trPr>
        <w:tc>
          <w:tcPr>
            <w:tcW w:w="8771" w:type="dxa"/>
            <w:tcBorders>
              <w:top w:val="nil"/>
              <w:left w:val="nil"/>
              <w:bottom w:val="nil"/>
              <w:right w:val="nil"/>
            </w:tcBorders>
            <w:shd w:val="clear" w:color="auto" w:fill="F2F2F2" w:themeFill="background1" w:themeFillShade="F2"/>
          </w:tcPr>
          <w:p w:rsidR="009B15D4" w:rsidRDefault="009B15D4" w:rsidP="009E4808">
            <w:pPr>
              <w:pStyle w:val="Box"/>
              <w:rPr>
                <w:i/>
              </w:rPr>
            </w:pPr>
            <w:r>
              <w:rPr>
                <w:i/>
              </w:rPr>
              <w:t>How the subsidies are paid</w:t>
            </w:r>
          </w:p>
          <w:p w:rsidR="009B15D4" w:rsidRDefault="009B15D4" w:rsidP="009E4808">
            <w:pPr>
              <w:pStyle w:val="BoxListBullet"/>
            </w:pPr>
            <w:r>
              <w:t>CRA is received as a cash transfer, so directly increases a tenant’s disposable income. The recipient pays the private landlord the agreed market rent.</w:t>
            </w:r>
          </w:p>
          <w:p w:rsidR="009B15D4" w:rsidRDefault="009B15D4" w:rsidP="009E4808">
            <w:pPr>
              <w:pStyle w:val="BoxListBullet"/>
            </w:pPr>
            <w:r>
              <w:t xml:space="preserve">Under social housing rent setting, subsidised tenants </w:t>
            </w:r>
            <w:r w:rsidR="00A71C11">
              <w:t>may be</w:t>
            </w:r>
            <w:r>
              <w:t xml:space="preserve"> charged a rent below the market rate. In this case, there is no explicit cash transfer — the rent subsidy is implicit. The subsidy doesn’t change a tenant’s disposable income; rather, it decreases the amount of income that has to be spent on rent.</w:t>
            </w:r>
          </w:p>
          <w:p w:rsidR="009B15D4" w:rsidRPr="007D361D" w:rsidRDefault="009B15D4" w:rsidP="009E4808">
            <w:pPr>
              <w:pStyle w:val="Box"/>
              <w:rPr>
                <w:spacing w:val="-2"/>
              </w:rPr>
            </w:pPr>
            <w:r w:rsidRPr="007D361D">
              <w:rPr>
                <w:spacing w:val="-2"/>
              </w:rPr>
              <w:t xml:space="preserve">In both cases, after the recipient of housing assistance has paid rent, they </w:t>
            </w:r>
            <w:r w:rsidR="001E6F82" w:rsidRPr="007D361D">
              <w:rPr>
                <w:spacing w:val="-2"/>
              </w:rPr>
              <w:t>can</w:t>
            </w:r>
            <w:r w:rsidRPr="007D361D">
              <w:rPr>
                <w:spacing w:val="-2"/>
              </w:rPr>
              <w:t xml:space="preserve"> spend </w:t>
            </w:r>
            <w:r w:rsidR="001E6F82" w:rsidRPr="007D361D">
              <w:rPr>
                <w:spacing w:val="-2"/>
              </w:rPr>
              <w:t xml:space="preserve">more </w:t>
            </w:r>
            <w:r w:rsidRPr="007D361D">
              <w:rPr>
                <w:spacing w:val="-2"/>
              </w:rPr>
              <w:t xml:space="preserve">on other goods than they would </w:t>
            </w:r>
            <w:r w:rsidR="002B56E7">
              <w:rPr>
                <w:spacing w:val="-2"/>
              </w:rPr>
              <w:t xml:space="preserve">be able to </w:t>
            </w:r>
            <w:r w:rsidRPr="007D361D">
              <w:rPr>
                <w:spacing w:val="-2"/>
              </w:rPr>
              <w:t>in absence of the policy. In other words, both policies are a rent subsidy</w:t>
            </w:r>
            <w:r w:rsidR="00493CF4" w:rsidRPr="007D361D">
              <w:rPr>
                <w:spacing w:val="-2"/>
              </w:rPr>
              <w:t> </w:t>
            </w:r>
            <w:r w:rsidR="00A71C11" w:rsidRPr="007D361D">
              <w:rPr>
                <w:spacing w:val="-2"/>
              </w:rPr>
              <w:t>— </w:t>
            </w:r>
            <w:r w:rsidRPr="007D361D">
              <w:rPr>
                <w:spacing w:val="-2"/>
              </w:rPr>
              <w:t>both</w:t>
            </w:r>
            <w:r w:rsidR="00A71C11" w:rsidRPr="007D361D">
              <w:rPr>
                <w:spacing w:val="-2"/>
              </w:rPr>
              <w:t xml:space="preserve"> </w:t>
            </w:r>
            <w:r w:rsidRPr="007D361D">
              <w:rPr>
                <w:spacing w:val="-2"/>
              </w:rPr>
              <w:t xml:space="preserve">increase disposable income </w:t>
            </w:r>
            <w:r w:rsidRPr="007D361D">
              <w:rPr>
                <w:i/>
                <w:spacing w:val="-2"/>
              </w:rPr>
              <w:t>net of out</w:t>
            </w:r>
            <w:r w:rsidRPr="007D361D">
              <w:rPr>
                <w:i/>
                <w:spacing w:val="-2"/>
              </w:rPr>
              <w:noBreakHyphen/>
              <w:t>of</w:t>
            </w:r>
            <w:r w:rsidRPr="007D361D">
              <w:rPr>
                <w:i/>
                <w:spacing w:val="-2"/>
              </w:rPr>
              <w:noBreakHyphen/>
              <w:t>pocket</w:t>
            </w:r>
            <w:r w:rsidRPr="007D361D">
              <w:rPr>
                <w:spacing w:val="-2"/>
              </w:rPr>
              <w:t xml:space="preserve"> </w:t>
            </w:r>
            <w:r w:rsidRPr="007D361D">
              <w:rPr>
                <w:i/>
                <w:spacing w:val="-2"/>
              </w:rPr>
              <w:t>rent</w:t>
            </w:r>
            <w:r w:rsidRPr="007D361D">
              <w:rPr>
                <w:spacing w:val="-2"/>
              </w:rPr>
              <w:t>.</w:t>
            </w:r>
          </w:p>
          <w:p w:rsidR="009B15D4" w:rsidRDefault="009B15D4" w:rsidP="009E4808">
            <w:pPr>
              <w:pStyle w:val="Box"/>
              <w:rPr>
                <w:i/>
              </w:rPr>
            </w:pPr>
            <w:r>
              <w:rPr>
                <w:i/>
              </w:rPr>
              <w:t>How the subsidies are set</w:t>
            </w:r>
          </w:p>
          <w:p w:rsidR="00325F8A" w:rsidRDefault="00325F8A" w:rsidP="009E4808">
            <w:pPr>
              <w:pStyle w:val="BoxListBullet"/>
            </w:pPr>
            <w:r>
              <w:t>Under CRA, the subsidy is a percentage of market rent above a minimum threshold (that varies by family situation) up to some maximum amount.</w:t>
            </w:r>
          </w:p>
          <w:p w:rsidR="009B15D4" w:rsidRDefault="009B15D4" w:rsidP="009E4808">
            <w:pPr>
              <w:pStyle w:val="BoxListBullet"/>
            </w:pPr>
            <w:r>
              <w:t xml:space="preserve">Social housing rent is </w:t>
            </w:r>
            <w:r w:rsidR="004B6123">
              <w:t xml:space="preserve">set as </w:t>
            </w:r>
            <w:r>
              <w:t xml:space="preserve">a percentage of income, up to market rent. In other words, the rent </w:t>
            </w:r>
            <w:r w:rsidRPr="004F049B">
              <w:t>subsidy</w:t>
            </w:r>
            <w:r>
              <w:t xml:space="preserve"> is the difference between market rent and some percentage of income.</w:t>
            </w:r>
          </w:p>
          <w:p w:rsidR="009B15D4" w:rsidRDefault="009B15D4" w:rsidP="009E4808">
            <w:pPr>
              <w:pStyle w:val="BoxListBullet"/>
              <w:numPr>
                <w:ilvl w:val="0"/>
                <w:numId w:val="0"/>
              </w:numPr>
              <w:ind w:left="284" w:hanging="284"/>
            </w:pPr>
            <w:r>
              <w:rPr>
                <w:i/>
              </w:rPr>
              <w:t xml:space="preserve">How the subsidies change as </w:t>
            </w:r>
            <w:r w:rsidR="00325F8A">
              <w:rPr>
                <w:i/>
              </w:rPr>
              <w:t>income increases</w:t>
            </w:r>
          </w:p>
          <w:p w:rsidR="009B15D4" w:rsidRPr="00810D2D" w:rsidRDefault="009B15D4" w:rsidP="009E4808">
            <w:pPr>
              <w:pStyle w:val="BoxListBullet"/>
              <w:rPr>
                <w:spacing w:val="-2"/>
              </w:rPr>
            </w:pPr>
            <w:r w:rsidRPr="00810D2D">
              <w:rPr>
                <w:spacing w:val="-2"/>
              </w:rPr>
              <w:t xml:space="preserve">CRA is reduced according to the income test that applies to the recipient’s </w:t>
            </w:r>
            <w:r w:rsidR="0070318E">
              <w:rPr>
                <w:spacing w:val="-2"/>
              </w:rPr>
              <w:t>ISP</w:t>
            </w:r>
            <w:r w:rsidR="00810D2D" w:rsidRPr="00810D2D">
              <w:rPr>
                <w:spacing w:val="-2"/>
              </w:rPr>
              <w:t xml:space="preserve"> (or </w:t>
            </w:r>
            <w:r w:rsidR="00B11F1F">
              <w:rPr>
                <w:spacing w:val="-2"/>
              </w:rPr>
              <w:t>FTB A</w:t>
            </w:r>
            <w:r w:rsidR="00810D2D" w:rsidRPr="00810D2D">
              <w:rPr>
                <w:spacing w:val="-2"/>
              </w:rPr>
              <w:t xml:space="preserve"> if that is how they qualify for this form of assistance)</w:t>
            </w:r>
            <w:r w:rsidRPr="00810D2D">
              <w:rPr>
                <w:spacing w:val="-2"/>
              </w:rPr>
              <w:t xml:space="preserve">. </w:t>
            </w:r>
            <w:r w:rsidR="00493E3D">
              <w:rPr>
                <w:spacing w:val="-2"/>
              </w:rPr>
              <w:t>T</w:t>
            </w:r>
            <w:r w:rsidRPr="00810D2D">
              <w:rPr>
                <w:spacing w:val="-2"/>
              </w:rPr>
              <w:t xml:space="preserve">he rent subsidy </w:t>
            </w:r>
            <w:r w:rsidR="00493E3D">
              <w:rPr>
                <w:spacing w:val="-2"/>
              </w:rPr>
              <w:t>does not change at lower levels of market income.</w:t>
            </w:r>
          </w:p>
          <w:p w:rsidR="009B15D4" w:rsidRPr="0085576B" w:rsidRDefault="009B15D4" w:rsidP="00731FBE">
            <w:pPr>
              <w:pStyle w:val="BoxListBullet"/>
            </w:pPr>
            <w:r>
              <w:t>Social housing rent increases with every dollar of</w:t>
            </w:r>
            <w:r w:rsidR="0071488A">
              <w:t xml:space="preserve"> additional</w:t>
            </w:r>
            <w:r>
              <w:t xml:space="preserve"> market income earned</w:t>
            </w:r>
            <w:r w:rsidR="00731FBE">
              <w:t xml:space="preserve"> and </w:t>
            </w:r>
            <w:r>
              <w:t xml:space="preserve">the rent </w:t>
            </w:r>
            <w:r w:rsidRPr="006E0DC9">
              <w:t>subsidy</w:t>
            </w:r>
            <w:r>
              <w:t xml:space="preserve"> decreases </w:t>
            </w:r>
            <w:r w:rsidR="00731FBE">
              <w:t>accordingly</w:t>
            </w:r>
            <w:r>
              <w:t>.</w:t>
            </w:r>
          </w:p>
        </w:tc>
      </w:tr>
      <w:tr w:rsidR="009B15D4" w:rsidTr="009E4808">
        <w:trPr>
          <w:cantSplit/>
        </w:trPr>
        <w:tc>
          <w:tcPr>
            <w:tcW w:w="8771" w:type="dxa"/>
            <w:tcBorders>
              <w:top w:val="nil"/>
              <w:left w:val="nil"/>
              <w:bottom w:val="single" w:sz="6" w:space="0" w:color="78A22F"/>
              <w:right w:val="nil"/>
            </w:tcBorders>
            <w:shd w:val="clear" w:color="auto" w:fill="F2F2F2" w:themeFill="background1" w:themeFillShade="F2"/>
          </w:tcPr>
          <w:p w:rsidR="009B15D4" w:rsidRDefault="009B15D4" w:rsidP="009E4808">
            <w:pPr>
              <w:pStyle w:val="Box"/>
              <w:spacing w:before="0" w:line="120" w:lineRule="exact"/>
            </w:pPr>
          </w:p>
        </w:tc>
      </w:tr>
      <w:tr w:rsidR="009B15D4" w:rsidRPr="000863A5" w:rsidTr="009E4808">
        <w:tc>
          <w:tcPr>
            <w:tcW w:w="8771" w:type="dxa"/>
            <w:tcBorders>
              <w:top w:val="single" w:sz="6" w:space="0" w:color="78A22F"/>
              <w:left w:val="nil"/>
              <w:bottom w:val="nil"/>
              <w:right w:val="nil"/>
            </w:tcBorders>
          </w:tcPr>
          <w:p w:rsidR="009B15D4" w:rsidRPr="00626D32" w:rsidRDefault="009B15D4" w:rsidP="009E4808">
            <w:pPr>
              <w:pStyle w:val="BoxSpaceBelow"/>
            </w:pPr>
          </w:p>
        </w:tc>
      </w:tr>
    </w:tbl>
    <w:p w:rsidR="009B15D4" w:rsidRDefault="005B7DE7" w:rsidP="009B15D4">
      <w:pPr>
        <w:pStyle w:val="Heading3"/>
      </w:pPr>
      <w:r>
        <w:t>Financial i</w:t>
      </w:r>
      <w:r w:rsidR="009B15D4">
        <w:t>ncentives for a single, childless DSP recipient</w:t>
      </w:r>
    </w:p>
    <w:p w:rsidR="009B15D4" w:rsidRDefault="009B15D4" w:rsidP="009B15D4">
      <w:pPr>
        <w:pStyle w:val="Heading4"/>
        <w:spacing w:before="240"/>
      </w:pPr>
      <w:r>
        <w:t>Income effects — rent subsidies</w:t>
      </w:r>
    </w:p>
    <w:p w:rsidR="004F7FF2" w:rsidRDefault="009B15D4" w:rsidP="009B15D4">
      <w:pPr>
        <w:pStyle w:val="BodyText"/>
      </w:pPr>
      <w:r>
        <w:t xml:space="preserve">Consider two single, childless DSP recipients — one rents privately and receives CRA, the other lives in social housing. Both receive </w:t>
      </w:r>
      <w:r w:rsidR="009D70B9">
        <w:t>a DSP</w:t>
      </w:r>
      <w:r>
        <w:t xml:space="preserve"> of about $21 </w:t>
      </w:r>
      <w:r w:rsidR="009864F0">
        <w:t>6</w:t>
      </w:r>
      <w:r>
        <w:t>00 a year, and live in properties with a market rent of $10 000 a year. Without subsidies, each would have a disposable income post rent (DIPR) of about $11 </w:t>
      </w:r>
      <w:r w:rsidR="009864F0">
        <w:t>6</w:t>
      </w:r>
      <w:r>
        <w:t>00</w:t>
      </w:r>
      <w:r w:rsidR="00CB0780">
        <w:t>.</w:t>
      </w:r>
      <w:r w:rsidR="0093407B">
        <w:rPr>
          <w:rStyle w:val="FootnoteReference"/>
        </w:rPr>
        <w:footnoteReference w:id="19"/>
      </w:r>
    </w:p>
    <w:p w:rsidR="004F7FF2" w:rsidRPr="00C361B2" w:rsidRDefault="009B15D4" w:rsidP="00810D2D">
      <w:pPr>
        <w:pStyle w:val="ListBullet"/>
        <w:rPr>
          <w:spacing w:val="-2"/>
        </w:rPr>
      </w:pPr>
      <w:r w:rsidRPr="00C361B2">
        <w:rPr>
          <w:spacing w:val="-2"/>
        </w:rPr>
        <w:t>CRA adds close to $3300 to the private tenant’s disposable income per year, giving them a DIPR of about $14 </w:t>
      </w:r>
      <w:r w:rsidR="009D1AB7">
        <w:rPr>
          <w:spacing w:val="-2"/>
        </w:rPr>
        <w:t>9</w:t>
      </w:r>
      <w:r w:rsidRPr="00C361B2">
        <w:rPr>
          <w:spacing w:val="-2"/>
        </w:rPr>
        <w:t xml:space="preserve">00 if they have zero market </w:t>
      </w:r>
      <w:r w:rsidR="00CB0780" w:rsidRPr="00C361B2">
        <w:rPr>
          <w:spacing w:val="-2"/>
        </w:rPr>
        <w:t>income (figure </w:t>
      </w:r>
      <w:r w:rsidR="009C56C8" w:rsidRPr="00C361B2">
        <w:rPr>
          <w:spacing w:val="-2"/>
        </w:rPr>
        <w:t>3</w:t>
      </w:r>
      <w:r w:rsidRPr="00C361B2">
        <w:rPr>
          <w:spacing w:val="-2"/>
        </w:rPr>
        <w:t>a).</w:t>
      </w:r>
      <w:r w:rsidRPr="007D361D">
        <w:rPr>
          <w:rStyle w:val="FootnoteReference"/>
        </w:rPr>
        <w:footnoteReference w:id="20"/>
      </w:r>
      <w:r w:rsidRPr="00C361B2">
        <w:rPr>
          <w:spacing w:val="-2"/>
        </w:rPr>
        <w:t xml:space="preserve"> </w:t>
      </w:r>
    </w:p>
    <w:p w:rsidR="009B15D4" w:rsidRDefault="009B15D4" w:rsidP="00810D2D">
      <w:pPr>
        <w:pStyle w:val="ListBullet"/>
      </w:pPr>
      <w:r>
        <w:lastRenderedPageBreak/>
        <w:t>The social housing tenant pays rent equal to 25 per cent of their income, or about $5400, giving them a DIPR of about $1</w:t>
      </w:r>
      <w:r w:rsidR="009D1AB7">
        <w:t>6</w:t>
      </w:r>
      <w:r>
        <w:t> </w:t>
      </w:r>
      <w:r w:rsidR="009D1AB7">
        <w:t>2</w:t>
      </w:r>
      <w:r>
        <w:t>00.</w:t>
      </w:r>
      <w:r w:rsidR="009D1AB7">
        <w:rPr>
          <w:rStyle w:val="FootnoteReference"/>
        </w:rPr>
        <w:footnoteReference w:id="21"/>
      </w:r>
    </w:p>
    <w:p w:rsidR="00493CF4" w:rsidRDefault="00493CF4" w:rsidP="00493CF4">
      <w:pPr>
        <w:pStyle w:val="BodyText"/>
      </w:pPr>
      <w:r>
        <w:t xml:space="preserve">The rent subsidies raise DIPR by $3300 for the CRA recipient and $4600 for the social housing tenant. </w:t>
      </w:r>
      <w:r w:rsidR="009D70B9">
        <w:t>In figure</w:t>
      </w:r>
      <w:r w:rsidR="00A61C8A">
        <w:t> </w:t>
      </w:r>
      <w:r w:rsidR="009D70B9">
        <w:t>3, t</w:t>
      </w:r>
      <w:r>
        <w:t>his effect can be seen in the gaps between the budget constraints for each tenant (‘DSP, CRA’ and ‘DSP, SH’, respectively) and the budget constraint they would face without the subsidy (‘DSP, no HA’).</w:t>
      </w:r>
    </w:p>
    <w:p w:rsidR="003A5FED" w:rsidRDefault="00493CF4" w:rsidP="003A5FED">
      <w:pPr>
        <w:pStyle w:val="BodyText"/>
      </w:pPr>
      <w:r>
        <w:t xml:space="preserve">The tenant renting privately continues to receive the full amount of CRA until DSP is fully withdrawn — at a market income of about $45 000. CRA is then withdrawn at a rate of </w:t>
      </w:r>
      <w:r w:rsidR="002B56E7">
        <w:t>50 </w:t>
      </w:r>
      <w:r>
        <w:t>cents in the dollar as market income rises. It is fully withdrawn at a market income of about $52 000. The tenant continues to receive a small amount of pension supplement up to an income of about $54 000, and at higher incomes receives no ISPs or CRA — they have the same budget constraint as someone without DSP or CRA (‘No DSP, no HA’).</w:t>
      </w:r>
      <w:r w:rsidR="003A5FED" w:rsidRPr="003A5FED">
        <w:t xml:space="preserve"> </w:t>
      </w:r>
      <w:r w:rsidR="003A5FED">
        <w:t>The social housing tenant pays more in</w:t>
      </w:r>
      <w:r w:rsidR="00E9693F">
        <w:t xml:space="preserve"> </w:t>
      </w:r>
      <w:r w:rsidR="003A5FED">
        <w:t>rent as market income rises because rent is set as a percentage of income. At a market income of about $3</w:t>
      </w:r>
      <w:r w:rsidR="002A77BF">
        <w:t>6</w:t>
      </w:r>
      <w:r w:rsidR="003A5FED">
        <w:t> </w:t>
      </w:r>
      <w:r w:rsidR="002A77BF">
        <w:t>0</w:t>
      </w:r>
      <w:r w:rsidR="003A5FED">
        <w:t>00, the tenant pays market rent — the rent subsidy reaches zero. Why doesn’t this occur at $40 000, when 25 per cent of market income would be equivalent to the $10 000 market rent? The answer lies in the fact that at a market income of $3</w:t>
      </w:r>
      <w:r w:rsidR="002A77BF">
        <w:t>6</w:t>
      </w:r>
      <w:r w:rsidR="003A5FED">
        <w:t> </w:t>
      </w:r>
      <w:r w:rsidR="002A77BF">
        <w:t>0</w:t>
      </w:r>
      <w:r w:rsidR="003A5FED">
        <w:t xml:space="preserve">00, the tenant receives </w:t>
      </w:r>
      <w:r w:rsidR="00F05935">
        <w:t xml:space="preserve">an ISP </w:t>
      </w:r>
      <w:r w:rsidR="003A5FED">
        <w:t>of about $</w:t>
      </w:r>
      <w:r w:rsidR="00625071">
        <w:t>40</w:t>
      </w:r>
      <w:r w:rsidR="003A5FED">
        <w:t>00 —</w:t>
      </w:r>
      <w:r w:rsidR="00A61C8A">
        <w:t xml:space="preserve"> </w:t>
      </w:r>
      <w:r w:rsidR="003A5FED">
        <w:t>which takes assessable income to $40 000.</w:t>
      </w:r>
    </w:p>
    <w:p w:rsidR="00291DE7" w:rsidRDefault="00291DE7" w:rsidP="00291DE7">
      <w:pPr>
        <w:pStyle w:val="BodyText"/>
      </w:pPr>
      <w:r>
        <w:t>Withdrawal of DSP continues at market incomes above $36 000, until an income of about $44 000. At this point, the social housing tenant has the same budget constraint as someone with no DSP or HA (‘No DSP, no HA’).</w:t>
      </w:r>
    </w:p>
    <w:p w:rsidR="00874835" w:rsidRDefault="00874835"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405"/>
      </w:tblGrid>
      <w:tr w:rsidR="00874835" w:rsidTr="004E523E">
        <w:trPr>
          <w:trHeight w:val="854"/>
        </w:trPr>
        <w:tc>
          <w:tcPr>
            <w:tcW w:w="8405" w:type="dxa"/>
            <w:tcBorders>
              <w:top w:val="single" w:sz="6" w:space="0" w:color="78A22F"/>
              <w:left w:val="nil"/>
              <w:bottom w:val="nil"/>
              <w:right w:val="nil"/>
            </w:tcBorders>
            <w:shd w:val="clear" w:color="auto" w:fill="auto"/>
          </w:tcPr>
          <w:p w:rsidR="00874835" w:rsidRDefault="00874835" w:rsidP="001C53E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3</w:t>
            </w:r>
            <w:r w:rsidRPr="00784A05">
              <w:rPr>
                <w:b w:val="0"/>
              </w:rPr>
              <w:fldChar w:fldCharType="end"/>
            </w:r>
            <w:r>
              <w:tab/>
              <w:t>Budget constraints and EMTRs</w:t>
            </w:r>
            <w:r w:rsidRPr="00810D2D">
              <w:rPr>
                <w:rStyle w:val="NoteLabel"/>
                <w:b/>
              </w:rPr>
              <w:t>a</w:t>
            </w:r>
            <w:r>
              <w:rPr>
                <w:rStyle w:val="NoteLabel"/>
                <w:b/>
              </w:rPr>
              <w:t>,b,c,d</w:t>
            </w:r>
          </w:p>
          <w:p w:rsidR="00874835" w:rsidRPr="00176D3F" w:rsidRDefault="00874835" w:rsidP="001C53E2">
            <w:pPr>
              <w:pStyle w:val="Subtitle"/>
            </w:pPr>
            <w:r>
              <w:t>Single, childless DSP recipient</w:t>
            </w:r>
          </w:p>
        </w:tc>
      </w:tr>
      <w:tr w:rsidR="00874835" w:rsidTr="004E523E">
        <w:trPr>
          <w:trHeight w:val="9686"/>
        </w:trPr>
        <w:tc>
          <w:tcPr>
            <w:tcW w:w="8405" w:type="dxa"/>
            <w:tcBorders>
              <w:top w:val="nil"/>
              <w:left w:val="nil"/>
              <w:bottom w:val="nil"/>
              <w:right w:val="nil"/>
            </w:tcBorders>
            <w:shd w:val="clear" w:color="auto" w:fill="auto"/>
            <w:tcMar>
              <w:top w:w="28" w:type="dxa"/>
              <w:bottom w:w="28" w:type="dxa"/>
            </w:tcMar>
          </w:tcPr>
          <w:tbl>
            <w:tblPr>
              <w:tblW w:w="8150"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150"/>
            </w:tblGrid>
            <w:tr w:rsidR="00874835" w:rsidRPr="004E523E" w:rsidTr="004E523E">
              <w:trPr>
                <w:trHeight w:val="4986"/>
                <w:jc w:val="center"/>
              </w:trPr>
              <w:tc>
                <w:tcPr>
                  <w:tcW w:w="5000" w:type="pct"/>
                  <w:tcBorders>
                    <w:top w:val="nil"/>
                    <w:bottom w:val="nil"/>
                  </w:tcBorders>
                </w:tcPr>
                <w:p w:rsidR="00874835" w:rsidRPr="004E523E" w:rsidRDefault="0063472B" w:rsidP="001C53E2">
                  <w:pPr>
                    <w:pStyle w:val="Figure"/>
                    <w:spacing w:before="60" w:after="60"/>
                    <w:rPr>
                      <w:rFonts w:ascii="Arial" w:hAnsi="Arial" w:cs="Arial"/>
                    </w:rPr>
                  </w:pPr>
                  <w:r>
                    <w:rPr>
                      <w:rFonts w:ascii="Arial" w:hAnsi="Arial" w:cs="Arial"/>
                      <w:noProof/>
                    </w:rPr>
                    <w:drawing>
                      <wp:inline distT="0" distB="0" distL="0" distR="0">
                        <wp:extent cx="5177790" cy="2987675"/>
                        <wp:effectExtent l="0" t="0" r="0" b="0"/>
                        <wp:docPr id="7" name="Picture 7" descr="This chart shows the budget constraints faced by a single, childless, DSP recipient, in a number of scenarios:&#10;- living in social housing&#10;- receiving CRA&#10;- not receiving housing assistance&#10;" title="Budget constraints and EMT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77790" cy="2987675"/>
                                </a:xfrm>
                                <a:prstGeom prst="rect">
                                  <a:avLst/>
                                </a:prstGeom>
                                <a:noFill/>
                                <a:ln>
                                  <a:noFill/>
                                </a:ln>
                              </pic:spPr>
                            </pic:pic>
                          </a:graphicData>
                        </a:graphic>
                      </wp:inline>
                    </w:drawing>
                  </w:r>
                </w:p>
              </w:tc>
            </w:tr>
            <w:tr w:rsidR="00874835" w:rsidRPr="004E523E" w:rsidTr="004E523E">
              <w:trPr>
                <w:trHeight w:val="4618"/>
                <w:jc w:val="center"/>
              </w:trPr>
              <w:tc>
                <w:tcPr>
                  <w:tcW w:w="5000" w:type="pct"/>
                  <w:tcBorders>
                    <w:top w:val="nil"/>
                    <w:bottom w:val="nil"/>
                  </w:tcBorders>
                </w:tcPr>
                <w:p w:rsidR="00874835" w:rsidRPr="004E523E" w:rsidRDefault="0063472B" w:rsidP="001C53E2">
                  <w:pPr>
                    <w:pStyle w:val="Figure"/>
                    <w:spacing w:before="60" w:after="60"/>
                    <w:rPr>
                      <w:rFonts w:ascii="Arial" w:hAnsi="Arial" w:cs="Arial"/>
                      <w:noProof/>
                    </w:rPr>
                  </w:pPr>
                  <w:r>
                    <w:rPr>
                      <w:rFonts w:ascii="Arial" w:hAnsi="Arial" w:cs="Arial"/>
                      <w:noProof/>
                    </w:rPr>
                    <w:drawing>
                      <wp:inline distT="0" distB="0" distL="0" distR="0">
                        <wp:extent cx="5177790" cy="2806700"/>
                        <wp:effectExtent l="0" t="0" r="3810" b="0"/>
                        <wp:docPr id="8" name="Picture 8" descr="This chart shows the EMTRs faced by a single, childless, DSP recipient, in a number of scenarios:&#10;- living in social housing&#10;- receiving CRA&#10;- not receiving housing assistance&#10;" title="Budget constraints and EMT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77790" cy="2806700"/>
                                </a:xfrm>
                                <a:prstGeom prst="rect">
                                  <a:avLst/>
                                </a:prstGeom>
                                <a:noFill/>
                                <a:ln>
                                  <a:noFill/>
                                </a:ln>
                              </pic:spPr>
                            </pic:pic>
                          </a:graphicData>
                        </a:graphic>
                      </wp:inline>
                    </w:drawing>
                  </w:r>
                </w:p>
              </w:tc>
            </w:tr>
          </w:tbl>
          <w:p w:rsidR="00874835" w:rsidRDefault="00874835" w:rsidP="001C53E2">
            <w:pPr>
              <w:pStyle w:val="Figure"/>
            </w:pPr>
          </w:p>
        </w:tc>
      </w:tr>
      <w:tr w:rsidR="00874835" w:rsidRPr="00176D3F" w:rsidTr="004E523E">
        <w:trPr>
          <w:trHeight w:val="1806"/>
        </w:trPr>
        <w:tc>
          <w:tcPr>
            <w:tcW w:w="8405" w:type="dxa"/>
            <w:tcBorders>
              <w:top w:val="nil"/>
              <w:left w:val="nil"/>
              <w:bottom w:val="nil"/>
              <w:right w:val="nil"/>
            </w:tcBorders>
            <w:shd w:val="clear" w:color="auto" w:fill="auto"/>
          </w:tcPr>
          <w:p w:rsidR="00874835" w:rsidRPr="00176D3F" w:rsidRDefault="00874835" w:rsidP="00AD786F">
            <w:pPr>
              <w:pStyle w:val="Note"/>
            </w:pPr>
            <w:r w:rsidRPr="004F049B">
              <w:rPr>
                <w:rStyle w:val="NoteLabel"/>
              </w:rPr>
              <w:t>a</w:t>
            </w:r>
            <w:r>
              <w:t xml:space="preserve"> Market rent is assumed to be $10 000 per annum. </w:t>
            </w:r>
            <w:r w:rsidRPr="00810D2D">
              <w:rPr>
                <w:rStyle w:val="NoteLabel"/>
              </w:rPr>
              <w:t>b</w:t>
            </w:r>
            <w:r>
              <w:t xml:space="preserve"> The small ‘notches’ in each budget constraint (at an income of about $48 000 for social housing residents and $54 000 for </w:t>
            </w:r>
            <w:r w:rsidR="00AD786F">
              <w:t>CRA</w:t>
            </w:r>
            <w:r>
              <w:t xml:space="preserve"> recipients) reflect the fact that pension supplements are withdrawn at a rate of 100 per cent at those income levels. This causes the EMTRs to spike above 100 per cent at these income levels. For simplicity, this is not shown in the diagram. </w:t>
            </w:r>
            <w:r>
              <w:rPr>
                <w:rStyle w:val="NoteLabel"/>
              </w:rPr>
              <w:t>c</w:t>
            </w:r>
            <w:r w:rsidRPr="00123A81">
              <w:t xml:space="preserve"> </w:t>
            </w:r>
            <w:r>
              <w:t xml:space="preserve">The budget constraints include the effects of income taxes and housing assistance. </w:t>
            </w:r>
            <w:r>
              <w:rPr>
                <w:rStyle w:val="NoteLabel"/>
              </w:rPr>
              <w:t>d</w:t>
            </w:r>
            <w:r>
              <w:t xml:space="preserve"> The small step down in the EMTR schedule at a market income of about $67 000 reflects the point at which the low income tax offset goes to zero.</w:t>
            </w:r>
          </w:p>
        </w:tc>
      </w:tr>
      <w:tr w:rsidR="00874835" w:rsidRPr="00176D3F" w:rsidTr="004E523E">
        <w:trPr>
          <w:trHeight w:val="334"/>
        </w:trPr>
        <w:tc>
          <w:tcPr>
            <w:tcW w:w="8405" w:type="dxa"/>
            <w:tcBorders>
              <w:top w:val="nil"/>
              <w:left w:val="nil"/>
              <w:bottom w:val="nil"/>
              <w:right w:val="nil"/>
            </w:tcBorders>
            <w:shd w:val="clear" w:color="auto" w:fill="auto"/>
          </w:tcPr>
          <w:p w:rsidR="00874835" w:rsidRPr="00874835" w:rsidRDefault="00874835" w:rsidP="001C53E2">
            <w:pPr>
              <w:pStyle w:val="Source"/>
              <w:rPr>
                <w:b/>
                <w:position w:val="6"/>
              </w:rPr>
            </w:pPr>
            <w:r>
              <w:rPr>
                <w:i/>
              </w:rPr>
              <w:t>Source</w:t>
            </w:r>
            <w:r>
              <w:t>: Estimated from the PCTT 2014 model.</w:t>
            </w:r>
          </w:p>
        </w:tc>
      </w:tr>
      <w:tr w:rsidR="00874835" w:rsidTr="004E523E">
        <w:trPr>
          <w:trHeight w:val="134"/>
        </w:trPr>
        <w:tc>
          <w:tcPr>
            <w:tcW w:w="8405" w:type="dxa"/>
            <w:tcBorders>
              <w:top w:val="nil"/>
              <w:left w:val="nil"/>
              <w:bottom w:val="single" w:sz="6" w:space="0" w:color="78A22F"/>
              <w:right w:val="nil"/>
            </w:tcBorders>
            <w:shd w:val="clear" w:color="auto" w:fill="auto"/>
          </w:tcPr>
          <w:p w:rsidR="00874835" w:rsidRDefault="00874835" w:rsidP="001C53E2">
            <w:pPr>
              <w:pStyle w:val="Figurespace"/>
            </w:pPr>
          </w:p>
        </w:tc>
      </w:tr>
      <w:tr w:rsidR="00874835" w:rsidRPr="000863A5" w:rsidTr="004E523E">
        <w:trPr>
          <w:trHeight w:val="218"/>
        </w:trPr>
        <w:tc>
          <w:tcPr>
            <w:tcW w:w="8405" w:type="dxa"/>
            <w:tcBorders>
              <w:top w:val="single" w:sz="6" w:space="0" w:color="78A22F"/>
              <w:left w:val="nil"/>
              <w:bottom w:val="nil"/>
              <w:right w:val="nil"/>
            </w:tcBorders>
          </w:tcPr>
          <w:p w:rsidR="00874835" w:rsidRPr="00626D32" w:rsidRDefault="00874835" w:rsidP="001C53E2">
            <w:pPr>
              <w:pStyle w:val="BoxSpaceBelow"/>
            </w:pPr>
          </w:p>
        </w:tc>
      </w:tr>
    </w:tbl>
    <w:p w:rsidR="009B15D4" w:rsidRDefault="009B15D4" w:rsidP="009B15D4">
      <w:pPr>
        <w:pStyle w:val="Heading4"/>
      </w:pPr>
      <w:r>
        <w:lastRenderedPageBreak/>
        <w:t>Price effects — effective marginal tax rates (EMTRs)</w:t>
      </w:r>
    </w:p>
    <w:p w:rsidR="009B15D4" w:rsidRPr="00C361B2" w:rsidRDefault="009B15D4" w:rsidP="009B15D4">
      <w:pPr>
        <w:pStyle w:val="BodyText"/>
        <w:rPr>
          <w:spacing w:val="-2"/>
        </w:rPr>
      </w:pPr>
      <w:r w:rsidRPr="00C361B2">
        <w:rPr>
          <w:spacing w:val="-2"/>
        </w:rPr>
        <w:t xml:space="preserve">As market income increases, </w:t>
      </w:r>
      <w:r w:rsidR="00AD6565" w:rsidRPr="00C361B2">
        <w:rPr>
          <w:spacing w:val="-2"/>
        </w:rPr>
        <w:t xml:space="preserve">five </w:t>
      </w:r>
      <w:r w:rsidRPr="00C361B2">
        <w:rPr>
          <w:spacing w:val="-2"/>
        </w:rPr>
        <w:t xml:space="preserve">factors </w:t>
      </w:r>
      <w:r w:rsidR="00392F1A" w:rsidRPr="00C361B2">
        <w:rPr>
          <w:spacing w:val="-2"/>
        </w:rPr>
        <w:t>can</w:t>
      </w:r>
      <w:r w:rsidRPr="00C361B2">
        <w:rPr>
          <w:spacing w:val="-2"/>
        </w:rPr>
        <w:t xml:space="preserve"> influence the </w:t>
      </w:r>
      <w:r w:rsidR="00C361B2" w:rsidRPr="00C361B2">
        <w:rPr>
          <w:spacing w:val="-2"/>
        </w:rPr>
        <w:t>share</w:t>
      </w:r>
      <w:r w:rsidRPr="00C361B2">
        <w:rPr>
          <w:spacing w:val="-2"/>
        </w:rPr>
        <w:t xml:space="preserve"> of any extra dollar earned that </w:t>
      </w:r>
      <w:r w:rsidR="007D3329">
        <w:rPr>
          <w:spacing w:val="-2"/>
        </w:rPr>
        <w:t>is</w:t>
      </w:r>
      <w:r w:rsidRPr="00C361B2">
        <w:rPr>
          <w:spacing w:val="-2"/>
        </w:rPr>
        <w:t xml:space="preserve"> retain</w:t>
      </w:r>
      <w:r w:rsidR="007D3329">
        <w:rPr>
          <w:spacing w:val="-2"/>
        </w:rPr>
        <w:t>ed</w:t>
      </w:r>
      <w:r w:rsidRPr="00C361B2">
        <w:rPr>
          <w:spacing w:val="-2"/>
        </w:rPr>
        <w:t xml:space="preserve"> as disposable income —</w:t>
      </w:r>
      <w:r w:rsidR="00493CF4" w:rsidRPr="00C361B2">
        <w:rPr>
          <w:spacing w:val="-2"/>
        </w:rPr>
        <w:t> </w:t>
      </w:r>
      <w:r w:rsidRPr="00C361B2">
        <w:rPr>
          <w:spacing w:val="-2"/>
        </w:rPr>
        <w:t xml:space="preserve">withdrawal of ISPs, </w:t>
      </w:r>
      <w:r w:rsidR="00AD6565" w:rsidRPr="00C361B2">
        <w:rPr>
          <w:spacing w:val="-2"/>
        </w:rPr>
        <w:t xml:space="preserve">the low income tax offset, </w:t>
      </w:r>
      <w:r w:rsidRPr="00C361B2">
        <w:rPr>
          <w:spacing w:val="-2"/>
        </w:rPr>
        <w:t>income taxes</w:t>
      </w:r>
      <w:r w:rsidR="00AD6565" w:rsidRPr="00C361B2">
        <w:rPr>
          <w:spacing w:val="-2"/>
        </w:rPr>
        <w:t>, the Medicare levy</w:t>
      </w:r>
      <w:r w:rsidRPr="00C361B2">
        <w:rPr>
          <w:spacing w:val="-2"/>
        </w:rPr>
        <w:t xml:space="preserve"> and reductions in housing subsidies.</w:t>
      </w:r>
    </w:p>
    <w:p w:rsidR="001F16C8" w:rsidRDefault="009B15D4" w:rsidP="009B15D4">
      <w:pPr>
        <w:pStyle w:val="BodyText"/>
      </w:pPr>
      <w:r>
        <w:t xml:space="preserve">Both tenants can earn about $4000 before DSP starts to be withdrawn — at a rate of </w:t>
      </w:r>
      <w:r w:rsidR="000F07AB">
        <w:t>50 </w:t>
      </w:r>
      <w:r>
        <w:t xml:space="preserve">cents in the dollar. </w:t>
      </w:r>
      <w:r w:rsidR="00AD6565">
        <w:t xml:space="preserve">Both qualify for the low income tax offset, meaning that they don’t pay income tax or the Medicare levy until </w:t>
      </w:r>
      <w:r>
        <w:t xml:space="preserve">earning more than </w:t>
      </w:r>
      <w:r w:rsidR="00452A17">
        <w:t xml:space="preserve">about </w:t>
      </w:r>
      <w:r>
        <w:t>$</w:t>
      </w:r>
      <w:r w:rsidR="00541269">
        <w:t>20 </w:t>
      </w:r>
      <w:r w:rsidR="0038505A">
        <w:t>5</w:t>
      </w:r>
      <w:r>
        <w:t>00</w:t>
      </w:r>
      <w:r w:rsidR="00B65A74">
        <w:t>.</w:t>
      </w:r>
      <w:r w:rsidR="00541269" w:rsidRPr="007D361D">
        <w:rPr>
          <w:rStyle w:val="FootnoteReference"/>
        </w:rPr>
        <w:footnoteReference w:id="22"/>
      </w:r>
      <w:r w:rsidR="00B65A74">
        <w:t xml:space="preserve"> (O</w:t>
      </w:r>
      <w:r w:rsidR="005C4074">
        <w:t xml:space="preserve">ther </w:t>
      </w:r>
      <w:r w:rsidR="00B65A74">
        <w:t>income earners</w:t>
      </w:r>
      <w:r w:rsidR="005C4074">
        <w:t xml:space="preserve"> </w:t>
      </w:r>
      <w:r w:rsidR="00B65A74">
        <w:t>face a tax free threshold of $18 200</w:t>
      </w:r>
      <w:r w:rsidR="00AD6565">
        <w:t>.</w:t>
      </w:r>
      <w:r w:rsidR="00B65A74">
        <w:t>)</w:t>
      </w:r>
      <w:r w:rsidR="00AD6565">
        <w:t xml:space="preserve"> From </w:t>
      </w:r>
      <w:r w:rsidR="00452A17">
        <w:t xml:space="preserve">about </w:t>
      </w:r>
      <w:r w:rsidR="00B65A74">
        <w:t>$</w:t>
      </w:r>
      <w:r w:rsidR="001F16C8">
        <w:t>20 </w:t>
      </w:r>
      <w:r w:rsidR="00B65A74">
        <w:t>500, the tenants pay</w:t>
      </w:r>
      <w:r w:rsidR="00AD6565">
        <w:t xml:space="preserve"> </w:t>
      </w:r>
      <w:r>
        <w:t>income tax</w:t>
      </w:r>
      <w:r w:rsidR="00AD6565">
        <w:t xml:space="preserve"> </w:t>
      </w:r>
      <w:r w:rsidR="00B65A74">
        <w:t>at</w:t>
      </w:r>
      <w:r w:rsidR="00AD6565">
        <w:t xml:space="preserve"> 19 cents in the dollar</w:t>
      </w:r>
      <w:r>
        <w:t xml:space="preserve"> </w:t>
      </w:r>
      <w:r w:rsidR="0038505A">
        <w:t>and</w:t>
      </w:r>
      <w:r w:rsidR="00AD6565">
        <w:t xml:space="preserve"> </w:t>
      </w:r>
      <w:r w:rsidR="0038505A">
        <w:t xml:space="preserve">the Medicare levy </w:t>
      </w:r>
      <w:r w:rsidR="00AD6565">
        <w:t xml:space="preserve">is </w:t>
      </w:r>
      <w:r w:rsidR="005C4074">
        <w:t xml:space="preserve">introduced. Because </w:t>
      </w:r>
      <w:r w:rsidR="00B65A74">
        <w:t xml:space="preserve">of their higher effective tax free threshold, the tenants </w:t>
      </w:r>
      <w:r w:rsidR="001F16C8">
        <w:t xml:space="preserve">initially </w:t>
      </w:r>
      <w:r w:rsidR="00B65A74">
        <w:t xml:space="preserve">face a relatively high Medicare levy </w:t>
      </w:r>
      <w:r w:rsidR="00493E3D">
        <w:t>(10 cents in the dollar). At an income of about $24 000, the tenants’ Medicare contributions are similar to other tax payers’, and the levy drops back to 1.5 cents in the dollar — the marginal tax rate (MTR) due to income taxes and the Medicare levy is 20.5</w:t>
      </w:r>
      <w:r w:rsidR="000F07AB">
        <w:t> </w:t>
      </w:r>
      <w:r w:rsidR="00493E3D">
        <w:t>cents in the dollar.</w:t>
      </w:r>
      <w:r w:rsidR="00493E3D" w:rsidRPr="007D361D">
        <w:rPr>
          <w:rStyle w:val="FootnoteReference"/>
        </w:rPr>
        <w:footnoteReference w:id="23"/>
      </w:r>
      <w:r w:rsidR="00493E3D">
        <w:t xml:space="preserve"> From an income of $37 000, income taxes are 32.5 cents in the dollar, the Medicare levy 1.5 cents and the low income tax offset </w:t>
      </w:r>
      <w:r w:rsidR="004F69C1">
        <w:t>is withdrawn at a rate of</w:t>
      </w:r>
      <w:r w:rsidR="00493E3D">
        <w:t xml:space="preserve"> 1.5 cents in the dollar. The MTR due to these three factors is, therefore, 35.5</w:t>
      </w:r>
      <w:r w:rsidR="00A61C8A">
        <w:t xml:space="preserve"> </w:t>
      </w:r>
      <w:r>
        <w:t>cents in the dollar</w:t>
      </w:r>
      <w:r w:rsidR="00C438D7">
        <w:t xml:space="preserve"> within </w:t>
      </w:r>
      <w:r w:rsidR="00CE7E39">
        <w:t>a market income</w:t>
      </w:r>
      <w:r w:rsidR="00C438D7">
        <w:t xml:space="preserve"> range of $</w:t>
      </w:r>
      <w:r w:rsidR="00CE7E39">
        <w:t xml:space="preserve">37 000 to about </w:t>
      </w:r>
      <w:r w:rsidR="00C438D7">
        <w:t>$</w:t>
      </w:r>
      <w:r w:rsidR="00CE7E39">
        <w:t>6</w:t>
      </w:r>
      <w:r w:rsidR="001C28FC">
        <w:t>7</w:t>
      </w:r>
      <w:r w:rsidR="00CE7E39">
        <w:t> 000</w:t>
      </w:r>
      <w:r>
        <w:t>.</w:t>
      </w:r>
      <w:r w:rsidR="00CE7E39">
        <w:t xml:space="preserve"> At about $6</w:t>
      </w:r>
      <w:r w:rsidR="001C28FC">
        <w:t>7</w:t>
      </w:r>
      <w:r w:rsidR="00CE7E39">
        <w:t xml:space="preserve"> 000, the low income tax offset </w:t>
      </w:r>
      <w:r w:rsidR="001C28FC">
        <w:t>is completely phased out.</w:t>
      </w:r>
    </w:p>
    <w:p w:rsidR="009B15D4" w:rsidRDefault="009B15D4" w:rsidP="009B15D4">
      <w:pPr>
        <w:pStyle w:val="BodyText"/>
      </w:pPr>
      <w:r>
        <w:t xml:space="preserve">Withdrawal of CRA (at 50 cents in the dollar) </w:t>
      </w:r>
      <w:r w:rsidR="00B9307B">
        <w:t xml:space="preserve">starts </w:t>
      </w:r>
      <w:r>
        <w:t>once DSP payments are zero</w:t>
      </w:r>
      <w:r w:rsidR="00B65A74">
        <w:t xml:space="preserve"> (at an income of about </w:t>
      </w:r>
      <w:r w:rsidR="001F16C8">
        <w:t>$45 000)</w:t>
      </w:r>
      <w:r w:rsidR="00D405D3">
        <w:t>.</w:t>
      </w:r>
      <w:r>
        <w:t xml:space="preserve"> </w:t>
      </w:r>
      <w:r w:rsidR="00D405D3">
        <w:t>T</w:t>
      </w:r>
      <w:r>
        <w:t>he social housing tenant pays 25 cents of each dollar of assessable income in rent.</w:t>
      </w:r>
    </w:p>
    <w:p w:rsidR="00AD786F" w:rsidRDefault="009B15D4" w:rsidP="009B15D4">
      <w:pPr>
        <w:pStyle w:val="BodyText"/>
        <w:rPr>
          <w:spacing w:val="-2"/>
        </w:rPr>
      </w:pPr>
      <w:r w:rsidRPr="00926126">
        <w:rPr>
          <w:spacing w:val="-2"/>
        </w:rPr>
        <w:t>What does this all mean? Looking at the social housing tenant first, up to a market income of about $4000, rent payments increase by 25 cents for each dollar earned —</w:t>
      </w:r>
      <w:r w:rsidR="00D417BC">
        <w:rPr>
          <w:spacing w:val="-2"/>
        </w:rPr>
        <w:t> </w:t>
      </w:r>
      <w:r w:rsidRPr="00926126">
        <w:rPr>
          <w:spacing w:val="-2"/>
        </w:rPr>
        <w:t>the</w:t>
      </w:r>
      <w:r w:rsidR="00F452B6">
        <w:rPr>
          <w:spacing w:val="-2"/>
        </w:rPr>
        <w:t>ir</w:t>
      </w:r>
      <w:r w:rsidR="006B12D9">
        <w:rPr>
          <w:spacing w:val="-2"/>
        </w:rPr>
        <w:t xml:space="preserve"> </w:t>
      </w:r>
      <w:r w:rsidR="0073125F">
        <w:rPr>
          <w:spacing w:val="-2"/>
        </w:rPr>
        <w:t>EMTR is 25</w:t>
      </w:r>
      <w:r w:rsidR="000F07AB">
        <w:rPr>
          <w:spacing w:val="-2"/>
        </w:rPr>
        <w:t> </w:t>
      </w:r>
      <w:r w:rsidR="0073125F">
        <w:rPr>
          <w:spacing w:val="-2"/>
        </w:rPr>
        <w:t>per cent (figure </w:t>
      </w:r>
      <w:r w:rsidR="009C56C8">
        <w:t>3</w:t>
      </w:r>
      <w:r w:rsidRPr="00926126">
        <w:rPr>
          <w:spacing w:val="-2"/>
        </w:rPr>
        <w:t xml:space="preserve">b). Beyond </w:t>
      </w:r>
      <w:r w:rsidR="00D405D3">
        <w:rPr>
          <w:spacing w:val="-2"/>
        </w:rPr>
        <w:t>$4000</w:t>
      </w:r>
      <w:r w:rsidRPr="00926126">
        <w:rPr>
          <w:spacing w:val="-2"/>
        </w:rPr>
        <w:t>, DSP is reduced by 50 cents</w:t>
      </w:r>
      <w:r w:rsidR="00D405D3">
        <w:rPr>
          <w:spacing w:val="-2"/>
        </w:rPr>
        <w:t xml:space="preserve"> with each additional dollar of market income</w:t>
      </w:r>
      <w:r w:rsidRPr="00926126">
        <w:rPr>
          <w:spacing w:val="-2"/>
        </w:rPr>
        <w:t>. This means that the income used in determining a tenant’s rent payments (‘assessable income’) rises by 50 cents. Rent increases by 25 per cent of this rise — or 12.5</w:t>
      </w:r>
      <w:r w:rsidR="000F07AB">
        <w:rPr>
          <w:spacing w:val="-2"/>
        </w:rPr>
        <w:t> </w:t>
      </w:r>
      <w:r w:rsidRPr="00926126">
        <w:rPr>
          <w:spacing w:val="-2"/>
        </w:rPr>
        <w:t>cents. In total, the tenant faces an EMTR of 62.5 per cent — 50 p</w:t>
      </w:r>
      <w:r>
        <w:rPr>
          <w:spacing w:val="-2"/>
        </w:rPr>
        <w:t>ercentage points from the</w:t>
      </w:r>
      <w:r w:rsidR="00D53AFA">
        <w:rPr>
          <w:spacing w:val="-2"/>
        </w:rPr>
        <w:t xml:space="preserve"> withdrawal of DSP and 12.5 per</w:t>
      </w:r>
      <w:r>
        <w:rPr>
          <w:spacing w:val="-2"/>
        </w:rPr>
        <w:t>cent</w:t>
      </w:r>
      <w:r w:rsidR="00D53AFA">
        <w:rPr>
          <w:spacing w:val="-2"/>
        </w:rPr>
        <w:t>age points</w:t>
      </w:r>
      <w:r>
        <w:rPr>
          <w:spacing w:val="-2"/>
        </w:rPr>
        <w:t xml:space="preserve"> from a higher rent payment. </w:t>
      </w:r>
      <w:r w:rsidR="006B12D9">
        <w:rPr>
          <w:spacing w:val="-2"/>
        </w:rPr>
        <w:t xml:space="preserve">In other words, </w:t>
      </w:r>
      <w:r w:rsidR="00C81383">
        <w:rPr>
          <w:spacing w:val="-2"/>
        </w:rPr>
        <w:t xml:space="preserve">a </w:t>
      </w:r>
      <w:r>
        <w:rPr>
          <w:spacing w:val="-2"/>
        </w:rPr>
        <w:t>tenant</w:t>
      </w:r>
      <w:r w:rsidR="00C81383">
        <w:rPr>
          <w:spacing w:val="-2"/>
        </w:rPr>
        <w:t xml:space="preserve"> retains </w:t>
      </w:r>
      <w:r>
        <w:rPr>
          <w:spacing w:val="-2"/>
        </w:rPr>
        <w:t xml:space="preserve">37.5 cents </w:t>
      </w:r>
      <w:r w:rsidR="00C81383">
        <w:rPr>
          <w:spacing w:val="-2"/>
        </w:rPr>
        <w:t xml:space="preserve">of </w:t>
      </w:r>
      <w:r>
        <w:rPr>
          <w:spacing w:val="-2"/>
        </w:rPr>
        <w:t xml:space="preserve">each additional dollar of market income. </w:t>
      </w:r>
    </w:p>
    <w:p w:rsidR="00AD786F" w:rsidRDefault="009B15D4" w:rsidP="009B15D4">
      <w:pPr>
        <w:pStyle w:val="BodyText"/>
        <w:rPr>
          <w:spacing w:val="-2"/>
        </w:rPr>
      </w:pPr>
      <w:r>
        <w:rPr>
          <w:spacing w:val="-2"/>
        </w:rPr>
        <w:t xml:space="preserve">From a market income of </w:t>
      </w:r>
      <w:r w:rsidR="00452A17">
        <w:rPr>
          <w:spacing w:val="-2"/>
        </w:rPr>
        <w:t xml:space="preserve">about </w:t>
      </w:r>
      <w:r>
        <w:rPr>
          <w:spacing w:val="-2"/>
        </w:rPr>
        <w:t>$</w:t>
      </w:r>
      <w:r w:rsidR="001E618D">
        <w:rPr>
          <w:spacing w:val="-2"/>
        </w:rPr>
        <w:t>20</w:t>
      </w:r>
      <w:r w:rsidR="006B12D9">
        <w:rPr>
          <w:spacing w:val="-2"/>
        </w:rPr>
        <w:t> </w:t>
      </w:r>
      <w:r w:rsidR="001E618D">
        <w:rPr>
          <w:spacing w:val="-2"/>
        </w:rPr>
        <w:t>5</w:t>
      </w:r>
      <w:r>
        <w:rPr>
          <w:spacing w:val="-2"/>
        </w:rPr>
        <w:t>00</w:t>
      </w:r>
      <w:r w:rsidR="00D405D3">
        <w:rPr>
          <w:spacing w:val="-2"/>
        </w:rPr>
        <w:t xml:space="preserve"> to about $24 000</w:t>
      </w:r>
      <w:r w:rsidR="00452A17">
        <w:rPr>
          <w:spacing w:val="-2"/>
        </w:rPr>
        <w:t xml:space="preserve"> (a relatively small range)</w:t>
      </w:r>
      <w:r>
        <w:rPr>
          <w:spacing w:val="-2"/>
        </w:rPr>
        <w:t>, the EMTR increase</w:t>
      </w:r>
      <w:r w:rsidR="00C81383">
        <w:rPr>
          <w:spacing w:val="-2"/>
        </w:rPr>
        <w:t>s</w:t>
      </w:r>
      <w:r>
        <w:rPr>
          <w:spacing w:val="-2"/>
        </w:rPr>
        <w:t xml:space="preserve"> by the </w:t>
      </w:r>
      <w:r w:rsidR="00F452B6">
        <w:rPr>
          <w:spacing w:val="-2"/>
        </w:rPr>
        <w:t>MTR</w:t>
      </w:r>
      <w:r>
        <w:rPr>
          <w:spacing w:val="-2"/>
        </w:rPr>
        <w:t xml:space="preserve">, </w:t>
      </w:r>
      <w:r w:rsidR="001E618D">
        <w:rPr>
          <w:spacing w:val="-2"/>
        </w:rPr>
        <w:t>2</w:t>
      </w:r>
      <w:r>
        <w:rPr>
          <w:spacing w:val="-2"/>
        </w:rPr>
        <w:t>9</w:t>
      </w:r>
      <w:r w:rsidR="00C81383">
        <w:rPr>
          <w:spacing w:val="-2"/>
        </w:rPr>
        <w:t> </w:t>
      </w:r>
      <w:r>
        <w:rPr>
          <w:spacing w:val="-2"/>
        </w:rPr>
        <w:t>per</w:t>
      </w:r>
      <w:r w:rsidR="00C81383">
        <w:rPr>
          <w:spacing w:val="-2"/>
        </w:rPr>
        <w:t> </w:t>
      </w:r>
      <w:r>
        <w:rPr>
          <w:spacing w:val="-2"/>
        </w:rPr>
        <w:t xml:space="preserve">cent, to </w:t>
      </w:r>
      <w:r w:rsidR="001E618D">
        <w:rPr>
          <w:spacing w:val="-2"/>
        </w:rPr>
        <w:t>9</w:t>
      </w:r>
      <w:r>
        <w:rPr>
          <w:spacing w:val="-2"/>
        </w:rPr>
        <w:t>1.5 per cent.</w:t>
      </w:r>
      <w:r w:rsidRPr="007D361D">
        <w:rPr>
          <w:rStyle w:val="FootnoteReference"/>
        </w:rPr>
        <w:footnoteReference w:id="24"/>
      </w:r>
      <w:r>
        <w:rPr>
          <w:spacing w:val="-2"/>
        </w:rPr>
        <w:t xml:space="preserve"> The tenant takes home less than </w:t>
      </w:r>
      <w:r w:rsidR="001E618D">
        <w:rPr>
          <w:spacing w:val="-2"/>
        </w:rPr>
        <w:t>1</w:t>
      </w:r>
      <w:r>
        <w:rPr>
          <w:spacing w:val="-2"/>
        </w:rPr>
        <w:t xml:space="preserve">0 cents of each extra dollar earned. </w:t>
      </w:r>
      <w:r w:rsidR="006B12D9">
        <w:rPr>
          <w:spacing w:val="-2"/>
        </w:rPr>
        <w:t xml:space="preserve">The EMTR drops back to 83 per cent at incomes </w:t>
      </w:r>
      <w:r w:rsidR="006B12D9">
        <w:rPr>
          <w:spacing w:val="-2"/>
        </w:rPr>
        <w:lastRenderedPageBreak/>
        <w:t>between about $24 000 and $3</w:t>
      </w:r>
      <w:r w:rsidR="009F2DE7">
        <w:rPr>
          <w:spacing w:val="-2"/>
        </w:rPr>
        <w:t>6 0</w:t>
      </w:r>
      <w:r w:rsidR="006B12D9">
        <w:rPr>
          <w:spacing w:val="-2"/>
        </w:rPr>
        <w:t>00</w:t>
      </w:r>
      <w:r w:rsidR="00063C2C">
        <w:rPr>
          <w:spacing w:val="-2"/>
        </w:rPr>
        <w:t> — 62.5 percentage points from withdrawal of DSP and increasing rent payments and 20.5 percentage points from income tax and the Medicare levy</w:t>
      </w:r>
      <w:r w:rsidR="006B12D9">
        <w:rPr>
          <w:spacing w:val="-2"/>
        </w:rPr>
        <w:t xml:space="preserve">. </w:t>
      </w:r>
    </w:p>
    <w:p w:rsidR="009B15D4" w:rsidRDefault="001E618D" w:rsidP="009B15D4">
      <w:pPr>
        <w:pStyle w:val="BodyText"/>
        <w:rPr>
          <w:spacing w:val="-2"/>
        </w:rPr>
      </w:pPr>
      <w:r>
        <w:rPr>
          <w:spacing w:val="-2"/>
        </w:rPr>
        <w:t xml:space="preserve">At </w:t>
      </w:r>
      <w:r w:rsidR="009B15D4">
        <w:rPr>
          <w:spacing w:val="-2"/>
        </w:rPr>
        <w:t>about $3</w:t>
      </w:r>
      <w:r w:rsidR="009F2DE7">
        <w:rPr>
          <w:spacing w:val="-2"/>
        </w:rPr>
        <w:t>6</w:t>
      </w:r>
      <w:r w:rsidR="009B15D4">
        <w:rPr>
          <w:spacing w:val="-2"/>
        </w:rPr>
        <w:t> </w:t>
      </w:r>
      <w:r w:rsidR="009F2DE7">
        <w:rPr>
          <w:spacing w:val="-2"/>
        </w:rPr>
        <w:t>0</w:t>
      </w:r>
      <w:r w:rsidR="009B15D4">
        <w:rPr>
          <w:spacing w:val="-2"/>
        </w:rPr>
        <w:t xml:space="preserve">00, the tenant starts paying market rent, and continues to pay this level of rent </w:t>
      </w:r>
      <w:r w:rsidR="00D405D3">
        <w:rPr>
          <w:spacing w:val="-2"/>
        </w:rPr>
        <w:t>as</w:t>
      </w:r>
      <w:r w:rsidR="009B15D4">
        <w:rPr>
          <w:spacing w:val="-2"/>
        </w:rPr>
        <w:t xml:space="preserve"> market income</w:t>
      </w:r>
      <w:r w:rsidR="00D405D3">
        <w:rPr>
          <w:spacing w:val="-2"/>
        </w:rPr>
        <w:t xml:space="preserve"> increase</w:t>
      </w:r>
      <w:r w:rsidR="009B15D4">
        <w:rPr>
          <w:spacing w:val="-2"/>
        </w:rPr>
        <w:t xml:space="preserve">s. The </w:t>
      </w:r>
      <w:r w:rsidR="003E4C86">
        <w:rPr>
          <w:spacing w:val="-2"/>
        </w:rPr>
        <w:t xml:space="preserve">contribution of housing assistance to the </w:t>
      </w:r>
      <w:r w:rsidR="009B15D4">
        <w:rPr>
          <w:spacing w:val="-2"/>
        </w:rPr>
        <w:t xml:space="preserve">EMTR goes to zero, but the total EMTR remains at </w:t>
      </w:r>
      <w:r>
        <w:rPr>
          <w:spacing w:val="-2"/>
        </w:rPr>
        <w:t>70.5</w:t>
      </w:r>
      <w:r w:rsidR="009B15D4">
        <w:rPr>
          <w:spacing w:val="-2"/>
        </w:rPr>
        <w:t xml:space="preserve"> per cent — 50 percentage points from withdrawal of DSP and </w:t>
      </w:r>
      <w:r>
        <w:rPr>
          <w:spacing w:val="-2"/>
        </w:rPr>
        <w:t>2</w:t>
      </w:r>
      <w:r w:rsidR="006B12D9">
        <w:rPr>
          <w:spacing w:val="-2"/>
        </w:rPr>
        <w:t>0.5</w:t>
      </w:r>
      <w:r w:rsidR="009B15D4">
        <w:rPr>
          <w:spacing w:val="-2"/>
        </w:rPr>
        <w:t xml:space="preserve"> </w:t>
      </w:r>
      <w:r w:rsidR="00063C2C">
        <w:rPr>
          <w:spacing w:val="-2"/>
        </w:rPr>
        <w:t>percentage points from income tax and the Medicare levy</w:t>
      </w:r>
      <w:r w:rsidR="009B15D4">
        <w:rPr>
          <w:spacing w:val="-2"/>
        </w:rPr>
        <w:t>. With the higher marginal income tax rate (32.5 cents per dollar)</w:t>
      </w:r>
      <w:r w:rsidR="00E62B23">
        <w:rPr>
          <w:spacing w:val="-2"/>
        </w:rPr>
        <w:t xml:space="preserve"> and decline in the low income tax offset</w:t>
      </w:r>
      <w:r w:rsidR="009B15D4">
        <w:rPr>
          <w:spacing w:val="-2"/>
        </w:rPr>
        <w:t xml:space="preserve"> </w:t>
      </w:r>
      <w:r w:rsidR="006B12D9">
        <w:rPr>
          <w:spacing w:val="-2"/>
        </w:rPr>
        <w:t xml:space="preserve">at </w:t>
      </w:r>
      <w:r w:rsidR="009B15D4">
        <w:rPr>
          <w:spacing w:val="-2"/>
        </w:rPr>
        <w:t>income</w:t>
      </w:r>
      <w:r w:rsidR="006B12D9">
        <w:rPr>
          <w:spacing w:val="-2"/>
        </w:rPr>
        <w:t>s</w:t>
      </w:r>
      <w:r w:rsidR="009B15D4">
        <w:rPr>
          <w:spacing w:val="-2"/>
        </w:rPr>
        <w:t xml:space="preserve"> </w:t>
      </w:r>
      <w:r w:rsidR="006B12D9">
        <w:rPr>
          <w:spacing w:val="-2"/>
        </w:rPr>
        <w:t xml:space="preserve">above </w:t>
      </w:r>
      <w:r w:rsidR="009B15D4">
        <w:rPr>
          <w:spacing w:val="-2"/>
        </w:rPr>
        <w:t xml:space="preserve">$37 000, the </w:t>
      </w:r>
      <w:r w:rsidR="006B12D9">
        <w:rPr>
          <w:spacing w:val="-2"/>
        </w:rPr>
        <w:t xml:space="preserve">tenant’s </w:t>
      </w:r>
      <w:r w:rsidR="009B15D4">
        <w:rPr>
          <w:spacing w:val="-2"/>
        </w:rPr>
        <w:t>EMTR rises to 8</w:t>
      </w:r>
      <w:r w:rsidR="00E62B23">
        <w:rPr>
          <w:spacing w:val="-2"/>
        </w:rPr>
        <w:t>5</w:t>
      </w:r>
      <w:r w:rsidR="009B15D4">
        <w:rPr>
          <w:spacing w:val="-2"/>
        </w:rPr>
        <w:t>.5 per cent. Once DSP is totally withdrawn (at about $45 </w:t>
      </w:r>
      <w:r w:rsidR="00063C2C">
        <w:rPr>
          <w:spacing w:val="-2"/>
        </w:rPr>
        <w:t>0</w:t>
      </w:r>
      <w:r w:rsidR="009B15D4">
        <w:rPr>
          <w:spacing w:val="-2"/>
        </w:rPr>
        <w:t xml:space="preserve">00), </w:t>
      </w:r>
      <w:r w:rsidR="00A977CA">
        <w:rPr>
          <w:spacing w:val="-2"/>
        </w:rPr>
        <w:t xml:space="preserve">the EMTR </w:t>
      </w:r>
      <w:r w:rsidR="00F452B6">
        <w:rPr>
          <w:spacing w:val="-2"/>
        </w:rPr>
        <w:t xml:space="preserve">curve </w:t>
      </w:r>
      <w:r w:rsidR="00A977CA">
        <w:rPr>
          <w:spacing w:val="-2"/>
        </w:rPr>
        <w:t xml:space="preserve">summarises the effects of </w:t>
      </w:r>
      <w:r w:rsidR="009B15D4">
        <w:rPr>
          <w:spacing w:val="-2"/>
        </w:rPr>
        <w:t>the income tax rate</w:t>
      </w:r>
      <w:r w:rsidR="00712CD8">
        <w:rPr>
          <w:spacing w:val="-2"/>
        </w:rPr>
        <w:t>,</w:t>
      </w:r>
      <w:r w:rsidR="009B15D4">
        <w:rPr>
          <w:spacing w:val="-2"/>
        </w:rPr>
        <w:t xml:space="preserve"> </w:t>
      </w:r>
      <w:r w:rsidR="00A977CA">
        <w:rPr>
          <w:spacing w:val="-2"/>
        </w:rPr>
        <w:t xml:space="preserve">the </w:t>
      </w:r>
      <w:r w:rsidR="00063C2C">
        <w:rPr>
          <w:spacing w:val="-2"/>
        </w:rPr>
        <w:t xml:space="preserve">Medicare levy </w:t>
      </w:r>
      <w:r w:rsidR="00712CD8">
        <w:rPr>
          <w:spacing w:val="-2"/>
        </w:rPr>
        <w:t xml:space="preserve">and </w:t>
      </w:r>
      <w:r w:rsidR="00A977CA">
        <w:rPr>
          <w:spacing w:val="-2"/>
        </w:rPr>
        <w:t xml:space="preserve">the </w:t>
      </w:r>
      <w:r w:rsidR="00712CD8">
        <w:rPr>
          <w:spacing w:val="-2"/>
        </w:rPr>
        <w:t>reduction of the low income tax offset</w:t>
      </w:r>
      <w:r w:rsidR="009B15D4">
        <w:rPr>
          <w:spacing w:val="-2"/>
        </w:rPr>
        <w:t>.</w:t>
      </w:r>
      <w:r w:rsidR="00621124">
        <w:rPr>
          <w:rStyle w:val="FootnoteReference"/>
          <w:spacing w:val="-2"/>
        </w:rPr>
        <w:footnoteReference w:id="25"/>
      </w:r>
    </w:p>
    <w:p w:rsidR="009B15D4" w:rsidRPr="00D417BC" w:rsidRDefault="00452A17" w:rsidP="009B15D4">
      <w:pPr>
        <w:pStyle w:val="BodyText"/>
      </w:pPr>
      <w:r w:rsidRPr="00D417BC">
        <w:t xml:space="preserve">In summary, </w:t>
      </w:r>
      <w:r w:rsidR="007923F0">
        <w:t xml:space="preserve">the contribution of housing assistance to </w:t>
      </w:r>
      <w:r w:rsidR="009B15D4" w:rsidRPr="00D417BC">
        <w:t>EMTR</w:t>
      </w:r>
      <w:r w:rsidRPr="00D417BC">
        <w:t>s</w:t>
      </w:r>
      <w:r w:rsidR="009B15D4" w:rsidRPr="00D417BC">
        <w:t xml:space="preserve"> </w:t>
      </w:r>
      <w:r w:rsidRPr="00D417BC">
        <w:t>affect</w:t>
      </w:r>
      <w:r w:rsidR="007923F0">
        <w:t>s</w:t>
      </w:r>
      <w:r w:rsidR="009B15D4" w:rsidRPr="00D417BC">
        <w:t xml:space="preserve"> </w:t>
      </w:r>
      <w:r w:rsidR="00D417BC" w:rsidRPr="00D417BC">
        <w:t xml:space="preserve">the </w:t>
      </w:r>
      <w:r w:rsidR="009B15D4" w:rsidRPr="00D417BC">
        <w:t>social housing tenant</w:t>
      </w:r>
      <w:r w:rsidR="00D417BC" w:rsidRPr="00D417BC">
        <w:t>’</w:t>
      </w:r>
      <w:r w:rsidR="009B15D4" w:rsidRPr="00D417BC">
        <w:t>s disposable income over market incomes betwee</w:t>
      </w:r>
      <w:r w:rsidR="00392F1A" w:rsidRPr="00D417BC">
        <w:t>n ze</w:t>
      </w:r>
      <w:r w:rsidR="00E62B23" w:rsidRPr="00D417BC">
        <w:t>ro and $3</w:t>
      </w:r>
      <w:r w:rsidR="004D29CD">
        <w:t>6</w:t>
      </w:r>
      <w:r w:rsidR="00E62B23" w:rsidRPr="00D417BC">
        <w:t> </w:t>
      </w:r>
      <w:r w:rsidR="004D29CD">
        <w:t>0</w:t>
      </w:r>
      <w:r w:rsidR="00392F1A" w:rsidRPr="00D417BC">
        <w:t>00</w:t>
      </w:r>
      <w:r w:rsidR="00C625E9" w:rsidRPr="00D417BC">
        <w:t xml:space="preserve"> with EMTRs of over 80 per cent experienced between $20</w:t>
      </w:r>
      <w:r w:rsidR="00D417BC" w:rsidRPr="00D417BC">
        <w:t> </w:t>
      </w:r>
      <w:r w:rsidR="00C625E9" w:rsidRPr="00D417BC">
        <w:t xml:space="preserve">000 </w:t>
      </w:r>
      <w:r w:rsidR="0034098A">
        <w:t>and</w:t>
      </w:r>
      <w:r w:rsidR="0034098A" w:rsidRPr="00D417BC">
        <w:t xml:space="preserve"> </w:t>
      </w:r>
      <w:r w:rsidR="00C625E9" w:rsidRPr="00D417BC">
        <w:t>$3</w:t>
      </w:r>
      <w:r w:rsidR="004D29CD">
        <w:t>6</w:t>
      </w:r>
      <w:r w:rsidR="00D417BC" w:rsidRPr="00D417BC">
        <w:t> </w:t>
      </w:r>
      <w:r w:rsidR="00C625E9" w:rsidRPr="00D417BC">
        <w:t>000 market income</w:t>
      </w:r>
      <w:r w:rsidR="00392F1A" w:rsidRPr="00D417BC">
        <w:t xml:space="preserve">. </w:t>
      </w:r>
      <w:r w:rsidR="007923F0">
        <w:t xml:space="preserve">While the effect of housing assistance on the proportion of an extra dollar of market income retained by a tenant is </w:t>
      </w:r>
      <w:r w:rsidR="004D29CD">
        <w:t xml:space="preserve">smaller than the effect of the combination of </w:t>
      </w:r>
      <w:r w:rsidR="007923F0">
        <w:t xml:space="preserve">DSP withdrawal and taxes, it nevertheless contributes </w:t>
      </w:r>
      <w:r w:rsidR="004C6CD5">
        <w:t xml:space="preserve">overall to a major apparent </w:t>
      </w:r>
      <w:r w:rsidR="0034098A">
        <w:t xml:space="preserve">disincentive </w:t>
      </w:r>
      <w:r w:rsidR="004C6CD5">
        <w:t>to work.</w:t>
      </w:r>
    </w:p>
    <w:p w:rsidR="009B15D4" w:rsidRPr="00CF6C0F" w:rsidRDefault="0071488A" w:rsidP="009B15D4">
      <w:pPr>
        <w:pStyle w:val="BodyText"/>
      </w:pPr>
      <w:r>
        <w:t xml:space="preserve">Turning to the </w:t>
      </w:r>
      <w:r w:rsidR="009B15D4" w:rsidRPr="00CF6C0F">
        <w:t>tenant renting privately</w:t>
      </w:r>
      <w:r>
        <w:t>,</w:t>
      </w:r>
      <w:r w:rsidR="009B15D4" w:rsidRPr="00CF6C0F">
        <w:t xml:space="preserve"> </w:t>
      </w:r>
      <w:r>
        <w:t xml:space="preserve">housing assistance makes no </w:t>
      </w:r>
      <w:r w:rsidR="003E4C86">
        <w:t xml:space="preserve">contribution to their </w:t>
      </w:r>
      <w:r w:rsidR="009B15D4" w:rsidRPr="00CF6C0F">
        <w:t>EMTR until an income of about $45 </w:t>
      </w:r>
      <w:r w:rsidR="00712CD8" w:rsidRPr="00CF6C0F">
        <w:t>0</w:t>
      </w:r>
      <w:r w:rsidR="009B15D4" w:rsidRPr="00CF6C0F">
        <w:t>00. CRA is then withdrawn, adding to the 3</w:t>
      </w:r>
      <w:r w:rsidR="00E62B23" w:rsidRPr="00CF6C0F">
        <w:t>5</w:t>
      </w:r>
      <w:r w:rsidR="009B15D4" w:rsidRPr="00CF6C0F">
        <w:t>.5</w:t>
      </w:r>
      <w:r w:rsidR="0034098A">
        <w:t> </w:t>
      </w:r>
      <w:r w:rsidR="009B15D4" w:rsidRPr="00CF6C0F">
        <w:t xml:space="preserve">per cent </w:t>
      </w:r>
      <w:r w:rsidR="009477DB">
        <w:t xml:space="preserve">MTR </w:t>
      </w:r>
      <w:r w:rsidR="009B15D4" w:rsidRPr="00CF6C0F">
        <w:t xml:space="preserve">from </w:t>
      </w:r>
      <w:r w:rsidR="00E45C99">
        <w:t xml:space="preserve">the </w:t>
      </w:r>
      <w:r w:rsidR="009B15D4" w:rsidRPr="00CF6C0F">
        <w:t>income tax</w:t>
      </w:r>
      <w:r w:rsidR="00712CD8" w:rsidRPr="00CF6C0F">
        <w:t>, the Medicare levy and reduction of the low income tax offset</w:t>
      </w:r>
      <w:r w:rsidR="009B15D4" w:rsidRPr="00CF6C0F">
        <w:t xml:space="preserve"> to give a total EMTR of 8</w:t>
      </w:r>
      <w:r w:rsidR="00E62B23" w:rsidRPr="00CF6C0F">
        <w:t>5</w:t>
      </w:r>
      <w:r w:rsidR="009B15D4" w:rsidRPr="00CF6C0F">
        <w:t>.5 per cent</w:t>
      </w:r>
      <w:r w:rsidR="00E45C99">
        <w:t xml:space="preserve"> between about $</w:t>
      </w:r>
      <w:r w:rsidR="005D6312">
        <w:t>45 000</w:t>
      </w:r>
      <w:r w:rsidR="00E45C99">
        <w:t xml:space="preserve"> and $</w:t>
      </w:r>
      <w:r w:rsidR="005D6312">
        <w:t>52 000</w:t>
      </w:r>
      <w:r w:rsidR="009B15D4" w:rsidRPr="00CF6C0F">
        <w:t xml:space="preserve">. </w:t>
      </w:r>
      <w:r w:rsidR="00E45C99">
        <w:t>O</w:t>
      </w:r>
      <w:r w:rsidR="009B15D4" w:rsidRPr="00CF6C0F">
        <w:t>nce CRA is totally withdrawn, disposable income</w:t>
      </w:r>
      <w:r w:rsidR="00CF6C0F" w:rsidRPr="00CF6C0F">
        <w:t xml:space="preserve"> is not affected by welfare support</w:t>
      </w:r>
      <w:r w:rsidR="009B15D4" w:rsidRPr="00CF6C0F">
        <w:t>.</w:t>
      </w:r>
      <w:r w:rsidR="009B15D4" w:rsidRPr="007D361D">
        <w:rPr>
          <w:rStyle w:val="FootnoteReference"/>
        </w:rPr>
        <w:footnoteReference w:id="26"/>
      </w:r>
      <w:r w:rsidR="00E45C99">
        <w:t xml:space="preserve"> </w:t>
      </w:r>
    </w:p>
    <w:p w:rsidR="009B15D4" w:rsidRDefault="009B15D4" w:rsidP="009B15D4">
      <w:pPr>
        <w:pStyle w:val="BodyText"/>
        <w:rPr>
          <w:spacing w:val="-2"/>
        </w:rPr>
      </w:pPr>
      <w:r>
        <w:rPr>
          <w:spacing w:val="-2"/>
        </w:rPr>
        <w:t xml:space="preserve">The </w:t>
      </w:r>
      <w:r w:rsidR="003E4C86">
        <w:rPr>
          <w:spacing w:val="-2"/>
        </w:rPr>
        <w:t xml:space="preserve">contribution of CRA to the </w:t>
      </w:r>
      <w:r>
        <w:rPr>
          <w:spacing w:val="-2"/>
        </w:rPr>
        <w:t xml:space="preserve">EMTR is </w:t>
      </w:r>
      <w:r w:rsidR="009477DB">
        <w:rPr>
          <w:spacing w:val="-2"/>
        </w:rPr>
        <w:t>large</w:t>
      </w:r>
      <w:r w:rsidR="00CF6C0F">
        <w:rPr>
          <w:spacing w:val="-2"/>
        </w:rPr>
        <w:t xml:space="preserve"> </w:t>
      </w:r>
      <w:r w:rsidR="009477DB">
        <w:rPr>
          <w:spacing w:val="-2"/>
        </w:rPr>
        <w:t xml:space="preserve">(50 percentage points) in </w:t>
      </w:r>
      <w:r w:rsidR="00CF6C0F">
        <w:rPr>
          <w:spacing w:val="-2"/>
        </w:rPr>
        <w:t xml:space="preserve">comparison </w:t>
      </w:r>
      <w:r w:rsidR="009477DB">
        <w:rPr>
          <w:spacing w:val="-2"/>
        </w:rPr>
        <w:t>with</w:t>
      </w:r>
      <w:r w:rsidR="00CF6C0F">
        <w:rPr>
          <w:spacing w:val="-2"/>
        </w:rPr>
        <w:t xml:space="preserve"> the </w:t>
      </w:r>
      <w:r w:rsidR="003E4C86">
        <w:rPr>
          <w:spacing w:val="-2"/>
        </w:rPr>
        <w:t xml:space="preserve">contribution of </w:t>
      </w:r>
      <w:r w:rsidR="004901BC">
        <w:rPr>
          <w:spacing w:val="-2"/>
        </w:rPr>
        <w:t>rent setting rules</w:t>
      </w:r>
      <w:r w:rsidR="009477DB">
        <w:rPr>
          <w:spacing w:val="-2"/>
        </w:rPr>
        <w:t xml:space="preserve"> </w:t>
      </w:r>
      <w:r w:rsidR="004901BC">
        <w:rPr>
          <w:spacing w:val="-2"/>
        </w:rPr>
        <w:t>to a social housing tenant</w:t>
      </w:r>
      <w:r w:rsidR="0034098A">
        <w:rPr>
          <w:spacing w:val="-2"/>
        </w:rPr>
        <w:t>’</w:t>
      </w:r>
      <w:r w:rsidR="004901BC">
        <w:rPr>
          <w:spacing w:val="-2"/>
        </w:rPr>
        <w:t xml:space="preserve">s EMTR </w:t>
      </w:r>
      <w:r w:rsidR="009477DB">
        <w:rPr>
          <w:spacing w:val="-2"/>
        </w:rPr>
        <w:t>(a maximum of 25</w:t>
      </w:r>
      <w:r w:rsidR="0034098A">
        <w:rPr>
          <w:spacing w:val="-2"/>
        </w:rPr>
        <w:t> </w:t>
      </w:r>
      <w:r w:rsidR="009477DB">
        <w:rPr>
          <w:spacing w:val="-2"/>
        </w:rPr>
        <w:t>percentage points)</w:t>
      </w:r>
      <w:r w:rsidR="005D37FC">
        <w:rPr>
          <w:spacing w:val="-2"/>
        </w:rPr>
        <w:t>. However, it</w:t>
      </w:r>
      <w:r>
        <w:rPr>
          <w:spacing w:val="-2"/>
        </w:rPr>
        <w:t xml:space="preserve"> affects a recipient</w:t>
      </w:r>
      <w:r w:rsidR="00392F1A">
        <w:rPr>
          <w:spacing w:val="-2"/>
        </w:rPr>
        <w:t>’</w:t>
      </w:r>
      <w:r>
        <w:rPr>
          <w:spacing w:val="-2"/>
        </w:rPr>
        <w:t>s disposable income over a relatively small income range</w:t>
      </w:r>
      <w:r w:rsidR="00684572">
        <w:rPr>
          <w:spacing w:val="-2"/>
        </w:rPr>
        <w:t xml:space="preserve"> and at higher levels of income</w:t>
      </w:r>
      <w:r>
        <w:rPr>
          <w:spacing w:val="-2"/>
        </w:rPr>
        <w:t>.</w:t>
      </w:r>
      <w:r w:rsidR="009477DB">
        <w:rPr>
          <w:spacing w:val="-2"/>
        </w:rPr>
        <w:t xml:space="preserve"> </w:t>
      </w:r>
    </w:p>
    <w:p w:rsidR="00187379" w:rsidRDefault="00187379" w:rsidP="009B15D4">
      <w:pPr>
        <w:pStyle w:val="BodyText"/>
        <w:rPr>
          <w:spacing w:val="-2"/>
        </w:rPr>
      </w:pPr>
      <w:r>
        <w:t xml:space="preserve">As noted above, there is some variation in public housing rent setting across jurisdictions. The effects of this on EMTRs are described in </w:t>
      </w:r>
      <w:r w:rsidR="00A8049E">
        <w:t>annex</w:t>
      </w:r>
      <w:r>
        <w:t> </w:t>
      </w:r>
      <w:r w:rsidR="00F37462">
        <w:t>D</w:t>
      </w:r>
      <w:r>
        <w:t>.</w:t>
      </w:r>
    </w:p>
    <w:p w:rsidR="009B15D4" w:rsidRDefault="009B15D4" w:rsidP="009B15D4">
      <w:pPr>
        <w:pStyle w:val="Heading4"/>
      </w:pPr>
      <w:r>
        <w:t>Income and price effects due to housing assistance for typical recipients</w:t>
      </w:r>
    </w:p>
    <w:p w:rsidR="009B15D4" w:rsidRDefault="009B15D4" w:rsidP="009B15D4">
      <w:pPr>
        <w:pStyle w:val="BodyText"/>
      </w:pPr>
      <w:r>
        <w:t xml:space="preserve">Income and price effects faced by </w:t>
      </w:r>
      <w:r w:rsidR="003F3723">
        <w:t xml:space="preserve">the </w:t>
      </w:r>
      <w:r>
        <w:t xml:space="preserve">typical CRA recipients and social housing tenants </w:t>
      </w:r>
      <w:r w:rsidR="003F3723">
        <w:t xml:space="preserve">listed in </w:t>
      </w:r>
      <w:r>
        <w:t xml:space="preserve">box 3 are presented in this section. For simplicity, only key points are illustrated. </w:t>
      </w:r>
      <w:r>
        <w:lastRenderedPageBreak/>
        <w:t>As noted above, the budget constraints and EMTR schedules underly</w:t>
      </w:r>
      <w:r w:rsidR="008A7C7D">
        <w:t xml:space="preserve">ing these points are available </w:t>
      </w:r>
      <w:r w:rsidR="006F28BB">
        <w:t>in the annex to this background paper</w:t>
      </w:r>
      <w:r>
        <w:t>.</w:t>
      </w:r>
    </w:p>
    <w:p w:rsidR="009B15D4" w:rsidRDefault="00CF6C0F" w:rsidP="009B15D4">
      <w:pPr>
        <w:pStyle w:val="BodyText"/>
        <w:rPr>
          <w:spacing w:val="-2"/>
        </w:rPr>
      </w:pPr>
      <w:r w:rsidRPr="00F2035F">
        <w:rPr>
          <w:spacing w:val="-2"/>
        </w:rPr>
        <w:t>Price effects are discussed first</w:t>
      </w:r>
      <w:r w:rsidR="00334872" w:rsidRPr="00F2035F">
        <w:rPr>
          <w:spacing w:val="-2"/>
        </w:rPr>
        <w:t xml:space="preserve"> because they influence the summary presentation of income effects</w:t>
      </w:r>
      <w:r w:rsidRPr="00F2035F">
        <w:rPr>
          <w:spacing w:val="-2"/>
        </w:rPr>
        <w:t xml:space="preserve">. </w:t>
      </w:r>
      <w:r w:rsidR="009B15D4" w:rsidRPr="00F2035F">
        <w:rPr>
          <w:spacing w:val="-2"/>
        </w:rPr>
        <w:t>EMTRs show how much of one more dollar earned a person keeps as disposable income</w:t>
      </w:r>
      <w:r w:rsidR="00F62554">
        <w:rPr>
          <w:spacing w:val="-2"/>
        </w:rPr>
        <w:t>,</w:t>
      </w:r>
      <w:r w:rsidR="009B15D4" w:rsidRPr="00F2035F">
        <w:rPr>
          <w:spacing w:val="-2"/>
        </w:rPr>
        <w:t xml:space="preserve"> </w:t>
      </w:r>
      <w:r w:rsidR="00F62554">
        <w:rPr>
          <w:spacing w:val="-2"/>
        </w:rPr>
        <w:t>b</w:t>
      </w:r>
      <w:r w:rsidR="009B15D4" w:rsidRPr="00F2035F">
        <w:rPr>
          <w:spacing w:val="-2"/>
        </w:rPr>
        <w:t xml:space="preserve">ut </w:t>
      </w:r>
      <w:r w:rsidR="00350BF8" w:rsidRPr="00F2035F">
        <w:rPr>
          <w:spacing w:val="-2"/>
        </w:rPr>
        <w:t>e</w:t>
      </w:r>
      <w:r w:rsidR="009B15D4" w:rsidRPr="00F2035F">
        <w:rPr>
          <w:spacing w:val="-2"/>
        </w:rPr>
        <w:t xml:space="preserve">mployment offers tend to involve work that pays much more than </w:t>
      </w:r>
      <w:r w:rsidR="00350BF8" w:rsidRPr="00F2035F">
        <w:rPr>
          <w:spacing w:val="-2"/>
        </w:rPr>
        <w:t>one more dollar</w:t>
      </w:r>
      <w:r w:rsidR="009B15D4" w:rsidRPr="00F2035F">
        <w:rPr>
          <w:spacing w:val="-2"/>
        </w:rPr>
        <w:t> — for example, an extra shift a week, a job with the same hours paying more (or less) or a move from unemployment into a part</w:t>
      </w:r>
      <w:r w:rsidR="009B15D4" w:rsidRPr="00F2035F">
        <w:rPr>
          <w:spacing w:val="-2"/>
        </w:rPr>
        <w:noBreakHyphen/>
        <w:t>time job.</w:t>
      </w:r>
      <w:r w:rsidR="00334872" w:rsidRPr="00F2035F">
        <w:rPr>
          <w:spacing w:val="-2"/>
        </w:rPr>
        <w:t xml:space="preserve"> </w:t>
      </w:r>
      <w:r w:rsidR="009B15D4" w:rsidRPr="00F2035F">
        <w:rPr>
          <w:spacing w:val="-2"/>
        </w:rPr>
        <w:t xml:space="preserve">In this case, it is the cumulative effect of EMTRs that </w:t>
      </w:r>
      <w:r w:rsidR="00350BF8" w:rsidRPr="00F2035F">
        <w:rPr>
          <w:spacing w:val="-2"/>
        </w:rPr>
        <w:t xml:space="preserve">is </w:t>
      </w:r>
      <w:r w:rsidR="009B15D4" w:rsidRPr="00F2035F">
        <w:rPr>
          <w:spacing w:val="-2"/>
        </w:rPr>
        <w:t>likely to influence decisions. A person will think about how their disposable income will change in total if they take up a job offer. The cumulative effects of the different factors affecting disposable income are illustrated below, and in the process, so are income effects.</w:t>
      </w:r>
    </w:p>
    <w:p w:rsidR="00F36050" w:rsidRPr="00F2035F" w:rsidRDefault="00F36050" w:rsidP="009B15D4">
      <w:pPr>
        <w:pStyle w:val="BodyText"/>
        <w:rPr>
          <w:spacing w:val="-2"/>
        </w:rPr>
      </w:pPr>
      <w:r>
        <w:rPr>
          <w:spacing w:val="-2"/>
        </w:rPr>
        <w:t xml:space="preserve">For comparability, both with the preceding analysis and between ISP groups, market rent is assumed to be $10 000 a </w:t>
      </w:r>
      <w:r w:rsidR="00286115">
        <w:rPr>
          <w:spacing w:val="-2"/>
        </w:rPr>
        <w:t>year</w:t>
      </w:r>
      <w:r>
        <w:rPr>
          <w:spacing w:val="-2"/>
        </w:rPr>
        <w:t xml:space="preserve"> in these examples. </w:t>
      </w:r>
      <w:r w:rsidR="001305F2">
        <w:rPr>
          <w:spacing w:val="-2"/>
        </w:rPr>
        <w:t xml:space="preserve">This is likely to be below the level of rent paid by some single Newstart Allowees and many Parenting Payment (Single) recipients. </w:t>
      </w:r>
      <w:r w:rsidR="00286115">
        <w:rPr>
          <w:spacing w:val="-2"/>
        </w:rPr>
        <w:t xml:space="preserve">Setting market rent at a higher level would </w:t>
      </w:r>
      <w:r w:rsidR="001305F2">
        <w:rPr>
          <w:spacing w:val="-2"/>
        </w:rPr>
        <w:t xml:space="preserve">not affect the CRA analysis </w:t>
      </w:r>
      <w:r w:rsidR="00286115">
        <w:rPr>
          <w:spacing w:val="-2"/>
        </w:rPr>
        <w:t>(at an annual rent of $10 000, recipients are receiving the maximum rate of CRA). It would, however, affect the range of market income over which housing assistance contributed to EMTRs for public housing tenants. In particular, if tenants were paying rent below the market level at the point at which their ISP was withdrawn, the contribution of housing assistance to their EMTR would increase to 25 per cent.</w:t>
      </w:r>
      <w:r w:rsidR="00286115">
        <w:rPr>
          <w:rStyle w:val="FootnoteReference"/>
          <w:spacing w:val="-2"/>
        </w:rPr>
        <w:footnoteReference w:id="27"/>
      </w:r>
    </w:p>
    <w:p w:rsidR="009B15D4" w:rsidRDefault="009B15D4" w:rsidP="009B15D4">
      <w:pPr>
        <w:pStyle w:val="Heading5"/>
      </w:pPr>
      <w:r>
        <w:t>Price effects</w:t>
      </w:r>
    </w:p>
    <w:p w:rsidR="00334872" w:rsidRPr="00C361B2" w:rsidRDefault="009B15D4" w:rsidP="009B15D4">
      <w:pPr>
        <w:pStyle w:val="BodyText"/>
        <w:rPr>
          <w:spacing w:val="-2"/>
        </w:rPr>
      </w:pPr>
      <w:r w:rsidRPr="00C361B2">
        <w:rPr>
          <w:spacing w:val="-2"/>
        </w:rPr>
        <w:t xml:space="preserve">In general, housing assistance </w:t>
      </w:r>
      <w:r w:rsidR="00EB2457">
        <w:rPr>
          <w:spacing w:val="-2"/>
        </w:rPr>
        <w:t>(for both social housing and CRA recipients)</w:t>
      </w:r>
      <w:r w:rsidRPr="00C361B2">
        <w:rPr>
          <w:spacing w:val="-2"/>
        </w:rPr>
        <w:t xml:space="preserve"> </w:t>
      </w:r>
      <w:r w:rsidR="00323A39">
        <w:rPr>
          <w:spacing w:val="-2"/>
        </w:rPr>
        <w:t>is not the primary factor determining</w:t>
      </w:r>
      <w:r w:rsidRPr="00C361B2">
        <w:rPr>
          <w:spacing w:val="-2"/>
        </w:rPr>
        <w:t xml:space="preserve"> a person’s EMTR, either because the</w:t>
      </w:r>
      <w:r w:rsidR="00F62554">
        <w:rPr>
          <w:spacing w:val="-2"/>
        </w:rPr>
        <w:t xml:space="preserve"> corresponding EMTR is</w:t>
      </w:r>
      <w:r w:rsidRPr="00C361B2">
        <w:rPr>
          <w:spacing w:val="-2"/>
        </w:rPr>
        <w:t xml:space="preserve"> small in comparison with other factors </w:t>
      </w:r>
      <w:r w:rsidR="00334872" w:rsidRPr="00C361B2">
        <w:rPr>
          <w:spacing w:val="-2"/>
        </w:rPr>
        <w:t xml:space="preserve">that create a gap between market and disposable income </w:t>
      </w:r>
      <w:r w:rsidRPr="00C361B2">
        <w:rPr>
          <w:spacing w:val="-2"/>
        </w:rPr>
        <w:t>or, where large, do not apply over a big income range.</w:t>
      </w:r>
      <w:r w:rsidR="00334872" w:rsidRPr="00C361B2">
        <w:rPr>
          <w:spacing w:val="-2"/>
        </w:rPr>
        <w:t xml:space="preserve"> </w:t>
      </w:r>
      <w:r w:rsidRPr="00C361B2">
        <w:rPr>
          <w:spacing w:val="-2"/>
        </w:rPr>
        <w:t xml:space="preserve">That said, the </w:t>
      </w:r>
      <w:r w:rsidR="004901BC">
        <w:rPr>
          <w:spacing w:val="-2"/>
        </w:rPr>
        <w:t xml:space="preserve">contributions of housing assistance to </w:t>
      </w:r>
      <w:r w:rsidRPr="00C361B2">
        <w:rPr>
          <w:spacing w:val="-2"/>
        </w:rPr>
        <w:t>EMTRs</w:t>
      </w:r>
      <w:r w:rsidR="00A414E7">
        <w:rPr>
          <w:spacing w:val="-2"/>
        </w:rPr>
        <w:t>,</w:t>
      </w:r>
      <w:r w:rsidR="00C361B2" w:rsidRPr="00C361B2">
        <w:rPr>
          <w:spacing w:val="-2"/>
        </w:rPr>
        <w:t xml:space="preserve"> </w:t>
      </w:r>
      <w:r w:rsidRPr="00C361B2">
        <w:rPr>
          <w:spacing w:val="-2"/>
        </w:rPr>
        <w:t>and the income ranges over which they apply, vary markedly with welfare payment</w:t>
      </w:r>
      <w:r w:rsidR="00C361B2" w:rsidRPr="00C361B2">
        <w:rPr>
          <w:spacing w:val="-2"/>
        </w:rPr>
        <w:t>s</w:t>
      </w:r>
      <w:r w:rsidRPr="00C361B2">
        <w:rPr>
          <w:spacing w:val="-2"/>
        </w:rPr>
        <w:t>.</w:t>
      </w:r>
    </w:p>
    <w:p w:rsidR="009B15D4" w:rsidRPr="00C361B2" w:rsidRDefault="009B15D4" w:rsidP="009B15D4">
      <w:pPr>
        <w:pStyle w:val="BodyText"/>
        <w:rPr>
          <w:spacing w:val="-2"/>
        </w:rPr>
      </w:pPr>
      <w:r w:rsidRPr="00C361B2">
        <w:rPr>
          <w:spacing w:val="-2"/>
        </w:rPr>
        <w:t xml:space="preserve">In the case of CRA, EMTRs are relatively high for </w:t>
      </w:r>
      <w:r w:rsidR="00982F9B">
        <w:rPr>
          <w:spacing w:val="-2"/>
        </w:rPr>
        <w:t xml:space="preserve">single </w:t>
      </w:r>
      <w:r w:rsidRPr="00C361B2">
        <w:rPr>
          <w:spacing w:val="-2"/>
        </w:rPr>
        <w:t xml:space="preserve">Newstart (NWS) and </w:t>
      </w:r>
      <w:r w:rsidR="00982F9B">
        <w:rPr>
          <w:spacing w:val="-2"/>
        </w:rPr>
        <w:t xml:space="preserve">single </w:t>
      </w:r>
      <w:r w:rsidRPr="00C361B2">
        <w:rPr>
          <w:spacing w:val="-2"/>
        </w:rPr>
        <w:t>DSP recipients (60 per cent and 50 per cent, respectively) — reflecting the withdrawal rates for those payments (figure</w:t>
      </w:r>
      <w:r w:rsidR="0073125F">
        <w:rPr>
          <w:spacing w:val="-2"/>
        </w:rPr>
        <w:t> </w:t>
      </w:r>
      <w:r w:rsidR="00EB644A" w:rsidRPr="00C361B2">
        <w:rPr>
          <w:spacing w:val="-2"/>
        </w:rPr>
        <w:t>4</w:t>
      </w:r>
      <w:r w:rsidRPr="00C361B2">
        <w:rPr>
          <w:spacing w:val="-2"/>
        </w:rPr>
        <w:t xml:space="preserve">). </w:t>
      </w:r>
      <w:r w:rsidR="00392F1A" w:rsidRPr="00C361B2">
        <w:rPr>
          <w:spacing w:val="-2"/>
        </w:rPr>
        <w:t>T</w:t>
      </w:r>
      <w:r w:rsidRPr="00C361B2">
        <w:rPr>
          <w:spacing w:val="-2"/>
        </w:rPr>
        <w:t>he high withdrawal rates mean that CRA goes to zero reasonably quickly</w:t>
      </w:r>
      <w:r w:rsidR="00350BF8" w:rsidRPr="00C361B2">
        <w:rPr>
          <w:spacing w:val="-2"/>
        </w:rPr>
        <w:t xml:space="preserve"> and </w:t>
      </w:r>
      <w:r w:rsidR="00323A39">
        <w:rPr>
          <w:spacing w:val="-2"/>
        </w:rPr>
        <w:t xml:space="preserve">clearly </w:t>
      </w:r>
      <w:r w:rsidR="00547E67">
        <w:rPr>
          <w:spacing w:val="-2"/>
        </w:rPr>
        <w:t>contribute</w:t>
      </w:r>
      <w:r w:rsidR="00323A39">
        <w:rPr>
          <w:spacing w:val="-2"/>
        </w:rPr>
        <w:t>s</w:t>
      </w:r>
      <w:r w:rsidR="00547E67">
        <w:rPr>
          <w:spacing w:val="-2"/>
        </w:rPr>
        <w:t xml:space="preserve"> to</w:t>
      </w:r>
      <w:r w:rsidR="00350BF8" w:rsidRPr="00C361B2">
        <w:rPr>
          <w:spacing w:val="-2"/>
        </w:rPr>
        <w:t xml:space="preserve"> high EMTRs</w:t>
      </w:r>
      <w:r w:rsidRPr="00C361B2">
        <w:rPr>
          <w:spacing w:val="-2"/>
        </w:rPr>
        <w:t xml:space="preserve">. </w:t>
      </w:r>
      <w:r w:rsidR="00EB2457">
        <w:rPr>
          <w:spacing w:val="-2"/>
        </w:rPr>
        <w:t>As CRA is withdrawn last</w:t>
      </w:r>
      <w:r w:rsidR="0073125F">
        <w:rPr>
          <w:spacing w:val="-2"/>
        </w:rPr>
        <w:t>,</w:t>
      </w:r>
      <w:r w:rsidR="00EB2457">
        <w:rPr>
          <w:spacing w:val="-2"/>
        </w:rPr>
        <w:t xml:space="preserve"> and at a high rate</w:t>
      </w:r>
      <w:r w:rsidR="0073125F">
        <w:rPr>
          <w:spacing w:val="-2"/>
        </w:rPr>
        <w:t>,</w:t>
      </w:r>
      <w:r w:rsidRPr="00C361B2">
        <w:rPr>
          <w:spacing w:val="-2"/>
        </w:rPr>
        <w:t xml:space="preserve"> </w:t>
      </w:r>
      <w:r w:rsidR="0073125F">
        <w:rPr>
          <w:spacing w:val="-2"/>
        </w:rPr>
        <w:t>t</w:t>
      </w:r>
      <w:r w:rsidRPr="00C361B2">
        <w:rPr>
          <w:spacing w:val="-2"/>
        </w:rPr>
        <w:t>he high EMTRs apply over a relatively small income range. In contrast, CRA withdrawal rates for FTB recipients are lower (20 per cent), so the</w:t>
      </w:r>
      <w:r w:rsidR="00DD65FC">
        <w:rPr>
          <w:spacing w:val="-2"/>
        </w:rPr>
        <w:t xml:space="preserve"> contribution of housing assistance to </w:t>
      </w:r>
      <w:r w:rsidRPr="00C361B2">
        <w:rPr>
          <w:spacing w:val="-2"/>
        </w:rPr>
        <w:t>EMTR</w:t>
      </w:r>
      <w:r w:rsidR="00DD65FC">
        <w:rPr>
          <w:spacing w:val="-2"/>
        </w:rPr>
        <w:t>s</w:t>
      </w:r>
      <w:r w:rsidRPr="00C361B2">
        <w:rPr>
          <w:spacing w:val="-2"/>
        </w:rPr>
        <w:t xml:space="preserve"> applies over a wider range of income.</w:t>
      </w:r>
    </w:p>
    <w:p w:rsidR="009B15D4" w:rsidRDefault="006A7CA6" w:rsidP="009B15D4">
      <w:pPr>
        <w:pStyle w:val="BodyText"/>
      </w:pPr>
      <w:r>
        <w:t xml:space="preserve">Similarly, </w:t>
      </w:r>
      <w:r w:rsidR="009B15D4">
        <w:t xml:space="preserve">EMTRs for social housing tenants </w:t>
      </w:r>
      <w:r>
        <w:t xml:space="preserve">depend on their </w:t>
      </w:r>
      <w:r w:rsidR="005C11DC">
        <w:t>ISP</w:t>
      </w:r>
      <w:r w:rsidR="009B15D4">
        <w:t>:</w:t>
      </w:r>
    </w:p>
    <w:p w:rsidR="006A7CA6" w:rsidRDefault="006A7CA6" w:rsidP="009E4808">
      <w:pPr>
        <w:pStyle w:val="ListBullet"/>
      </w:pPr>
      <w:r>
        <w:lastRenderedPageBreak/>
        <w:t xml:space="preserve">the higher </w:t>
      </w:r>
      <w:r w:rsidR="002415D2">
        <w:t>an</w:t>
      </w:r>
      <w:r>
        <w:t xml:space="preserve"> </w:t>
      </w:r>
      <w:r w:rsidR="00392F1A">
        <w:t>ISP</w:t>
      </w:r>
      <w:r>
        <w:t xml:space="preserve">, the smaller the income range over which </w:t>
      </w:r>
      <w:r w:rsidR="00DD65FC">
        <w:t xml:space="preserve">the contribution of housing assistance to </w:t>
      </w:r>
      <w:r>
        <w:t>EMTRs appl</w:t>
      </w:r>
      <w:r w:rsidR="00DD65FC">
        <w:t>ies</w:t>
      </w:r>
      <w:r>
        <w:t xml:space="preserve">. This occurs because, </w:t>
      </w:r>
      <w:r w:rsidR="00B454B7">
        <w:t xml:space="preserve">the higher the ISP, the more rent </w:t>
      </w:r>
      <w:r>
        <w:t xml:space="preserve">a tenant pays at zero market income, and so, other things equal, </w:t>
      </w:r>
      <w:r w:rsidR="00B454B7">
        <w:t xml:space="preserve">the tenant reaches </w:t>
      </w:r>
      <w:r>
        <w:t>market rent at a lower level of market income</w:t>
      </w:r>
      <w:r w:rsidR="00E5066D">
        <w:t xml:space="preserve"> than they would if they received a lower ISP</w:t>
      </w:r>
    </w:p>
    <w:p w:rsidR="009E4808" w:rsidRPr="006A7CA6" w:rsidRDefault="006A7CA6" w:rsidP="009E4808">
      <w:pPr>
        <w:pStyle w:val="ListBullet"/>
      </w:pPr>
      <w:r>
        <w:t xml:space="preserve">the higher the </w:t>
      </w:r>
      <w:r w:rsidR="009E4808">
        <w:t>income threshold</w:t>
      </w:r>
      <w:r w:rsidR="005D37FC">
        <w:t xml:space="preserve"> for withdrawal</w:t>
      </w:r>
      <w:r w:rsidR="00814A72">
        <w:t xml:space="preserve"> of ISPs</w:t>
      </w:r>
      <w:r>
        <w:t xml:space="preserve">, the smaller the </w:t>
      </w:r>
      <w:r w:rsidR="007C39C6">
        <w:t xml:space="preserve">total </w:t>
      </w:r>
      <w:r>
        <w:t xml:space="preserve">income range over which </w:t>
      </w:r>
      <w:r w:rsidR="00811194">
        <w:t xml:space="preserve">housing assistance contributes to </w:t>
      </w:r>
      <w:r>
        <w:t>EMTRs. This occurs because</w:t>
      </w:r>
      <w:r>
        <w:rPr>
          <w:spacing w:val="-2"/>
        </w:rPr>
        <w:t>, o</w:t>
      </w:r>
      <w:r w:rsidRPr="00B506D1">
        <w:rPr>
          <w:spacing w:val="-2"/>
        </w:rPr>
        <w:t xml:space="preserve">ther things equal, the </w:t>
      </w:r>
      <w:r w:rsidR="000B17CC">
        <w:rPr>
          <w:spacing w:val="-2"/>
        </w:rPr>
        <w:t>higher</w:t>
      </w:r>
      <w:r w:rsidR="000B17CC" w:rsidRPr="00B506D1">
        <w:rPr>
          <w:spacing w:val="-2"/>
        </w:rPr>
        <w:t xml:space="preserve"> </w:t>
      </w:r>
      <w:r w:rsidRPr="00B506D1">
        <w:rPr>
          <w:spacing w:val="-2"/>
        </w:rPr>
        <w:t xml:space="preserve">the threshold, the </w:t>
      </w:r>
      <w:r w:rsidR="00A814E6" w:rsidRPr="00B506D1">
        <w:rPr>
          <w:spacing w:val="-2"/>
        </w:rPr>
        <w:t>larger</w:t>
      </w:r>
      <w:r w:rsidRPr="00B506D1">
        <w:rPr>
          <w:spacing w:val="-2"/>
        </w:rPr>
        <w:t xml:space="preserve"> the income range over which the tenan</w:t>
      </w:r>
      <w:r>
        <w:rPr>
          <w:spacing w:val="-2"/>
        </w:rPr>
        <w:t>t faces a</w:t>
      </w:r>
      <w:r w:rsidR="00811194">
        <w:rPr>
          <w:spacing w:val="-2"/>
        </w:rPr>
        <w:t xml:space="preserve"> contribution to</w:t>
      </w:r>
      <w:r>
        <w:rPr>
          <w:spacing w:val="-2"/>
        </w:rPr>
        <w:t xml:space="preserve"> EMTR</w:t>
      </w:r>
      <w:r w:rsidR="00811194">
        <w:rPr>
          <w:spacing w:val="-2"/>
        </w:rPr>
        <w:t>s</w:t>
      </w:r>
      <w:r>
        <w:rPr>
          <w:spacing w:val="-2"/>
        </w:rPr>
        <w:t xml:space="preserve"> </w:t>
      </w:r>
      <w:r w:rsidR="00811194">
        <w:rPr>
          <w:spacing w:val="-2"/>
        </w:rPr>
        <w:t>from</w:t>
      </w:r>
      <w:r w:rsidR="00CE543D">
        <w:rPr>
          <w:spacing w:val="-2"/>
        </w:rPr>
        <w:t xml:space="preserve"> housing assistance </w:t>
      </w:r>
      <w:r>
        <w:rPr>
          <w:spacing w:val="-2"/>
        </w:rPr>
        <w:t xml:space="preserve">of 25 per cent </w:t>
      </w:r>
      <w:r w:rsidR="00811194">
        <w:rPr>
          <w:spacing w:val="-2"/>
        </w:rPr>
        <w:t xml:space="preserve">(that is, </w:t>
      </w:r>
      <w:r w:rsidR="007C39C6">
        <w:rPr>
          <w:spacing w:val="-2"/>
        </w:rPr>
        <w:t>before ISP withdrawal commences</w:t>
      </w:r>
      <w:r w:rsidR="00811194">
        <w:rPr>
          <w:spacing w:val="-2"/>
        </w:rPr>
        <w:t>),</w:t>
      </w:r>
      <w:r w:rsidR="007C39C6">
        <w:rPr>
          <w:spacing w:val="-2"/>
        </w:rPr>
        <w:t xml:space="preserve"> </w:t>
      </w:r>
      <w:r>
        <w:rPr>
          <w:spacing w:val="-2"/>
        </w:rPr>
        <w:t>and the sooner they start paying market rent</w:t>
      </w:r>
    </w:p>
    <w:p w:rsidR="006A7CA6" w:rsidRDefault="006A7CA6" w:rsidP="006A7CA6">
      <w:pPr>
        <w:pStyle w:val="ListBullet"/>
      </w:pPr>
      <w:r>
        <w:rPr>
          <w:spacing w:val="-2"/>
        </w:rPr>
        <w:t xml:space="preserve">the higher the ISP withdrawal rate, the lower the </w:t>
      </w:r>
      <w:r w:rsidR="00170D9F">
        <w:rPr>
          <w:spacing w:val="-2"/>
        </w:rPr>
        <w:t xml:space="preserve">contribution of housing assistance to </w:t>
      </w:r>
      <w:r>
        <w:rPr>
          <w:spacing w:val="-2"/>
        </w:rPr>
        <w:t>EMTR</w:t>
      </w:r>
      <w:r w:rsidR="00170D9F">
        <w:rPr>
          <w:spacing w:val="-2"/>
        </w:rPr>
        <w:t>s</w:t>
      </w:r>
      <w:r>
        <w:rPr>
          <w:spacing w:val="-2"/>
        </w:rPr>
        <w:t xml:space="preserve"> and the larger the range over which those EMTRs apply. This occurs because</w:t>
      </w:r>
      <w:r w:rsidR="0066007A">
        <w:rPr>
          <w:spacing w:val="-2"/>
        </w:rPr>
        <w:t>, other things equal,</w:t>
      </w:r>
      <w:r>
        <w:rPr>
          <w:spacing w:val="-2"/>
        </w:rPr>
        <w:t xml:space="preserve"> a higher withdrawal rate means that assessable income rises more slowly with market income, and so, therefore, do rent payments.</w:t>
      </w:r>
    </w:p>
    <w:p w:rsidR="00733C74" w:rsidRDefault="00733C74" w:rsidP="009B15D4">
      <w:pPr>
        <w:pStyle w:val="BodyText"/>
        <w:rPr>
          <w:spacing w:val="-2"/>
        </w:rPr>
      </w:pPr>
      <w:r>
        <w:rPr>
          <w:spacing w:val="-2"/>
        </w:rPr>
        <w:t xml:space="preserve">The ISPs of typical social housing tenants </w:t>
      </w:r>
      <w:r w:rsidR="002415D2">
        <w:rPr>
          <w:spacing w:val="-2"/>
        </w:rPr>
        <w:t xml:space="preserve">vary markedly </w:t>
      </w:r>
      <w:r w:rsidR="00CA77B6">
        <w:rPr>
          <w:spacing w:val="-2"/>
        </w:rPr>
        <w:t xml:space="preserve">across </w:t>
      </w:r>
      <w:r w:rsidR="00B454B7">
        <w:rPr>
          <w:spacing w:val="-2"/>
        </w:rPr>
        <w:t xml:space="preserve">household </w:t>
      </w:r>
      <w:r w:rsidR="002415D2">
        <w:rPr>
          <w:spacing w:val="-2"/>
        </w:rPr>
        <w:t>characteristics (table </w:t>
      </w:r>
      <w:r w:rsidR="009C56C8">
        <w:t>4</w:t>
      </w:r>
      <w:r w:rsidR="002415D2">
        <w:rPr>
          <w:spacing w:val="-2"/>
        </w:rPr>
        <w:t>)</w:t>
      </w:r>
      <w:r w:rsidR="00CB4568">
        <w:rPr>
          <w:spacing w:val="-2"/>
        </w:rPr>
        <w:t>, and this v</w:t>
      </w:r>
      <w:r w:rsidR="002415D2" w:rsidRPr="00AE04FE">
        <w:rPr>
          <w:spacing w:val="-2"/>
        </w:rPr>
        <w:t xml:space="preserve">ariation </w:t>
      </w:r>
      <w:r w:rsidR="00CB4568">
        <w:rPr>
          <w:spacing w:val="-2"/>
        </w:rPr>
        <w:t>is</w:t>
      </w:r>
      <w:r w:rsidR="002415D2" w:rsidRPr="00AE04FE">
        <w:rPr>
          <w:spacing w:val="-2"/>
        </w:rPr>
        <w:t xml:space="preserve"> reflected in </w:t>
      </w:r>
      <w:r w:rsidR="00170D9F">
        <w:rPr>
          <w:spacing w:val="-2"/>
        </w:rPr>
        <w:t xml:space="preserve">the contribution of housing assistance to </w:t>
      </w:r>
      <w:r w:rsidR="002415D2" w:rsidRPr="00AE04FE">
        <w:rPr>
          <w:spacing w:val="-2"/>
        </w:rPr>
        <w:t>EMTRs (figure </w:t>
      </w:r>
      <w:r w:rsidR="00EB644A">
        <w:t>5</w:t>
      </w:r>
      <w:r w:rsidR="002415D2" w:rsidRPr="00AE04FE">
        <w:rPr>
          <w:spacing w:val="-2"/>
        </w:rPr>
        <w:t xml:space="preserve">). </w:t>
      </w:r>
      <w:r w:rsidR="00CB4568">
        <w:rPr>
          <w:spacing w:val="-2"/>
        </w:rPr>
        <w:t xml:space="preserve">Among the typical recipients, </w:t>
      </w:r>
      <w:r w:rsidR="00CB4568" w:rsidRPr="00AE04FE">
        <w:rPr>
          <w:spacing w:val="-2"/>
        </w:rPr>
        <w:t xml:space="preserve">a single parent with one child who receives Parenting Payment and FTB </w:t>
      </w:r>
      <w:r w:rsidR="00CB4568">
        <w:rPr>
          <w:spacing w:val="-2"/>
        </w:rPr>
        <w:t>has</w:t>
      </w:r>
      <w:r w:rsidR="0066007A">
        <w:rPr>
          <w:spacing w:val="-2"/>
        </w:rPr>
        <w:t xml:space="preserve"> the highest ISP at zero market income, </w:t>
      </w:r>
      <w:r w:rsidR="0034098A">
        <w:rPr>
          <w:spacing w:val="-2"/>
        </w:rPr>
        <w:t xml:space="preserve">the </w:t>
      </w:r>
      <w:r w:rsidR="0066007A">
        <w:rPr>
          <w:spacing w:val="-2"/>
        </w:rPr>
        <w:t>highest threshold before payments are withdrawn and the lowest withdrawal rate.</w:t>
      </w:r>
      <w:r w:rsidR="00CB4568">
        <w:rPr>
          <w:spacing w:val="-2"/>
        </w:rPr>
        <w:t xml:space="preserve"> </w:t>
      </w:r>
      <w:r w:rsidR="0066007A">
        <w:rPr>
          <w:spacing w:val="-2"/>
        </w:rPr>
        <w:t xml:space="preserve">Consistent with this, their EMTR goes to zero at a relatively low level of market income, is 25 per cent over </w:t>
      </w:r>
      <w:r w:rsidR="00201389">
        <w:rPr>
          <w:spacing w:val="-2"/>
        </w:rPr>
        <w:t>a</w:t>
      </w:r>
      <w:r w:rsidR="0066007A">
        <w:rPr>
          <w:spacing w:val="-2"/>
        </w:rPr>
        <w:t xml:space="preserve"> </w:t>
      </w:r>
      <w:r w:rsidR="007E4C34">
        <w:rPr>
          <w:spacing w:val="-2"/>
        </w:rPr>
        <w:t>larger</w:t>
      </w:r>
      <w:r w:rsidR="0066007A">
        <w:rPr>
          <w:spacing w:val="-2"/>
        </w:rPr>
        <w:t xml:space="preserve"> </w:t>
      </w:r>
      <w:r w:rsidR="00201389">
        <w:rPr>
          <w:spacing w:val="-2"/>
        </w:rPr>
        <w:t xml:space="preserve">income threshold </w:t>
      </w:r>
      <w:r w:rsidR="0066007A">
        <w:rPr>
          <w:spacing w:val="-2"/>
        </w:rPr>
        <w:t xml:space="preserve">range and is higher when ISP withdrawals begin. </w:t>
      </w:r>
      <w:r w:rsidR="005407CB">
        <w:rPr>
          <w:spacing w:val="-2"/>
        </w:rPr>
        <w:t>They also pay</w:t>
      </w:r>
      <w:r w:rsidR="00CB4568">
        <w:rPr>
          <w:spacing w:val="-2"/>
        </w:rPr>
        <w:t xml:space="preserve"> the most rent at</w:t>
      </w:r>
      <w:r w:rsidR="00A61C8A">
        <w:rPr>
          <w:spacing w:val="-2"/>
        </w:rPr>
        <w:t xml:space="preserve"> zero market income — $5</w:t>
      </w:r>
      <w:r w:rsidR="00E62B23">
        <w:rPr>
          <w:spacing w:val="-2"/>
        </w:rPr>
        <w:t>987</w:t>
      </w:r>
      <w:r w:rsidR="002415D2" w:rsidRPr="00AE04FE">
        <w:rPr>
          <w:spacing w:val="-2"/>
        </w:rPr>
        <w:t xml:space="preserve"> (</w:t>
      </w:r>
      <w:r w:rsidR="00CB4568">
        <w:rPr>
          <w:spacing w:val="-2"/>
        </w:rPr>
        <w:t xml:space="preserve">information on </w:t>
      </w:r>
      <w:r w:rsidR="002415D2" w:rsidRPr="00AE04FE">
        <w:rPr>
          <w:spacing w:val="-2"/>
        </w:rPr>
        <w:t xml:space="preserve">rent </w:t>
      </w:r>
      <w:r w:rsidR="00CB4568">
        <w:rPr>
          <w:spacing w:val="-2"/>
        </w:rPr>
        <w:t>paid</w:t>
      </w:r>
      <w:r w:rsidR="002415D2" w:rsidRPr="00AE04FE">
        <w:rPr>
          <w:spacing w:val="-2"/>
        </w:rPr>
        <w:t xml:space="preserve"> at zero market income is presented in brackets in the </w:t>
      </w:r>
      <w:r w:rsidR="00FD7DD7" w:rsidRPr="00AE04FE">
        <w:rPr>
          <w:spacing w:val="-2"/>
        </w:rPr>
        <w:t xml:space="preserve">legend </w:t>
      </w:r>
      <w:r w:rsidR="00FD7DD7">
        <w:rPr>
          <w:spacing w:val="-2"/>
        </w:rPr>
        <w:t xml:space="preserve">in </w:t>
      </w:r>
      <w:r w:rsidR="002415D2" w:rsidRPr="00AE04FE">
        <w:rPr>
          <w:spacing w:val="-2"/>
        </w:rPr>
        <w:t>figure</w:t>
      </w:r>
      <w:r w:rsidR="00A61C8A">
        <w:rPr>
          <w:spacing w:val="-2"/>
        </w:rPr>
        <w:t> </w:t>
      </w:r>
      <w:r w:rsidR="00FD7DD7">
        <w:rPr>
          <w:spacing w:val="-2"/>
        </w:rPr>
        <w:t>5</w:t>
      </w:r>
      <w:r w:rsidR="002415D2" w:rsidRPr="00AE04FE">
        <w:rPr>
          <w:spacing w:val="-2"/>
        </w:rPr>
        <w:t>).</w:t>
      </w:r>
    </w:p>
    <w:p w:rsidR="00874835" w:rsidRDefault="00874835" w:rsidP="001C53E2">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74835" w:rsidTr="001C53E2">
        <w:tc>
          <w:tcPr>
            <w:tcW w:w="8771" w:type="dxa"/>
            <w:tcBorders>
              <w:top w:val="single" w:sz="6" w:space="0" w:color="78A22F"/>
              <w:left w:val="nil"/>
              <w:bottom w:val="nil"/>
              <w:right w:val="nil"/>
            </w:tcBorders>
            <w:shd w:val="clear" w:color="auto" w:fill="auto"/>
          </w:tcPr>
          <w:p w:rsidR="00874835" w:rsidRPr="00784A05" w:rsidRDefault="00874835" w:rsidP="00874835">
            <w:pPr>
              <w:pStyle w:val="TableTitle"/>
            </w:pPr>
            <w:r>
              <w:rPr>
                <w:b w:val="0"/>
              </w:rPr>
              <w:t xml:space="preserve">Table </w:t>
            </w:r>
            <w:r>
              <w:rPr>
                <w:b w:val="0"/>
              </w:rPr>
              <w:fldChar w:fldCharType="begin"/>
            </w:r>
            <w:r>
              <w:rPr>
                <w:b w:val="0"/>
              </w:rPr>
              <w:instrText xml:space="preserve"> COMMENTS  \* MERGEFORMAT </w:instrText>
            </w:r>
            <w:r>
              <w:rPr>
                <w:b w:val="0"/>
              </w:rPr>
              <w:fldChar w:fldCharType="end"/>
            </w:r>
            <w:r>
              <w:rPr>
                <w:b w:val="0"/>
              </w:rPr>
              <w:fldChar w:fldCharType="begin"/>
            </w:r>
            <w:r>
              <w:rPr>
                <w:b w:val="0"/>
              </w:rPr>
              <w:instrText xml:space="preserve"> SEQ Table \* ARABIC </w:instrText>
            </w:r>
            <w:r>
              <w:rPr>
                <w:b w:val="0"/>
              </w:rPr>
              <w:fldChar w:fldCharType="separate"/>
            </w:r>
            <w:r w:rsidR="002368BE">
              <w:rPr>
                <w:b w:val="0"/>
                <w:noProof/>
              </w:rPr>
              <w:t>4</w:t>
            </w:r>
            <w:r>
              <w:rPr>
                <w:b w:val="0"/>
              </w:rPr>
              <w:fldChar w:fldCharType="end"/>
            </w:r>
            <w:r>
              <w:tab/>
              <w:t>ISP characteristics of typical social housing tenants</w:t>
            </w:r>
            <w:r w:rsidRPr="00E17032">
              <w:rPr>
                <w:rStyle w:val="NoteLabel"/>
                <w:b/>
              </w:rPr>
              <w:t>a</w:t>
            </w:r>
            <w:r>
              <w:rPr>
                <w:rStyle w:val="NoteLabel"/>
                <w:b/>
              </w:rPr>
              <w:t>,b</w:t>
            </w:r>
            <w:r w:rsidR="0034098A">
              <w:rPr>
                <w:rStyle w:val="NoteLabel"/>
                <w:b/>
              </w:rPr>
              <w:t>,c</w:t>
            </w:r>
          </w:p>
        </w:tc>
      </w:tr>
      <w:tr w:rsidR="00874835" w:rsidTr="001C53E2">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2"/>
              <w:gridCol w:w="2123"/>
              <w:gridCol w:w="2122"/>
              <w:gridCol w:w="2120"/>
            </w:tblGrid>
            <w:tr w:rsidR="00874835" w:rsidTr="00874835">
              <w:tc>
                <w:tcPr>
                  <w:tcW w:w="1250" w:type="pct"/>
                  <w:tcBorders>
                    <w:top w:val="single" w:sz="6" w:space="0" w:color="BFBFBF"/>
                    <w:bottom w:val="single" w:sz="6" w:space="0" w:color="BFBFBF"/>
                  </w:tcBorders>
                  <w:shd w:val="clear" w:color="auto" w:fill="auto"/>
                  <w:tcMar>
                    <w:top w:w="28" w:type="dxa"/>
                  </w:tcMar>
                </w:tcPr>
                <w:p w:rsidR="00874835" w:rsidRDefault="00874835" w:rsidP="001C53E2">
                  <w:pPr>
                    <w:pStyle w:val="TableColumnHeading"/>
                    <w:jc w:val="left"/>
                  </w:pPr>
                  <w:r>
                    <w:t>Type of ISP recipient</w:t>
                  </w:r>
                </w:p>
              </w:tc>
              <w:tc>
                <w:tcPr>
                  <w:tcW w:w="1251" w:type="pct"/>
                  <w:tcBorders>
                    <w:top w:val="single" w:sz="6" w:space="0" w:color="BFBFBF"/>
                    <w:bottom w:val="single" w:sz="6" w:space="0" w:color="BFBFBF"/>
                  </w:tcBorders>
                  <w:shd w:val="clear" w:color="auto" w:fill="auto"/>
                  <w:tcMar>
                    <w:top w:w="28" w:type="dxa"/>
                  </w:tcMar>
                </w:tcPr>
                <w:p w:rsidR="00874835" w:rsidRDefault="00874835" w:rsidP="001C53E2">
                  <w:pPr>
                    <w:pStyle w:val="TableColumnHeading"/>
                  </w:pPr>
                  <w:r>
                    <w:t>Annual ISP when market income is zero</w:t>
                  </w:r>
                </w:p>
              </w:tc>
              <w:tc>
                <w:tcPr>
                  <w:tcW w:w="1250" w:type="pct"/>
                  <w:tcBorders>
                    <w:top w:val="single" w:sz="6" w:space="0" w:color="BFBFBF"/>
                    <w:bottom w:val="single" w:sz="6" w:space="0" w:color="BFBFBF"/>
                  </w:tcBorders>
                  <w:shd w:val="clear" w:color="auto" w:fill="auto"/>
                  <w:tcMar>
                    <w:top w:w="28" w:type="dxa"/>
                  </w:tcMar>
                </w:tcPr>
                <w:p w:rsidR="00874835" w:rsidRDefault="00874835" w:rsidP="001C53E2">
                  <w:pPr>
                    <w:pStyle w:val="TableColumnHeading"/>
                  </w:pPr>
                  <w:r>
                    <w:t xml:space="preserve">Market income threshold before ISP withdrawal commences </w:t>
                  </w:r>
                </w:p>
              </w:tc>
              <w:tc>
                <w:tcPr>
                  <w:tcW w:w="1249" w:type="pct"/>
                  <w:tcBorders>
                    <w:top w:val="single" w:sz="6" w:space="0" w:color="BFBFBF"/>
                    <w:bottom w:val="single" w:sz="6" w:space="0" w:color="BFBFBF"/>
                  </w:tcBorders>
                </w:tcPr>
                <w:p w:rsidR="00874835" w:rsidRDefault="00874835" w:rsidP="001C53E2">
                  <w:pPr>
                    <w:pStyle w:val="TableColumnHeading"/>
                    <w:ind w:right="28"/>
                  </w:pPr>
                  <w:r>
                    <w:t>Rate at which ISP is withdrawn</w:t>
                  </w:r>
                </w:p>
              </w:tc>
            </w:tr>
            <w:tr w:rsidR="00874835" w:rsidTr="00874835">
              <w:tc>
                <w:tcPr>
                  <w:tcW w:w="1250" w:type="pct"/>
                  <w:tcBorders>
                    <w:top w:val="single" w:sz="6" w:space="0" w:color="BFBFBF"/>
                  </w:tcBorders>
                </w:tcPr>
                <w:p w:rsidR="00874835" w:rsidRDefault="00874835" w:rsidP="001C53E2">
                  <w:pPr>
                    <w:pStyle w:val="TableUnitsRow"/>
                  </w:pPr>
                </w:p>
              </w:tc>
              <w:tc>
                <w:tcPr>
                  <w:tcW w:w="1251" w:type="pct"/>
                  <w:tcBorders>
                    <w:top w:val="single" w:sz="6" w:space="0" w:color="BFBFBF"/>
                  </w:tcBorders>
                </w:tcPr>
                <w:p w:rsidR="00874835" w:rsidRDefault="00874835" w:rsidP="001C53E2">
                  <w:pPr>
                    <w:pStyle w:val="TableUnitsRow"/>
                  </w:pPr>
                  <w:r>
                    <w:t>$</w:t>
                  </w:r>
                </w:p>
              </w:tc>
              <w:tc>
                <w:tcPr>
                  <w:tcW w:w="1250" w:type="pct"/>
                  <w:tcBorders>
                    <w:top w:val="single" w:sz="6" w:space="0" w:color="BFBFBF"/>
                  </w:tcBorders>
                </w:tcPr>
                <w:p w:rsidR="00874835" w:rsidRDefault="00874835" w:rsidP="001C53E2">
                  <w:pPr>
                    <w:pStyle w:val="TableUnitsRow"/>
                  </w:pPr>
                  <w:r>
                    <w:t>$</w:t>
                  </w:r>
                </w:p>
              </w:tc>
              <w:tc>
                <w:tcPr>
                  <w:tcW w:w="1249" w:type="pct"/>
                  <w:tcBorders>
                    <w:top w:val="single" w:sz="6" w:space="0" w:color="BFBFBF"/>
                  </w:tcBorders>
                </w:tcPr>
                <w:p w:rsidR="00874835" w:rsidRDefault="00874835" w:rsidP="0034098A">
                  <w:pPr>
                    <w:pStyle w:val="TableUnitsRow"/>
                    <w:ind w:right="0"/>
                  </w:pPr>
                  <w:r>
                    <w:t>Cents in the dollar</w:t>
                  </w:r>
                </w:p>
              </w:tc>
            </w:tr>
            <w:tr w:rsidR="00874835" w:rsidTr="00874835">
              <w:tc>
                <w:tcPr>
                  <w:tcW w:w="1250" w:type="pct"/>
                </w:tcPr>
                <w:p w:rsidR="00874835" w:rsidRDefault="00874835" w:rsidP="001C53E2">
                  <w:pPr>
                    <w:pStyle w:val="TableBodyText"/>
                    <w:jc w:val="left"/>
                  </w:pPr>
                  <w:r>
                    <w:t>Single, childless, NWS</w:t>
                  </w:r>
                </w:p>
              </w:tc>
              <w:tc>
                <w:tcPr>
                  <w:tcW w:w="1251" w:type="pct"/>
                </w:tcPr>
                <w:p w:rsidR="00874835" w:rsidRDefault="00874835" w:rsidP="001C53E2">
                  <w:pPr>
                    <w:pStyle w:val="TableBodyText"/>
                  </w:pPr>
                  <w:r w:rsidRPr="003F0A20">
                    <w:t>13</w:t>
                  </w:r>
                  <w:r>
                    <w:t xml:space="preserve"> </w:t>
                  </w:r>
                  <w:r w:rsidRPr="003F0A20">
                    <w:t>309</w:t>
                  </w:r>
                </w:p>
              </w:tc>
              <w:tc>
                <w:tcPr>
                  <w:tcW w:w="1250" w:type="pct"/>
                </w:tcPr>
                <w:p w:rsidR="00874835" w:rsidRDefault="00874835" w:rsidP="001C53E2">
                  <w:pPr>
                    <w:pStyle w:val="TableBodyText"/>
                  </w:pPr>
                  <w:r>
                    <w:t>2 607</w:t>
                  </w:r>
                </w:p>
              </w:tc>
              <w:tc>
                <w:tcPr>
                  <w:tcW w:w="1249" w:type="pct"/>
                </w:tcPr>
                <w:p w:rsidR="00874835" w:rsidRDefault="00874835" w:rsidP="001C53E2">
                  <w:pPr>
                    <w:pStyle w:val="TableBodyText"/>
                    <w:ind w:right="28"/>
                  </w:pPr>
                  <w:r>
                    <w:t>50 or 60</w:t>
                  </w:r>
                </w:p>
              </w:tc>
            </w:tr>
            <w:tr w:rsidR="00874835" w:rsidTr="001933DE">
              <w:tc>
                <w:tcPr>
                  <w:tcW w:w="1250" w:type="pct"/>
                </w:tcPr>
                <w:p w:rsidR="00874835" w:rsidRDefault="00874835" w:rsidP="001C53E2">
                  <w:pPr>
                    <w:pStyle w:val="TableBodyText"/>
                    <w:jc w:val="left"/>
                  </w:pPr>
                  <w:r>
                    <w:t xml:space="preserve">Single, childless, </w:t>
                  </w:r>
                  <w:proofErr w:type="spellStart"/>
                  <w:r>
                    <w:t>DSP</w:t>
                  </w:r>
                  <w:proofErr w:type="spellEnd"/>
                </w:p>
              </w:tc>
              <w:tc>
                <w:tcPr>
                  <w:tcW w:w="1251" w:type="pct"/>
                </w:tcPr>
                <w:p w:rsidR="00874835" w:rsidRDefault="00874835" w:rsidP="001C53E2">
                  <w:pPr>
                    <w:pStyle w:val="TableBodyText"/>
                  </w:pPr>
                  <w:r>
                    <w:t>21 611</w:t>
                  </w:r>
                </w:p>
              </w:tc>
              <w:tc>
                <w:tcPr>
                  <w:tcW w:w="1250" w:type="pct"/>
                </w:tcPr>
                <w:p w:rsidR="00874835" w:rsidRDefault="00874835" w:rsidP="001C53E2">
                  <w:pPr>
                    <w:pStyle w:val="TableBodyText"/>
                  </w:pPr>
                  <w:r>
                    <w:t>4 171</w:t>
                  </w:r>
                </w:p>
              </w:tc>
              <w:tc>
                <w:tcPr>
                  <w:tcW w:w="1249" w:type="pct"/>
                </w:tcPr>
                <w:p w:rsidR="00874835" w:rsidRDefault="00874835" w:rsidP="001C53E2">
                  <w:pPr>
                    <w:pStyle w:val="TableBodyText"/>
                    <w:ind w:right="28"/>
                  </w:pPr>
                  <w:r>
                    <w:t>50</w:t>
                  </w:r>
                </w:p>
              </w:tc>
            </w:tr>
            <w:tr w:rsidR="00874835" w:rsidTr="001933DE">
              <w:tc>
                <w:tcPr>
                  <w:tcW w:w="1250" w:type="pct"/>
                  <w:tcBorders>
                    <w:bottom w:val="single" w:sz="4" w:space="0" w:color="BFBFBF"/>
                  </w:tcBorders>
                </w:tcPr>
                <w:p w:rsidR="00874835" w:rsidRDefault="00874835" w:rsidP="0003139D">
                  <w:pPr>
                    <w:pStyle w:val="TableBodyText"/>
                    <w:jc w:val="left"/>
                  </w:pPr>
                  <w:r>
                    <w:t>Single, one child,</w:t>
                  </w:r>
                  <w:r w:rsidR="0003139D">
                    <w:t xml:space="preserve"> </w:t>
                  </w:r>
                  <w:r>
                    <w:t xml:space="preserve">PP + </w:t>
                  </w:r>
                  <w:proofErr w:type="spellStart"/>
                  <w:r>
                    <w:t>FTB</w:t>
                  </w:r>
                  <w:proofErr w:type="spellEnd"/>
                </w:p>
              </w:tc>
              <w:tc>
                <w:tcPr>
                  <w:tcW w:w="1251" w:type="pct"/>
                  <w:tcBorders>
                    <w:bottom w:val="single" w:sz="4" w:space="0" w:color="BFBFBF"/>
                  </w:tcBorders>
                </w:tcPr>
                <w:p w:rsidR="00874835" w:rsidRDefault="00874835" w:rsidP="001C53E2">
                  <w:pPr>
                    <w:pStyle w:val="TableBodyText"/>
                  </w:pPr>
                  <w:r>
                    <w:t>27 518</w:t>
                  </w:r>
                </w:p>
              </w:tc>
              <w:tc>
                <w:tcPr>
                  <w:tcW w:w="1250" w:type="pct"/>
                  <w:tcBorders>
                    <w:bottom w:val="single" w:sz="4" w:space="0" w:color="BFBFBF"/>
                  </w:tcBorders>
                </w:tcPr>
                <w:p w:rsidR="00874835" w:rsidRDefault="00874835" w:rsidP="001C53E2">
                  <w:pPr>
                    <w:pStyle w:val="TableBodyText"/>
                  </w:pPr>
                  <w:r>
                    <w:t>4 813</w:t>
                  </w:r>
                </w:p>
              </w:tc>
              <w:tc>
                <w:tcPr>
                  <w:tcW w:w="1249" w:type="pct"/>
                  <w:tcBorders>
                    <w:bottom w:val="single" w:sz="4" w:space="0" w:color="BFBFBF"/>
                  </w:tcBorders>
                </w:tcPr>
                <w:p w:rsidR="00874835" w:rsidRDefault="00874835" w:rsidP="001C53E2">
                  <w:pPr>
                    <w:pStyle w:val="TableBodyText"/>
                    <w:ind w:right="28"/>
                  </w:pPr>
                  <w:r>
                    <w:t>40</w:t>
                  </w:r>
                </w:p>
              </w:tc>
            </w:tr>
          </w:tbl>
          <w:p w:rsidR="00874835" w:rsidRDefault="00874835" w:rsidP="001C53E2">
            <w:pPr>
              <w:pStyle w:val="Box"/>
            </w:pPr>
          </w:p>
        </w:tc>
      </w:tr>
      <w:tr w:rsidR="00874835" w:rsidTr="001C53E2">
        <w:trPr>
          <w:cantSplit/>
        </w:trPr>
        <w:tc>
          <w:tcPr>
            <w:tcW w:w="8771" w:type="dxa"/>
            <w:tcBorders>
              <w:top w:val="nil"/>
              <w:left w:val="nil"/>
              <w:bottom w:val="nil"/>
              <w:right w:val="nil"/>
            </w:tcBorders>
            <w:shd w:val="clear" w:color="auto" w:fill="auto"/>
          </w:tcPr>
          <w:p w:rsidR="00874835" w:rsidRDefault="00874835" w:rsidP="001C53E2">
            <w:pPr>
              <w:pStyle w:val="Note"/>
              <w:rPr>
                <w:i/>
              </w:rPr>
            </w:pPr>
            <w:r>
              <w:t>DSP – Disability Support Pension; NWS – Newstart; PP – Parenting Payment; FTB – Family Tax Benefit.</w:t>
            </w:r>
            <w:r w:rsidRPr="00FB590C">
              <w:t xml:space="preserve"> </w:t>
            </w:r>
            <w:r>
              <w:rPr>
                <w:rStyle w:val="NoteLabel"/>
              </w:rPr>
              <w:t>a</w:t>
            </w:r>
            <w:r>
              <w:t xml:space="preserve"> Rates current at September 2014. </w:t>
            </w:r>
            <w:r>
              <w:rPr>
                <w:rStyle w:val="NoteLabel"/>
              </w:rPr>
              <w:t>b</w:t>
            </w:r>
            <w:r>
              <w:t xml:space="preserve"> The ISP is assumed to include the pension supplement where applicable. Other supplements such as the Energy Supplement, Telephone Allowance and the Pharmaceutical Allowance are ignored. These payments total about $600 annually, but only apply to some recipients. </w:t>
            </w:r>
            <w:r>
              <w:rPr>
                <w:rStyle w:val="NoteLabel"/>
              </w:rPr>
              <w:t>c</w:t>
            </w:r>
            <w:r>
              <w:t xml:space="preserve"> A withdrawal rate of 50 cents in the dollar applies for market income between $100 and $250 per fortnight. At incomes above $250, the withdrawal rate is 60 cents in the dollar.</w:t>
            </w:r>
          </w:p>
        </w:tc>
      </w:tr>
      <w:tr w:rsidR="00874835" w:rsidTr="001C53E2">
        <w:trPr>
          <w:cantSplit/>
        </w:trPr>
        <w:tc>
          <w:tcPr>
            <w:tcW w:w="8771" w:type="dxa"/>
            <w:tcBorders>
              <w:top w:val="nil"/>
              <w:left w:val="nil"/>
              <w:bottom w:val="nil"/>
              <w:right w:val="nil"/>
            </w:tcBorders>
            <w:shd w:val="clear" w:color="auto" w:fill="auto"/>
          </w:tcPr>
          <w:p w:rsidR="00874835" w:rsidRDefault="00874835" w:rsidP="0034098A">
            <w:pPr>
              <w:pStyle w:val="Source"/>
            </w:pPr>
            <w:r>
              <w:rPr>
                <w:i/>
              </w:rPr>
              <w:t>Source</w:t>
            </w:r>
            <w:r w:rsidRPr="00A61C8A">
              <w:t>:</w:t>
            </w:r>
            <w:r>
              <w:rPr>
                <w:i/>
              </w:rPr>
              <w:t xml:space="preserve"> </w:t>
            </w:r>
            <w:proofErr w:type="spellStart"/>
            <w:r w:rsidR="0034098A" w:rsidRPr="0034098A">
              <w:rPr>
                <w:rFonts w:cs="Arial"/>
                <w:szCs w:val="24"/>
              </w:rPr>
              <w:t>DHS</w:t>
            </w:r>
            <w:proofErr w:type="spellEnd"/>
            <w:r w:rsidR="0034098A" w:rsidRPr="0034098A">
              <w:rPr>
                <w:rFonts w:cs="Arial"/>
                <w:szCs w:val="24"/>
              </w:rPr>
              <w:t> </w:t>
            </w:r>
            <w:r w:rsidR="001933DE">
              <w:rPr>
                <w:rFonts w:cs="Arial"/>
                <w:szCs w:val="24"/>
              </w:rPr>
              <w:t>(</w:t>
            </w:r>
            <w:r w:rsidR="0034098A" w:rsidRPr="0034098A">
              <w:rPr>
                <w:rFonts w:cs="Arial"/>
                <w:szCs w:val="24"/>
              </w:rPr>
              <w:t>2014</w:t>
            </w:r>
            <w:r w:rsidR="001933DE" w:rsidRPr="001933DE">
              <w:t>)</w:t>
            </w:r>
            <w:r w:rsidR="00A61C8A">
              <w:rPr>
                <w:i/>
              </w:rPr>
              <w:t>.</w:t>
            </w:r>
          </w:p>
        </w:tc>
      </w:tr>
      <w:tr w:rsidR="00874835" w:rsidTr="001C53E2">
        <w:trPr>
          <w:cantSplit/>
        </w:trPr>
        <w:tc>
          <w:tcPr>
            <w:tcW w:w="8771" w:type="dxa"/>
            <w:tcBorders>
              <w:top w:val="nil"/>
              <w:left w:val="nil"/>
              <w:bottom w:val="single" w:sz="6" w:space="0" w:color="78A22F"/>
              <w:right w:val="nil"/>
            </w:tcBorders>
            <w:shd w:val="clear" w:color="auto" w:fill="auto"/>
          </w:tcPr>
          <w:p w:rsidR="00874835" w:rsidRDefault="00874835" w:rsidP="001C53E2">
            <w:pPr>
              <w:pStyle w:val="Box"/>
              <w:spacing w:before="0" w:line="120" w:lineRule="exact"/>
            </w:pPr>
          </w:p>
        </w:tc>
      </w:tr>
      <w:tr w:rsidR="00874835" w:rsidRPr="000863A5" w:rsidTr="001C53E2">
        <w:tc>
          <w:tcPr>
            <w:tcW w:w="8771" w:type="dxa"/>
            <w:tcBorders>
              <w:top w:val="single" w:sz="6" w:space="0" w:color="78A22F"/>
              <w:left w:val="nil"/>
              <w:bottom w:val="nil"/>
              <w:right w:val="nil"/>
            </w:tcBorders>
          </w:tcPr>
          <w:p w:rsidR="00874835" w:rsidRPr="00626D32" w:rsidRDefault="00874835" w:rsidP="001C53E2">
            <w:pPr>
              <w:pStyle w:val="BoxSpaceBelow"/>
            </w:pPr>
          </w:p>
        </w:tc>
      </w:tr>
    </w:tbl>
    <w:p w:rsidR="00D90991" w:rsidRDefault="00D90991"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991" w:rsidTr="001C53E2">
        <w:tc>
          <w:tcPr>
            <w:tcW w:w="8771" w:type="dxa"/>
            <w:tcBorders>
              <w:top w:val="single" w:sz="6" w:space="0" w:color="78A22F"/>
              <w:left w:val="nil"/>
              <w:bottom w:val="nil"/>
              <w:right w:val="nil"/>
            </w:tcBorders>
            <w:shd w:val="clear" w:color="auto" w:fill="auto"/>
          </w:tcPr>
          <w:p w:rsidR="00D90991" w:rsidRDefault="00D90991" w:rsidP="001C53E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4</w:t>
            </w:r>
            <w:r w:rsidRPr="00784A05">
              <w:rPr>
                <w:b w:val="0"/>
              </w:rPr>
              <w:fldChar w:fldCharType="end"/>
            </w:r>
            <w:r>
              <w:tab/>
              <w:t xml:space="preserve">Contribution of </w:t>
            </w:r>
            <w:proofErr w:type="spellStart"/>
            <w:r>
              <w:t>CRA</w:t>
            </w:r>
            <w:proofErr w:type="spellEnd"/>
            <w:r>
              <w:t xml:space="preserve"> to </w:t>
            </w:r>
            <w:proofErr w:type="spellStart"/>
            <w:r>
              <w:t>EMTRs</w:t>
            </w:r>
            <w:r w:rsidRPr="0091294E">
              <w:rPr>
                <w:rStyle w:val="NoteLabel"/>
                <w:b/>
              </w:rPr>
              <w:t>a</w:t>
            </w:r>
            <w:r>
              <w:rPr>
                <w:rStyle w:val="NoteLabel"/>
                <w:b/>
              </w:rPr>
              <w:t>,b,c,d</w:t>
            </w:r>
            <w:r w:rsidR="001A6D78">
              <w:rPr>
                <w:rStyle w:val="NoteLabel"/>
                <w:b/>
              </w:rPr>
              <w:t>,e</w:t>
            </w:r>
            <w:proofErr w:type="spellEnd"/>
          </w:p>
          <w:p w:rsidR="00D90991" w:rsidRPr="00176D3F" w:rsidRDefault="00D90991" w:rsidP="001C53E2">
            <w:pPr>
              <w:pStyle w:val="Subtitle"/>
            </w:pPr>
            <w:r w:rsidRPr="00F119F1">
              <w:t>Selected payment types</w:t>
            </w:r>
          </w:p>
        </w:tc>
      </w:tr>
      <w:tr w:rsidR="00D90991"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90991" w:rsidTr="001C53E2">
              <w:trPr>
                <w:jc w:val="center"/>
              </w:trPr>
              <w:tc>
                <w:tcPr>
                  <w:tcW w:w="5000" w:type="pct"/>
                  <w:tcBorders>
                    <w:top w:val="nil"/>
                    <w:bottom w:val="nil"/>
                  </w:tcBorders>
                </w:tcPr>
                <w:p w:rsidR="00D90991" w:rsidRDefault="008C3A2E" w:rsidP="001C53E2">
                  <w:pPr>
                    <w:pStyle w:val="Figure"/>
                    <w:spacing w:before="60" w:after="60"/>
                  </w:pPr>
                  <w:r>
                    <w:rPr>
                      <w:noProof/>
                    </w:rPr>
                    <w:drawing>
                      <wp:inline distT="0" distB="0" distL="0" distR="0">
                        <wp:extent cx="5380355" cy="2115820"/>
                        <wp:effectExtent l="0" t="0" r="0" b="0"/>
                        <wp:docPr id="9" name="Picture 9" descr="This chart shows the contribution of CRA to EMTRs for different income support recipients." title="Contribution of CRA to EMT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80355" cy="2115820"/>
                                </a:xfrm>
                                <a:prstGeom prst="rect">
                                  <a:avLst/>
                                </a:prstGeom>
                                <a:noFill/>
                                <a:ln>
                                  <a:noFill/>
                                </a:ln>
                              </pic:spPr>
                            </pic:pic>
                          </a:graphicData>
                        </a:graphic>
                      </wp:inline>
                    </w:drawing>
                  </w:r>
                </w:p>
              </w:tc>
            </w:tr>
          </w:tbl>
          <w:p w:rsidR="00D90991" w:rsidRDefault="00D90991" w:rsidP="001C53E2">
            <w:pPr>
              <w:pStyle w:val="Figure"/>
            </w:pPr>
          </w:p>
        </w:tc>
      </w:tr>
      <w:tr w:rsidR="00D90991" w:rsidRPr="00176D3F" w:rsidTr="001C53E2">
        <w:tc>
          <w:tcPr>
            <w:tcW w:w="8771" w:type="dxa"/>
            <w:tcBorders>
              <w:top w:val="nil"/>
              <w:left w:val="nil"/>
              <w:bottom w:val="nil"/>
              <w:right w:val="nil"/>
            </w:tcBorders>
            <w:shd w:val="clear" w:color="auto" w:fill="auto"/>
          </w:tcPr>
          <w:p w:rsidR="00D90991" w:rsidRPr="00176D3F" w:rsidRDefault="00D90991" w:rsidP="001C53E2">
            <w:pPr>
              <w:pStyle w:val="Note"/>
            </w:pPr>
            <w:r w:rsidRPr="004F049B">
              <w:rPr>
                <w:rStyle w:val="NoteLabel"/>
              </w:rPr>
              <w:t>a</w:t>
            </w:r>
            <w:r>
              <w:t xml:space="preserve"> Market rent is assumed to be $10 000 per annum. </w:t>
            </w:r>
            <w:r>
              <w:rPr>
                <w:rStyle w:val="NoteLabel"/>
              </w:rPr>
              <w:t xml:space="preserve">b </w:t>
            </w:r>
            <w:r>
              <w:t xml:space="preserve">The payments are: Newstart Allowance (NWS), Disability Support Pension (DSP), Parenting Payment (PP) and Family Tax Benefit (FTB). </w:t>
            </w:r>
            <w:r>
              <w:rPr>
                <w:rStyle w:val="NoteLabel"/>
              </w:rPr>
              <w:t xml:space="preserve">c </w:t>
            </w:r>
            <w:r>
              <w:t xml:space="preserve">The single parents’ child is assumed to be 5 years old. In reality, at this level of income Parenting Payment is fully withdrawn. The text is included in the label to facilitate comparison with the following figure for public housing tenants. </w:t>
            </w:r>
            <w:r>
              <w:rPr>
                <w:rStyle w:val="NoteLabel"/>
              </w:rPr>
              <w:t xml:space="preserve">d </w:t>
            </w:r>
            <w:r>
              <w:t>The effect of pension supplement withdrawal is not shown.</w:t>
            </w:r>
            <w:r w:rsidR="001A6D78">
              <w:t xml:space="preserve"> </w:t>
            </w:r>
            <w:r w:rsidR="001A6D78" w:rsidRPr="001A6D78">
              <w:rPr>
                <w:rStyle w:val="NoteLabel"/>
              </w:rPr>
              <w:t>e</w:t>
            </w:r>
            <w:r w:rsidR="001A6D78">
              <w:t xml:space="preserve"> The schedule for the PP recipient does not include the effects on disposable income of the Seniors and Pensioners Tax Offset. Inclusion of this offset has no discernible effect on the schedule.</w:t>
            </w:r>
          </w:p>
        </w:tc>
      </w:tr>
      <w:tr w:rsidR="00D90991" w:rsidRPr="00176D3F" w:rsidTr="001C53E2">
        <w:tc>
          <w:tcPr>
            <w:tcW w:w="8771" w:type="dxa"/>
            <w:tcBorders>
              <w:top w:val="nil"/>
              <w:left w:val="nil"/>
              <w:bottom w:val="nil"/>
              <w:right w:val="nil"/>
            </w:tcBorders>
            <w:shd w:val="clear" w:color="auto" w:fill="auto"/>
          </w:tcPr>
          <w:p w:rsidR="00D90991" w:rsidRPr="00D90991" w:rsidRDefault="00D90991" w:rsidP="001C53E2">
            <w:pPr>
              <w:pStyle w:val="Source"/>
              <w:rPr>
                <w:b/>
                <w:position w:val="6"/>
              </w:rPr>
            </w:pPr>
            <w:r>
              <w:rPr>
                <w:i/>
              </w:rPr>
              <w:t>Source</w:t>
            </w:r>
            <w:r>
              <w:t>: Estimated from the PCTT 2014 model.</w:t>
            </w:r>
          </w:p>
        </w:tc>
      </w:tr>
      <w:tr w:rsidR="00D90991" w:rsidTr="001C53E2">
        <w:tc>
          <w:tcPr>
            <w:tcW w:w="8771" w:type="dxa"/>
            <w:tcBorders>
              <w:top w:val="nil"/>
              <w:left w:val="nil"/>
              <w:bottom w:val="single" w:sz="6" w:space="0" w:color="78A22F"/>
              <w:right w:val="nil"/>
            </w:tcBorders>
            <w:shd w:val="clear" w:color="auto" w:fill="auto"/>
          </w:tcPr>
          <w:p w:rsidR="00D90991" w:rsidRDefault="00D90991" w:rsidP="001C53E2">
            <w:pPr>
              <w:pStyle w:val="Figurespace"/>
            </w:pPr>
          </w:p>
        </w:tc>
      </w:tr>
      <w:tr w:rsidR="00D90991" w:rsidRPr="000863A5" w:rsidTr="001C53E2">
        <w:tc>
          <w:tcPr>
            <w:tcW w:w="8771" w:type="dxa"/>
            <w:tcBorders>
              <w:top w:val="single" w:sz="6" w:space="0" w:color="78A22F"/>
              <w:left w:val="nil"/>
              <w:bottom w:val="nil"/>
              <w:right w:val="nil"/>
            </w:tcBorders>
          </w:tcPr>
          <w:p w:rsidR="00D90991" w:rsidRPr="00626D32" w:rsidRDefault="00D90991" w:rsidP="001C53E2">
            <w:pPr>
              <w:pStyle w:val="BoxSpaceBelow"/>
            </w:pPr>
          </w:p>
        </w:tc>
      </w:tr>
    </w:tbl>
    <w:p w:rsidR="00D90991" w:rsidRDefault="00D90991"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90991" w:rsidTr="001C53E2">
        <w:tc>
          <w:tcPr>
            <w:tcW w:w="8771" w:type="dxa"/>
            <w:tcBorders>
              <w:top w:val="single" w:sz="6" w:space="0" w:color="78A22F"/>
              <w:left w:val="nil"/>
              <w:bottom w:val="nil"/>
              <w:right w:val="nil"/>
            </w:tcBorders>
            <w:shd w:val="clear" w:color="auto" w:fill="auto"/>
          </w:tcPr>
          <w:p w:rsidR="00D90991" w:rsidRDefault="00D90991" w:rsidP="001C53E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5</w:t>
            </w:r>
            <w:r w:rsidRPr="00784A05">
              <w:rPr>
                <w:b w:val="0"/>
              </w:rPr>
              <w:fldChar w:fldCharType="end"/>
            </w:r>
            <w:r>
              <w:tab/>
              <w:t>Contribution of social housing rent setting to EMTRs</w:t>
            </w:r>
            <w:r>
              <w:rPr>
                <w:rStyle w:val="NoteLabel"/>
                <w:b/>
              </w:rPr>
              <w:t>a,b,c</w:t>
            </w:r>
          </w:p>
          <w:p w:rsidR="00D90991" w:rsidRPr="00176D3F" w:rsidRDefault="00D90991" w:rsidP="001C53E2">
            <w:pPr>
              <w:pStyle w:val="Subtitle"/>
            </w:pPr>
            <w:r w:rsidRPr="00F119F1">
              <w:t>Selected payment types</w:t>
            </w:r>
          </w:p>
        </w:tc>
      </w:tr>
      <w:tr w:rsidR="00D90991"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D90991" w:rsidTr="009F2DE7">
              <w:trPr>
                <w:jc w:val="center"/>
              </w:trPr>
              <w:tc>
                <w:tcPr>
                  <w:tcW w:w="8504" w:type="dxa"/>
                  <w:tcBorders>
                    <w:top w:val="nil"/>
                    <w:bottom w:val="nil"/>
                  </w:tcBorders>
                </w:tcPr>
                <w:p w:rsidR="00D90991" w:rsidRDefault="008C3A2E" w:rsidP="001C53E2">
                  <w:pPr>
                    <w:pStyle w:val="Figure"/>
                    <w:spacing w:before="60" w:after="60"/>
                  </w:pPr>
                  <w:r>
                    <w:rPr>
                      <w:noProof/>
                    </w:rPr>
                    <w:drawing>
                      <wp:inline distT="0" distB="0" distL="0" distR="0">
                        <wp:extent cx="5262880" cy="2402840"/>
                        <wp:effectExtent l="0" t="0" r="0" b="0"/>
                        <wp:docPr id="11" name="Picture 11" descr="This chart shows the contribution of social housing rent setting to EMTRs for recipients of different income support payments." title="Contribution of social housing rent setting to EMT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262880" cy="2402840"/>
                                </a:xfrm>
                                <a:prstGeom prst="rect">
                                  <a:avLst/>
                                </a:prstGeom>
                                <a:noFill/>
                                <a:ln>
                                  <a:noFill/>
                                </a:ln>
                              </pic:spPr>
                            </pic:pic>
                          </a:graphicData>
                        </a:graphic>
                      </wp:inline>
                    </w:drawing>
                  </w:r>
                </w:p>
              </w:tc>
            </w:tr>
          </w:tbl>
          <w:p w:rsidR="00D90991" w:rsidRDefault="00D90991" w:rsidP="001C53E2">
            <w:pPr>
              <w:pStyle w:val="Figure"/>
            </w:pPr>
          </w:p>
        </w:tc>
      </w:tr>
      <w:tr w:rsidR="00D90991" w:rsidRPr="00176D3F" w:rsidTr="001C53E2">
        <w:tc>
          <w:tcPr>
            <w:tcW w:w="8771" w:type="dxa"/>
            <w:tcBorders>
              <w:top w:val="nil"/>
              <w:left w:val="nil"/>
              <w:bottom w:val="nil"/>
              <w:right w:val="nil"/>
            </w:tcBorders>
            <w:shd w:val="clear" w:color="auto" w:fill="auto"/>
          </w:tcPr>
          <w:p w:rsidR="00D90991" w:rsidRPr="00176D3F" w:rsidRDefault="00D90991" w:rsidP="001C53E2">
            <w:pPr>
              <w:pStyle w:val="Note"/>
            </w:pPr>
            <w:r w:rsidRPr="004F049B">
              <w:rPr>
                <w:rStyle w:val="NoteLabel"/>
              </w:rPr>
              <w:t>a</w:t>
            </w:r>
            <w:r>
              <w:t xml:space="preserve"> Market rent is assumed to be $10 000 per annum. </w:t>
            </w:r>
            <w:r>
              <w:rPr>
                <w:rStyle w:val="NoteLabel"/>
              </w:rPr>
              <w:t xml:space="preserve">b </w:t>
            </w:r>
            <w:r>
              <w:t xml:space="preserve">The payments are: Newstart Allowance (NWS), Disability Support Pension (DSP), Parenting Payment (PP) and Family Tax Benefit (FTB). </w:t>
            </w:r>
            <w:r>
              <w:rPr>
                <w:rStyle w:val="NoteLabel"/>
              </w:rPr>
              <w:t>c</w:t>
            </w:r>
            <w:r w:rsidRPr="00C33EDF">
              <w:t xml:space="preserve"> </w:t>
            </w:r>
            <w:r w:rsidRPr="00994538">
              <w:t xml:space="preserve">Rents </w:t>
            </w:r>
            <w:r>
              <w:t>paid at zero market income are presented in brackets in the legend for each typical ISP recipient.</w:t>
            </w:r>
          </w:p>
        </w:tc>
      </w:tr>
      <w:tr w:rsidR="00D90991" w:rsidRPr="00176D3F" w:rsidTr="001C53E2">
        <w:tc>
          <w:tcPr>
            <w:tcW w:w="8771" w:type="dxa"/>
            <w:tcBorders>
              <w:top w:val="nil"/>
              <w:left w:val="nil"/>
              <w:bottom w:val="nil"/>
              <w:right w:val="nil"/>
            </w:tcBorders>
            <w:shd w:val="clear" w:color="auto" w:fill="auto"/>
          </w:tcPr>
          <w:p w:rsidR="00D90991" w:rsidRPr="00176D3F" w:rsidRDefault="00D90991" w:rsidP="00D90991">
            <w:pPr>
              <w:pStyle w:val="Source"/>
            </w:pPr>
            <w:r>
              <w:rPr>
                <w:i/>
              </w:rPr>
              <w:t>Source</w:t>
            </w:r>
            <w:r>
              <w:t>: Estimated from the PCTT 2014 model.</w:t>
            </w:r>
          </w:p>
        </w:tc>
      </w:tr>
      <w:tr w:rsidR="00D90991" w:rsidTr="001C53E2">
        <w:tc>
          <w:tcPr>
            <w:tcW w:w="8771" w:type="dxa"/>
            <w:tcBorders>
              <w:top w:val="nil"/>
              <w:left w:val="nil"/>
              <w:bottom w:val="single" w:sz="6" w:space="0" w:color="78A22F"/>
              <w:right w:val="nil"/>
            </w:tcBorders>
            <w:shd w:val="clear" w:color="auto" w:fill="auto"/>
          </w:tcPr>
          <w:p w:rsidR="00D90991" w:rsidRDefault="00D90991" w:rsidP="001C53E2">
            <w:pPr>
              <w:pStyle w:val="Figurespace"/>
            </w:pPr>
          </w:p>
        </w:tc>
      </w:tr>
      <w:tr w:rsidR="00D90991" w:rsidRPr="000863A5" w:rsidTr="001C53E2">
        <w:tc>
          <w:tcPr>
            <w:tcW w:w="8771" w:type="dxa"/>
            <w:tcBorders>
              <w:top w:val="single" w:sz="6" w:space="0" w:color="78A22F"/>
              <w:left w:val="nil"/>
              <w:bottom w:val="nil"/>
              <w:right w:val="nil"/>
            </w:tcBorders>
          </w:tcPr>
          <w:p w:rsidR="00D90991" w:rsidRPr="00626D32" w:rsidRDefault="00D90991" w:rsidP="001C53E2">
            <w:pPr>
              <w:pStyle w:val="BoxSpaceBelow"/>
            </w:pPr>
          </w:p>
        </w:tc>
      </w:tr>
    </w:tbl>
    <w:p w:rsidR="009B15D4" w:rsidRDefault="009B15D4" w:rsidP="009B15D4">
      <w:pPr>
        <w:pStyle w:val="Heading5"/>
      </w:pPr>
      <w:r>
        <w:lastRenderedPageBreak/>
        <w:t>Cumulative price effects and income effects</w:t>
      </w:r>
    </w:p>
    <w:p w:rsidR="005C6351" w:rsidRPr="00D06851" w:rsidRDefault="005C6351" w:rsidP="005C6351">
      <w:pPr>
        <w:pStyle w:val="BodyText"/>
        <w:rPr>
          <w:spacing w:val="-2"/>
        </w:rPr>
      </w:pPr>
      <w:r w:rsidRPr="00D06851">
        <w:rPr>
          <w:spacing w:val="-2"/>
        </w:rPr>
        <w:t xml:space="preserve">Relative to </w:t>
      </w:r>
      <w:r w:rsidR="0070318E">
        <w:rPr>
          <w:spacing w:val="-2"/>
        </w:rPr>
        <w:t>ISP</w:t>
      </w:r>
      <w:r w:rsidRPr="00D06851">
        <w:rPr>
          <w:spacing w:val="-2"/>
        </w:rPr>
        <w:t>s, the income effect</w:t>
      </w:r>
      <w:r w:rsidR="00CC676B" w:rsidRPr="00D06851">
        <w:rPr>
          <w:spacing w:val="-2"/>
        </w:rPr>
        <w:t>s</w:t>
      </w:r>
      <w:r w:rsidRPr="00D06851">
        <w:rPr>
          <w:spacing w:val="-2"/>
        </w:rPr>
        <w:t xml:space="preserve"> of CRA </w:t>
      </w:r>
      <w:r w:rsidR="00CC676B" w:rsidRPr="00D06851">
        <w:rPr>
          <w:spacing w:val="-2"/>
        </w:rPr>
        <w:t xml:space="preserve">and social housing rent setting are </w:t>
      </w:r>
      <w:r w:rsidR="007923F0">
        <w:rPr>
          <w:spacing w:val="-2"/>
        </w:rPr>
        <w:t>not the primary driver of high EMTRs</w:t>
      </w:r>
      <w:r w:rsidR="007923F0" w:rsidRPr="00D06851">
        <w:rPr>
          <w:spacing w:val="-2"/>
        </w:rPr>
        <w:t xml:space="preserve"> </w:t>
      </w:r>
      <w:r w:rsidR="00991316" w:rsidRPr="00D06851">
        <w:rPr>
          <w:spacing w:val="-2"/>
        </w:rPr>
        <w:t>(figures</w:t>
      </w:r>
      <w:r w:rsidR="00A61C8A">
        <w:rPr>
          <w:spacing w:val="-2"/>
        </w:rPr>
        <w:t> </w:t>
      </w:r>
      <w:r w:rsidR="00991316" w:rsidRPr="00D06851">
        <w:rPr>
          <w:spacing w:val="-2"/>
        </w:rPr>
        <w:t>6 and 7)</w:t>
      </w:r>
      <w:r w:rsidRPr="00D06851">
        <w:rPr>
          <w:spacing w:val="-2"/>
        </w:rPr>
        <w:t xml:space="preserve">. For example, for a single, childless DSP recipient, the effect </w:t>
      </w:r>
      <w:r w:rsidR="00CC676B" w:rsidRPr="00D06851">
        <w:rPr>
          <w:spacing w:val="-2"/>
        </w:rPr>
        <w:t xml:space="preserve">from CRA </w:t>
      </w:r>
      <w:r w:rsidRPr="00D06851">
        <w:rPr>
          <w:spacing w:val="-2"/>
        </w:rPr>
        <w:t>is about $3</w:t>
      </w:r>
      <w:r w:rsidR="005B2BF5" w:rsidRPr="00D06851">
        <w:rPr>
          <w:spacing w:val="-2"/>
        </w:rPr>
        <w:t>3</w:t>
      </w:r>
      <w:r w:rsidRPr="00D06851">
        <w:rPr>
          <w:spacing w:val="-2"/>
        </w:rPr>
        <w:t>00 at zero market income and $</w:t>
      </w:r>
      <w:r w:rsidR="00991316" w:rsidRPr="00D06851">
        <w:rPr>
          <w:spacing w:val="-2"/>
        </w:rPr>
        <w:t xml:space="preserve">1900 </w:t>
      </w:r>
      <w:r w:rsidRPr="00D06851">
        <w:rPr>
          <w:spacing w:val="-2"/>
        </w:rPr>
        <w:t>at a market income of $50 000.</w:t>
      </w:r>
      <w:r w:rsidR="00CC676B" w:rsidRPr="00D06851">
        <w:rPr>
          <w:spacing w:val="-2"/>
        </w:rPr>
        <w:t xml:space="preserve"> If the same person was in social housing, the income effect would be </w:t>
      </w:r>
      <w:r w:rsidR="00A017B8" w:rsidRPr="00D06851">
        <w:rPr>
          <w:spacing w:val="-2"/>
        </w:rPr>
        <w:t>$4600</w:t>
      </w:r>
      <w:r w:rsidR="005B2BF5" w:rsidRPr="00D06851">
        <w:rPr>
          <w:spacing w:val="-2"/>
        </w:rPr>
        <w:t xml:space="preserve"> at zero market income and </w:t>
      </w:r>
      <w:r w:rsidR="00634912" w:rsidRPr="00D06851">
        <w:rPr>
          <w:spacing w:val="-2"/>
        </w:rPr>
        <w:t>zero</w:t>
      </w:r>
      <w:r w:rsidR="005B2BF5" w:rsidRPr="00D06851">
        <w:rPr>
          <w:spacing w:val="-2"/>
        </w:rPr>
        <w:t xml:space="preserve"> at a market income of $50 000.</w:t>
      </w:r>
    </w:p>
    <w:p w:rsidR="005C6351" w:rsidRDefault="002C7FC6" w:rsidP="005C6351">
      <w:pPr>
        <w:pStyle w:val="BodyText"/>
        <w:rPr>
          <w:spacing w:val="-2"/>
        </w:rPr>
      </w:pPr>
      <w:r w:rsidRPr="00D06851">
        <w:rPr>
          <w:spacing w:val="-2"/>
        </w:rPr>
        <w:t>O</w:t>
      </w:r>
      <w:r w:rsidR="00CC676B" w:rsidRPr="00D06851">
        <w:rPr>
          <w:spacing w:val="-2"/>
        </w:rPr>
        <w:t>ther factors that affect disposable income as market income rises</w:t>
      </w:r>
      <w:r w:rsidR="00991316" w:rsidRPr="00D06851">
        <w:rPr>
          <w:spacing w:val="-2"/>
        </w:rPr>
        <w:t>, that is, price</w:t>
      </w:r>
      <w:r w:rsidR="00A017B8" w:rsidRPr="00D06851">
        <w:rPr>
          <w:spacing w:val="-2"/>
        </w:rPr>
        <w:t xml:space="preserve"> effects other than those created by housing assistance,</w:t>
      </w:r>
      <w:r w:rsidR="00CC676B" w:rsidRPr="00D06851">
        <w:rPr>
          <w:spacing w:val="-2"/>
        </w:rPr>
        <w:t xml:space="preserve"> have a much larger cumulative influence </w:t>
      </w:r>
      <w:r w:rsidR="007D3329" w:rsidRPr="00D06851">
        <w:rPr>
          <w:spacing w:val="-2"/>
        </w:rPr>
        <w:t xml:space="preserve">on </w:t>
      </w:r>
      <w:r w:rsidR="00204EB6">
        <w:rPr>
          <w:spacing w:val="-2"/>
        </w:rPr>
        <w:t xml:space="preserve">work </w:t>
      </w:r>
      <w:r w:rsidR="007D3329" w:rsidRPr="00D06851">
        <w:rPr>
          <w:spacing w:val="-2"/>
        </w:rPr>
        <w:t xml:space="preserve">incentives </w:t>
      </w:r>
      <w:r w:rsidR="00CC676B" w:rsidRPr="00D06851">
        <w:rPr>
          <w:spacing w:val="-2"/>
        </w:rPr>
        <w:t xml:space="preserve">than the withdrawal of CRA or social housing rent setting. </w:t>
      </w:r>
      <w:r w:rsidR="005C6351" w:rsidRPr="00D06851">
        <w:rPr>
          <w:spacing w:val="-2"/>
        </w:rPr>
        <w:t xml:space="preserve">For example, at zero market income a single, childless DSP recipient </w:t>
      </w:r>
      <w:r w:rsidR="00991316" w:rsidRPr="00D06851">
        <w:rPr>
          <w:spacing w:val="-2"/>
        </w:rPr>
        <w:t>renting privately and receiving</w:t>
      </w:r>
      <w:r w:rsidR="00A017B8" w:rsidRPr="00D06851">
        <w:rPr>
          <w:spacing w:val="-2"/>
        </w:rPr>
        <w:t xml:space="preserve"> CRA </w:t>
      </w:r>
      <w:r w:rsidR="005C6351" w:rsidRPr="00D06851">
        <w:rPr>
          <w:spacing w:val="-2"/>
        </w:rPr>
        <w:t>has a disposable income (including rent) of about $25 000</w:t>
      </w:r>
      <w:r w:rsidR="007923F0">
        <w:rPr>
          <w:spacing w:val="-2"/>
        </w:rPr>
        <w:t>, whereas</w:t>
      </w:r>
      <w:r w:rsidR="005C6351" w:rsidRPr="00D06851">
        <w:rPr>
          <w:spacing w:val="-2"/>
        </w:rPr>
        <w:t xml:space="preserve"> </w:t>
      </w:r>
      <w:r w:rsidR="007923F0">
        <w:rPr>
          <w:spacing w:val="-2"/>
        </w:rPr>
        <w:t>a</w:t>
      </w:r>
      <w:r w:rsidR="005C6351" w:rsidRPr="00D06851">
        <w:rPr>
          <w:spacing w:val="-2"/>
        </w:rPr>
        <w:t xml:space="preserve">t $50 000 market income, their disposable income is about $44 000. So the DSP recipient would be better off by about $19 000 if they </w:t>
      </w:r>
      <w:r w:rsidRPr="00D06851">
        <w:rPr>
          <w:spacing w:val="-2"/>
        </w:rPr>
        <w:t xml:space="preserve">could take </w:t>
      </w:r>
      <w:r w:rsidR="005C6351" w:rsidRPr="00D06851">
        <w:rPr>
          <w:spacing w:val="-2"/>
        </w:rPr>
        <w:t xml:space="preserve">on a job paying $50 000. At this level of income, they would have to pay income tax and would </w:t>
      </w:r>
      <w:r w:rsidR="00CA0CCF" w:rsidRPr="00D06851">
        <w:rPr>
          <w:spacing w:val="-2"/>
        </w:rPr>
        <w:t>forego</w:t>
      </w:r>
      <w:r w:rsidR="005C6351" w:rsidRPr="00D06851">
        <w:rPr>
          <w:spacing w:val="-2"/>
        </w:rPr>
        <w:t xml:space="preserve"> benefits worth nearly $23 000 — of which CRA makes up a relatively small part (about $1400). </w:t>
      </w:r>
      <w:r w:rsidR="007923F0">
        <w:rPr>
          <w:spacing w:val="-2"/>
        </w:rPr>
        <w:t>Altering withdrawal rates of housing assistance in isolation is unlikely to alter work incentives in this set of circumstances.</w:t>
      </w:r>
    </w:p>
    <w:p w:rsidR="005C3557" w:rsidRDefault="005C3557"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557" w:rsidTr="001C53E2">
        <w:tc>
          <w:tcPr>
            <w:tcW w:w="8771" w:type="dxa"/>
            <w:tcBorders>
              <w:top w:val="single" w:sz="6" w:space="0" w:color="78A22F"/>
              <w:left w:val="nil"/>
              <w:bottom w:val="nil"/>
              <w:right w:val="nil"/>
            </w:tcBorders>
            <w:shd w:val="clear" w:color="auto" w:fill="auto"/>
          </w:tcPr>
          <w:p w:rsidR="005C3557" w:rsidRDefault="005C3557" w:rsidP="001C53E2">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6</w:t>
            </w:r>
            <w:r w:rsidRPr="00784A05">
              <w:rPr>
                <w:b w:val="0"/>
              </w:rPr>
              <w:fldChar w:fldCharType="end"/>
            </w:r>
            <w:r>
              <w:tab/>
            </w:r>
            <w:proofErr w:type="spellStart"/>
            <w:r>
              <w:t>CRA</w:t>
            </w:r>
            <w:proofErr w:type="spellEnd"/>
            <w:r>
              <w:t xml:space="preserve"> and other transfers at different market incomes</w:t>
            </w:r>
            <w:proofErr w:type="spellStart"/>
            <w:r w:rsidRPr="000A3D3C">
              <w:rPr>
                <w:rStyle w:val="NoteLabel"/>
                <w:b/>
              </w:rPr>
              <w:t>a</w:t>
            </w:r>
            <w:r w:rsidR="001A6D78">
              <w:rPr>
                <w:rStyle w:val="NoteLabel"/>
                <w:b/>
              </w:rPr>
              <w:t>,b</w:t>
            </w:r>
            <w:proofErr w:type="spellEnd"/>
          </w:p>
          <w:p w:rsidR="005C3557" w:rsidRPr="00176D3F" w:rsidRDefault="005C3557" w:rsidP="001C53E2">
            <w:pPr>
              <w:pStyle w:val="Subtitle"/>
            </w:pPr>
            <w:r>
              <w:t>Income flows and post rent income at zero and $50 000 market income</w:t>
            </w:r>
          </w:p>
        </w:tc>
      </w:tr>
      <w:tr w:rsidR="005C3557"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3557" w:rsidTr="001C53E2">
              <w:trPr>
                <w:jc w:val="center"/>
              </w:trPr>
              <w:tc>
                <w:tcPr>
                  <w:tcW w:w="5000" w:type="pct"/>
                  <w:tcBorders>
                    <w:top w:val="nil"/>
                    <w:bottom w:val="nil"/>
                  </w:tcBorders>
                </w:tcPr>
                <w:p w:rsidR="005C3557" w:rsidRDefault="005C3557" w:rsidP="001C53E2">
                  <w:pPr>
                    <w:pStyle w:val="Figure"/>
                    <w:spacing w:before="60" w:after="60"/>
                  </w:pPr>
                  <w:r w:rsidRPr="0048576E">
                    <w:rPr>
                      <w:rFonts w:ascii="Arial" w:hAnsi="Arial" w:cs="Arial"/>
                      <w:noProof/>
                      <w:sz w:val="18"/>
                      <w:szCs w:val="18"/>
                    </w:rPr>
                    <w:drawing>
                      <wp:inline distT="0" distB="0" distL="0" distR="0" wp14:anchorId="3DD337EF" wp14:editId="6B15AFA0">
                        <wp:extent cx="5323659" cy="3240000"/>
                        <wp:effectExtent l="0" t="0" r="0" b="0"/>
                        <wp:docPr id="14" name="Chart 14" descr="This chart shows the income flows and post rent income at zero and $50 000 market incomes, for recipients of different income support payments." title="CRA and other transfers at different market incom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bl>
          <w:p w:rsidR="005C3557" w:rsidRDefault="005C3557" w:rsidP="001C53E2">
            <w:pPr>
              <w:pStyle w:val="Figure"/>
            </w:pPr>
          </w:p>
        </w:tc>
      </w:tr>
      <w:tr w:rsidR="005C3557" w:rsidRPr="00176D3F" w:rsidTr="001C53E2">
        <w:tc>
          <w:tcPr>
            <w:tcW w:w="8771" w:type="dxa"/>
            <w:tcBorders>
              <w:top w:val="nil"/>
              <w:left w:val="nil"/>
              <w:bottom w:val="nil"/>
              <w:right w:val="nil"/>
            </w:tcBorders>
            <w:shd w:val="clear" w:color="auto" w:fill="auto"/>
          </w:tcPr>
          <w:p w:rsidR="005C3557" w:rsidRPr="005C3557" w:rsidRDefault="005C3557" w:rsidP="001A6D78">
            <w:pPr>
              <w:pStyle w:val="Note"/>
              <w:rPr>
                <w:b/>
                <w:position w:val="6"/>
              </w:rPr>
            </w:pPr>
            <w:r w:rsidRPr="004F049B">
              <w:rPr>
                <w:rStyle w:val="NoteLabel"/>
              </w:rPr>
              <w:t>a</w:t>
            </w:r>
            <w:r>
              <w:t xml:space="preserve"> Market rent is assumed to be $10 000 per annum.</w:t>
            </w:r>
            <w:r w:rsidR="001A6D78">
              <w:t xml:space="preserve"> </w:t>
            </w:r>
            <w:r w:rsidR="001A6D78" w:rsidRPr="001A6D78">
              <w:rPr>
                <w:rStyle w:val="NoteLabel"/>
              </w:rPr>
              <w:t>b</w:t>
            </w:r>
            <w:r w:rsidR="001A6D78">
              <w:t xml:space="preserve"> Data for the PP recipient do not include the effects on disposable income of the Seniors and Pensioners Tax Offset. Inclusion of this offset has no discernible effect on the figure.</w:t>
            </w:r>
          </w:p>
        </w:tc>
      </w:tr>
      <w:tr w:rsidR="005C3557" w:rsidRPr="00176D3F" w:rsidTr="001C53E2">
        <w:tc>
          <w:tcPr>
            <w:tcW w:w="8771" w:type="dxa"/>
            <w:tcBorders>
              <w:top w:val="nil"/>
              <w:left w:val="nil"/>
              <w:bottom w:val="nil"/>
              <w:right w:val="nil"/>
            </w:tcBorders>
            <w:shd w:val="clear" w:color="auto" w:fill="auto"/>
          </w:tcPr>
          <w:p w:rsidR="005C3557" w:rsidRPr="005C3557" w:rsidRDefault="005C3557" w:rsidP="001C53E2">
            <w:pPr>
              <w:pStyle w:val="Source"/>
              <w:rPr>
                <w:b/>
                <w:position w:val="6"/>
              </w:rPr>
            </w:pPr>
            <w:r>
              <w:rPr>
                <w:i/>
              </w:rPr>
              <w:t>Source</w:t>
            </w:r>
            <w:r>
              <w:t>: Estimated from the PCTT 2014 model.</w:t>
            </w:r>
          </w:p>
        </w:tc>
      </w:tr>
      <w:tr w:rsidR="005C3557" w:rsidTr="001C53E2">
        <w:tc>
          <w:tcPr>
            <w:tcW w:w="8771" w:type="dxa"/>
            <w:tcBorders>
              <w:top w:val="nil"/>
              <w:left w:val="nil"/>
              <w:bottom w:val="single" w:sz="6" w:space="0" w:color="78A22F"/>
              <w:right w:val="nil"/>
            </w:tcBorders>
            <w:shd w:val="clear" w:color="auto" w:fill="auto"/>
          </w:tcPr>
          <w:p w:rsidR="005C3557" w:rsidRDefault="005C3557" w:rsidP="001C53E2">
            <w:pPr>
              <w:pStyle w:val="Figurespace"/>
            </w:pPr>
          </w:p>
        </w:tc>
      </w:tr>
      <w:tr w:rsidR="005C3557" w:rsidRPr="000863A5" w:rsidTr="001C53E2">
        <w:tc>
          <w:tcPr>
            <w:tcW w:w="8771" w:type="dxa"/>
            <w:tcBorders>
              <w:top w:val="single" w:sz="6" w:space="0" w:color="78A22F"/>
              <w:left w:val="nil"/>
              <w:bottom w:val="nil"/>
              <w:right w:val="nil"/>
            </w:tcBorders>
          </w:tcPr>
          <w:p w:rsidR="005C3557" w:rsidRPr="00626D32" w:rsidRDefault="005C3557" w:rsidP="001C53E2">
            <w:pPr>
              <w:pStyle w:val="BoxSpaceBelow"/>
            </w:pPr>
          </w:p>
        </w:tc>
      </w:tr>
    </w:tbl>
    <w:p w:rsidR="005C3557" w:rsidRDefault="005C3557"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557" w:rsidTr="001C53E2">
        <w:tc>
          <w:tcPr>
            <w:tcW w:w="8771" w:type="dxa"/>
            <w:tcBorders>
              <w:top w:val="single" w:sz="6" w:space="0" w:color="78A22F"/>
              <w:left w:val="nil"/>
              <w:bottom w:val="nil"/>
              <w:right w:val="nil"/>
            </w:tcBorders>
            <w:shd w:val="clear" w:color="auto" w:fill="auto"/>
          </w:tcPr>
          <w:p w:rsidR="005C3557" w:rsidRDefault="005C3557" w:rsidP="005C3557">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7</w:t>
            </w:r>
            <w:r w:rsidRPr="00784A05">
              <w:rPr>
                <w:b w:val="0"/>
              </w:rPr>
              <w:fldChar w:fldCharType="end"/>
            </w:r>
            <w:r>
              <w:tab/>
              <w:t>Social housing and other transfers at different market incomes</w:t>
            </w:r>
            <w:proofErr w:type="spellStart"/>
            <w:r w:rsidRPr="000A3D3C">
              <w:rPr>
                <w:rStyle w:val="NoteLabel"/>
                <w:b/>
              </w:rPr>
              <w:t>a</w:t>
            </w:r>
            <w:r w:rsidR="00D81433">
              <w:rPr>
                <w:rStyle w:val="NoteLabel"/>
                <w:b/>
              </w:rPr>
              <w:t>,b</w:t>
            </w:r>
            <w:proofErr w:type="spellEnd"/>
          </w:p>
          <w:p w:rsidR="005C3557" w:rsidRPr="00176D3F" w:rsidRDefault="005C3557" w:rsidP="001C53E2">
            <w:pPr>
              <w:pStyle w:val="Subtitle"/>
            </w:pPr>
            <w:r>
              <w:t>Income flows and post rent income at zero and $50 000 market income</w:t>
            </w:r>
          </w:p>
        </w:tc>
      </w:tr>
      <w:tr w:rsidR="005C3557"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3557" w:rsidTr="001C53E2">
              <w:trPr>
                <w:jc w:val="center"/>
              </w:trPr>
              <w:tc>
                <w:tcPr>
                  <w:tcW w:w="5000" w:type="pct"/>
                  <w:tcBorders>
                    <w:top w:val="nil"/>
                    <w:bottom w:val="nil"/>
                  </w:tcBorders>
                </w:tcPr>
                <w:p w:rsidR="005C3557" w:rsidRDefault="005C3557" w:rsidP="001C53E2">
                  <w:pPr>
                    <w:pStyle w:val="Figure"/>
                    <w:spacing w:before="60" w:after="60"/>
                  </w:pPr>
                  <w:r>
                    <w:rPr>
                      <w:noProof/>
                    </w:rPr>
                    <w:drawing>
                      <wp:inline distT="0" distB="0" distL="0" distR="0" wp14:anchorId="39FF8B3B" wp14:editId="1B8D24E3">
                        <wp:extent cx="5364000" cy="3240000"/>
                        <wp:effectExtent l="0" t="0" r="8255" b="0"/>
                        <wp:docPr id="15" name="Chart 15" descr="This chart shows the income flows and post rent income at zero and $50 000 market income for social housing residents receiving income support payments." title="Social housing and other transfers at different market incom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5C3557" w:rsidRDefault="005C3557" w:rsidP="001C53E2">
            <w:pPr>
              <w:pStyle w:val="Figure"/>
            </w:pPr>
          </w:p>
        </w:tc>
      </w:tr>
      <w:tr w:rsidR="005C3557" w:rsidRPr="00176D3F" w:rsidTr="001C53E2">
        <w:tc>
          <w:tcPr>
            <w:tcW w:w="8771" w:type="dxa"/>
            <w:tcBorders>
              <w:top w:val="nil"/>
              <w:left w:val="nil"/>
              <w:bottom w:val="nil"/>
              <w:right w:val="nil"/>
            </w:tcBorders>
            <w:shd w:val="clear" w:color="auto" w:fill="auto"/>
          </w:tcPr>
          <w:p w:rsidR="005C3557" w:rsidRPr="005C3557" w:rsidRDefault="005C3557" w:rsidP="001C53E2">
            <w:pPr>
              <w:pStyle w:val="Note"/>
              <w:rPr>
                <w:b/>
                <w:position w:val="6"/>
              </w:rPr>
            </w:pPr>
            <w:r w:rsidRPr="004F049B">
              <w:rPr>
                <w:rStyle w:val="NoteLabel"/>
              </w:rPr>
              <w:t>a</w:t>
            </w:r>
            <w:r>
              <w:t xml:space="preserve"> Market rent is assumed to be $10 000 per annum.</w:t>
            </w:r>
            <w:r w:rsidR="001A6D78">
              <w:t xml:space="preserve"> </w:t>
            </w:r>
            <w:r w:rsidR="001A6D78" w:rsidRPr="001A6D78">
              <w:rPr>
                <w:rStyle w:val="NoteLabel"/>
              </w:rPr>
              <w:t>b</w:t>
            </w:r>
            <w:r w:rsidR="001A6D78">
              <w:t xml:space="preserve"> Data for the PP recipient do not include the effects on disposable income of the Seniors and Pensioners Tax Offset. Inclusion of this offset has no discernible effect on the figure.</w:t>
            </w:r>
          </w:p>
        </w:tc>
      </w:tr>
      <w:tr w:rsidR="005C3557" w:rsidRPr="00176D3F" w:rsidTr="001C53E2">
        <w:tc>
          <w:tcPr>
            <w:tcW w:w="8771" w:type="dxa"/>
            <w:tcBorders>
              <w:top w:val="nil"/>
              <w:left w:val="nil"/>
              <w:bottom w:val="nil"/>
              <w:right w:val="nil"/>
            </w:tcBorders>
            <w:shd w:val="clear" w:color="auto" w:fill="auto"/>
          </w:tcPr>
          <w:p w:rsidR="005C3557" w:rsidRPr="005C3557" w:rsidRDefault="005C3557" w:rsidP="001C53E2">
            <w:pPr>
              <w:pStyle w:val="Source"/>
              <w:rPr>
                <w:b/>
                <w:position w:val="6"/>
              </w:rPr>
            </w:pPr>
            <w:r>
              <w:rPr>
                <w:i/>
              </w:rPr>
              <w:t>Source</w:t>
            </w:r>
            <w:r>
              <w:t>: Estimated from the PCTT 2014 model.</w:t>
            </w:r>
          </w:p>
        </w:tc>
      </w:tr>
      <w:tr w:rsidR="005C3557" w:rsidTr="001C53E2">
        <w:tc>
          <w:tcPr>
            <w:tcW w:w="8771" w:type="dxa"/>
            <w:tcBorders>
              <w:top w:val="nil"/>
              <w:left w:val="nil"/>
              <w:bottom w:val="single" w:sz="6" w:space="0" w:color="78A22F"/>
              <w:right w:val="nil"/>
            </w:tcBorders>
            <w:shd w:val="clear" w:color="auto" w:fill="auto"/>
          </w:tcPr>
          <w:p w:rsidR="005C3557" w:rsidRDefault="005C3557" w:rsidP="001C53E2">
            <w:pPr>
              <w:pStyle w:val="Figurespace"/>
            </w:pPr>
          </w:p>
        </w:tc>
      </w:tr>
      <w:tr w:rsidR="005C3557" w:rsidRPr="000863A5" w:rsidTr="001C53E2">
        <w:tc>
          <w:tcPr>
            <w:tcW w:w="8771" w:type="dxa"/>
            <w:tcBorders>
              <w:top w:val="single" w:sz="6" w:space="0" w:color="78A22F"/>
              <w:left w:val="nil"/>
              <w:bottom w:val="nil"/>
              <w:right w:val="nil"/>
            </w:tcBorders>
          </w:tcPr>
          <w:p w:rsidR="005C3557" w:rsidRPr="00626D32" w:rsidRDefault="005C3557" w:rsidP="001C53E2">
            <w:pPr>
              <w:pStyle w:val="BoxSpaceBelow"/>
            </w:pPr>
          </w:p>
        </w:tc>
      </w:tr>
    </w:tbl>
    <w:bookmarkStart w:id="14" w:name="OLE_LINK24"/>
    <w:p w:rsidR="00123A81" w:rsidRDefault="00A010F0" w:rsidP="00123A81">
      <w:pPr>
        <w:pStyle w:val="Heading2"/>
        <w:spacing w:before="360"/>
      </w:pPr>
      <w:r>
        <w:fldChar w:fldCharType="begin"/>
      </w:r>
      <w:r>
        <w:instrText xml:space="preserve"> SEQ Heading2 </w:instrText>
      </w:r>
      <w:r>
        <w:fldChar w:fldCharType="separate"/>
      </w:r>
      <w:r w:rsidR="002368BE">
        <w:rPr>
          <w:noProof/>
        </w:rPr>
        <w:t>4</w:t>
      </w:r>
      <w:r>
        <w:rPr>
          <w:noProof/>
        </w:rPr>
        <w:fldChar w:fldCharType="end"/>
      </w:r>
      <w:r w:rsidR="00123A81">
        <w:tab/>
        <w:t>Com</w:t>
      </w:r>
      <w:r w:rsidR="000002B0">
        <w:t>paring</w:t>
      </w:r>
      <w:r w:rsidR="00123A81">
        <w:t xml:space="preserve"> the </w:t>
      </w:r>
      <w:r w:rsidR="007F18BC">
        <w:t>income</w:t>
      </w:r>
      <w:r w:rsidR="00123A81">
        <w:t xml:space="preserve"> effects of CRA and social housing rent setting</w:t>
      </w:r>
    </w:p>
    <w:p w:rsidR="00123A81" w:rsidRDefault="00123A81" w:rsidP="00123A81">
      <w:pPr>
        <w:pStyle w:val="BodyText"/>
      </w:pPr>
      <w:r>
        <w:t xml:space="preserve">This section compares the income effect of each form of housing assistance — or, in other words, </w:t>
      </w:r>
      <w:r w:rsidR="00547E67">
        <w:t xml:space="preserve">looks at </w:t>
      </w:r>
      <w:r>
        <w:t xml:space="preserve">which form of housing assistance leaves a tenant </w:t>
      </w:r>
      <w:r w:rsidR="00C86937">
        <w:t>with a higher DIPR</w:t>
      </w:r>
      <w:r>
        <w:t>. The answer depends on market rents, ISP types and market income.</w:t>
      </w:r>
    </w:p>
    <w:p w:rsidR="00123A81" w:rsidRDefault="00123A81" w:rsidP="00123A81">
      <w:pPr>
        <w:pStyle w:val="BodyText"/>
      </w:pPr>
      <w:r>
        <w:t>At lower market rents, some tenants who rent privately and receive CRA will have a larger DIPR than an otherwise similar social housing tenant so long as they have some income in addition to their welfare benefits (figure 8). For example, a single person with one child who:</w:t>
      </w:r>
    </w:p>
    <w:p w:rsidR="00123A81" w:rsidRDefault="00123A81" w:rsidP="00123A81">
      <w:pPr>
        <w:pStyle w:val="ListBullet"/>
      </w:pPr>
      <w:r>
        <w:t>receives Parenting Payment and FTB</w:t>
      </w:r>
    </w:p>
    <w:p w:rsidR="00123A81" w:rsidRDefault="00123A81" w:rsidP="00123A81">
      <w:pPr>
        <w:pStyle w:val="ListBullet"/>
      </w:pPr>
      <w:r>
        <w:t>lives in a property with an annual market rent of $10 000 ($192 a week)</w:t>
      </w:r>
    </w:p>
    <w:p w:rsidR="00123A81" w:rsidRDefault="00123A81" w:rsidP="00123A81">
      <w:pPr>
        <w:pStyle w:val="ListBullet"/>
      </w:pPr>
      <w:r>
        <w:t>earns about $10 000 a year ($192 a week)</w:t>
      </w:r>
    </w:p>
    <w:p w:rsidR="00123A81" w:rsidRDefault="00A61C8A" w:rsidP="00123A81">
      <w:pPr>
        <w:pStyle w:val="BodyText"/>
      </w:pPr>
      <w:r>
        <w:lastRenderedPageBreak/>
        <w:t>has about $2</w:t>
      </w:r>
      <w:r w:rsidR="00123A81">
        <w:t>000 more in DIPR per annum if they rent privately than if they live in social housing.</w:t>
      </w:r>
    </w:p>
    <w:p w:rsidR="005C3557" w:rsidRDefault="005C3557"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557" w:rsidTr="001C53E2">
        <w:tc>
          <w:tcPr>
            <w:tcW w:w="8771" w:type="dxa"/>
            <w:tcBorders>
              <w:top w:val="single" w:sz="6" w:space="0" w:color="78A22F"/>
              <w:left w:val="nil"/>
              <w:bottom w:val="nil"/>
              <w:right w:val="nil"/>
            </w:tcBorders>
            <w:shd w:val="clear" w:color="auto" w:fill="auto"/>
          </w:tcPr>
          <w:p w:rsidR="005C3557" w:rsidRDefault="005C3557" w:rsidP="005C3557">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8</w:t>
            </w:r>
            <w:r w:rsidRPr="00784A05">
              <w:rPr>
                <w:b w:val="0"/>
              </w:rPr>
              <w:fldChar w:fldCharType="end"/>
            </w:r>
            <w:r>
              <w:tab/>
              <w:t>Difference in disposable income post rent (DIPR) under each housing policy</w:t>
            </w:r>
            <w:proofErr w:type="spellStart"/>
            <w:r w:rsidRPr="004F049B">
              <w:rPr>
                <w:rStyle w:val="NoteLabel"/>
                <w:b/>
              </w:rPr>
              <w:t>a</w:t>
            </w:r>
            <w:r w:rsidR="001A6D78">
              <w:rPr>
                <w:rStyle w:val="NoteLabel"/>
                <w:b/>
              </w:rPr>
              <w:t>,b</w:t>
            </w:r>
            <w:proofErr w:type="spellEnd"/>
          </w:p>
          <w:p w:rsidR="005C3557" w:rsidRPr="00176D3F" w:rsidRDefault="005C3557" w:rsidP="001C53E2">
            <w:pPr>
              <w:pStyle w:val="Subtitle"/>
            </w:pPr>
            <w:r>
              <w:t xml:space="preserve">DIPR for a social housing tenant </w:t>
            </w:r>
            <w:r w:rsidRPr="004F049B">
              <w:rPr>
                <w:i/>
              </w:rPr>
              <w:t>minus</w:t>
            </w:r>
            <w:r>
              <w:t xml:space="preserve"> DIPR for a CRA recipient, $ per annum</w:t>
            </w:r>
          </w:p>
        </w:tc>
      </w:tr>
      <w:tr w:rsidR="005C3557"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3557" w:rsidTr="001C53E2">
              <w:trPr>
                <w:jc w:val="center"/>
              </w:trPr>
              <w:tc>
                <w:tcPr>
                  <w:tcW w:w="5000" w:type="pct"/>
                  <w:tcBorders>
                    <w:top w:val="nil"/>
                    <w:bottom w:val="nil"/>
                  </w:tcBorders>
                </w:tcPr>
                <w:p w:rsidR="005C3557" w:rsidRDefault="0004459B" w:rsidP="001C53E2">
                  <w:pPr>
                    <w:pStyle w:val="Figure"/>
                    <w:spacing w:before="60" w:after="60"/>
                  </w:pPr>
                  <w:r>
                    <w:rPr>
                      <w:noProof/>
                    </w:rPr>
                    <w:drawing>
                      <wp:inline distT="0" distB="0" distL="0" distR="0">
                        <wp:extent cx="5390515" cy="2456180"/>
                        <wp:effectExtent l="0" t="0" r="635" b="1270"/>
                        <wp:docPr id="13" name="Picture 13" descr="This chart shows the DIPR for a socail housing tenant minus DIPR for a CRA recipient. It shows that for a Newstart recipient on low income, the social housing subsidy is larger than CRA. For some DSP and FTB recipients, the CRA rent subsisdy is larger than the social housing subsidy." title="Difference in disposable income post rent (DIPR) under each housing poli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90515" cy="2456180"/>
                                </a:xfrm>
                                <a:prstGeom prst="rect">
                                  <a:avLst/>
                                </a:prstGeom>
                                <a:noFill/>
                                <a:ln>
                                  <a:noFill/>
                                </a:ln>
                              </pic:spPr>
                            </pic:pic>
                          </a:graphicData>
                        </a:graphic>
                      </wp:inline>
                    </w:drawing>
                  </w:r>
                </w:p>
              </w:tc>
            </w:tr>
          </w:tbl>
          <w:p w:rsidR="005C3557" w:rsidRDefault="005C3557" w:rsidP="001C53E2">
            <w:pPr>
              <w:pStyle w:val="Figure"/>
            </w:pPr>
          </w:p>
        </w:tc>
      </w:tr>
      <w:tr w:rsidR="005C3557" w:rsidRPr="00176D3F" w:rsidTr="001C53E2">
        <w:tc>
          <w:tcPr>
            <w:tcW w:w="8771" w:type="dxa"/>
            <w:tcBorders>
              <w:top w:val="nil"/>
              <w:left w:val="nil"/>
              <w:bottom w:val="nil"/>
              <w:right w:val="nil"/>
            </w:tcBorders>
            <w:shd w:val="clear" w:color="auto" w:fill="auto"/>
          </w:tcPr>
          <w:p w:rsidR="005C3557" w:rsidRPr="00176D3F" w:rsidRDefault="005C3557" w:rsidP="001A6D78">
            <w:pPr>
              <w:pStyle w:val="Note"/>
            </w:pPr>
            <w:r w:rsidRPr="004F049B">
              <w:rPr>
                <w:rStyle w:val="NoteLabel"/>
              </w:rPr>
              <w:t>a</w:t>
            </w:r>
            <w:r w:rsidRPr="003C6DBA">
              <w:t xml:space="preserve"> </w:t>
            </w:r>
            <w:r>
              <w:t xml:space="preserve">Schedules are drawn assuming a market rent of $10 000 per annum, or $192 a week. </w:t>
            </w:r>
            <w:r w:rsidR="001A6D78">
              <w:rPr>
                <w:rStyle w:val="NoteLabel"/>
              </w:rPr>
              <w:t>b</w:t>
            </w:r>
            <w:r w:rsidR="001A6D78">
              <w:t xml:space="preserve"> The schedule for the PP recipient does not include the effects on disposable income of the Seniors and Pensioners Tax Offset. Inclusion of this offset has no discernible effect on the schedule.</w:t>
            </w:r>
          </w:p>
        </w:tc>
      </w:tr>
      <w:tr w:rsidR="005C3557" w:rsidRPr="00176D3F" w:rsidTr="001C53E2">
        <w:tc>
          <w:tcPr>
            <w:tcW w:w="8771" w:type="dxa"/>
            <w:tcBorders>
              <w:top w:val="nil"/>
              <w:left w:val="nil"/>
              <w:bottom w:val="nil"/>
              <w:right w:val="nil"/>
            </w:tcBorders>
            <w:shd w:val="clear" w:color="auto" w:fill="auto"/>
          </w:tcPr>
          <w:p w:rsidR="005C3557" w:rsidRPr="005C3557" w:rsidRDefault="005C3557" w:rsidP="001C53E2">
            <w:pPr>
              <w:pStyle w:val="Source"/>
              <w:rPr>
                <w:b/>
                <w:position w:val="6"/>
              </w:rPr>
            </w:pPr>
            <w:r>
              <w:rPr>
                <w:i/>
              </w:rPr>
              <w:t>Source</w:t>
            </w:r>
            <w:r>
              <w:t>: Estimated from the PCTT 2014 model.</w:t>
            </w:r>
          </w:p>
        </w:tc>
      </w:tr>
      <w:tr w:rsidR="005C3557" w:rsidTr="001C53E2">
        <w:tc>
          <w:tcPr>
            <w:tcW w:w="8771" w:type="dxa"/>
            <w:tcBorders>
              <w:top w:val="nil"/>
              <w:left w:val="nil"/>
              <w:bottom w:val="single" w:sz="6" w:space="0" w:color="78A22F"/>
              <w:right w:val="nil"/>
            </w:tcBorders>
            <w:shd w:val="clear" w:color="auto" w:fill="auto"/>
          </w:tcPr>
          <w:p w:rsidR="005C3557" w:rsidRDefault="005C3557" w:rsidP="001C53E2">
            <w:pPr>
              <w:pStyle w:val="Figurespace"/>
            </w:pPr>
          </w:p>
        </w:tc>
      </w:tr>
      <w:tr w:rsidR="005C3557" w:rsidRPr="000863A5" w:rsidTr="001C53E2">
        <w:tc>
          <w:tcPr>
            <w:tcW w:w="8771" w:type="dxa"/>
            <w:tcBorders>
              <w:top w:val="single" w:sz="6" w:space="0" w:color="78A22F"/>
              <w:left w:val="nil"/>
              <w:bottom w:val="nil"/>
              <w:right w:val="nil"/>
            </w:tcBorders>
          </w:tcPr>
          <w:p w:rsidR="005C3557" w:rsidRPr="00626D32" w:rsidRDefault="005C3557" w:rsidP="001C53E2">
            <w:pPr>
              <w:pStyle w:val="BoxSpaceBelow"/>
            </w:pPr>
          </w:p>
        </w:tc>
      </w:tr>
    </w:tbl>
    <w:p w:rsidR="00123A81" w:rsidRDefault="00123A81" w:rsidP="00123A81">
      <w:pPr>
        <w:pStyle w:val="BodyText"/>
      </w:pPr>
      <w:r>
        <w:t>This conclusion raises some key questions:</w:t>
      </w:r>
    </w:p>
    <w:p w:rsidR="00123A81" w:rsidRDefault="00123A81" w:rsidP="00123A81">
      <w:pPr>
        <w:pStyle w:val="ListBullet"/>
      </w:pPr>
      <w:r>
        <w:t xml:space="preserve">How low do rents have to be before </w:t>
      </w:r>
      <w:r w:rsidR="005C0328">
        <w:t xml:space="preserve">the DIPR from </w:t>
      </w:r>
      <w:r>
        <w:t xml:space="preserve">renting privately and receiving CRA </w:t>
      </w:r>
      <w:r w:rsidR="005C0328">
        <w:t xml:space="preserve">is greater than the </w:t>
      </w:r>
      <w:r w:rsidR="00C86937">
        <w:t xml:space="preserve">DIPR </w:t>
      </w:r>
      <w:r w:rsidR="005C0328">
        <w:t xml:space="preserve">from </w:t>
      </w:r>
      <w:r>
        <w:t>renting in social housing?</w:t>
      </w:r>
      <w:bookmarkStart w:id="15" w:name="_GoBack"/>
      <w:bookmarkEnd w:id="15"/>
    </w:p>
    <w:p w:rsidR="00123A81" w:rsidRDefault="00123A81" w:rsidP="00123A81">
      <w:pPr>
        <w:pStyle w:val="ListBullet"/>
      </w:pPr>
      <w:r>
        <w:t>Is it possible to rent at those levels in the private market?</w:t>
      </w:r>
    </w:p>
    <w:p w:rsidR="00123A81" w:rsidRDefault="00123A81" w:rsidP="00123A81">
      <w:pPr>
        <w:pStyle w:val="ListBullet"/>
      </w:pPr>
      <w:r>
        <w:t>How many tenants have some income in addition to their ISP?</w:t>
      </w:r>
    </w:p>
    <w:p w:rsidR="00123A81" w:rsidRDefault="00123A81" w:rsidP="00123A81">
      <w:pPr>
        <w:pStyle w:val="BodyText"/>
      </w:pPr>
      <w:r>
        <w:t>The answer to the first que</w:t>
      </w:r>
      <w:r w:rsidR="005242C5">
        <w:t xml:space="preserve">stion is that rents have to be </w:t>
      </w:r>
      <w:r>
        <w:t xml:space="preserve">quite low for people with zero market income (figure 9), but </w:t>
      </w:r>
      <w:r w:rsidR="00C86937">
        <w:t xml:space="preserve">can be </w:t>
      </w:r>
      <w:r>
        <w:t>higher for people who earn at least the median market income for their ISP group (figure 10).</w:t>
      </w:r>
      <w:r w:rsidR="00CA0335" w:rsidRPr="007D361D">
        <w:rPr>
          <w:rStyle w:val="FootnoteReference"/>
        </w:rPr>
        <w:footnoteReference w:id="28"/>
      </w:r>
      <w:r>
        <w:t xml:space="preserve"> For example, a single parent with one child who is receiving Parenting Payment and FTB and earning zero market income </w:t>
      </w:r>
      <w:r w:rsidR="00C86937">
        <w:t>has a higher DIPR</w:t>
      </w:r>
      <w:r>
        <w:t xml:space="preserve"> if renting privately up to a rent of about $185 a week. With a market income of $18 000 (the median for single parents who received Parenting Payment in 2013), they </w:t>
      </w:r>
      <w:r w:rsidR="00C86937">
        <w:t>have a higher DIPR if</w:t>
      </w:r>
      <w:r>
        <w:t xml:space="preserve"> renting privately up to a market rent of about $250 a week.</w:t>
      </w:r>
    </w:p>
    <w:p w:rsidR="005C3557" w:rsidRDefault="005C3557" w:rsidP="001C53E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3557" w:rsidTr="001C53E2">
        <w:tc>
          <w:tcPr>
            <w:tcW w:w="8771" w:type="dxa"/>
            <w:tcBorders>
              <w:top w:val="single" w:sz="6" w:space="0" w:color="78A22F"/>
              <w:left w:val="nil"/>
              <w:bottom w:val="nil"/>
              <w:right w:val="nil"/>
            </w:tcBorders>
            <w:shd w:val="clear" w:color="auto" w:fill="auto"/>
          </w:tcPr>
          <w:p w:rsidR="005C3557" w:rsidRPr="00176D3F" w:rsidRDefault="005C3557" w:rsidP="005C3557">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9</w:t>
            </w:r>
            <w:r w:rsidRPr="00784A05">
              <w:rPr>
                <w:b w:val="0"/>
              </w:rPr>
              <w:fldChar w:fldCharType="end"/>
            </w:r>
            <w:r>
              <w:tab/>
            </w:r>
            <w:r w:rsidRPr="00C375A8">
              <w:rPr>
                <w:spacing w:val="-2"/>
              </w:rPr>
              <w:t>Post rent income under each policy at different weekly rents</w:t>
            </w:r>
            <w:proofErr w:type="spellStart"/>
            <w:r w:rsidRPr="00C375A8">
              <w:rPr>
                <w:rStyle w:val="NoteLabel"/>
                <w:b/>
                <w:spacing w:val="-2"/>
              </w:rPr>
              <w:t>a</w:t>
            </w:r>
            <w:r w:rsidR="00C375A8" w:rsidRPr="00C375A8">
              <w:rPr>
                <w:rStyle w:val="NoteLabel"/>
                <w:b/>
                <w:spacing w:val="-2"/>
              </w:rPr>
              <w:t>,b</w:t>
            </w:r>
            <w:proofErr w:type="spellEnd"/>
          </w:p>
        </w:tc>
      </w:tr>
      <w:tr w:rsidR="005C3557"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C3557" w:rsidTr="001C53E2">
              <w:trPr>
                <w:jc w:val="center"/>
              </w:trPr>
              <w:tc>
                <w:tcPr>
                  <w:tcW w:w="5000" w:type="pct"/>
                  <w:tcBorders>
                    <w:top w:val="nil"/>
                    <w:bottom w:val="nil"/>
                  </w:tcBorders>
                </w:tcPr>
                <w:p w:rsidR="005C3557" w:rsidRDefault="005C3557" w:rsidP="001C53E2">
                  <w:pPr>
                    <w:pStyle w:val="Figure"/>
                    <w:spacing w:before="60" w:after="60"/>
                  </w:pPr>
                  <w:r>
                    <w:rPr>
                      <w:noProof/>
                    </w:rPr>
                    <w:drawing>
                      <wp:inline distT="0" distB="0" distL="0" distR="0" wp14:anchorId="02FF850F" wp14:editId="1FA04C2B">
                        <wp:extent cx="5362575" cy="2676525"/>
                        <wp:effectExtent l="0" t="0" r="0" b="0"/>
                        <wp:docPr id="17" name="Chart 17" descr="This chart shows the extent to which an ISP recipient's DIPR is higher if they pay 25 per cent of their income in public housing rent rather than if they rent privately and receive CRA. &#10;" title="Post rent income under each policy at different weekly r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5C3557" w:rsidRDefault="005C3557" w:rsidP="001C53E2">
            <w:pPr>
              <w:pStyle w:val="Figure"/>
            </w:pPr>
          </w:p>
        </w:tc>
      </w:tr>
      <w:tr w:rsidR="005C3557" w:rsidRPr="00176D3F" w:rsidTr="001C53E2">
        <w:tc>
          <w:tcPr>
            <w:tcW w:w="8771" w:type="dxa"/>
            <w:tcBorders>
              <w:top w:val="nil"/>
              <w:left w:val="nil"/>
              <w:bottom w:val="nil"/>
              <w:right w:val="nil"/>
            </w:tcBorders>
            <w:shd w:val="clear" w:color="auto" w:fill="auto"/>
          </w:tcPr>
          <w:p w:rsidR="005C3557" w:rsidRPr="00176D3F" w:rsidRDefault="005C3557" w:rsidP="001C53E2">
            <w:pPr>
              <w:pStyle w:val="Note"/>
            </w:pPr>
            <w:r>
              <w:rPr>
                <w:rStyle w:val="NoteLabel"/>
              </w:rPr>
              <w:t>a</w:t>
            </w:r>
            <w:r>
              <w:t xml:space="preserve"> ISP and FTB rates as at Jun</w:t>
            </w:r>
            <w:r w:rsidR="0096371E">
              <w:t>e</w:t>
            </w:r>
            <w:r>
              <w:t xml:space="preserve"> 2014.</w:t>
            </w:r>
            <w:r w:rsidR="00C375A8">
              <w:t xml:space="preserve"> </w:t>
            </w:r>
            <w:r w:rsidR="00C375A8">
              <w:rPr>
                <w:rStyle w:val="NoteLabel"/>
              </w:rPr>
              <w:t>b</w:t>
            </w:r>
            <w:r w:rsidR="00C375A8">
              <w:t xml:space="preserve"> The schedule for the PP recipient does not include the effects on disposable income of the Seniors and Pensioners Tax Offset. Inclusion of this offset has no discernible effect on the schedule.</w:t>
            </w:r>
          </w:p>
        </w:tc>
      </w:tr>
      <w:tr w:rsidR="005C3557" w:rsidRPr="00176D3F" w:rsidTr="001C53E2">
        <w:tc>
          <w:tcPr>
            <w:tcW w:w="8771" w:type="dxa"/>
            <w:tcBorders>
              <w:top w:val="nil"/>
              <w:left w:val="nil"/>
              <w:bottom w:val="nil"/>
              <w:right w:val="nil"/>
            </w:tcBorders>
            <w:shd w:val="clear" w:color="auto" w:fill="auto"/>
          </w:tcPr>
          <w:p w:rsidR="005C3557" w:rsidRPr="00176D3F" w:rsidRDefault="005C3557" w:rsidP="005C3557">
            <w:pPr>
              <w:pStyle w:val="Source"/>
            </w:pPr>
            <w:r>
              <w:rPr>
                <w:i/>
              </w:rPr>
              <w:t>So</w:t>
            </w:r>
            <w:r w:rsidRPr="00784A05">
              <w:rPr>
                <w:i/>
              </w:rPr>
              <w:t>urce</w:t>
            </w:r>
            <w:r w:rsidRPr="00176D3F">
              <w:t xml:space="preserve">: </w:t>
            </w:r>
            <w:r>
              <w:t>Estimated from the PCTT 2014 model.</w:t>
            </w:r>
          </w:p>
        </w:tc>
      </w:tr>
      <w:tr w:rsidR="005C3557" w:rsidTr="001C53E2">
        <w:tc>
          <w:tcPr>
            <w:tcW w:w="8771" w:type="dxa"/>
            <w:tcBorders>
              <w:top w:val="nil"/>
              <w:left w:val="nil"/>
              <w:bottom w:val="single" w:sz="6" w:space="0" w:color="78A22F"/>
              <w:right w:val="nil"/>
            </w:tcBorders>
            <w:shd w:val="clear" w:color="auto" w:fill="auto"/>
          </w:tcPr>
          <w:p w:rsidR="005C3557" w:rsidRDefault="005C3557" w:rsidP="001C53E2">
            <w:pPr>
              <w:pStyle w:val="Figurespace"/>
            </w:pPr>
          </w:p>
        </w:tc>
      </w:tr>
      <w:tr w:rsidR="005C3557" w:rsidRPr="000863A5" w:rsidTr="001C53E2">
        <w:tc>
          <w:tcPr>
            <w:tcW w:w="8771" w:type="dxa"/>
            <w:tcBorders>
              <w:top w:val="single" w:sz="6" w:space="0" w:color="78A22F"/>
              <w:left w:val="nil"/>
              <w:bottom w:val="nil"/>
              <w:right w:val="nil"/>
            </w:tcBorders>
          </w:tcPr>
          <w:p w:rsidR="005C3557" w:rsidRPr="00626D32" w:rsidRDefault="005C3557" w:rsidP="001C53E2">
            <w:pPr>
              <w:pStyle w:val="BoxSpaceBelow"/>
            </w:pPr>
          </w:p>
        </w:tc>
      </w:tr>
    </w:tbl>
    <w:p w:rsidR="004B0523" w:rsidRDefault="004B0523" w:rsidP="00602CD9">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B0523" w:rsidTr="001C53E2">
        <w:tc>
          <w:tcPr>
            <w:tcW w:w="8771" w:type="dxa"/>
            <w:tcBorders>
              <w:top w:val="single" w:sz="6" w:space="0" w:color="78A22F"/>
              <w:left w:val="nil"/>
              <w:bottom w:val="nil"/>
              <w:right w:val="nil"/>
            </w:tcBorders>
            <w:shd w:val="clear" w:color="auto" w:fill="auto"/>
          </w:tcPr>
          <w:p w:rsidR="004B0523" w:rsidRDefault="004B0523" w:rsidP="004B0523">
            <w:pPr>
              <w:pStyle w:val="FigureTitle"/>
            </w:pPr>
            <w:r w:rsidRPr="00784A05">
              <w:rPr>
                <w:b w:val="0"/>
              </w:rPr>
              <w:t xml:space="preserve">Figure </w:t>
            </w:r>
            <w:r w:rsidRPr="00784A05">
              <w:rPr>
                <w:b w:val="0"/>
              </w:rPr>
              <w:fldChar w:fldCharType="begin"/>
            </w:r>
            <w:r w:rsidRPr="00784A05">
              <w:rPr>
                <w:b w:val="0"/>
              </w:rPr>
              <w:instrText xml:space="preserve"> COMMENTS  \* MERGEFORMAT </w:instrText>
            </w:r>
            <w:r w:rsidRPr="00784A05">
              <w:rPr>
                <w:b w:val="0"/>
              </w:rPr>
              <w:fldChar w:fldCharType="end"/>
            </w:r>
            <w:r w:rsidRPr="00784A05">
              <w:rPr>
                <w:b w:val="0"/>
              </w:rPr>
              <w:fldChar w:fldCharType="begin"/>
            </w:r>
            <w:r w:rsidRPr="00784A05">
              <w:rPr>
                <w:b w:val="0"/>
              </w:rPr>
              <w:instrText xml:space="preserve"> SEQ Figure \* ARABIC </w:instrText>
            </w:r>
            <w:r w:rsidRPr="00784A05">
              <w:rPr>
                <w:b w:val="0"/>
              </w:rPr>
              <w:fldChar w:fldCharType="separate"/>
            </w:r>
            <w:r w:rsidR="002368BE">
              <w:rPr>
                <w:b w:val="0"/>
                <w:noProof/>
              </w:rPr>
              <w:t>10</w:t>
            </w:r>
            <w:r w:rsidRPr="00784A05">
              <w:rPr>
                <w:b w:val="0"/>
              </w:rPr>
              <w:fldChar w:fldCharType="end"/>
            </w:r>
            <w:r>
              <w:tab/>
              <w:t>Post rent income under each policy at different weekly rents</w:t>
            </w:r>
            <w:r w:rsidRPr="00CA2A96">
              <w:rPr>
                <w:rStyle w:val="NoteLabel"/>
                <w:b/>
              </w:rPr>
              <w:t>a,b</w:t>
            </w:r>
          </w:p>
          <w:p w:rsidR="004B0523" w:rsidRPr="00176D3F" w:rsidRDefault="004B0523" w:rsidP="001C53E2">
            <w:pPr>
              <w:pStyle w:val="Subtitle"/>
            </w:pPr>
            <w:r>
              <w:t>Median market incomes for each ISP group</w:t>
            </w:r>
          </w:p>
        </w:tc>
      </w:tr>
      <w:tr w:rsidR="004B0523" w:rsidTr="001C53E2">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B0523" w:rsidTr="00C375A8">
              <w:trPr>
                <w:jc w:val="center"/>
              </w:trPr>
              <w:tc>
                <w:tcPr>
                  <w:tcW w:w="8504" w:type="dxa"/>
                  <w:tcBorders>
                    <w:top w:val="nil"/>
                    <w:bottom w:val="nil"/>
                  </w:tcBorders>
                </w:tcPr>
                <w:p w:rsidR="004B0523" w:rsidRDefault="00C375A8" w:rsidP="001C53E2">
                  <w:pPr>
                    <w:pStyle w:val="Figure"/>
                    <w:spacing w:before="60" w:after="60"/>
                  </w:pPr>
                  <w:r>
                    <w:rPr>
                      <w:noProof/>
                    </w:rPr>
                    <w:drawing>
                      <wp:inline distT="0" distB="0" distL="0" distR="0" wp14:anchorId="762FCF8E" wp14:editId="13800069">
                        <wp:extent cx="5358810" cy="2626242"/>
                        <wp:effectExtent l="0" t="0" r="0" b="3175"/>
                        <wp:docPr id="2" name="Chart 2" descr="This chart shows the extent to which an ISP recipient's DIPR is higher if they pay 25 per cent of their income in public housing rent rather than if they rent privately and receive CRA. Curves are estimates assuming a median annual market income for single Newstart recipients of $15 000, single DSP recipients of $6000 and Parenting Payment (Single) and FTB recipients of $18 000. These estimates are based on data from the DHS database." title="Post rent income under each policy at different weekly re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4B0523" w:rsidRDefault="004B0523" w:rsidP="001C53E2">
            <w:pPr>
              <w:pStyle w:val="Figure"/>
            </w:pPr>
          </w:p>
        </w:tc>
      </w:tr>
      <w:tr w:rsidR="004B0523" w:rsidRPr="00176D3F" w:rsidTr="001C53E2">
        <w:tc>
          <w:tcPr>
            <w:tcW w:w="8771" w:type="dxa"/>
            <w:tcBorders>
              <w:top w:val="nil"/>
              <w:left w:val="nil"/>
              <w:bottom w:val="nil"/>
              <w:right w:val="nil"/>
            </w:tcBorders>
            <w:shd w:val="clear" w:color="auto" w:fill="auto"/>
          </w:tcPr>
          <w:p w:rsidR="004B0523" w:rsidRPr="00176D3F" w:rsidRDefault="004B0523" w:rsidP="00BB49A7">
            <w:pPr>
              <w:pStyle w:val="Source"/>
            </w:pPr>
            <w:r>
              <w:rPr>
                <w:rStyle w:val="NoteLabel"/>
              </w:rPr>
              <w:t>a</w:t>
            </w:r>
            <w:r>
              <w:t xml:space="preserve"> Curves are estimates assuming a</w:t>
            </w:r>
            <w:r w:rsidR="00A61C8A">
              <w:t xml:space="preserve"> </w:t>
            </w:r>
            <w:r>
              <w:t xml:space="preserve">median annual market income for single Newstart recipients of $15 000, single DSP recipients of $6000 and Parenting Payment (Single) and FTB recipients of $18 000. These estimates are based on data from the DHS database. </w:t>
            </w:r>
            <w:r>
              <w:rPr>
                <w:rStyle w:val="NoteLabel"/>
              </w:rPr>
              <w:t>b</w:t>
            </w:r>
            <w:r>
              <w:t xml:space="preserve"> ISP and FTB rates as at Jun</w:t>
            </w:r>
            <w:r w:rsidR="0096371E">
              <w:t>e</w:t>
            </w:r>
            <w:r>
              <w:t xml:space="preserve"> 2014.</w:t>
            </w:r>
          </w:p>
        </w:tc>
      </w:tr>
      <w:tr w:rsidR="004B0523" w:rsidRPr="00176D3F" w:rsidTr="001C53E2">
        <w:tc>
          <w:tcPr>
            <w:tcW w:w="8771" w:type="dxa"/>
            <w:tcBorders>
              <w:top w:val="nil"/>
              <w:left w:val="nil"/>
              <w:bottom w:val="nil"/>
              <w:right w:val="nil"/>
            </w:tcBorders>
            <w:shd w:val="clear" w:color="auto" w:fill="auto"/>
          </w:tcPr>
          <w:p w:rsidR="004B0523" w:rsidRPr="004B0523" w:rsidRDefault="004B0523" w:rsidP="001C53E2">
            <w:pPr>
              <w:pStyle w:val="Source"/>
              <w:rPr>
                <w:b/>
                <w:position w:val="6"/>
              </w:rPr>
            </w:pPr>
            <w:r>
              <w:rPr>
                <w:i/>
              </w:rPr>
              <w:t>Source</w:t>
            </w:r>
            <w:r>
              <w:t>: Estimated from the PCTT 2014 model.</w:t>
            </w:r>
          </w:p>
        </w:tc>
      </w:tr>
      <w:tr w:rsidR="004B0523" w:rsidTr="001C53E2">
        <w:tc>
          <w:tcPr>
            <w:tcW w:w="8771" w:type="dxa"/>
            <w:tcBorders>
              <w:top w:val="nil"/>
              <w:left w:val="nil"/>
              <w:bottom w:val="single" w:sz="6" w:space="0" w:color="78A22F"/>
              <w:right w:val="nil"/>
            </w:tcBorders>
            <w:shd w:val="clear" w:color="auto" w:fill="auto"/>
          </w:tcPr>
          <w:p w:rsidR="004B0523" w:rsidRDefault="004B0523" w:rsidP="001C53E2">
            <w:pPr>
              <w:pStyle w:val="Figurespace"/>
            </w:pPr>
          </w:p>
        </w:tc>
      </w:tr>
      <w:tr w:rsidR="004B0523" w:rsidRPr="000863A5" w:rsidTr="001C53E2">
        <w:tc>
          <w:tcPr>
            <w:tcW w:w="8771" w:type="dxa"/>
            <w:tcBorders>
              <w:top w:val="single" w:sz="6" w:space="0" w:color="78A22F"/>
              <w:left w:val="nil"/>
              <w:bottom w:val="nil"/>
              <w:right w:val="nil"/>
            </w:tcBorders>
          </w:tcPr>
          <w:p w:rsidR="004B0523" w:rsidRPr="00626D32" w:rsidRDefault="004B0523" w:rsidP="001C53E2">
            <w:pPr>
              <w:pStyle w:val="BoxSpaceBelow"/>
            </w:pPr>
          </w:p>
        </w:tc>
      </w:tr>
    </w:tbl>
    <w:p w:rsidR="00123A81" w:rsidRDefault="00123A81" w:rsidP="00123A81">
      <w:pPr>
        <w:pStyle w:val="BodyText"/>
      </w:pPr>
      <w:r>
        <w:lastRenderedPageBreak/>
        <w:t xml:space="preserve">So what is the answer to </w:t>
      </w:r>
      <w:r w:rsidR="00025EA0">
        <w:t xml:space="preserve">the second </w:t>
      </w:r>
      <w:r>
        <w:t xml:space="preserve">question? </w:t>
      </w:r>
      <w:r w:rsidR="00547E67">
        <w:t>What proportion of tenants face private market rents that mean that their DIPR from renting privately is higher than it would be if they were living in social housing? As shown in figures</w:t>
      </w:r>
      <w:r w:rsidR="00A61C8A">
        <w:t> </w:t>
      </w:r>
      <w:r w:rsidR="00547E67">
        <w:t>9 and 10, this depends on ISP type</w:t>
      </w:r>
      <w:r w:rsidR="009A1166">
        <w:t xml:space="preserve"> and market income</w:t>
      </w:r>
      <w:r w:rsidR="00547E67">
        <w:t xml:space="preserve">. </w:t>
      </w:r>
      <w:r w:rsidR="00F85F46">
        <w:t xml:space="preserve">Estimates of </w:t>
      </w:r>
      <w:r>
        <w:t>rents for CRA recipients provide some insight into this question.</w:t>
      </w:r>
      <w:r w:rsidR="00F85F46">
        <w:rPr>
          <w:rStyle w:val="FootnoteReference"/>
        </w:rPr>
        <w:footnoteReference w:id="29"/>
      </w:r>
    </w:p>
    <w:p w:rsidR="00123A81" w:rsidRDefault="00123A81" w:rsidP="00123A81">
      <w:pPr>
        <w:pStyle w:val="BodyText"/>
      </w:pPr>
      <w:r>
        <w:t>Assuming zero market income:</w:t>
      </w:r>
      <w:r w:rsidRPr="007D361D">
        <w:rPr>
          <w:rStyle w:val="FootnoteReference"/>
        </w:rPr>
        <w:footnoteReference w:id="30"/>
      </w:r>
    </w:p>
    <w:p w:rsidR="00401B2C" w:rsidRDefault="00401B2C" w:rsidP="00401B2C">
      <w:pPr>
        <w:pStyle w:val="ListBullet"/>
      </w:pPr>
      <w:r>
        <w:t>Single DSP recipients who pay less than about $16</w:t>
      </w:r>
      <w:r w:rsidR="006F0EFE">
        <w:t>0</w:t>
      </w:r>
      <w:r>
        <w:t xml:space="preserve"> a week </w:t>
      </w:r>
      <w:r w:rsidR="006F49C1">
        <w:t xml:space="preserve">in rent </w:t>
      </w:r>
      <w:r>
        <w:t xml:space="preserve">have a higher DIPR if renting privately. In 2013, </w:t>
      </w:r>
      <w:r w:rsidR="006F49C1">
        <w:t xml:space="preserve">it is estimated that </w:t>
      </w:r>
      <w:r>
        <w:t xml:space="preserve">approximately 40 per cent of </w:t>
      </w:r>
      <w:r w:rsidR="006F49C1">
        <w:t xml:space="preserve">all </w:t>
      </w:r>
      <w:r>
        <w:t>DSP recipients who rented privately and received CRA paid rent at or below this level</w:t>
      </w:r>
      <w:r w:rsidR="00CA7DA3">
        <w:t xml:space="preserve"> (author estimates based on </w:t>
      </w:r>
      <w:r w:rsidR="00F37462">
        <w:t>annex</w:t>
      </w:r>
      <w:r w:rsidR="00A61C8A">
        <w:t> </w:t>
      </w:r>
      <w:r w:rsidR="00CA7DA3">
        <w:t>A, BP 3)</w:t>
      </w:r>
      <w:r>
        <w:t>.</w:t>
      </w:r>
      <w:r w:rsidR="006F49C1">
        <w:t xml:space="preserve"> Assuming that single DSP recipients are likely to pay more in rent than partnered DSP recipients (footnote 17), the percentage of singles paying less than about $16</w:t>
      </w:r>
      <w:r w:rsidR="006F0EFE">
        <w:t>0</w:t>
      </w:r>
      <w:r w:rsidR="006F49C1">
        <w:t xml:space="preserve"> will be </w:t>
      </w:r>
      <w:r w:rsidR="00CA7DA3">
        <w:t>smaller</w:t>
      </w:r>
      <w:r w:rsidR="006F49C1">
        <w:t xml:space="preserve"> than 40 per cent.</w:t>
      </w:r>
      <w:r w:rsidR="009A1166">
        <w:t xml:space="preserve"> </w:t>
      </w:r>
    </w:p>
    <w:p w:rsidR="00123A81" w:rsidRDefault="004E539A" w:rsidP="00123A81">
      <w:pPr>
        <w:pStyle w:val="ListBullet"/>
      </w:pPr>
      <w:r>
        <w:t xml:space="preserve">Single </w:t>
      </w:r>
      <w:r w:rsidR="00123A81">
        <w:t>Newstart recipients who pay less than about $100 a week</w:t>
      </w:r>
      <w:r w:rsidR="00F802DA">
        <w:t xml:space="preserve"> in rent have a higher DIPR</w:t>
      </w:r>
      <w:r w:rsidR="00123A81">
        <w:t xml:space="preserve"> </w:t>
      </w:r>
      <w:r w:rsidR="00F802DA">
        <w:t>if</w:t>
      </w:r>
      <w:r w:rsidR="00123A81">
        <w:t xml:space="preserve"> renting privately (extrapolating from the NWS series in figure 9) — but, in 2013, very few </w:t>
      </w:r>
      <w:r w:rsidR="0096371E">
        <w:t xml:space="preserve">Newstart </w:t>
      </w:r>
      <w:r w:rsidR="00123A81">
        <w:t>recipients who rented privately and received CRA paid rents at or below this level (figure 11)</w:t>
      </w:r>
      <w:r w:rsidR="00CA06F7">
        <w:t>.</w:t>
      </w:r>
    </w:p>
    <w:p w:rsidR="00123A81" w:rsidRDefault="00123A81" w:rsidP="00123A81">
      <w:pPr>
        <w:pStyle w:val="ListBullet"/>
      </w:pPr>
      <w:r>
        <w:t>Single recipients of Parenting Payment who pay</w:t>
      </w:r>
      <w:r w:rsidRPr="00B57B07">
        <w:t xml:space="preserve"> </w:t>
      </w:r>
      <w:r>
        <w:t xml:space="preserve">rent of less than about $185 a week are financially better off renting privately. In 2013, </w:t>
      </w:r>
      <w:r w:rsidR="003462BC">
        <w:t>fewer</w:t>
      </w:r>
      <w:r>
        <w:t xml:space="preserve"> than 25 per cent of recipients who rented privately and received CRA paid rent at or below this level.</w:t>
      </w:r>
    </w:p>
    <w:p w:rsidR="00123A81" w:rsidRDefault="00123A81" w:rsidP="00123A81">
      <w:pPr>
        <w:pStyle w:val="BodyText"/>
      </w:pPr>
      <w:r>
        <w:t xml:space="preserve">These data suggest that a majority of </w:t>
      </w:r>
      <w:r w:rsidR="00CA06F7">
        <w:t xml:space="preserve">ISP </w:t>
      </w:r>
      <w:r>
        <w:t xml:space="preserve">recipients with zero market income would </w:t>
      </w:r>
      <w:r w:rsidR="00CA06F7">
        <w:t>have a higher DIPR</w:t>
      </w:r>
      <w:r>
        <w:t xml:space="preserve"> if they </w:t>
      </w:r>
      <w:r w:rsidR="00CA06F7">
        <w:t>lived in</w:t>
      </w:r>
      <w:r>
        <w:t xml:space="preserve"> social housing than </w:t>
      </w:r>
      <w:r w:rsidR="00CA06F7">
        <w:t xml:space="preserve">if </w:t>
      </w:r>
      <w:r>
        <w:t>renting privately and receiving CRA.</w:t>
      </w:r>
    </w:p>
    <w:p w:rsidR="00123A81" w:rsidRDefault="00123A81" w:rsidP="00123A8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23A81" w:rsidRPr="00CA06F7" w:rsidTr="00123A81">
        <w:tc>
          <w:tcPr>
            <w:tcW w:w="8771" w:type="dxa"/>
            <w:tcBorders>
              <w:top w:val="single" w:sz="6" w:space="0" w:color="78A22F"/>
              <w:left w:val="nil"/>
              <w:bottom w:val="nil"/>
              <w:right w:val="nil"/>
            </w:tcBorders>
            <w:shd w:val="clear" w:color="auto" w:fill="auto"/>
          </w:tcPr>
          <w:p w:rsidR="00123A81" w:rsidRPr="00CA06F7" w:rsidRDefault="00123A81" w:rsidP="00A61C8A">
            <w:pPr>
              <w:pStyle w:val="FigureTitle"/>
            </w:pPr>
            <w:r w:rsidRPr="00CA06F7">
              <w:rPr>
                <w:b w:val="0"/>
              </w:rPr>
              <w:t xml:space="preserve">Figure </w:t>
            </w:r>
            <w:bookmarkStart w:id="16" w:name="OLE_LINK41"/>
            <w:r w:rsidRPr="00CA06F7">
              <w:rPr>
                <w:b w:val="0"/>
              </w:rPr>
              <w:fldChar w:fldCharType="begin"/>
            </w:r>
            <w:r w:rsidRPr="00CA06F7">
              <w:rPr>
                <w:b w:val="0"/>
              </w:rPr>
              <w:instrText xml:space="preserve"> SEQ Figure \* ARABIC </w:instrText>
            </w:r>
            <w:r w:rsidRPr="00CA06F7">
              <w:rPr>
                <w:b w:val="0"/>
              </w:rPr>
              <w:fldChar w:fldCharType="separate"/>
            </w:r>
            <w:r w:rsidR="002368BE">
              <w:rPr>
                <w:b w:val="0"/>
                <w:noProof/>
              </w:rPr>
              <w:t>11</w:t>
            </w:r>
            <w:r w:rsidRPr="00CA06F7">
              <w:rPr>
                <w:b w:val="0"/>
              </w:rPr>
              <w:fldChar w:fldCharType="end"/>
            </w:r>
            <w:bookmarkEnd w:id="16"/>
            <w:r w:rsidRPr="00CA06F7">
              <w:tab/>
              <w:t>Rent</w:t>
            </w:r>
            <w:r w:rsidR="00BB59D3">
              <w:t>s</w:t>
            </w:r>
            <w:r w:rsidRPr="00CA06F7">
              <w:t xml:space="preserve"> paid by </w:t>
            </w:r>
            <w:r w:rsidR="00BB59D3">
              <w:t>CRA</w:t>
            </w:r>
            <w:r w:rsidRPr="00CA06F7">
              <w:t xml:space="preserve"> recipients</w:t>
            </w:r>
            <w:r w:rsidR="00BB59D3">
              <w:t xml:space="preserve"> by ISP type</w:t>
            </w:r>
            <w:r w:rsidRPr="00CA06F7">
              <w:t xml:space="preserve"> — mean, median and interquartile range</w:t>
            </w:r>
            <w:r w:rsidR="00A61C8A">
              <w:t xml:space="preserve">, at 30 June </w:t>
            </w:r>
            <w:r w:rsidR="00BB59D3">
              <w:t>2013</w:t>
            </w:r>
            <w:r w:rsidR="0096371E">
              <w:rPr>
                <w:rStyle w:val="NoteLabel"/>
                <w:b/>
              </w:rPr>
              <w:t>a</w:t>
            </w:r>
          </w:p>
        </w:tc>
      </w:tr>
      <w:tr w:rsidR="00123A81" w:rsidRPr="00A56396" w:rsidTr="00123A8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23A81" w:rsidRPr="00A56396" w:rsidTr="00123A81">
              <w:trPr>
                <w:trHeight w:val="4866"/>
                <w:jc w:val="center"/>
              </w:trPr>
              <w:tc>
                <w:tcPr>
                  <w:tcW w:w="8504" w:type="dxa"/>
                  <w:tcBorders>
                    <w:top w:val="nil"/>
                    <w:bottom w:val="nil"/>
                  </w:tcBorders>
                </w:tcPr>
                <w:p w:rsidR="00123A81" w:rsidRPr="00A56396" w:rsidRDefault="0096371E" w:rsidP="00123A81">
                  <w:pPr>
                    <w:pStyle w:val="Figure"/>
                    <w:spacing w:before="60" w:after="60"/>
                    <w:rPr>
                      <w:rFonts w:ascii="Arial" w:hAnsi="Arial" w:cs="Arial"/>
                      <w:sz w:val="22"/>
                      <w:szCs w:val="22"/>
                    </w:rPr>
                  </w:pPr>
                  <w:r w:rsidRPr="00B018F2">
                    <w:rPr>
                      <w:b/>
                      <w:noProof/>
                    </w:rPr>
                    <w:drawing>
                      <wp:inline distT="0" distB="0" distL="0" distR="0" wp14:anchorId="2B4FF6BB" wp14:editId="35B92EA3">
                        <wp:extent cx="5220000" cy="2880000"/>
                        <wp:effectExtent l="0" t="0" r="0" b="0"/>
                        <wp:docPr id="1" name="Chart 1" descr="This chart shows the mean, median and interquartile range of rents paid by CRA recipients, differentiated by their ISP. Data is for 30 June 2013." title="Rents paid by CRA recipients by ISP type "/>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123A81" w:rsidRPr="00A56396" w:rsidRDefault="00123A81" w:rsidP="00123A81">
            <w:pPr>
              <w:pStyle w:val="Figure"/>
              <w:rPr>
                <w:rFonts w:ascii="Arial" w:hAnsi="Arial" w:cs="Arial"/>
                <w:sz w:val="22"/>
                <w:szCs w:val="22"/>
              </w:rPr>
            </w:pPr>
          </w:p>
        </w:tc>
      </w:tr>
      <w:tr w:rsidR="00123A81" w:rsidRPr="00176D3F" w:rsidTr="00123A81">
        <w:tc>
          <w:tcPr>
            <w:tcW w:w="8771" w:type="dxa"/>
            <w:tcBorders>
              <w:top w:val="nil"/>
              <w:left w:val="nil"/>
              <w:bottom w:val="nil"/>
              <w:right w:val="nil"/>
            </w:tcBorders>
            <w:shd w:val="clear" w:color="auto" w:fill="auto"/>
          </w:tcPr>
          <w:p w:rsidR="00123A81" w:rsidRPr="00176D3F" w:rsidRDefault="00123A81" w:rsidP="0096371E">
            <w:pPr>
              <w:pStyle w:val="Note"/>
            </w:pPr>
            <w:r>
              <w:rPr>
                <w:rStyle w:val="NoteLabel"/>
              </w:rPr>
              <w:t>a</w:t>
            </w:r>
            <w:r w:rsidRPr="00643AA4">
              <w:t xml:space="preserve"> </w:t>
            </w:r>
            <w:r>
              <w:t>The lower edge of each column represents the 25</w:t>
            </w:r>
            <w:r w:rsidRPr="00643AA4">
              <w:rPr>
                <w:vertAlign w:val="superscript"/>
              </w:rPr>
              <w:t>th</w:t>
            </w:r>
            <w:r>
              <w:t xml:space="preserve"> percentile of the distribution of weekly rents for an ISP group, the line across a column</w:t>
            </w:r>
            <w:r w:rsidR="0096371E">
              <w:t xml:space="preserve"> is</w:t>
            </w:r>
            <w:r>
              <w:t xml:space="preserve"> the median level</w:t>
            </w:r>
            <w:r w:rsidR="00BB59D3">
              <w:t>, the diamond shape</w:t>
            </w:r>
            <w:r w:rsidR="0096371E">
              <w:t xml:space="preserve"> is</w:t>
            </w:r>
            <w:r w:rsidR="00BB59D3">
              <w:t xml:space="preserve"> the mean</w:t>
            </w:r>
            <w:r>
              <w:t xml:space="preserve"> and the top of a column, the 75</w:t>
            </w:r>
            <w:r w:rsidRPr="00643AA4">
              <w:rPr>
                <w:vertAlign w:val="superscript"/>
              </w:rPr>
              <w:t>th</w:t>
            </w:r>
            <w:r>
              <w:t xml:space="preserve"> percentile. </w:t>
            </w:r>
          </w:p>
        </w:tc>
      </w:tr>
      <w:tr w:rsidR="00CA06F7" w:rsidRPr="00176D3F" w:rsidTr="00123A81">
        <w:tc>
          <w:tcPr>
            <w:tcW w:w="8771" w:type="dxa"/>
            <w:tcBorders>
              <w:top w:val="nil"/>
              <w:left w:val="nil"/>
              <w:bottom w:val="nil"/>
              <w:right w:val="nil"/>
            </w:tcBorders>
            <w:shd w:val="clear" w:color="auto" w:fill="auto"/>
          </w:tcPr>
          <w:p w:rsidR="00CA06F7" w:rsidRPr="00176D3F" w:rsidRDefault="008211CC" w:rsidP="00123A81">
            <w:pPr>
              <w:pStyle w:val="Source"/>
            </w:pPr>
            <w:r>
              <w:rPr>
                <w:i/>
              </w:rPr>
              <w:t>S</w:t>
            </w:r>
            <w:r w:rsidR="00CA06F7">
              <w:rPr>
                <w:i/>
              </w:rPr>
              <w:t>ource</w:t>
            </w:r>
            <w:r w:rsidR="00CA06F7">
              <w:t>: Department of Human Services, administrative data (unpublished).</w:t>
            </w:r>
          </w:p>
        </w:tc>
      </w:tr>
      <w:tr w:rsidR="00123A81" w:rsidTr="00123A81">
        <w:tc>
          <w:tcPr>
            <w:tcW w:w="8771" w:type="dxa"/>
            <w:tcBorders>
              <w:top w:val="nil"/>
              <w:left w:val="nil"/>
              <w:bottom w:val="single" w:sz="6" w:space="0" w:color="78A22F"/>
              <w:right w:val="nil"/>
            </w:tcBorders>
            <w:shd w:val="clear" w:color="auto" w:fill="auto"/>
          </w:tcPr>
          <w:p w:rsidR="00123A81" w:rsidRDefault="00123A81" w:rsidP="00123A81">
            <w:pPr>
              <w:pStyle w:val="Figurespace"/>
            </w:pPr>
          </w:p>
        </w:tc>
      </w:tr>
      <w:tr w:rsidR="00123A81" w:rsidRPr="000863A5" w:rsidTr="00123A81">
        <w:tc>
          <w:tcPr>
            <w:tcW w:w="8771" w:type="dxa"/>
            <w:tcBorders>
              <w:top w:val="single" w:sz="6" w:space="0" w:color="78A22F"/>
              <w:left w:val="nil"/>
              <w:bottom w:val="nil"/>
              <w:right w:val="nil"/>
            </w:tcBorders>
          </w:tcPr>
          <w:p w:rsidR="00123A81" w:rsidRPr="00626D32" w:rsidRDefault="00123A81" w:rsidP="00123A81">
            <w:pPr>
              <w:pStyle w:val="BoxSpaceBelow"/>
            </w:pPr>
          </w:p>
        </w:tc>
      </w:tr>
    </w:tbl>
    <w:p w:rsidR="00123A81" w:rsidRDefault="000C3C0A" w:rsidP="00123A81">
      <w:pPr>
        <w:pStyle w:val="BodyText"/>
      </w:pPr>
      <w:r>
        <w:t xml:space="preserve">Finally, how </w:t>
      </w:r>
      <w:r w:rsidR="00123A81">
        <w:t>many tenants have some income in addition to their ISP?</w:t>
      </w:r>
    </w:p>
    <w:p w:rsidR="00123A81" w:rsidRDefault="00123A81" w:rsidP="00123A81">
      <w:pPr>
        <w:pStyle w:val="BodyText"/>
      </w:pPr>
      <w:r>
        <w:t xml:space="preserve">Rates of employment vary by </w:t>
      </w:r>
      <w:r w:rsidR="0070318E">
        <w:t>ISP</w:t>
      </w:r>
      <w:r>
        <w:t xml:space="preserve"> type (figure 12) (and by housing tenure); less than 9 per cent of</w:t>
      </w:r>
      <w:r w:rsidR="00C91937">
        <w:t xml:space="preserve"> all</w:t>
      </w:r>
      <w:r>
        <w:t xml:space="preserve"> DSP recipients, 26 per cent of </w:t>
      </w:r>
      <w:r w:rsidR="00C91937">
        <w:t xml:space="preserve">all </w:t>
      </w:r>
      <w:r>
        <w:t>Newstart recipients and 27 per cent of single parents who received Parenting Payment were working in the fortnight ending 30</w:t>
      </w:r>
      <w:r w:rsidR="00A61C8A">
        <w:t> </w:t>
      </w:r>
      <w:r>
        <w:t xml:space="preserve">June 2013. </w:t>
      </w:r>
      <w:r w:rsidR="000C3C0A">
        <w:t xml:space="preserve">It </w:t>
      </w:r>
      <w:r w:rsidR="00BB49A7">
        <w:t>is</w:t>
      </w:r>
      <w:r w:rsidR="000C3C0A">
        <w:t xml:space="preserve"> assumed</w:t>
      </w:r>
      <w:r>
        <w:t xml:space="preserve"> that </w:t>
      </w:r>
      <w:r w:rsidR="004B7921">
        <w:t xml:space="preserve">these rates also apply to single DSP and Newstart recipients and that </w:t>
      </w:r>
      <w:r>
        <w:t xml:space="preserve">those in employment at 30 June earned the median annual income </w:t>
      </w:r>
      <w:r w:rsidR="00CA0335">
        <w:t xml:space="preserve">estimated </w:t>
      </w:r>
      <w:r>
        <w:t>for their ISP type. In that case, only half of the</w:t>
      </w:r>
      <w:r w:rsidR="00CB4F77">
        <w:t xml:space="preserve"> members of each these</w:t>
      </w:r>
      <w:r>
        <w:t xml:space="preserve"> ISP groups </w:t>
      </w:r>
      <w:r w:rsidR="00CB4F77">
        <w:t xml:space="preserve">who worked </w:t>
      </w:r>
      <w:r>
        <w:t>earned at least the level of market income underlying the curves shown in figure 10 (because those curves are based on the median income earner in each ISP type).</w:t>
      </w:r>
    </w:p>
    <w:p w:rsidR="00CA06F7" w:rsidRDefault="00CA06F7" w:rsidP="00CA06F7">
      <w:pPr>
        <w:pStyle w:val="BoxSpaceAbove"/>
        <w:spacing w:before="1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06F7" w:rsidTr="00E94569">
        <w:tc>
          <w:tcPr>
            <w:tcW w:w="8771" w:type="dxa"/>
            <w:tcBorders>
              <w:top w:val="single" w:sz="6" w:space="0" w:color="78A22F"/>
              <w:left w:val="nil"/>
              <w:bottom w:val="nil"/>
              <w:right w:val="nil"/>
            </w:tcBorders>
            <w:shd w:val="clear" w:color="auto" w:fill="auto"/>
          </w:tcPr>
          <w:p w:rsidR="00CA06F7" w:rsidRDefault="00CA06F7" w:rsidP="007D361D">
            <w:pPr>
              <w:pStyle w:val="TableTitle"/>
            </w:pPr>
            <w:r w:rsidRPr="007D361D">
              <w:rPr>
                <w:b w:val="0"/>
              </w:rPr>
              <w:t>Figure</w:t>
            </w:r>
            <w:r w:rsidR="00A61C8A">
              <w:rPr>
                <w:b w:val="0"/>
              </w:rPr>
              <w:t> </w:t>
            </w:r>
            <w:r w:rsidRPr="007D361D">
              <w:rPr>
                <w:b w:val="0"/>
              </w:rPr>
              <w:fldChar w:fldCharType="begin"/>
            </w:r>
            <w:r w:rsidRPr="007D361D">
              <w:rPr>
                <w:b w:val="0"/>
              </w:rPr>
              <w:instrText xml:space="preserve"> SEQ Figure \* ARABIC </w:instrText>
            </w:r>
            <w:r w:rsidRPr="007D361D">
              <w:rPr>
                <w:b w:val="0"/>
              </w:rPr>
              <w:fldChar w:fldCharType="separate"/>
            </w:r>
            <w:r w:rsidR="002368BE">
              <w:rPr>
                <w:b w:val="0"/>
                <w:noProof/>
              </w:rPr>
              <w:t>12</w:t>
            </w:r>
            <w:r w:rsidRPr="007D361D">
              <w:rPr>
                <w:b w:val="0"/>
              </w:rPr>
              <w:fldChar w:fldCharType="end"/>
            </w:r>
            <w:r>
              <w:tab/>
              <w:t>Employment of housing assistance recipients by ISP type, 2013</w:t>
            </w:r>
            <w:r w:rsidRPr="00BB59D3">
              <w:rPr>
                <w:rStyle w:val="NoteLabel"/>
                <w:b/>
              </w:rPr>
              <w:t>a</w:t>
            </w:r>
            <w:r w:rsidR="00BB59D3" w:rsidRPr="00BB59D3">
              <w:rPr>
                <w:rStyle w:val="NoteLabel"/>
                <w:b/>
              </w:rPr>
              <w:t>,b</w:t>
            </w:r>
          </w:p>
          <w:p w:rsidR="00CA06F7" w:rsidRPr="00176D3F" w:rsidRDefault="00CA06F7" w:rsidP="00E94569">
            <w:pPr>
              <w:pStyle w:val="Subtitle"/>
            </w:pPr>
            <w:r>
              <w:t>Per cent reporting earned income</w:t>
            </w:r>
          </w:p>
        </w:tc>
      </w:tr>
      <w:tr w:rsidR="00CA06F7" w:rsidTr="00E94569">
        <w:tblPrEx>
          <w:tblCellMar>
            <w:left w:w="108" w:type="dxa"/>
            <w:right w:w="108" w:type="dxa"/>
          </w:tblCellMar>
        </w:tblPrEx>
        <w:tc>
          <w:tcPr>
            <w:tcW w:w="8771" w:type="dxa"/>
            <w:tcBorders>
              <w:top w:val="nil"/>
              <w:left w:val="nil"/>
              <w:bottom w:val="nil"/>
              <w:right w:val="nil"/>
            </w:tcBorders>
            <w:shd w:val="clear" w:color="auto" w:fill="auto"/>
          </w:tcPr>
          <w:p w:rsidR="00CA06F7" w:rsidRDefault="00CA06F7" w:rsidP="00E94569">
            <w:pPr>
              <w:pStyle w:val="Figure"/>
            </w:pPr>
            <w:r>
              <w:rPr>
                <w:noProof/>
              </w:rPr>
              <w:drawing>
                <wp:inline distT="0" distB="0" distL="0" distR="0" wp14:anchorId="1C3F00BA" wp14:editId="380BAD6C">
                  <wp:extent cx="5400000" cy="2160000"/>
                  <wp:effectExtent l="0" t="0" r="0" b="0"/>
                  <wp:docPr id="55" name="Chart 55" descr="This chart shows the rates of employment of housing assistance recipients by ISP type in 2013." title="Employment of housing assistance recipients by ISP type, 2013"/>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CA06F7" w:rsidRPr="00176D3F" w:rsidTr="00E94569">
        <w:tc>
          <w:tcPr>
            <w:tcW w:w="8771" w:type="dxa"/>
            <w:tcBorders>
              <w:top w:val="nil"/>
              <w:left w:val="nil"/>
              <w:bottom w:val="nil"/>
              <w:right w:val="nil"/>
            </w:tcBorders>
            <w:shd w:val="clear" w:color="auto" w:fill="auto"/>
          </w:tcPr>
          <w:p w:rsidR="00CA06F7" w:rsidRPr="00176D3F" w:rsidRDefault="00CA06F7" w:rsidP="00E94569">
            <w:pPr>
              <w:pStyle w:val="Note"/>
            </w:pPr>
            <w:r>
              <w:rPr>
                <w:rStyle w:val="NoteLabel"/>
              </w:rPr>
              <w:t>a</w:t>
            </w:r>
            <w:r>
              <w:t xml:space="preserve"> ISP recipients aged 15–65 at 30</w:t>
            </w:r>
            <w:r w:rsidR="00A61C8A">
              <w:t> </w:t>
            </w:r>
            <w:r>
              <w:t>June 2013. This figure does not include FTB(A)</w:t>
            </w:r>
            <w:r w:rsidR="00A61C8A">
              <w:noBreakHyphen/>
            </w:r>
            <w:r>
              <w:t>only recipients of CRA.</w:t>
            </w:r>
            <w:r w:rsidR="00BB59D3">
              <w:t xml:space="preserve"> </w:t>
            </w:r>
            <w:r w:rsidR="00BB59D3" w:rsidRPr="007D361D">
              <w:rPr>
                <w:rStyle w:val="NoteLabel"/>
              </w:rPr>
              <w:t>b</w:t>
            </w:r>
            <w:r w:rsidR="00BB59D3">
              <w:t xml:space="preserve"> Commonwealth Rent Assistance refers to CRA recipients. Public housing to public housing tenants.</w:t>
            </w:r>
          </w:p>
        </w:tc>
      </w:tr>
      <w:tr w:rsidR="00CA06F7" w:rsidRPr="00176D3F" w:rsidTr="00E94569">
        <w:tc>
          <w:tcPr>
            <w:tcW w:w="8771" w:type="dxa"/>
            <w:tcBorders>
              <w:top w:val="nil"/>
              <w:left w:val="nil"/>
              <w:bottom w:val="nil"/>
              <w:right w:val="nil"/>
            </w:tcBorders>
            <w:shd w:val="clear" w:color="auto" w:fill="auto"/>
          </w:tcPr>
          <w:p w:rsidR="00CA06F7" w:rsidRPr="00176D3F" w:rsidRDefault="008211CC" w:rsidP="00BB59D3">
            <w:pPr>
              <w:pStyle w:val="Source"/>
            </w:pPr>
            <w:r>
              <w:rPr>
                <w:i/>
              </w:rPr>
              <w:t>S</w:t>
            </w:r>
            <w:r w:rsidR="00CA06F7">
              <w:rPr>
                <w:i/>
              </w:rPr>
              <w:t>ource</w:t>
            </w:r>
            <w:r w:rsidR="00CA06F7">
              <w:t>: Department of Human Services, administrative data (unpublished).</w:t>
            </w:r>
          </w:p>
        </w:tc>
      </w:tr>
      <w:tr w:rsidR="00CA06F7" w:rsidTr="00E94569">
        <w:tc>
          <w:tcPr>
            <w:tcW w:w="8771" w:type="dxa"/>
            <w:tcBorders>
              <w:top w:val="nil"/>
              <w:left w:val="nil"/>
              <w:bottom w:val="single" w:sz="6" w:space="0" w:color="78A22F"/>
              <w:right w:val="nil"/>
            </w:tcBorders>
            <w:shd w:val="clear" w:color="auto" w:fill="auto"/>
          </w:tcPr>
          <w:p w:rsidR="00CA06F7" w:rsidRDefault="00CA06F7" w:rsidP="00E94569">
            <w:pPr>
              <w:pStyle w:val="Figurespace"/>
            </w:pPr>
          </w:p>
        </w:tc>
      </w:tr>
      <w:tr w:rsidR="00CA06F7" w:rsidRPr="000863A5" w:rsidTr="00E94569">
        <w:tc>
          <w:tcPr>
            <w:tcW w:w="8771" w:type="dxa"/>
            <w:tcBorders>
              <w:top w:val="single" w:sz="6" w:space="0" w:color="78A22F"/>
              <w:left w:val="nil"/>
              <w:bottom w:val="nil"/>
              <w:right w:val="nil"/>
            </w:tcBorders>
          </w:tcPr>
          <w:p w:rsidR="00CA06F7" w:rsidRPr="00626D32" w:rsidRDefault="00CA06F7" w:rsidP="00E94569">
            <w:pPr>
              <w:pStyle w:val="BoxSpaceBelow"/>
            </w:pPr>
          </w:p>
        </w:tc>
      </w:tr>
    </w:tbl>
    <w:p w:rsidR="00123A81" w:rsidRDefault="00123A81" w:rsidP="00123A81">
      <w:pPr>
        <w:pStyle w:val="BodyText"/>
      </w:pPr>
      <w:r>
        <w:t>In other words:</w:t>
      </w:r>
    </w:p>
    <w:p w:rsidR="00123A81" w:rsidRDefault="00123A81" w:rsidP="00123A81">
      <w:pPr>
        <w:pStyle w:val="ListBullet"/>
      </w:pPr>
      <w:r>
        <w:t xml:space="preserve">less than 5 per cent of </w:t>
      </w:r>
      <w:r w:rsidR="004B7921">
        <w:t xml:space="preserve">single </w:t>
      </w:r>
      <w:r>
        <w:t xml:space="preserve">DSP recipients </w:t>
      </w:r>
      <w:r w:rsidR="004B7921">
        <w:t xml:space="preserve">are estimated to have </w:t>
      </w:r>
      <w:r w:rsidR="00A61C8A">
        <w:t>earned at least $6</w:t>
      </w:r>
      <w:r>
        <w:t>000 in 2013. At rents of up to about $1</w:t>
      </w:r>
      <w:r w:rsidR="00BB49A7">
        <w:t>8</w:t>
      </w:r>
      <w:r>
        <w:t xml:space="preserve">0 a week (figure 10) they would have </w:t>
      </w:r>
      <w:r w:rsidR="00CA06F7">
        <w:t>had a higher DIPR if</w:t>
      </w:r>
      <w:r>
        <w:t xml:space="preserve"> renting privately and receiving CRA than </w:t>
      </w:r>
      <w:r w:rsidR="00CA06F7">
        <w:t xml:space="preserve">if </w:t>
      </w:r>
      <w:r>
        <w:t>living in social housing. About 50</w:t>
      </w:r>
      <w:r w:rsidR="000C3C0A">
        <w:t> </w:t>
      </w:r>
      <w:r>
        <w:t>per cent of</w:t>
      </w:r>
      <w:r w:rsidR="004B7921">
        <w:t xml:space="preserve"> single</w:t>
      </w:r>
      <w:r>
        <w:t xml:space="preserve"> DSP recipients who rented privately in 2013 </w:t>
      </w:r>
      <w:r w:rsidR="004B7921">
        <w:t xml:space="preserve">are estimated to have </w:t>
      </w:r>
      <w:r>
        <w:t>paid rent at or below this level (figure 11)</w:t>
      </w:r>
    </w:p>
    <w:p w:rsidR="00123A81" w:rsidRPr="00FC3194" w:rsidRDefault="00123A81" w:rsidP="00123A81">
      <w:pPr>
        <w:pStyle w:val="ListBullet"/>
      </w:pPr>
      <w:r w:rsidRPr="00FC3194">
        <w:t xml:space="preserve">less than 13 per cent of </w:t>
      </w:r>
      <w:r w:rsidR="00BB49A7" w:rsidRPr="00FC3194">
        <w:t xml:space="preserve">single </w:t>
      </w:r>
      <w:r w:rsidRPr="00FC3194">
        <w:t xml:space="preserve">Newstart recipients </w:t>
      </w:r>
      <w:r w:rsidR="004B7921" w:rsidRPr="00FC3194">
        <w:t xml:space="preserve">are estimated to have </w:t>
      </w:r>
      <w:r w:rsidRPr="00FC3194">
        <w:t>earned at least $15 000 in 20</w:t>
      </w:r>
      <w:r w:rsidR="00BB49A7" w:rsidRPr="00FC3194">
        <w:t>13. At rents of up to about $165</w:t>
      </w:r>
      <w:r w:rsidRPr="00FC3194">
        <w:t xml:space="preserve"> a week they would have </w:t>
      </w:r>
      <w:r w:rsidR="00BA1338" w:rsidRPr="00FC3194">
        <w:t>had a higher DIPR if</w:t>
      </w:r>
      <w:r w:rsidRPr="00FC3194">
        <w:t xml:space="preserve"> renting privately and receiving CRA. About 25 per cent of </w:t>
      </w:r>
      <w:r w:rsidR="00FC3194" w:rsidRPr="00FC3194">
        <w:t xml:space="preserve">single </w:t>
      </w:r>
      <w:r w:rsidRPr="00FC3194">
        <w:t xml:space="preserve">Newstart recipients who rented privately in 2013 </w:t>
      </w:r>
      <w:r w:rsidR="004B7921" w:rsidRPr="00FC3194">
        <w:t xml:space="preserve">are estimated to have </w:t>
      </w:r>
      <w:r w:rsidRPr="00FC3194">
        <w:t>paid rent at or below this level</w:t>
      </w:r>
    </w:p>
    <w:p w:rsidR="00554E87" w:rsidRPr="00554E87" w:rsidRDefault="00123A81" w:rsidP="00123A81">
      <w:pPr>
        <w:pStyle w:val="ListBullet"/>
        <w:rPr>
          <w:spacing w:val="-2"/>
        </w:rPr>
      </w:pPr>
      <w:r w:rsidRPr="00554E87">
        <w:rPr>
          <w:spacing w:val="-2"/>
        </w:rPr>
        <w:t xml:space="preserve">less than 15 per cent of </w:t>
      </w:r>
      <w:r w:rsidR="003E4C86" w:rsidRPr="00554E87">
        <w:rPr>
          <w:spacing w:val="-2"/>
        </w:rPr>
        <w:t xml:space="preserve">single </w:t>
      </w:r>
      <w:r w:rsidRPr="00554E87">
        <w:rPr>
          <w:spacing w:val="-2"/>
        </w:rPr>
        <w:t>Parenting Payment</w:t>
      </w:r>
      <w:r w:rsidR="00401B2C" w:rsidRPr="00554E87">
        <w:rPr>
          <w:spacing w:val="-2"/>
        </w:rPr>
        <w:t xml:space="preserve"> </w:t>
      </w:r>
      <w:r w:rsidRPr="00554E87">
        <w:rPr>
          <w:spacing w:val="-2"/>
        </w:rPr>
        <w:t>recipients earned at least $18 000 in 2013. At rents of up to about $250 a week</w:t>
      </w:r>
      <w:r w:rsidR="008D629B" w:rsidRPr="00554E87">
        <w:rPr>
          <w:spacing w:val="-2"/>
        </w:rPr>
        <w:t>,</w:t>
      </w:r>
      <w:r w:rsidRPr="00554E87">
        <w:rPr>
          <w:spacing w:val="-2"/>
        </w:rPr>
        <w:t xml:space="preserve"> they would have </w:t>
      </w:r>
      <w:r w:rsidR="00BA1338" w:rsidRPr="00554E87">
        <w:rPr>
          <w:spacing w:val="-2"/>
        </w:rPr>
        <w:t xml:space="preserve">had a higher DIPR if </w:t>
      </w:r>
      <w:r w:rsidRPr="00554E87">
        <w:rPr>
          <w:spacing w:val="-2"/>
        </w:rPr>
        <w:t xml:space="preserve">renting privately and receiving CRA. About 50 per cent of </w:t>
      </w:r>
      <w:r w:rsidR="003E4C86" w:rsidRPr="00554E87">
        <w:rPr>
          <w:spacing w:val="-2"/>
        </w:rPr>
        <w:t xml:space="preserve">single </w:t>
      </w:r>
      <w:r w:rsidRPr="00554E87">
        <w:rPr>
          <w:spacing w:val="-2"/>
        </w:rPr>
        <w:t>Parenting Payment recipients who rented privately in 2013 paid rent at or below this level</w:t>
      </w:r>
      <w:r w:rsidR="00CB4F77">
        <w:rPr>
          <w:spacing w:val="-2"/>
        </w:rPr>
        <w:t>.</w:t>
      </w:r>
    </w:p>
    <w:p w:rsidR="00123A81" w:rsidRDefault="00123A81" w:rsidP="00554E87">
      <w:pPr>
        <w:pStyle w:val="BodyText"/>
      </w:pPr>
      <w:r>
        <w:t xml:space="preserve">In summary, the data suggest that </w:t>
      </w:r>
      <w:r w:rsidR="00690DDA">
        <w:t>some</w:t>
      </w:r>
      <w:r w:rsidR="004E539A">
        <w:t xml:space="preserve"> </w:t>
      </w:r>
      <w:r>
        <w:t xml:space="preserve">people with at least the median level of market income could find properties that left them </w:t>
      </w:r>
      <w:r w:rsidR="00BA1338">
        <w:t>with a higher DIPR</w:t>
      </w:r>
      <w:r>
        <w:t xml:space="preserve"> if they were renting privately and receiving CRA</w:t>
      </w:r>
      <w:r w:rsidR="000C3C0A">
        <w:t>, compared with</w:t>
      </w:r>
      <w:r>
        <w:t xml:space="preserve"> living in social housing.</w:t>
      </w:r>
    </w:p>
    <w:p w:rsidR="00123A81" w:rsidRDefault="00123A81" w:rsidP="00123A81">
      <w:pPr>
        <w:pStyle w:val="BodyText"/>
      </w:pPr>
      <w:r>
        <w:t xml:space="preserve">An important qualification to this conclusion — it rests on an assumption that social housing market rents are a true reflection of a dwelling’s market price. If, for example, a </w:t>
      </w:r>
      <w:r>
        <w:lastRenderedPageBreak/>
        <w:t>rent was set below the market price</w:t>
      </w:r>
      <w:r w:rsidR="008D629B">
        <w:t>,</w:t>
      </w:r>
      <w:r>
        <w:t xml:space="preserve"> a tenant would be receiving greater housing amenity than a peer renting in the private market.</w:t>
      </w:r>
    </w:p>
    <w:p w:rsidR="00123A81" w:rsidRDefault="00123A81" w:rsidP="00123A81">
      <w:pPr>
        <w:pStyle w:val="BodyText"/>
      </w:pPr>
      <w:r>
        <w:t>Overall, the analysis suggests that:</w:t>
      </w:r>
    </w:p>
    <w:p w:rsidR="00123A81" w:rsidRDefault="00401B2C" w:rsidP="00123A81">
      <w:pPr>
        <w:pStyle w:val="ListBullet"/>
      </w:pPr>
      <w:r>
        <w:t>some</w:t>
      </w:r>
      <w:r w:rsidR="00123A81">
        <w:t xml:space="preserve"> </w:t>
      </w:r>
      <w:r>
        <w:t xml:space="preserve">single </w:t>
      </w:r>
      <w:r w:rsidR="00774046">
        <w:t>DSP recipients</w:t>
      </w:r>
      <w:r w:rsidR="00123A81">
        <w:t xml:space="preserve"> would </w:t>
      </w:r>
      <w:r w:rsidR="00BA1338">
        <w:t xml:space="preserve">have a higher DIPR </w:t>
      </w:r>
      <w:r w:rsidR="00123A81">
        <w:t>if renting privately and receiving CRA than if living in social housing</w:t>
      </w:r>
    </w:p>
    <w:p w:rsidR="00123A81" w:rsidRDefault="00123A81" w:rsidP="00123A81">
      <w:pPr>
        <w:pStyle w:val="ListBullet"/>
      </w:pPr>
      <w:r>
        <w:t xml:space="preserve">a very small proportion of </w:t>
      </w:r>
      <w:r w:rsidR="00401B2C">
        <w:t xml:space="preserve">single </w:t>
      </w:r>
      <w:r w:rsidR="00774046">
        <w:t>Newstart</w:t>
      </w:r>
      <w:r>
        <w:t xml:space="preserve"> recipients would be in this position</w:t>
      </w:r>
    </w:p>
    <w:p w:rsidR="00123A81" w:rsidRDefault="00774046" w:rsidP="00123A81">
      <w:pPr>
        <w:pStyle w:val="ListBullet"/>
      </w:pPr>
      <w:r>
        <w:t>a majority of single Parenting Payment recipients are likely to have a higher DIPR if living in social housing.</w:t>
      </w:r>
    </w:p>
    <w:p w:rsidR="00D06851" w:rsidRPr="009A630F" w:rsidRDefault="000C3C0A" w:rsidP="00C4781B">
      <w:pPr>
        <w:pStyle w:val="BodyText"/>
      </w:pPr>
      <w:r>
        <w:t xml:space="preserve">This </w:t>
      </w:r>
      <w:r w:rsidR="008D629B">
        <w:t xml:space="preserve">analysis </w:t>
      </w:r>
      <w:r>
        <w:t xml:space="preserve">has </w:t>
      </w:r>
      <w:r w:rsidR="008D629B">
        <w:t xml:space="preserve">focused on financial calculations. Many other considerations influence decisions about </w:t>
      </w:r>
      <w:r w:rsidR="0099575D">
        <w:t>where to live</w:t>
      </w:r>
      <w:r w:rsidR="008D629B">
        <w:t xml:space="preserve"> and </w:t>
      </w:r>
      <w:r w:rsidR="0099575D">
        <w:t>whether to work</w:t>
      </w:r>
      <w:r w:rsidR="008D629B">
        <w:t xml:space="preserve">, </w:t>
      </w:r>
      <w:r w:rsidR="0099575D">
        <w:t>especially security of tenure and as well as location relative to work. In addition, decisions about where to live are constrained by the supplies of public housing, social housing and what someone might consider to be affordable housing.</w:t>
      </w:r>
    </w:p>
    <w:bookmarkEnd w:id="14"/>
    <w:p w:rsidR="0080561B" w:rsidRDefault="0080561B" w:rsidP="009A630F">
      <w:pPr>
        <w:pStyle w:val="Heading2"/>
        <w:spacing w:after="480"/>
      </w:pPr>
      <w:r>
        <w:t>References</w:t>
      </w:r>
    </w:p>
    <w:p w:rsidR="00C931B1" w:rsidRPr="00C931B1" w:rsidRDefault="00C931B1" w:rsidP="00C931B1">
      <w:pPr>
        <w:pStyle w:val="Reference"/>
      </w:pPr>
      <w:proofErr w:type="spellStart"/>
      <w:r w:rsidRPr="00C931B1">
        <w:t>ATO</w:t>
      </w:r>
      <w:proofErr w:type="spellEnd"/>
      <w:r w:rsidRPr="00C931B1">
        <w:t xml:space="preserve"> (Australian Taxation Office) 2014, </w:t>
      </w:r>
      <w:r w:rsidRPr="00C931B1">
        <w:rPr>
          <w:i/>
          <w:iCs/>
        </w:rPr>
        <w:t>Income you must declare</w:t>
      </w:r>
      <w:r w:rsidRPr="00C931B1">
        <w:t>, https://www.ato.gov.au/Individuals/Income-and-deductions/Income-you-must-declare/ (accessed 27 May 2014).</w:t>
      </w:r>
    </w:p>
    <w:p w:rsidR="00C931B1" w:rsidRPr="00C931B1" w:rsidRDefault="00C931B1" w:rsidP="00C931B1">
      <w:pPr>
        <w:pStyle w:val="Reference"/>
      </w:pPr>
      <w:r w:rsidRPr="00C931B1">
        <w:t xml:space="preserve">CHFA (Community Housing Federation of Australia) 2014, </w:t>
      </w:r>
      <w:r w:rsidRPr="00C931B1">
        <w:rPr>
          <w:i/>
          <w:iCs/>
        </w:rPr>
        <w:t>Allocation, Eligibility, and Rent Setting in the Australian Community Housing Sector</w:t>
      </w:r>
      <w:r w:rsidRPr="00C931B1">
        <w:t>, April, http://chfa.com.au/sites/default/files/sites/default/files/docs/eligibility_allocation_and_rent_setting_in_ch_final_april_2014.pdf (accessed 19 June 2014).</w:t>
      </w:r>
    </w:p>
    <w:p w:rsidR="00C931B1" w:rsidRPr="00C931B1" w:rsidRDefault="00C931B1" w:rsidP="00C931B1">
      <w:pPr>
        <w:pStyle w:val="Reference"/>
      </w:pPr>
      <w:r w:rsidRPr="00C931B1">
        <w:t xml:space="preserve">CHFV (Community Housing Federation of Victoria) 2013, </w:t>
      </w:r>
      <w:r w:rsidRPr="00C931B1">
        <w:rPr>
          <w:i/>
          <w:iCs/>
        </w:rPr>
        <w:t>Community Housing Rent Explained</w:t>
      </w:r>
      <w:r w:rsidRPr="00C931B1">
        <w:t>, http://www.chfv.org.au/database-files/view-file/?id=5810 (accessed 27 May 2014).</w:t>
      </w:r>
    </w:p>
    <w:p w:rsidR="00C931B1" w:rsidRPr="00C931B1" w:rsidRDefault="00C931B1" w:rsidP="00C931B1">
      <w:pPr>
        <w:pStyle w:val="Reference"/>
      </w:pPr>
      <w:r w:rsidRPr="00C931B1">
        <w:t xml:space="preserve">DHS (Department of Human Services) 2014a, </w:t>
      </w:r>
      <w:r w:rsidRPr="00C931B1">
        <w:rPr>
          <w:i/>
          <w:iCs/>
        </w:rPr>
        <w:t>A Guide to Australian Government Payments 20 September – 31 December 2014</w:t>
      </w:r>
      <w:r w:rsidRPr="00C931B1">
        <w:t>, http://www.humanservices.gov.au/spw/</w:t>
      </w:r>
      <w:r w:rsidR="00D434E6">
        <w:br/>
      </w:r>
      <w:r w:rsidRPr="00C931B1">
        <w:t>corporate/publications-and-resources/resources/co029/co029-1409.pdf (accessed 30 September 2014).</w:t>
      </w:r>
    </w:p>
    <w:p w:rsidR="00C931B1" w:rsidRPr="00C931B1" w:rsidRDefault="00C931B1" w:rsidP="00C931B1">
      <w:pPr>
        <w:pStyle w:val="Reference"/>
      </w:pPr>
      <w:r w:rsidRPr="00C931B1">
        <w:t>——</w:t>
      </w:r>
      <w:r>
        <w:t xml:space="preserve"> </w:t>
      </w:r>
      <w:r w:rsidRPr="00C931B1">
        <w:t xml:space="preserve">2014b, </w:t>
      </w:r>
      <w:r w:rsidRPr="00C931B1">
        <w:rPr>
          <w:i/>
          <w:iCs/>
        </w:rPr>
        <w:t>Centrelink Compensation Recovery</w:t>
      </w:r>
      <w:r w:rsidRPr="00C931B1">
        <w:t>, http://www.humanservices.gov.au/</w:t>
      </w:r>
      <w:r>
        <w:br/>
      </w:r>
      <w:r w:rsidRPr="00C931B1">
        <w:t>customer/services/centrelink/centrelink-compensation-recovery (accessed 18 August 2014).</w:t>
      </w:r>
    </w:p>
    <w:p w:rsidR="00C931B1" w:rsidRPr="00C931B1" w:rsidRDefault="00C931B1" w:rsidP="00C931B1">
      <w:pPr>
        <w:pStyle w:val="Reference"/>
      </w:pPr>
      <w:r w:rsidRPr="00C931B1">
        <w:t>——</w:t>
      </w:r>
      <w:r>
        <w:t xml:space="preserve"> </w:t>
      </w:r>
      <w:r w:rsidRPr="00C931B1">
        <w:t xml:space="preserve">2014c, </w:t>
      </w:r>
      <w:r w:rsidRPr="00C931B1">
        <w:rPr>
          <w:i/>
          <w:iCs/>
        </w:rPr>
        <w:t>Income for payment rates</w:t>
      </w:r>
      <w:r w:rsidRPr="00C931B1">
        <w:t>, http://www.humanservices.gov.au/customer/</w:t>
      </w:r>
      <w:r>
        <w:br/>
      </w:r>
      <w:r w:rsidRPr="00C931B1">
        <w:t>enablers/income/ (accessed 18 August 2014).</w:t>
      </w:r>
    </w:p>
    <w:p w:rsidR="00C931B1" w:rsidRPr="00C931B1" w:rsidRDefault="00C931B1" w:rsidP="00C931B1">
      <w:pPr>
        <w:pStyle w:val="Reference"/>
      </w:pPr>
      <w:r w:rsidRPr="00C931B1">
        <w:lastRenderedPageBreak/>
        <w:t>——</w:t>
      </w:r>
      <w:r>
        <w:t xml:space="preserve"> </w:t>
      </w:r>
      <w:r w:rsidRPr="00C931B1">
        <w:t xml:space="preserve">2014d, </w:t>
      </w:r>
      <w:r w:rsidRPr="00C931B1">
        <w:rPr>
          <w:i/>
          <w:iCs/>
        </w:rPr>
        <w:t>Income test for Family Tax Benefit Part A</w:t>
      </w:r>
      <w:r w:rsidRPr="00C931B1">
        <w:t>, http://www.humanservices.gov.au/</w:t>
      </w:r>
      <w:r>
        <w:br/>
      </w:r>
      <w:r w:rsidRPr="00C931B1">
        <w:t>customer/enablers/centrelink/family-tax-benefit-part-a-part-b/ftb-a-income-test (accessed 18 August 2014).</w:t>
      </w:r>
    </w:p>
    <w:p w:rsidR="00C931B1" w:rsidRPr="00C931B1" w:rsidRDefault="00C931B1" w:rsidP="00C931B1">
      <w:pPr>
        <w:pStyle w:val="Reference"/>
      </w:pPr>
      <w:r w:rsidRPr="00C931B1">
        <w:t xml:space="preserve">Dockery, A.M., Feeny, S., Hulse, K., Ong, R., Saugeres, L., Spong, H., Whelan, S. and Wood, G. 2008, </w:t>
      </w:r>
      <w:r w:rsidRPr="00C931B1">
        <w:rPr>
          <w:i/>
          <w:iCs/>
        </w:rPr>
        <w:t>Housing assistance and economic participation</w:t>
      </w:r>
      <w:r w:rsidRPr="00C931B1">
        <w:t>, Research Paper, Australian Housing and Urban Research Institute.</w:t>
      </w:r>
    </w:p>
    <w:p w:rsidR="00C931B1" w:rsidRPr="00C931B1" w:rsidRDefault="00C931B1" w:rsidP="00C931B1">
      <w:pPr>
        <w:pStyle w:val="Reference"/>
      </w:pPr>
      <w:r w:rsidRPr="00C931B1">
        <w:t xml:space="preserve">DSS (Department of Social Services) 2014, </w:t>
      </w:r>
      <w:r w:rsidRPr="00C931B1">
        <w:rPr>
          <w:i/>
          <w:iCs/>
        </w:rPr>
        <w:t>Rent assistance</w:t>
      </w:r>
      <w:r w:rsidRPr="00C931B1">
        <w:t>, http://www.dss.gov.au/our-responsibilities/housing-support/benefits-payments/rent-assistance (accessed 20 June 2014).</w:t>
      </w:r>
    </w:p>
    <w:p w:rsidR="00C931B1" w:rsidRPr="00C931B1" w:rsidRDefault="00C931B1" w:rsidP="00C931B1">
      <w:pPr>
        <w:pStyle w:val="Reference"/>
      </w:pPr>
      <w:r w:rsidRPr="00C931B1">
        <w:t xml:space="preserve">DVA (Department of Veterans’ Affairs) 2013, </w:t>
      </w:r>
      <w:r w:rsidRPr="00C931B1">
        <w:rPr>
          <w:i/>
          <w:iCs/>
        </w:rPr>
        <w:t>DVA Benefits and Services</w:t>
      </w:r>
      <w:r w:rsidRPr="00C931B1">
        <w:t>, http://www.dva.gov.au/pensions_and_compensation/yandyp/Pages/ch6.aspx (accessed 21 July 2014).</w:t>
      </w:r>
    </w:p>
    <w:p w:rsidR="00C931B1" w:rsidRPr="00C931B1" w:rsidRDefault="00C931B1" w:rsidP="00C931B1">
      <w:pPr>
        <w:pStyle w:val="Reference"/>
      </w:pPr>
      <w:r w:rsidRPr="00C931B1">
        <w:t xml:space="preserve">Government of South Australia 2014, </w:t>
      </w:r>
      <w:r w:rsidRPr="00C931B1">
        <w:rPr>
          <w:i/>
          <w:iCs/>
        </w:rPr>
        <w:t>How Rent is Set for Public Housing</w:t>
      </w:r>
      <w:r w:rsidRPr="00C931B1">
        <w:t>, http://www.sa.gov.au/topics/housing-property-and-land/housing/renting-and-letting/renting-public-housing/being-a-public-housing-tenant/rent-water-and-other-charges/how-rent-is-set-for-public-housing (accessed 22 January 2015).</w:t>
      </w:r>
    </w:p>
    <w:p w:rsidR="00C931B1" w:rsidRPr="00C931B1" w:rsidRDefault="00C931B1" w:rsidP="00C931B1">
      <w:pPr>
        <w:pStyle w:val="Reference"/>
      </w:pPr>
      <w:r w:rsidRPr="00C931B1">
        <w:t xml:space="preserve">Housing NSW (Housing New South Wales) 2014, </w:t>
      </w:r>
      <w:r w:rsidRPr="00C931B1">
        <w:rPr>
          <w:i/>
          <w:iCs/>
        </w:rPr>
        <w:t>Tenancy Charges and Account Management Policy Supplement</w:t>
      </w:r>
      <w:r w:rsidRPr="00C931B1">
        <w:t>, http://www.housing.nsw.gov.au/Forms+</w:t>
      </w:r>
      <w:r>
        <w:br/>
      </w:r>
      <w:r w:rsidRPr="00C931B1">
        <w:t>Policies+and+Fact+Sheets/Policies/Tenancy+Charges+and+Account+Management+Policy+Supplement.htm (accessed 23 June 2014).</w:t>
      </w:r>
    </w:p>
    <w:p w:rsidR="00C931B1" w:rsidRPr="00C931B1" w:rsidRDefault="00C931B1" w:rsidP="00C931B1">
      <w:pPr>
        <w:pStyle w:val="Reference"/>
      </w:pPr>
      <w:r w:rsidRPr="00C931B1">
        <w:t xml:space="preserve">Lovering, M. 2014, </w:t>
      </w:r>
      <w:r w:rsidRPr="00C931B1">
        <w:rPr>
          <w:i/>
          <w:iCs/>
        </w:rPr>
        <w:t>Public housing rules limit employment</w:t>
      </w:r>
      <w:r w:rsidRPr="00C931B1">
        <w:t>, AHURI Evidence Review, 051, Australian Housing and Urban Research Institute.</w:t>
      </w:r>
    </w:p>
    <w:p w:rsidR="00C931B1" w:rsidRPr="00C931B1" w:rsidRDefault="00C931B1" w:rsidP="00C931B1">
      <w:pPr>
        <w:pStyle w:val="Reference"/>
      </w:pPr>
      <w:r w:rsidRPr="00C931B1">
        <w:t xml:space="preserve">National Commission of Audit 2014, </w:t>
      </w:r>
      <w:r w:rsidRPr="00C931B1">
        <w:rPr>
          <w:i/>
          <w:iCs/>
        </w:rPr>
        <w:t>The Report of the National Commission of Audit - Volume 1</w:t>
      </w:r>
      <w:r w:rsidRPr="00C931B1">
        <w:t>, March, Canberra.</w:t>
      </w:r>
    </w:p>
    <w:p w:rsidR="00C931B1" w:rsidRPr="00C931B1" w:rsidRDefault="00C931B1" w:rsidP="00C931B1">
      <w:pPr>
        <w:pStyle w:val="Reference"/>
      </w:pPr>
      <w:r w:rsidRPr="00C931B1">
        <w:t xml:space="preserve">Treasury 2010, </w:t>
      </w:r>
      <w:r w:rsidRPr="00C931B1">
        <w:rPr>
          <w:i/>
          <w:iCs/>
        </w:rPr>
        <w:t>Australia’s Future Tax System: Report to the Treasurer</w:t>
      </w:r>
      <w:r w:rsidRPr="00C931B1">
        <w:t>, Detailed Analysis, vol. 2, Canberra.</w:t>
      </w:r>
    </w:p>
    <w:sectPr w:rsidR="00C931B1" w:rsidRPr="00C931B1" w:rsidSect="005C00BA">
      <w:headerReference w:type="even" r:id="rId25"/>
      <w:headerReference w:type="default" r:id="rId26"/>
      <w:footerReference w:type="even" r:id="rId27"/>
      <w:footerReference w:type="default" r:id="rId28"/>
      <w:pgSz w:w="11907" w:h="16840" w:code="9"/>
      <w:pgMar w:top="1985" w:right="1304" w:bottom="1418" w:left="1814" w:header="1701" w:footer="397" w:gutter="0"/>
      <w:pgNumType w:start="47"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72B" w:rsidRDefault="0063472B">
      <w:r>
        <w:separator/>
      </w:r>
    </w:p>
  </w:endnote>
  <w:endnote w:type="continuationSeparator" w:id="0">
    <w:p w:rsidR="0063472B" w:rsidRDefault="0063472B">
      <w:r>
        <w:continuationSeparator/>
      </w:r>
    </w:p>
  </w:endnote>
  <w:endnote w:type="continuationNotice" w:id="1">
    <w:p w:rsidR="0063472B" w:rsidRDefault="00634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472B" w:rsidTr="009C0CC4">
      <w:trPr>
        <w:trHeight w:hRule="exact" w:val="567"/>
      </w:trPr>
      <w:tc>
        <w:tcPr>
          <w:tcW w:w="510" w:type="dxa"/>
        </w:tcPr>
        <w:p w:rsidR="0063472B" w:rsidRPr="00A24443" w:rsidRDefault="0063472B"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B1B37">
            <w:rPr>
              <w:rStyle w:val="PageNumber"/>
              <w:caps w:val="0"/>
              <w:noProof/>
            </w:rPr>
            <w:t>72</w:t>
          </w:r>
          <w:r w:rsidRPr="00A24443">
            <w:rPr>
              <w:rStyle w:val="PageNumber"/>
              <w:caps w:val="0"/>
            </w:rPr>
            <w:fldChar w:fldCharType="end"/>
          </w:r>
        </w:p>
      </w:tc>
      <w:tc>
        <w:tcPr>
          <w:tcW w:w="7767" w:type="dxa"/>
        </w:tcPr>
        <w:p w:rsidR="0063472B" w:rsidRPr="0013739A" w:rsidRDefault="0063472B" w:rsidP="0031011B">
          <w:pPr>
            <w:pStyle w:val="Footer"/>
            <w:rPr>
              <w:rFonts w:cs="Arial"/>
            </w:rPr>
          </w:pPr>
          <w:bookmarkStart w:id="17" w:name="DraftReportEven"/>
          <w:bookmarkEnd w:id="17"/>
          <w:r>
            <w:rPr>
              <w:rFonts w:cs="Arial"/>
            </w:rPr>
            <w:t>Housing assistance and employment in australia</w:t>
          </w:r>
        </w:p>
      </w:tc>
      <w:tc>
        <w:tcPr>
          <w:tcW w:w="510" w:type="dxa"/>
        </w:tcPr>
        <w:p w:rsidR="0063472B" w:rsidRDefault="0063472B" w:rsidP="0019293B">
          <w:pPr>
            <w:pStyle w:val="Footer"/>
          </w:pPr>
        </w:p>
      </w:tc>
    </w:tr>
  </w:tbl>
  <w:p w:rsidR="0063472B" w:rsidRDefault="0063472B" w:rsidP="0019293B">
    <w:pPr>
      <w:pStyle w:val="FooterEnd"/>
    </w:pPr>
  </w:p>
  <w:p w:rsidR="0063472B" w:rsidRDefault="0063472B"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3472B" w:rsidTr="009C0CC4">
      <w:trPr>
        <w:trHeight w:hRule="exact" w:val="567"/>
      </w:trPr>
      <w:tc>
        <w:tcPr>
          <w:tcW w:w="510" w:type="dxa"/>
        </w:tcPr>
        <w:p w:rsidR="0063472B" w:rsidRDefault="0063472B">
          <w:pPr>
            <w:pStyle w:val="Footer"/>
            <w:ind w:right="360" w:firstLine="360"/>
          </w:pPr>
        </w:p>
      </w:tc>
      <w:tc>
        <w:tcPr>
          <w:tcW w:w="7767" w:type="dxa"/>
        </w:tcPr>
        <w:p w:rsidR="0063472B" w:rsidRPr="00BA5B14" w:rsidRDefault="0063472B" w:rsidP="009C0CC4">
          <w:pPr>
            <w:pStyle w:val="Footer"/>
            <w:jc w:val="right"/>
            <w:rPr>
              <w:rFonts w:cs="Arial"/>
            </w:rPr>
          </w:pPr>
          <w:r>
            <w:rPr>
              <w:rFonts w:cs="Arial"/>
            </w:rPr>
            <w:t>Housing Assistance and financial incentives to work</w:t>
          </w:r>
        </w:p>
      </w:tc>
      <w:tc>
        <w:tcPr>
          <w:tcW w:w="510" w:type="dxa"/>
        </w:tcPr>
        <w:p w:rsidR="0063472B" w:rsidRPr="00A24443" w:rsidRDefault="0063472B">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B1B37">
            <w:rPr>
              <w:rStyle w:val="PageNumber"/>
              <w:caps w:val="0"/>
              <w:noProof/>
            </w:rPr>
            <w:t>71</w:t>
          </w:r>
          <w:r w:rsidRPr="00A24443">
            <w:rPr>
              <w:rStyle w:val="PageNumber"/>
              <w:caps w:val="0"/>
            </w:rPr>
            <w:fldChar w:fldCharType="end"/>
          </w:r>
        </w:p>
      </w:tc>
    </w:tr>
  </w:tbl>
  <w:p w:rsidR="0063472B" w:rsidRDefault="0063472B">
    <w:pPr>
      <w:pStyle w:val="FooterEnd"/>
    </w:pPr>
  </w:p>
  <w:p w:rsidR="0063472B" w:rsidRDefault="0063472B">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72B" w:rsidRDefault="0063472B">
      <w:r>
        <w:separator/>
      </w:r>
    </w:p>
  </w:footnote>
  <w:footnote w:type="continuationSeparator" w:id="0">
    <w:p w:rsidR="0063472B" w:rsidRDefault="0063472B">
      <w:r>
        <w:continuationSeparator/>
      </w:r>
    </w:p>
  </w:footnote>
  <w:footnote w:type="continuationNotice" w:id="1">
    <w:p w:rsidR="0063472B" w:rsidRDefault="0063472B"/>
  </w:footnote>
  <w:footnote w:id="2">
    <w:p w:rsidR="0063472B" w:rsidRDefault="0063472B">
      <w:pPr>
        <w:pStyle w:val="FootnoteText"/>
      </w:pPr>
      <w:r>
        <w:rPr>
          <w:rStyle w:val="FootnoteReference"/>
        </w:rPr>
        <w:footnoteRef/>
      </w:r>
      <w:r>
        <w:tab/>
        <w:t>Concessions, for example for health care services or utilities, also affect the amount of goods and services that a person can purchase with their disposable income. These are not taken into account in the analysis.</w:t>
      </w:r>
    </w:p>
  </w:footnote>
  <w:footnote w:id="3">
    <w:p w:rsidR="0063472B" w:rsidRDefault="0063472B">
      <w:pPr>
        <w:pStyle w:val="FootnoteText"/>
      </w:pPr>
      <w:r>
        <w:rPr>
          <w:rStyle w:val="FootnoteReference"/>
        </w:rPr>
        <w:footnoteRef/>
      </w:r>
      <w:r>
        <w:tab/>
        <w:t>The rules, thresholds and rates used in the model in calculating payments and taxes, and that, therefore, underlie the results presented in this paper, were those current at March 2014.</w:t>
      </w:r>
    </w:p>
  </w:footnote>
  <w:footnote w:id="4">
    <w:p w:rsidR="0063472B" w:rsidRDefault="0063472B">
      <w:pPr>
        <w:pStyle w:val="FootnoteText"/>
      </w:pPr>
      <w:r w:rsidRPr="007D361D">
        <w:rPr>
          <w:rStyle w:val="FootnoteReference"/>
        </w:rPr>
        <w:footnoteRef/>
      </w:r>
      <w:r>
        <w:tab/>
        <w:t>From the perspective of labour supply theory, an increase in unearned income at any level of employment is thought to cause a person to reduce their hours of work, or reduce their willingness to enter employment if they are not working. This paper makes no judgment on this matter.</w:t>
      </w:r>
    </w:p>
  </w:footnote>
  <w:footnote w:id="5">
    <w:p w:rsidR="0063472B" w:rsidRDefault="0063472B" w:rsidP="007B4CBA">
      <w:pPr>
        <w:pStyle w:val="FootnoteText"/>
      </w:pPr>
      <w:r w:rsidRPr="007D361D">
        <w:rPr>
          <w:rStyle w:val="FootnoteReference"/>
        </w:rPr>
        <w:footnoteRef/>
      </w:r>
      <w:r>
        <w:tab/>
        <w:t xml:space="preserve">While recipients of housing assistance might receive market income from </w:t>
      </w:r>
      <w:r w:rsidRPr="00854775">
        <w:t>dividends</w:t>
      </w:r>
      <w:r>
        <w:t xml:space="preserve"> and</w:t>
      </w:r>
      <w:r w:rsidRPr="00854775">
        <w:t xml:space="preserve"> interest</w:t>
      </w:r>
      <w:r>
        <w:t>, these sources of income are likely to be small. In addition, the paper’s focus on incentives to work (and working age housing assistance recipients) means that superannuation pensions are unlikely to be a relevant source of market income. For most working age housing assistance recipients, most market income is likely to be earnings from employment.</w:t>
      </w:r>
    </w:p>
  </w:footnote>
  <w:footnote w:id="6">
    <w:p w:rsidR="0063472B" w:rsidRDefault="0063472B">
      <w:pPr>
        <w:pStyle w:val="FootnoteText"/>
      </w:pPr>
      <w:r w:rsidRPr="007D361D">
        <w:rPr>
          <w:rStyle w:val="FootnoteReference"/>
        </w:rPr>
        <w:footnoteRef/>
      </w:r>
      <w:r>
        <w:tab/>
        <w:t>A change in the effective price that an individual is paid for an extra hour of work has two types of effects — income and substitution effects. The income effect stems from the effect of the price change on the person’s income. If the price falls, income declines, so the income effect describes how a person will have an incentive to work more hours to maintain their income. The substitution effect, however, will encourage them to work fewer hours (consume more leisure) because work pays less. The net effect is ambiguous. This is different from the effect of a price change of a normal good, where the income effect and substitution effect work in the same direction. This arises because an extra hour of leisure is preferred by most people to an extra hour of work.</w:t>
      </w:r>
    </w:p>
  </w:footnote>
  <w:footnote w:id="7">
    <w:p w:rsidR="0063472B" w:rsidRDefault="0063472B">
      <w:pPr>
        <w:pStyle w:val="FootnoteText"/>
      </w:pPr>
      <w:r>
        <w:rPr>
          <w:rStyle w:val="FootnoteReference"/>
        </w:rPr>
        <w:footnoteRef/>
      </w:r>
      <w:r>
        <w:tab/>
        <w:t>Some studies use replacement rates (RR) or participation tax rates (</w:t>
      </w:r>
      <w:proofErr w:type="spellStart"/>
      <w:r>
        <w:t>PTRs</w:t>
      </w:r>
      <w:proofErr w:type="spellEnd"/>
      <w:r>
        <w:t xml:space="preserve">) to measure financial incentives to work. The RR is the ratio of net income out of work to net income in work. The </w:t>
      </w:r>
      <w:proofErr w:type="spellStart"/>
      <w:r>
        <w:t>PTR</w:t>
      </w:r>
      <w:proofErr w:type="spellEnd"/>
      <w:r>
        <w:t xml:space="preserve"> measure the proportion of a person’s gross earnings from work that are lost in taxes or reduced benefits. Both measures require an assumption about what an individual would earn if they entered employment. For this purposes of this project, EMTR schedules are preferred because they illustrate the separate effects of the withdrawal of housing assistance and income support payments and the payment of income taxes at different levels of market income.</w:t>
      </w:r>
    </w:p>
  </w:footnote>
  <w:footnote w:id="8">
    <w:p w:rsidR="0063472B" w:rsidRDefault="0063472B" w:rsidP="00FB72A9">
      <w:pPr>
        <w:pStyle w:val="FootnoteText"/>
      </w:pPr>
      <w:r w:rsidRPr="007D361D">
        <w:rPr>
          <w:rStyle w:val="FootnoteReference"/>
        </w:rPr>
        <w:footnoteRef/>
      </w:r>
      <w:r>
        <w:tab/>
        <w:t>The term marginal tax rates (</w:t>
      </w:r>
      <w:proofErr w:type="spellStart"/>
      <w:r>
        <w:t>MTRs</w:t>
      </w:r>
      <w:proofErr w:type="spellEnd"/>
      <w:r>
        <w:t>) is used to refer to the amount of tax paid on an additional dollar of market income. Effective marginal tax rates (</w:t>
      </w:r>
      <w:proofErr w:type="spellStart"/>
      <w:r>
        <w:t>EMTRs</w:t>
      </w:r>
      <w:proofErr w:type="spellEnd"/>
      <w:r>
        <w:t xml:space="preserve">) include </w:t>
      </w:r>
      <w:proofErr w:type="spellStart"/>
      <w:r>
        <w:t>MTRs</w:t>
      </w:r>
      <w:proofErr w:type="spellEnd"/>
      <w:r>
        <w:t xml:space="preserve"> plus the effects of other factors (the tapering of housing assistance and ISPs) that create a difference between market and disposable income. In the context of housing assistance, tapering includes the withdrawal of CRA and increases in rent paid in public housing as market income rises. In both instances, the withdrawal of housing assistance contributes to the EMTRs faced by recipients.</w:t>
      </w:r>
    </w:p>
  </w:footnote>
  <w:footnote w:id="9">
    <w:p w:rsidR="0063472B" w:rsidRDefault="0063472B">
      <w:pPr>
        <w:pStyle w:val="FootnoteText"/>
      </w:pPr>
      <w:r w:rsidRPr="007D361D">
        <w:rPr>
          <w:rStyle w:val="FootnoteReference"/>
        </w:rPr>
        <w:footnoteRef/>
      </w:r>
      <w:r>
        <w:tab/>
        <w:t>ISPs are welfare payments administered by the Department of Human Services (</w:t>
      </w:r>
      <w:proofErr w:type="spellStart"/>
      <w:r>
        <w:t>DHS</w:t>
      </w:r>
      <w:proofErr w:type="spellEnd"/>
      <w:r>
        <w:t xml:space="preserve">). Family Tax Benefit is also administered by </w:t>
      </w:r>
      <w:proofErr w:type="spellStart"/>
      <w:r>
        <w:t>DHS</w:t>
      </w:r>
      <w:proofErr w:type="spellEnd"/>
      <w:r>
        <w:t>, but is not an ISP.</w:t>
      </w:r>
    </w:p>
  </w:footnote>
  <w:footnote w:id="10">
    <w:p w:rsidR="0063472B" w:rsidRDefault="0063472B">
      <w:pPr>
        <w:pStyle w:val="FootnoteText"/>
      </w:pPr>
      <w:r w:rsidRPr="007D361D">
        <w:rPr>
          <w:rStyle w:val="FootnoteReference"/>
        </w:rPr>
        <w:footnoteRef/>
      </w:r>
      <w:r>
        <w:tab/>
        <w:t xml:space="preserve">In addition, rent assistance is available to recipients of some Department of Veterans’ Affairs pensions, such as the service pension and the social security age pension </w:t>
      </w:r>
      <w:r w:rsidRPr="004D563C">
        <w:t>(</w:t>
      </w:r>
      <w:proofErr w:type="spellStart"/>
      <w:r w:rsidRPr="004D563C">
        <w:t>DVA</w:t>
      </w:r>
      <w:proofErr w:type="spellEnd"/>
      <w:r w:rsidRPr="004D563C">
        <w:t> 2013)</w:t>
      </w:r>
      <w:r>
        <w:t>. Due to the focus on incentives to work, these payments are not analysed in this paper.</w:t>
      </w:r>
    </w:p>
  </w:footnote>
  <w:footnote w:id="11">
    <w:p w:rsidR="0063472B" w:rsidRDefault="0063472B">
      <w:pPr>
        <w:pStyle w:val="FootnoteText"/>
      </w:pPr>
      <w:r w:rsidRPr="007D361D">
        <w:rPr>
          <w:rStyle w:val="FootnoteReference"/>
        </w:rPr>
        <w:footnoteRef/>
      </w:r>
      <w:r>
        <w:tab/>
        <w:t>All income support recipients, irrespective of payment type, are permitted to combine employment with receipt of welfare payments in line with the income test applying to their payment.</w:t>
      </w:r>
    </w:p>
  </w:footnote>
  <w:footnote w:id="12">
    <w:p w:rsidR="0063472B" w:rsidRDefault="0063472B" w:rsidP="007831A5">
      <w:pPr>
        <w:pStyle w:val="FootnoteText"/>
      </w:pPr>
      <w:r w:rsidRPr="007D361D">
        <w:rPr>
          <w:rStyle w:val="FootnoteReference"/>
        </w:rPr>
        <w:footnoteRef/>
      </w:r>
      <w:r>
        <w:tab/>
        <w:t>There are some complicating factors. First, most individuals are eligible for more than one payment (for example, Age Pension recipients also receive a Pension Supplement and a Clean Energy Supplement). Only the Pension Supplement has been included in the analysis presented in this paper. Other supplements and allowances are ignored. Furthermore, different withdrawal rates can apply over different ranges of income. This is taken into account in the analysis presented. The situation for couples is more complex again — there is either a joint-income or partner-income test — and becomes even more complex if both receive ISPs. These characteristics of ISPs are not discussed further in this paper, but they are captured by the PCTT 2014 model.</w:t>
      </w:r>
    </w:p>
  </w:footnote>
  <w:footnote w:id="13">
    <w:p w:rsidR="0063472B" w:rsidRDefault="0063472B" w:rsidP="007831A5">
      <w:pPr>
        <w:pStyle w:val="FootnoteText"/>
      </w:pPr>
      <w:r w:rsidRPr="007D361D">
        <w:rPr>
          <w:rStyle w:val="FootnoteReference"/>
        </w:rPr>
        <w:footnoteRef/>
      </w:r>
      <w:r>
        <w:t xml:space="preserve"> </w:t>
      </w:r>
      <w:r>
        <w:tab/>
        <w:t>Some smaller components of welfare support (such as part of the pension supplement) are withdrawn after rent assistance.</w:t>
      </w:r>
    </w:p>
  </w:footnote>
  <w:footnote w:id="14">
    <w:p w:rsidR="0063472B" w:rsidRDefault="0063472B">
      <w:pPr>
        <w:pStyle w:val="FootnoteText"/>
      </w:pPr>
      <w:r w:rsidRPr="007D361D">
        <w:rPr>
          <w:rStyle w:val="FootnoteReference"/>
        </w:rPr>
        <w:footnoteRef/>
      </w:r>
      <w:r>
        <w:tab/>
        <w:t>‘Adjusted’ family income is used in the Family Tax Benefit income test. It includes market income and welfare payments.</w:t>
      </w:r>
    </w:p>
  </w:footnote>
  <w:footnote w:id="15">
    <w:p w:rsidR="0063472B" w:rsidRDefault="0063472B">
      <w:pPr>
        <w:pStyle w:val="FootnoteText"/>
      </w:pPr>
      <w:r>
        <w:rPr>
          <w:rStyle w:val="FootnoteReference"/>
        </w:rPr>
        <w:footnoteRef/>
      </w:r>
      <w:r>
        <w:tab/>
        <w:t xml:space="preserve">South Australia also charges a lower percentage for cottage flats (single story flats in small groups) — 19 per cent for a bedsitter, 21 per cent for a one bedroom flat and 23 per cent for a two bedroom flat </w:t>
      </w:r>
      <w:r w:rsidRPr="000A3D3C">
        <w:t>(Government of South Australia 2014)</w:t>
      </w:r>
      <w:r>
        <w:t>.</w:t>
      </w:r>
    </w:p>
  </w:footnote>
  <w:footnote w:id="16">
    <w:p w:rsidR="0063472B" w:rsidRDefault="0063472B" w:rsidP="00D45038">
      <w:pPr>
        <w:pStyle w:val="FootnoteText"/>
      </w:pPr>
      <w:r w:rsidRPr="007D361D">
        <w:rPr>
          <w:rStyle w:val="FootnoteReference"/>
        </w:rPr>
        <w:footnoteRef/>
      </w:r>
      <w:r>
        <w:t xml:space="preserve"> </w:t>
      </w:r>
      <w:r>
        <w:tab/>
        <w:t>Although different rules may apply depending on whether FTB is received fortnightly or as a single end-of-financial-year payment. (FTB recipients can choose between these options.)</w:t>
      </w:r>
    </w:p>
  </w:footnote>
  <w:footnote w:id="17">
    <w:p w:rsidR="0063472B" w:rsidRDefault="0063472B">
      <w:pPr>
        <w:pStyle w:val="FootnoteText"/>
      </w:pPr>
      <w:r>
        <w:rPr>
          <w:rStyle w:val="FootnoteReference"/>
        </w:rPr>
        <w:footnoteRef/>
      </w:r>
      <w:r>
        <w:tab/>
        <w:t>In-kind support of this type ties a tenant to a housing outcome that they might not have chosen if they instead received a cash subsidy. To the extent that this is the case, the value the person places on their housing assistance is lower than the value of the subsidy — an inefficient outcome.</w:t>
      </w:r>
    </w:p>
  </w:footnote>
  <w:footnote w:id="18">
    <w:p w:rsidR="0063472B" w:rsidRPr="003B3D97" w:rsidRDefault="0063472B" w:rsidP="00D64C60">
      <w:pPr>
        <w:pStyle w:val="FootnoteText"/>
        <w:rPr>
          <w:spacing w:val="-2"/>
        </w:rPr>
      </w:pPr>
      <w:r w:rsidRPr="003B3D97">
        <w:rPr>
          <w:rStyle w:val="FootnoteReference"/>
          <w:spacing w:val="-2"/>
        </w:rPr>
        <w:footnoteRef/>
      </w:r>
      <w:r w:rsidRPr="003B3D97">
        <w:rPr>
          <w:spacing w:val="-2"/>
        </w:rPr>
        <w:tab/>
        <w:t xml:space="preserve">The median rent estimate in BP 3, </w:t>
      </w:r>
      <w:r>
        <w:rPr>
          <w:spacing w:val="-2"/>
        </w:rPr>
        <w:t>annexe</w:t>
      </w:r>
      <w:r w:rsidRPr="003B3D97">
        <w:rPr>
          <w:spacing w:val="-2"/>
        </w:rPr>
        <w:t xml:space="preserve"> A is $176. This estimate is probably a bit lower than the median for single DSP recipients — suggesting that use of a higher figure is warranted. First, the estimate is based on rents paid by all DSP recipients. Partnered DSP recipients might pay less rent than singles (that said, 80 per cent of DSP recipients who receive CRA are single so the estimate is primarily driven by singles’ rents). Second, rent information for some ISP recipients might be out of date. In the data underlying the median rent estimate, over 80 per cent of CRA recipients had updated their rent details in the preceding 3 years — meaning the information was reasonably current. Those who hadn’t presumably either hadn’t experienced a rent increase in some time, or were paying rent above the threshold level for maximum CRA, and so did not notify Centrelink. In the absence of more information, it is assumed that $192 is a reasonable estimate of the rent paid by single DSP recipients who rent privately and receive CRA.</w:t>
      </w:r>
    </w:p>
  </w:footnote>
  <w:footnote w:id="19">
    <w:p w:rsidR="0063472B" w:rsidRDefault="0063472B">
      <w:pPr>
        <w:pStyle w:val="FootnoteText"/>
      </w:pPr>
      <w:r>
        <w:rPr>
          <w:rStyle w:val="FootnoteReference"/>
        </w:rPr>
        <w:footnoteRef/>
      </w:r>
      <w:r>
        <w:tab/>
        <w:t>They would also receive a range of concessions, for example, via a Health Care Card and for utilities. These are ignored in the modelling (not least because they depend on individuals’ spending patterns so vary from person to person).</w:t>
      </w:r>
    </w:p>
  </w:footnote>
  <w:footnote w:id="20">
    <w:p w:rsidR="0063472B" w:rsidRDefault="0063472B" w:rsidP="002D2356">
      <w:pPr>
        <w:pStyle w:val="FootnoteText"/>
      </w:pPr>
      <w:r w:rsidRPr="007D361D">
        <w:rPr>
          <w:rStyle w:val="FootnoteReference"/>
        </w:rPr>
        <w:footnoteRef/>
      </w:r>
      <w:r>
        <w:tab/>
      </w:r>
      <w:r w:rsidRPr="00854775">
        <w:t xml:space="preserve">Centrelink considers all of sources of </w:t>
      </w:r>
      <w:r>
        <w:t xml:space="preserve">market </w:t>
      </w:r>
      <w:r w:rsidRPr="00854775">
        <w:t>income in determin</w:t>
      </w:r>
      <w:r>
        <w:t xml:space="preserve">ing a recipient’s ISP payment </w:t>
      </w:r>
      <w:r w:rsidRPr="002D2356">
        <w:t>(</w:t>
      </w:r>
      <w:proofErr w:type="spellStart"/>
      <w:r>
        <w:t>DHS</w:t>
      </w:r>
      <w:proofErr w:type="spellEnd"/>
      <w:r w:rsidRPr="002D2356">
        <w:t> </w:t>
      </w:r>
      <w:proofErr w:type="spellStart"/>
      <w:r w:rsidRPr="002D2356">
        <w:t>2014b</w:t>
      </w:r>
      <w:proofErr w:type="spellEnd"/>
      <w:r w:rsidRPr="002D2356">
        <w:t>)</w:t>
      </w:r>
      <w:r w:rsidRPr="00854775">
        <w:t>, although compensation for lost income is assessed at a lower rate (</w:t>
      </w:r>
      <w:proofErr w:type="spellStart"/>
      <w:r>
        <w:t>DHS</w:t>
      </w:r>
      <w:proofErr w:type="spellEnd"/>
      <w:r w:rsidRPr="002D2356">
        <w:t> </w:t>
      </w:r>
      <w:proofErr w:type="spellStart"/>
      <w:r w:rsidRPr="002D2356">
        <w:t>2014a</w:t>
      </w:r>
      <w:proofErr w:type="spellEnd"/>
      <w:r w:rsidRPr="002D2356">
        <w:t>)</w:t>
      </w:r>
      <w:r w:rsidRPr="00854775">
        <w:t>. With the exception of superannuation</w:t>
      </w:r>
      <w:r>
        <w:t xml:space="preserve"> pensions</w:t>
      </w:r>
      <w:r w:rsidRPr="00854775">
        <w:t xml:space="preserve">, income tax is payable </w:t>
      </w:r>
      <w:r>
        <w:t xml:space="preserve">on all these sources of income </w:t>
      </w:r>
      <w:r w:rsidRPr="002D2356">
        <w:t>(</w:t>
      </w:r>
      <w:proofErr w:type="spellStart"/>
      <w:r w:rsidRPr="002D2356">
        <w:t>ATO</w:t>
      </w:r>
      <w:proofErr w:type="spellEnd"/>
      <w:r w:rsidRPr="002D2356">
        <w:t> 2014)</w:t>
      </w:r>
      <w:r w:rsidRPr="00854775">
        <w:t xml:space="preserve">. Because </w:t>
      </w:r>
      <w:r>
        <w:t>this</w:t>
      </w:r>
      <w:r w:rsidRPr="00854775">
        <w:t xml:space="preserve"> analysis relates to working age housing assistance recipients, </w:t>
      </w:r>
      <w:r>
        <w:t>it</w:t>
      </w:r>
      <w:r w:rsidRPr="00854775">
        <w:t xml:space="preserve"> assume</w:t>
      </w:r>
      <w:r>
        <w:t>s</w:t>
      </w:r>
      <w:r w:rsidRPr="00854775">
        <w:t xml:space="preserve"> that all sources of </w:t>
      </w:r>
      <w:r>
        <w:t>market income are taxable.</w:t>
      </w:r>
    </w:p>
  </w:footnote>
  <w:footnote w:id="21">
    <w:p w:rsidR="0063472B" w:rsidRDefault="0063472B">
      <w:pPr>
        <w:pStyle w:val="FootnoteText"/>
      </w:pPr>
      <w:r>
        <w:rPr>
          <w:rStyle w:val="FootnoteReference"/>
        </w:rPr>
        <w:footnoteRef/>
      </w:r>
      <w:r>
        <w:tab/>
        <w:t xml:space="preserve">In reality, </w:t>
      </w:r>
      <w:proofErr w:type="spellStart"/>
      <w:r>
        <w:t>DIPR</w:t>
      </w:r>
      <w:proofErr w:type="spellEnd"/>
      <w:r>
        <w:t xml:space="preserve"> is a bit higher than this because the pension supplement (about $1600 per annum) is not included in social housing tenants’ assessable income for rent setting purposes. Rent paid is therefore about $5000 and the </w:t>
      </w:r>
      <w:proofErr w:type="spellStart"/>
      <w:r>
        <w:t>DIPR</w:t>
      </w:r>
      <w:proofErr w:type="spellEnd"/>
      <w:r>
        <w:t>, $16 600.</w:t>
      </w:r>
    </w:p>
  </w:footnote>
  <w:footnote w:id="22">
    <w:p w:rsidR="0063472B" w:rsidRDefault="0063472B">
      <w:pPr>
        <w:pStyle w:val="FootnoteText"/>
      </w:pPr>
      <w:r w:rsidRPr="007D361D">
        <w:rPr>
          <w:rStyle w:val="FootnoteReference"/>
        </w:rPr>
        <w:footnoteRef/>
      </w:r>
      <w:r>
        <w:tab/>
        <w:t>In 2013-14, the low income tax offset was $445 and was</w:t>
      </w:r>
      <w:r w:rsidRPr="00541269">
        <w:t xml:space="preserve"> </w:t>
      </w:r>
      <w:r>
        <w:t xml:space="preserve">withdrawn at a rate of </w:t>
      </w:r>
      <w:r w:rsidRPr="00541269">
        <w:t>1.5 cents per dollar of income over $37</w:t>
      </w:r>
      <w:r>
        <w:t> </w:t>
      </w:r>
      <w:r w:rsidRPr="00541269">
        <w:t>000</w:t>
      </w:r>
      <w:r>
        <w:t>. It cut</w:t>
      </w:r>
      <w:r w:rsidRPr="00541269">
        <w:t xml:space="preserve"> out at </w:t>
      </w:r>
      <w:r>
        <w:t xml:space="preserve">incomes above </w:t>
      </w:r>
      <w:r w:rsidRPr="00541269">
        <w:t>$66</w:t>
      </w:r>
      <w:r>
        <w:t> </w:t>
      </w:r>
      <w:r w:rsidRPr="00541269">
        <w:t>667</w:t>
      </w:r>
      <w:r>
        <w:t>.</w:t>
      </w:r>
    </w:p>
  </w:footnote>
  <w:footnote w:id="23">
    <w:p w:rsidR="0063472B" w:rsidRDefault="0063472B" w:rsidP="00493E3D">
      <w:pPr>
        <w:pStyle w:val="FootnoteText"/>
      </w:pPr>
      <w:r w:rsidRPr="007D361D">
        <w:rPr>
          <w:rStyle w:val="FootnoteReference"/>
        </w:rPr>
        <w:footnoteRef/>
      </w:r>
      <w:r>
        <w:tab/>
        <w:t>Rates are those prevailing in financial year 2013-14.</w:t>
      </w:r>
    </w:p>
  </w:footnote>
  <w:footnote w:id="24">
    <w:p w:rsidR="0063472B" w:rsidRDefault="0063472B" w:rsidP="009B15D4">
      <w:pPr>
        <w:pStyle w:val="FootnoteText"/>
      </w:pPr>
      <w:r w:rsidRPr="007D361D">
        <w:rPr>
          <w:rStyle w:val="FootnoteReference"/>
        </w:rPr>
        <w:footnoteRef/>
      </w:r>
      <w:r>
        <w:tab/>
        <w:t>Rent payments are calculated on pre</w:t>
      </w:r>
      <w:r>
        <w:noBreakHyphen/>
        <w:t>tax income, so income tax rates do not affect the housing assistance component of the EMTR.</w:t>
      </w:r>
    </w:p>
  </w:footnote>
  <w:footnote w:id="25">
    <w:p w:rsidR="0063472B" w:rsidRDefault="0063472B">
      <w:pPr>
        <w:pStyle w:val="FootnoteText"/>
      </w:pPr>
      <w:r>
        <w:rPr>
          <w:rStyle w:val="FootnoteReference"/>
        </w:rPr>
        <w:footnoteRef/>
      </w:r>
      <w:r>
        <w:tab/>
        <w:t>If the tenant had not started to pay market rent at the point at which their ISP was withdrawn, the contribution of housing assistance to their EMTR would rise to 25 per cent.</w:t>
      </w:r>
    </w:p>
  </w:footnote>
  <w:footnote w:id="26">
    <w:p w:rsidR="0063472B" w:rsidRDefault="0063472B" w:rsidP="009B15D4">
      <w:pPr>
        <w:pStyle w:val="FootnoteText"/>
      </w:pPr>
      <w:r w:rsidRPr="007D361D">
        <w:rPr>
          <w:rStyle w:val="FootnoteReference"/>
        </w:rPr>
        <w:footnoteRef/>
      </w:r>
      <w:r>
        <w:tab/>
        <w:t>The pension supplement that remains when CRA goes to zero is withdrawn at a rate of 100 per cent when income reaches about $54 000. This causes a big spike in the EMTR at that rate. For simplicity, this is not shown in the diagram.</w:t>
      </w:r>
    </w:p>
  </w:footnote>
  <w:footnote w:id="27">
    <w:p w:rsidR="0063472B" w:rsidRDefault="0063472B">
      <w:pPr>
        <w:pStyle w:val="FootnoteText"/>
      </w:pPr>
      <w:r>
        <w:rPr>
          <w:rStyle w:val="FootnoteReference"/>
        </w:rPr>
        <w:footnoteRef/>
      </w:r>
      <w:r>
        <w:tab/>
        <w:t>Readers who are interested in the effects of higher market rents on EMTRs for public housing tenants could use PCTT 2014 to generate budget constraint and EMTR schedules.</w:t>
      </w:r>
    </w:p>
  </w:footnote>
  <w:footnote w:id="28">
    <w:p w:rsidR="0063472B" w:rsidRDefault="0063472B">
      <w:pPr>
        <w:pStyle w:val="FootnoteText"/>
      </w:pPr>
      <w:r w:rsidRPr="007D361D">
        <w:rPr>
          <w:rStyle w:val="FootnoteReference"/>
        </w:rPr>
        <w:footnoteRef/>
      </w:r>
      <w:r>
        <w:tab/>
        <w:t>Median annual incomes are estimated by multiplying data for the fortnight ending 30 June 2013 by 26.</w:t>
      </w:r>
    </w:p>
  </w:footnote>
  <w:footnote w:id="29">
    <w:p w:rsidR="0063472B" w:rsidRDefault="0063472B">
      <w:pPr>
        <w:pStyle w:val="FootnoteText"/>
      </w:pPr>
      <w:r>
        <w:rPr>
          <w:rStyle w:val="FootnoteReference"/>
        </w:rPr>
        <w:footnoteRef/>
      </w:r>
      <w:r>
        <w:tab/>
        <w:t>These rent estimates are subject to the same qualifications raised in footnote 17.</w:t>
      </w:r>
    </w:p>
  </w:footnote>
  <w:footnote w:id="30">
    <w:p w:rsidR="0063472B" w:rsidRDefault="0063472B" w:rsidP="00123A81">
      <w:pPr>
        <w:pStyle w:val="FootnoteText"/>
      </w:pPr>
      <w:r w:rsidRPr="007D361D">
        <w:rPr>
          <w:rStyle w:val="FootnoteReference"/>
        </w:rPr>
        <w:footnoteRef/>
      </w:r>
      <w:r>
        <w:tab/>
        <w:t>The situation for median income earners is discussed below.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3472B" w:rsidTr="0002035B">
      <w:trPr>
        <w:trHeight w:val="40"/>
      </w:trPr>
      <w:tc>
        <w:tcPr>
          <w:tcW w:w="2155" w:type="dxa"/>
          <w:tcBorders>
            <w:top w:val="single" w:sz="24" w:space="0" w:color="auto"/>
          </w:tcBorders>
        </w:tcPr>
        <w:p w:rsidR="0063472B" w:rsidRDefault="0063472B" w:rsidP="0019293B">
          <w:pPr>
            <w:pStyle w:val="HeaderEven"/>
          </w:pPr>
        </w:p>
      </w:tc>
      <w:tc>
        <w:tcPr>
          <w:tcW w:w="6634" w:type="dxa"/>
          <w:tcBorders>
            <w:top w:val="single" w:sz="6" w:space="0" w:color="auto"/>
          </w:tcBorders>
        </w:tcPr>
        <w:p w:rsidR="0063472B" w:rsidRDefault="0063472B" w:rsidP="0002035B">
          <w:pPr>
            <w:pStyle w:val="HeaderEven"/>
          </w:pPr>
        </w:p>
      </w:tc>
    </w:tr>
  </w:tbl>
  <w:p w:rsidR="0063472B" w:rsidRDefault="0063472B"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3472B">
      <w:tc>
        <w:tcPr>
          <w:tcW w:w="6634" w:type="dxa"/>
          <w:tcBorders>
            <w:top w:val="single" w:sz="6" w:space="0" w:color="auto"/>
          </w:tcBorders>
        </w:tcPr>
        <w:p w:rsidR="0063472B" w:rsidRDefault="0063472B" w:rsidP="007D361D">
          <w:pPr>
            <w:pStyle w:val="HeaderOdd"/>
            <w:jc w:val="right"/>
          </w:pPr>
        </w:p>
      </w:tc>
      <w:tc>
        <w:tcPr>
          <w:tcW w:w="2155" w:type="dxa"/>
          <w:tcBorders>
            <w:top w:val="single" w:sz="24" w:space="0" w:color="auto"/>
          </w:tcBorders>
        </w:tcPr>
        <w:p w:rsidR="0063472B" w:rsidRDefault="0063472B" w:rsidP="00E669E2">
          <w:pPr>
            <w:pStyle w:val="HeaderOdd"/>
          </w:pPr>
        </w:p>
      </w:tc>
    </w:tr>
  </w:tbl>
  <w:p w:rsidR="0063472B" w:rsidRDefault="0063472B"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7E23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036116C"/>
    <w:lvl w:ilvl="0">
      <w:start w:val="1"/>
      <w:numFmt w:val="decimal"/>
      <w:lvlText w:val="%1."/>
      <w:lvlJc w:val="left"/>
      <w:pPr>
        <w:tabs>
          <w:tab w:val="num" w:pos="1492"/>
        </w:tabs>
        <w:ind w:left="1492" w:hanging="360"/>
      </w:pPr>
    </w:lvl>
  </w:abstractNum>
  <w:abstractNum w:abstractNumId="2">
    <w:nsid w:val="FFFFFF7D"/>
    <w:multiLevelType w:val="singleLevel"/>
    <w:tmpl w:val="D9CA9E58"/>
    <w:lvl w:ilvl="0">
      <w:start w:val="1"/>
      <w:numFmt w:val="decimal"/>
      <w:lvlText w:val="%1."/>
      <w:lvlJc w:val="left"/>
      <w:pPr>
        <w:tabs>
          <w:tab w:val="num" w:pos="1209"/>
        </w:tabs>
        <w:ind w:left="1209" w:hanging="360"/>
      </w:pPr>
    </w:lvl>
  </w:abstractNum>
  <w:abstractNum w:abstractNumId="3">
    <w:nsid w:val="FFFFFF80"/>
    <w:multiLevelType w:val="singleLevel"/>
    <w:tmpl w:val="49C0C810"/>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B0901476"/>
    <w:lvl w:ilvl="0">
      <w:start w:val="1"/>
      <w:numFmt w:val="bullet"/>
      <w:lvlText w:val=""/>
      <w:lvlJc w:val="left"/>
      <w:pPr>
        <w:tabs>
          <w:tab w:val="num" w:pos="1209"/>
        </w:tabs>
        <w:ind w:left="1209" w:hanging="360"/>
      </w:pPr>
      <w:rPr>
        <w:rFonts w:ascii="Symbol" w:hAnsi="Symbol" w:hint="default"/>
      </w:rPr>
    </w:lvl>
  </w:abstractNum>
  <w:abstractNum w:abstractNumId="5">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6">
    <w:nsid w:val="FFFFFF89"/>
    <w:multiLevelType w:val="singleLevel"/>
    <w:tmpl w:val="6CD81D94"/>
    <w:lvl w:ilvl="0">
      <w:start w:val="1"/>
      <w:numFmt w:val="bullet"/>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4">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5">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7">
    <w:nsid w:val="308F1CDE"/>
    <w:multiLevelType w:val="hybridMultilevel"/>
    <w:tmpl w:val="2DA0DF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CA849F9"/>
    <w:multiLevelType w:val="hybridMultilevel"/>
    <w:tmpl w:val="1FBE345C"/>
    <w:lvl w:ilvl="0" w:tplc="F34E8202">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5">
    <w:nsid w:val="59D173CC"/>
    <w:multiLevelType w:val="hybridMultilevel"/>
    <w:tmpl w:val="87543C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2FC3AFB"/>
    <w:multiLevelType w:val="hybridMultilevel"/>
    <w:tmpl w:val="9564BCBE"/>
    <w:lvl w:ilvl="0" w:tplc="B0F2AAE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9">
    <w:nsid w:val="6B915E54"/>
    <w:multiLevelType w:val="multilevel"/>
    <w:tmpl w:val="FB2ED41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6F991588"/>
    <w:multiLevelType w:val="hybridMultilevel"/>
    <w:tmpl w:val="A34061B8"/>
    <w:lvl w:ilvl="0" w:tplc="A1FE1144">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31"/>
  </w:num>
  <w:num w:numId="3">
    <w:abstractNumId w:val="8"/>
  </w:num>
  <w:num w:numId="4">
    <w:abstractNumId w:val="21"/>
  </w:num>
  <w:num w:numId="5">
    <w:abstractNumId w:val="9"/>
  </w:num>
  <w:num w:numId="6">
    <w:abstractNumId w:val="28"/>
  </w:num>
  <w:num w:numId="7">
    <w:abstractNumId w:val="23"/>
  </w:num>
  <w:num w:numId="8">
    <w:abstractNumId w:val="32"/>
  </w:num>
  <w:num w:numId="9">
    <w:abstractNumId w:val="13"/>
  </w:num>
  <w:num w:numId="10">
    <w:abstractNumId w:val="22"/>
  </w:num>
  <w:num w:numId="11">
    <w:abstractNumId w:val="12"/>
  </w:num>
  <w:num w:numId="12">
    <w:abstractNumId w:val="11"/>
  </w:num>
  <w:num w:numId="13">
    <w:abstractNumId w:val="15"/>
  </w:num>
  <w:num w:numId="14">
    <w:abstractNumId w:val="16"/>
  </w:num>
  <w:num w:numId="15">
    <w:abstractNumId w:val="20"/>
  </w:num>
  <w:num w:numId="16">
    <w:abstractNumId w:val="10"/>
  </w:num>
  <w:num w:numId="17">
    <w:abstractNumId w:val="24"/>
  </w:num>
  <w:num w:numId="18">
    <w:abstractNumId w:val="19"/>
  </w:num>
  <w:num w:numId="19">
    <w:abstractNumId w:val="30"/>
  </w:num>
  <w:num w:numId="20">
    <w:abstractNumId w:val="17"/>
  </w:num>
  <w:num w:numId="21">
    <w:abstractNumId w:val="7"/>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2">
    <w:abstractNumId w:val="25"/>
  </w:num>
  <w:num w:numId="23">
    <w:abstractNumId w:val="6"/>
  </w:num>
  <w:num w:numId="24">
    <w:abstractNumId w:val="29"/>
  </w:num>
  <w:num w:numId="25">
    <w:abstractNumId w:val="27"/>
  </w:num>
  <w:num w:numId="26">
    <w:abstractNumId w:val="10"/>
  </w:num>
  <w:num w:numId="27">
    <w:abstractNumId w:val="5"/>
  </w:num>
  <w:num w:numId="28">
    <w:abstractNumId w:val="26"/>
  </w:num>
  <w:num w:numId="29">
    <w:abstractNumId w:val="14"/>
  </w:num>
  <w:num w:numId="30">
    <w:abstractNumId w:val="4"/>
  </w:num>
  <w:num w:numId="31">
    <w:abstractNumId w:val="3"/>
  </w:num>
  <w:num w:numId="32">
    <w:abstractNumId w:val="2"/>
  </w:num>
  <w:num w:numId="33">
    <w:abstractNumId w:val="1"/>
  </w:num>
  <w:num w:numId="34">
    <w:abstractNumId w:val="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proofState w:spelling="clean"/>
  <w:attachedTemplate r:id="rId1"/>
  <w:linkStyles/>
  <w:defaultTabStop w:val="720"/>
  <w:clickAndTypeStyle w:val="BodyText"/>
  <w:evenAndOddHeaders/>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1C1441"/>
    <w:rsid w:val="000002B0"/>
    <w:rsid w:val="00001E7E"/>
    <w:rsid w:val="00005B64"/>
    <w:rsid w:val="00006605"/>
    <w:rsid w:val="000076D5"/>
    <w:rsid w:val="0000792C"/>
    <w:rsid w:val="00013298"/>
    <w:rsid w:val="000137D5"/>
    <w:rsid w:val="0001399D"/>
    <w:rsid w:val="0001433C"/>
    <w:rsid w:val="0001555D"/>
    <w:rsid w:val="0001775B"/>
    <w:rsid w:val="00017828"/>
    <w:rsid w:val="0002035B"/>
    <w:rsid w:val="00020365"/>
    <w:rsid w:val="000203C7"/>
    <w:rsid w:val="00021330"/>
    <w:rsid w:val="000227D5"/>
    <w:rsid w:val="000227FB"/>
    <w:rsid w:val="000245AA"/>
    <w:rsid w:val="00025508"/>
    <w:rsid w:val="00025EA0"/>
    <w:rsid w:val="00030E82"/>
    <w:rsid w:val="00030EEC"/>
    <w:rsid w:val="0003139D"/>
    <w:rsid w:val="00033233"/>
    <w:rsid w:val="00035167"/>
    <w:rsid w:val="00035C35"/>
    <w:rsid w:val="00036619"/>
    <w:rsid w:val="0003664B"/>
    <w:rsid w:val="00036B9A"/>
    <w:rsid w:val="0004111F"/>
    <w:rsid w:val="00041DE0"/>
    <w:rsid w:val="00041E10"/>
    <w:rsid w:val="00043DAB"/>
    <w:rsid w:val="0004459B"/>
    <w:rsid w:val="00045B83"/>
    <w:rsid w:val="00046601"/>
    <w:rsid w:val="000513D0"/>
    <w:rsid w:val="00051A1B"/>
    <w:rsid w:val="000565B3"/>
    <w:rsid w:val="00056FE8"/>
    <w:rsid w:val="0006135E"/>
    <w:rsid w:val="00063C2C"/>
    <w:rsid w:val="00063D5C"/>
    <w:rsid w:val="0006631C"/>
    <w:rsid w:val="0006670D"/>
    <w:rsid w:val="00066D73"/>
    <w:rsid w:val="00067174"/>
    <w:rsid w:val="0006766E"/>
    <w:rsid w:val="000701F1"/>
    <w:rsid w:val="000707EE"/>
    <w:rsid w:val="0007150B"/>
    <w:rsid w:val="000737CF"/>
    <w:rsid w:val="0007390A"/>
    <w:rsid w:val="00075690"/>
    <w:rsid w:val="00076CA2"/>
    <w:rsid w:val="0008055B"/>
    <w:rsid w:val="00081BA3"/>
    <w:rsid w:val="0008253C"/>
    <w:rsid w:val="00082630"/>
    <w:rsid w:val="0008792E"/>
    <w:rsid w:val="00091ACA"/>
    <w:rsid w:val="00092500"/>
    <w:rsid w:val="000938F5"/>
    <w:rsid w:val="00093FA9"/>
    <w:rsid w:val="00094421"/>
    <w:rsid w:val="00094E1F"/>
    <w:rsid w:val="00095376"/>
    <w:rsid w:val="00096E55"/>
    <w:rsid w:val="00097751"/>
    <w:rsid w:val="00097FD9"/>
    <w:rsid w:val="000A09A2"/>
    <w:rsid w:val="000A26F8"/>
    <w:rsid w:val="000A3072"/>
    <w:rsid w:val="000A3D3C"/>
    <w:rsid w:val="000A4C5E"/>
    <w:rsid w:val="000B16FA"/>
    <w:rsid w:val="000B17CC"/>
    <w:rsid w:val="000B559A"/>
    <w:rsid w:val="000B601B"/>
    <w:rsid w:val="000C0163"/>
    <w:rsid w:val="000C0326"/>
    <w:rsid w:val="000C207E"/>
    <w:rsid w:val="000C2256"/>
    <w:rsid w:val="000C3C0A"/>
    <w:rsid w:val="000D1489"/>
    <w:rsid w:val="000D4219"/>
    <w:rsid w:val="000D43EC"/>
    <w:rsid w:val="000D4865"/>
    <w:rsid w:val="000D57C7"/>
    <w:rsid w:val="000D6CF0"/>
    <w:rsid w:val="000D796B"/>
    <w:rsid w:val="000E0A00"/>
    <w:rsid w:val="000E1A72"/>
    <w:rsid w:val="000E1EE1"/>
    <w:rsid w:val="000E2AF1"/>
    <w:rsid w:val="000E3B95"/>
    <w:rsid w:val="000E404C"/>
    <w:rsid w:val="000E53AD"/>
    <w:rsid w:val="000E5CCC"/>
    <w:rsid w:val="000E5E35"/>
    <w:rsid w:val="000E68D5"/>
    <w:rsid w:val="000E6DEF"/>
    <w:rsid w:val="000E7575"/>
    <w:rsid w:val="000F0035"/>
    <w:rsid w:val="000F07AB"/>
    <w:rsid w:val="000F1517"/>
    <w:rsid w:val="000F4080"/>
    <w:rsid w:val="000F420B"/>
    <w:rsid w:val="001007BF"/>
    <w:rsid w:val="00100AFB"/>
    <w:rsid w:val="00107485"/>
    <w:rsid w:val="00107C2E"/>
    <w:rsid w:val="00107CA0"/>
    <w:rsid w:val="00110116"/>
    <w:rsid w:val="0011080B"/>
    <w:rsid w:val="00111D62"/>
    <w:rsid w:val="00113F5E"/>
    <w:rsid w:val="00114FDE"/>
    <w:rsid w:val="00115F00"/>
    <w:rsid w:val="001167EE"/>
    <w:rsid w:val="00116F9B"/>
    <w:rsid w:val="00117CD3"/>
    <w:rsid w:val="00120072"/>
    <w:rsid w:val="001208D9"/>
    <w:rsid w:val="00120C7F"/>
    <w:rsid w:val="0012146A"/>
    <w:rsid w:val="00123A81"/>
    <w:rsid w:val="00124448"/>
    <w:rsid w:val="0012500E"/>
    <w:rsid w:val="00126EB8"/>
    <w:rsid w:val="00127422"/>
    <w:rsid w:val="001274D4"/>
    <w:rsid w:val="001305F2"/>
    <w:rsid w:val="001334F5"/>
    <w:rsid w:val="00135A72"/>
    <w:rsid w:val="001363AA"/>
    <w:rsid w:val="001403B8"/>
    <w:rsid w:val="00140E2D"/>
    <w:rsid w:val="00142505"/>
    <w:rsid w:val="0014267B"/>
    <w:rsid w:val="0014486C"/>
    <w:rsid w:val="001449CD"/>
    <w:rsid w:val="00147074"/>
    <w:rsid w:val="001474EA"/>
    <w:rsid w:val="00150981"/>
    <w:rsid w:val="00151AED"/>
    <w:rsid w:val="001537DA"/>
    <w:rsid w:val="00155B97"/>
    <w:rsid w:val="00156D48"/>
    <w:rsid w:val="001571DD"/>
    <w:rsid w:val="0016002E"/>
    <w:rsid w:val="00160357"/>
    <w:rsid w:val="0016040E"/>
    <w:rsid w:val="00161AF8"/>
    <w:rsid w:val="001642A8"/>
    <w:rsid w:val="001652E7"/>
    <w:rsid w:val="00167138"/>
    <w:rsid w:val="00170D9F"/>
    <w:rsid w:val="00171790"/>
    <w:rsid w:val="001739C0"/>
    <w:rsid w:val="0017486F"/>
    <w:rsid w:val="00174958"/>
    <w:rsid w:val="00174AC6"/>
    <w:rsid w:val="00175D8E"/>
    <w:rsid w:val="00177E18"/>
    <w:rsid w:val="00177F06"/>
    <w:rsid w:val="00180226"/>
    <w:rsid w:val="0018032A"/>
    <w:rsid w:val="00180382"/>
    <w:rsid w:val="001809A5"/>
    <w:rsid w:val="00183E82"/>
    <w:rsid w:val="00184813"/>
    <w:rsid w:val="00187379"/>
    <w:rsid w:val="001878BB"/>
    <w:rsid w:val="0019080B"/>
    <w:rsid w:val="00190FE1"/>
    <w:rsid w:val="00191AE0"/>
    <w:rsid w:val="001922E9"/>
    <w:rsid w:val="001925E9"/>
    <w:rsid w:val="0019293B"/>
    <w:rsid w:val="001933DE"/>
    <w:rsid w:val="00193451"/>
    <w:rsid w:val="00193EF4"/>
    <w:rsid w:val="0019426B"/>
    <w:rsid w:val="00195C0E"/>
    <w:rsid w:val="00196D93"/>
    <w:rsid w:val="001A2829"/>
    <w:rsid w:val="001A54D9"/>
    <w:rsid w:val="001A56C3"/>
    <w:rsid w:val="001A59B2"/>
    <w:rsid w:val="001A63EA"/>
    <w:rsid w:val="001A67E9"/>
    <w:rsid w:val="001A6A22"/>
    <w:rsid w:val="001A6D78"/>
    <w:rsid w:val="001A6F14"/>
    <w:rsid w:val="001B0128"/>
    <w:rsid w:val="001B1C31"/>
    <w:rsid w:val="001B450D"/>
    <w:rsid w:val="001B52D6"/>
    <w:rsid w:val="001B622C"/>
    <w:rsid w:val="001B6EBA"/>
    <w:rsid w:val="001B70E1"/>
    <w:rsid w:val="001B7A10"/>
    <w:rsid w:val="001C05C2"/>
    <w:rsid w:val="001C0865"/>
    <w:rsid w:val="001C1441"/>
    <w:rsid w:val="001C195E"/>
    <w:rsid w:val="001C28FC"/>
    <w:rsid w:val="001C34CB"/>
    <w:rsid w:val="001C3ABA"/>
    <w:rsid w:val="001C53E2"/>
    <w:rsid w:val="001C5A14"/>
    <w:rsid w:val="001C5DE6"/>
    <w:rsid w:val="001C5F7C"/>
    <w:rsid w:val="001C7B1B"/>
    <w:rsid w:val="001C7B45"/>
    <w:rsid w:val="001C7FF6"/>
    <w:rsid w:val="001D18AF"/>
    <w:rsid w:val="001D1CF9"/>
    <w:rsid w:val="001D3A67"/>
    <w:rsid w:val="001D4B29"/>
    <w:rsid w:val="001D6340"/>
    <w:rsid w:val="001D6728"/>
    <w:rsid w:val="001D74BF"/>
    <w:rsid w:val="001E1032"/>
    <w:rsid w:val="001E1D9D"/>
    <w:rsid w:val="001E312A"/>
    <w:rsid w:val="001E37BD"/>
    <w:rsid w:val="001E399B"/>
    <w:rsid w:val="001E5943"/>
    <w:rsid w:val="001E618D"/>
    <w:rsid w:val="001E6F82"/>
    <w:rsid w:val="001E791C"/>
    <w:rsid w:val="001E7BE8"/>
    <w:rsid w:val="001F0248"/>
    <w:rsid w:val="001F16C8"/>
    <w:rsid w:val="001F1866"/>
    <w:rsid w:val="001F192A"/>
    <w:rsid w:val="001F2F03"/>
    <w:rsid w:val="001F3EB3"/>
    <w:rsid w:val="001F4789"/>
    <w:rsid w:val="001F4F86"/>
    <w:rsid w:val="001F4FBA"/>
    <w:rsid w:val="001F6FE1"/>
    <w:rsid w:val="001F7984"/>
    <w:rsid w:val="00200AF1"/>
    <w:rsid w:val="00201389"/>
    <w:rsid w:val="002017D4"/>
    <w:rsid w:val="002019E6"/>
    <w:rsid w:val="002029B4"/>
    <w:rsid w:val="00202C2C"/>
    <w:rsid w:val="002047C1"/>
    <w:rsid w:val="00204EB6"/>
    <w:rsid w:val="00211545"/>
    <w:rsid w:val="002115CA"/>
    <w:rsid w:val="002132DE"/>
    <w:rsid w:val="002135AB"/>
    <w:rsid w:val="002144BE"/>
    <w:rsid w:val="002146BD"/>
    <w:rsid w:val="00214F7E"/>
    <w:rsid w:val="002158F5"/>
    <w:rsid w:val="002159A1"/>
    <w:rsid w:val="00217858"/>
    <w:rsid w:val="002203EC"/>
    <w:rsid w:val="00221B01"/>
    <w:rsid w:val="00226F87"/>
    <w:rsid w:val="0022768F"/>
    <w:rsid w:val="002368BE"/>
    <w:rsid w:val="002401FE"/>
    <w:rsid w:val="00240BFB"/>
    <w:rsid w:val="002415D2"/>
    <w:rsid w:val="00242279"/>
    <w:rsid w:val="00242D1A"/>
    <w:rsid w:val="00245780"/>
    <w:rsid w:val="002457F4"/>
    <w:rsid w:val="00245C82"/>
    <w:rsid w:val="00245DD2"/>
    <w:rsid w:val="00245F5B"/>
    <w:rsid w:val="00251AD2"/>
    <w:rsid w:val="002536E9"/>
    <w:rsid w:val="00263429"/>
    <w:rsid w:val="00266F7C"/>
    <w:rsid w:val="002700B0"/>
    <w:rsid w:val="002726AE"/>
    <w:rsid w:val="002732FA"/>
    <w:rsid w:val="002753D3"/>
    <w:rsid w:val="00276F20"/>
    <w:rsid w:val="0028072E"/>
    <w:rsid w:val="00284B09"/>
    <w:rsid w:val="00285928"/>
    <w:rsid w:val="00286115"/>
    <w:rsid w:val="00287A2E"/>
    <w:rsid w:val="0029047E"/>
    <w:rsid w:val="00290623"/>
    <w:rsid w:val="00291412"/>
    <w:rsid w:val="00291B40"/>
    <w:rsid w:val="00291DE7"/>
    <w:rsid w:val="00293E1F"/>
    <w:rsid w:val="0029509A"/>
    <w:rsid w:val="0029683E"/>
    <w:rsid w:val="002970CB"/>
    <w:rsid w:val="002A0047"/>
    <w:rsid w:val="002A0660"/>
    <w:rsid w:val="002A13D3"/>
    <w:rsid w:val="002A3647"/>
    <w:rsid w:val="002A5698"/>
    <w:rsid w:val="002A77BF"/>
    <w:rsid w:val="002B0AE1"/>
    <w:rsid w:val="002B141D"/>
    <w:rsid w:val="002B4008"/>
    <w:rsid w:val="002B44C6"/>
    <w:rsid w:val="002B56E7"/>
    <w:rsid w:val="002C101C"/>
    <w:rsid w:val="002C50B9"/>
    <w:rsid w:val="002C7FC6"/>
    <w:rsid w:val="002D04D8"/>
    <w:rsid w:val="002D0E8E"/>
    <w:rsid w:val="002D2356"/>
    <w:rsid w:val="002D2799"/>
    <w:rsid w:val="002D29E4"/>
    <w:rsid w:val="002D339C"/>
    <w:rsid w:val="002D4145"/>
    <w:rsid w:val="002D490B"/>
    <w:rsid w:val="002D76F3"/>
    <w:rsid w:val="002D7F2C"/>
    <w:rsid w:val="002E0452"/>
    <w:rsid w:val="002E122E"/>
    <w:rsid w:val="002E2979"/>
    <w:rsid w:val="002E5491"/>
    <w:rsid w:val="002E612C"/>
    <w:rsid w:val="002E6562"/>
    <w:rsid w:val="002E74B3"/>
    <w:rsid w:val="002F132C"/>
    <w:rsid w:val="002F5F21"/>
    <w:rsid w:val="002F71B1"/>
    <w:rsid w:val="00300A00"/>
    <w:rsid w:val="00301189"/>
    <w:rsid w:val="00301556"/>
    <w:rsid w:val="003028AB"/>
    <w:rsid w:val="00302F8E"/>
    <w:rsid w:val="003037D0"/>
    <w:rsid w:val="00303E74"/>
    <w:rsid w:val="00304CCB"/>
    <w:rsid w:val="00305D1A"/>
    <w:rsid w:val="003067C0"/>
    <w:rsid w:val="0030737B"/>
    <w:rsid w:val="00307575"/>
    <w:rsid w:val="0031011B"/>
    <w:rsid w:val="00311F87"/>
    <w:rsid w:val="00312CDC"/>
    <w:rsid w:val="00314EAB"/>
    <w:rsid w:val="0031596F"/>
    <w:rsid w:val="00315B8C"/>
    <w:rsid w:val="00315E82"/>
    <w:rsid w:val="0031774D"/>
    <w:rsid w:val="00320876"/>
    <w:rsid w:val="0032158A"/>
    <w:rsid w:val="00321B43"/>
    <w:rsid w:val="00323174"/>
    <w:rsid w:val="003239EE"/>
    <w:rsid w:val="00323A39"/>
    <w:rsid w:val="00323E09"/>
    <w:rsid w:val="00324048"/>
    <w:rsid w:val="0032423D"/>
    <w:rsid w:val="003242C0"/>
    <w:rsid w:val="0032434F"/>
    <w:rsid w:val="003248F3"/>
    <w:rsid w:val="00325B26"/>
    <w:rsid w:val="00325F8A"/>
    <w:rsid w:val="00326604"/>
    <w:rsid w:val="00326946"/>
    <w:rsid w:val="00326B09"/>
    <w:rsid w:val="003278A3"/>
    <w:rsid w:val="00332CCB"/>
    <w:rsid w:val="00332E5D"/>
    <w:rsid w:val="00333932"/>
    <w:rsid w:val="00334872"/>
    <w:rsid w:val="00337D7C"/>
    <w:rsid w:val="0034098A"/>
    <w:rsid w:val="00341B1F"/>
    <w:rsid w:val="00343700"/>
    <w:rsid w:val="003462BC"/>
    <w:rsid w:val="00346B6E"/>
    <w:rsid w:val="003504EC"/>
    <w:rsid w:val="00350BF8"/>
    <w:rsid w:val="00351125"/>
    <w:rsid w:val="003518AA"/>
    <w:rsid w:val="00351A17"/>
    <w:rsid w:val="00351CC3"/>
    <w:rsid w:val="00352110"/>
    <w:rsid w:val="00352165"/>
    <w:rsid w:val="0035235B"/>
    <w:rsid w:val="00353182"/>
    <w:rsid w:val="003532AA"/>
    <w:rsid w:val="00355B51"/>
    <w:rsid w:val="003565D9"/>
    <w:rsid w:val="00357ADC"/>
    <w:rsid w:val="003602E1"/>
    <w:rsid w:val="00360917"/>
    <w:rsid w:val="00361DBC"/>
    <w:rsid w:val="0037023E"/>
    <w:rsid w:val="0037026F"/>
    <w:rsid w:val="00371240"/>
    <w:rsid w:val="003721B7"/>
    <w:rsid w:val="00372B12"/>
    <w:rsid w:val="00372B3D"/>
    <w:rsid w:val="00373C49"/>
    <w:rsid w:val="00374731"/>
    <w:rsid w:val="0037511E"/>
    <w:rsid w:val="00375BCC"/>
    <w:rsid w:val="00376621"/>
    <w:rsid w:val="00376690"/>
    <w:rsid w:val="00376E59"/>
    <w:rsid w:val="003770F3"/>
    <w:rsid w:val="00380F27"/>
    <w:rsid w:val="00382380"/>
    <w:rsid w:val="00382EA0"/>
    <w:rsid w:val="00383663"/>
    <w:rsid w:val="00384449"/>
    <w:rsid w:val="0038505A"/>
    <w:rsid w:val="003868E0"/>
    <w:rsid w:val="0039089F"/>
    <w:rsid w:val="00391535"/>
    <w:rsid w:val="003919F9"/>
    <w:rsid w:val="0039244A"/>
    <w:rsid w:val="00392F1A"/>
    <w:rsid w:val="00394352"/>
    <w:rsid w:val="003A1E5B"/>
    <w:rsid w:val="003A47C6"/>
    <w:rsid w:val="003A4DA5"/>
    <w:rsid w:val="003A5655"/>
    <w:rsid w:val="003A5FED"/>
    <w:rsid w:val="003A696E"/>
    <w:rsid w:val="003A6C79"/>
    <w:rsid w:val="003A7873"/>
    <w:rsid w:val="003B30C4"/>
    <w:rsid w:val="003B349F"/>
    <w:rsid w:val="003B3D97"/>
    <w:rsid w:val="003B416F"/>
    <w:rsid w:val="003B4CAB"/>
    <w:rsid w:val="003B61EF"/>
    <w:rsid w:val="003B75A6"/>
    <w:rsid w:val="003B7A22"/>
    <w:rsid w:val="003C0BDF"/>
    <w:rsid w:val="003C34AE"/>
    <w:rsid w:val="003C3649"/>
    <w:rsid w:val="003C38B5"/>
    <w:rsid w:val="003C3BF1"/>
    <w:rsid w:val="003C5D99"/>
    <w:rsid w:val="003C6DBA"/>
    <w:rsid w:val="003C7FD2"/>
    <w:rsid w:val="003D2A80"/>
    <w:rsid w:val="003D3F9E"/>
    <w:rsid w:val="003D5229"/>
    <w:rsid w:val="003D64DF"/>
    <w:rsid w:val="003E091D"/>
    <w:rsid w:val="003E2DE4"/>
    <w:rsid w:val="003E2F59"/>
    <w:rsid w:val="003E353E"/>
    <w:rsid w:val="003E3F52"/>
    <w:rsid w:val="003E493D"/>
    <w:rsid w:val="003E4C86"/>
    <w:rsid w:val="003E66B7"/>
    <w:rsid w:val="003E7B85"/>
    <w:rsid w:val="003F0789"/>
    <w:rsid w:val="003F0A20"/>
    <w:rsid w:val="003F15C3"/>
    <w:rsid w:val="003F16FB"/>
    <w:rsid w:val="003F339C"/>
    <w:rsid w:val="003F3723"/>
    <w:rsid w:val="003F3F57"/>
    <w:rsid w:val="003F46AA"/>
    <w:rsid w:val="003F5970"/>
    <w:rsid w:val="003F641B"/>
    <w:rsid w:val="003F7FAD"/>
    <w:rsid w:val="00400B57"/>
    <w:rsid w:val="00401882"/>
    <w:rsid w:val="00401B2C"/>
    <w:rsid w:val="00402C52"/>
    <w:rsid w:val="004042BE"/>
    <w:rsid w:val="00404EE4"/>
    <w:rsid w:val="00405C47"/>
    <w:rsid w:val="00407144"/>
    <w:rsid w:val="004077CD"/>
    <w:rsid w:val="00407C04"/>
    <w:rsid w:val="004100C8"/>
    <w:rsid w:val="0041072B"/>
    <w:rsid w:val="00411033"/>
    <w:rsid w:val="00411DBD"/>
    <w:rsid w:val="00412ACE"/>
    <w:rsid w:val="0041476D"/>
    <w:rsid w:val="00415E74"/>
    <w:rsid w:val="00417D6F"/>
    <w:rsid w:val="00422B66"/>
    <w:rsid w:val="0042463C"/>
    <w:rsid w:val="00424D87"/>
    <w:rsid w:val="004255BE"/>
    <w:rsid w:val="00425ADE"/>
    <w:rsid w:val="00426708"/>
    <w:rsid w:val="004274BA"/>
    <w:rsid w:val="00427B9A"/>
    <w:rsid w:val="00427DF8"/>
    <w:rsid w:val="00431249"/>
    <w:rsid w:val="00434BAF"/>
    <w:rsid w:val="00434C19"/>
    <w:rsid w:val="00436C00"/>
    <w:rsid w:val="00440100"/>
    <w:rsid w:val="00450810"/>
    <w:rsid w:val="00452A17"/>
    <w:rsid w:val="00454225"/>
    <w:rsid w:val="00457EC7"/>
    <w:rsid w:val="00462A04"/>
    <w:rsid w:val="00463084"/>
    <w:rsid w:val="00463CBD"/>
    <w:rsid w:val="0046503B"/>
    <w:rsid w:val="00466C02"/>
    <w:rsid w:val="004679E5"/>
    <w:rsid w:val="00470346"/>
    <w:rsid w:val="00471B76"/>
    <w:rsid w:val="004736F3"/>
    <w:rsid w:val="00473F56"/>
    <w:rsid w:val="00474364"/>
    <w:rsid w:val="00474B75"/>
    <w:rsid w:val="00474D74"/>
    <w:rsid w:val="00477144"/>
    <w:rsid w:val="0047730D"/>
    <w:rsid w:val="00477D41"/>
    <w:rsid w:val="004879F0"/>
    <w:rsid w:val="004901BC"/>
    <w:rsid w:val="00491380"/>
    <w:rsid w:val="00491F5C"/>
    <w:rsid w:val="00493CF4"/>
    <w:rsid w:val="00493E3D"/>
    <w:rsid w:val="0049412E"/>
    <w:rsid w:val="0049459F"/>
    <w:rsid w:val="00494E95"/>
    <w:rsid w:val="004961BA"/>
    <w:rsid w:val="00496294"/>
    <w:rsid w:val="00496610"/>
    <w:rsid w:val="00497AEE"/>
    <w:rsid w:val="004A0354"/>
    <w:rsid w:val="004A03CD"/>
    <w:rsid w:val="004A0517"/>
    <w:rsid w:val="004A07A5"/>
    <w:rsid w:val="004A2D5D"/>
    <w:rsid w:val="004A3044"/>
    <w:rsid w:val="004A33DE"/>
    <w:rsid w:val="004A38DD"/>
    <w:rsid w:val="004A4554"/>
    <w:rsid w:val="004A5746"/>
    <w:rsid w:val="004A6032"/>
    <w:rsid w:val="004B0195"/>
    <w:rsid w:val="004B0523"/>
    <w:rsid w:val="004B0E4A"/>
    <w:rsid w:val="004B17B6"/>
    <w:rsid w:val="004B1E8B"/>
    <w:rsid w:val="004B29D5"/>
    <w:rsid w:val="004B32E7"/>
    <w:rsid w:val="004B3372"/>
    <w:rsid w:val="004B43AE"/>
    <w:rsid w:val="004B4D6B"/>
    <w:rsid w:val="004B6123"/>
    <w:rsid w:val="004B615A"/>
    <w:rsid w:val="004B63B8"/>
    <w:rsid w:val="004B7921"/>
    <w:rsid w:val="004C0171"/>
    <w:rsid w:val="004C1866"/>
    <w:rsid w:val="004C30ED"/>
    <w:rsid w:val="004C47FF"/>
    <w:rsid w:val="004C5C2D"/>
    <w:rsid w:val="004C6CD5"/>
    <w:rsid w:val="004C7A55"/>
    <w:rsid w:val="004D0A9F"/>
    <w:rsid w:val="004D1400"/>
    <w:rsid w:val="004D29CD"/>
    <w:rsid w:val="004D2E0E"/>
    <w:rsid w:val="004D3B2D"/>
    <w:rsid w:val="004D40E7"/>
    <w:rsid w:val="004D4359"/>
    <w:rsid w:val="004D4829"/>
    <w:rsid w:val="004D5385"/>
    <w:rsid w:val="004D563C"/>
    <w:rsid w:val="004D5675"/>
    <w:rsid w:val="004D65D7"/>
    <w:rsid w:val="004E087B"/>
    <w:rsid w:val="004E12ED"/>
    <w:rsid w:val="004E1856"/>
    <w:rsid w:val="004E2062"/>
    <w:rsid w:val="004E2312"/>
    <w:rsid w:val="004E40CC"/>
    <w:rsid w:val="004E41BF"/>
    <w:rsid w:val="004E42E3"/>
    <w:rsid w:val="004E4775"/>
    <w:rsid w:val="004E523E"/>
    <w:rsid w:val="004E539A"/>
    <w:rsid w:val="004E54EF"/>
    <w:rsid w:val="004E6778"/>
    <w:rsid w:val="004E7365"/>
    <w:rsid w:val="004F049B"/>
    <w:rsid w:val="004F0A82"/>
    <w:rsid w:val="004F0E39"/>
    <w:rsid w:val="004F227E"/>
    <w:rsid w:val="004F3246"/>
    <w:rsid w:val="004F5733"/>
    <w:rsid w:val="004F69C1"/>
    <w:rsid w:val="004F7810"/>
    <w:rsid w:val="004F7FF2"/>
    <w:rsid w:val="0050092D"/>
    <w:rsid w:val="00503A99"/>
    <w:rsid w:val="00503F49"/>
    <w:rsid w:val="005051C8"/>
    <w:rsid w:val="0050582E"/>
    <w:rsid w:val="0050786F"/>
    <w:rsid w:val="0051165A"/>
    <w:rsid w:val="00511746"/>
    <w:rsid w:val="005121CD"/>
    <w:rsid w:val="00520328"/>
    <w:rsid w:val="00523639"/>
    <w:rsid w:val="00523D03"/>
    <w:rsid w:val="00524166"/>
    <w:rsid w:val="005242C5"/>
    <w:rsid w:val="00525483"/>
    <w:rsid w:val="00525DB0"/>
    <w:rsid w:val="00526407"/>
    <w:rsid w:val="00526A3D"/>
    <w:rsid w:val="00531342"/>
    <w:rsid w:val="005315EF"/>
    <w:rsid w:val="00531FE5"/>
    <w:rsid w:val="00532CBC"/>
    <w:rsid w:val="00533FEC"/>
    <w:rsid w:val="00534AB2"/>
    <w:rsid w:val="00535457"/>
    <w:rsid w:val="005372B9"/>
    <w:rsid w:val="00537E12"/>
    <w:rsid w:val="00540210"/>
    <w:rsid w:val="005402FA"/>
    <w:rsid w:val="005407CB"/>
    <w:rsid w:val="0054101C"/>
    <w:rsid w:val="00541269"/>
    <w:rsid w:val="00542798"/>
    <w:rsid w:val="0054422C"/>
    <w:rsid w:val="0054652A"/>
    <w:rsid w:val="0054663C"/>
    <w:rsid w:val="00547E67"/>
    <w:rsid w:val="005519A6"/>
    <w:rsid w:val="00552B07"/>
    <w:rsid w:val="00552FFC"/>
    <w:rsid w:val="00554E87"/>
    <w:rsid w:val="005564B8"/>
    <w:rsid w:val="00556D35"/>
    <w:rsid w:val="00556D9D"/>
    <w:rsid w:val="00556EF2"/>
    <w:rsid w:val="0055708E"/>
    <w:rsid w:val="005571BC"/>
    <w:rsid w:val="0056266D"/>
    <w:rsid w:val="0056503C"/>
    <w:rsid w:val="00570307"/>
    <w:rsid w:val="0057084E"/>
    <w:rsid w:val="005712F4"/>
    <w:rsid w:val="00571405"/>
    <w:rsid w:val="00571731"/>
    <w:rsid w:val="00571F2A"/>
    <w:rsid w:val="00572D7D"/>
    <w:rsid w:val="00573C86"/>
    <w:rsid w:val="00574564"/>
    <w:rsid w:val="00580950"/>
    <w:rsid w:val="00581392"/>
    <w:rsid w:val="00583ADA"/>
    <w:rsid w:val="00583C39"/>
    <w:rsid w:val="00585FD3"/>
    <w:rsid w:val="00586877"/>
    <w:rsid w:val="0058694C"/>
    <w:rsid w:val="00587554"/>
    <w:rsid w:val="00587F28"/>
    <w:rsid w:val="0059061B"/>
    <w:rsid w:val="005909CF"/>
    <w:rsid w:val="00591E23"/>
    <w:rsid w:val="00591E71"/>
    <w:rsid w:val="00594786"/>
    <w:rsid w:val="005968A5"/>
    <w:rsid w:val="005975FE"/>
    <w:rsid w:val="00597EA1"/>
    <w:rsid w:val="005A0D41"/>
    <w:rsid w:val="005A245C"/>
    <w:rsid w:val="005A31D4"/>
    <w:rsid w:val="005A3290"/>
    <w:rsid w:val="005A396E"/>
    <w:rsid w:val="005A3E42"/>
    <w:rsid w:val="005A5227"/>
    <w:rsid w:val="005B20F6"/>
    <w:rsid w:val="005B2BF5"/>
    <w:rsid w:val="005B3B88"/>
    <w:rsid w:val="005B400D"/>
    <w:rsid w:val="005B4676"/>
    <w:rsid w:val="005B48EE"/>
    <w:rsid w:val="005B5268"/>
    <w:rsid w:val="005B5D9E"/>
    <w:rsid w:val="005B701C"/>
    <w:rsid w:val="005B7DE7"/>
    <w:rsid w:val="005C00BA"/>
    <w:rsid w:val="005C0328"/>
    <w:rsid w:val="005C11DC"/>
    <w:rsid w:val="005C14AD"/>
    <w:rsid w:val="005C27DA"/>
    <w:rsid w:val="005C2913"/>
    <w:rsid w:val="005C2EF3"/>
    <w:rsid w:val="005C3557"/>
    <w:rsid w:val="005C4074"/>
    <w:rsid w:val="005C47F6"/>
    <w:rsid w:val="005C49BF"/>
    <w:rsid w:val="005C4B86"/>
    <w:rsid w:val="005C6351"/>
    <w:rsid w:val="005C6C90"/>
    <w:rsid w:val="005D089E"/>
    <w:rsid w:val="005D1975"/>
    <w:rsid w:val="005D1E66"/>
    <w:rsid w:val="005D3608"/>
    <w:rsid w:val="005D37FC"/>
    <w:rsid w:val="005D44F1"/>
    <w:rsid w:val="005D6312"/>
    <w:rsid w:val="005D6E43"/>
    <w:rsid w:val="005E318C"/>
    <w:rsid w:val="005E4186"/>
    <w:rsid w:val="005E486D"/>
    <w:rsid w:val="005E5F04"/>
    <w:rsid w:val="005F004F"/>
    <w:rsid w:val="005F04C5"/>
    <w:rsid w:val="005F08C8"/>
    <w:rsid w:val="005F2105"/>
    <w:rsid w:val="005F28D8"/>
    <w:rsid w:val="005F3A57"/>
    <w:rsid w:val="005F4C5A"/>
    <w:rsid w:val="005F71EC"/>
    <w:rsid w:val="00602352"/>
    <w:rsid w:val="0060257A"/>
    <w:rsid w:val="00602CD9"/>
    <w:rsid w:val="00602EEC"/>
    <w:rsid w:val="00603CBA"/>
    <w:rsid w:val="00605E8D"/>
    <w:rsid w:val="006064A4"/>
    <w:rsid w:val="00607BF1"/>
    <w:rsid w:val="0061101E"/>
    <w:rsid w:val="006111E0"/>
    <w:rsid w:val="00611459"/>
    <w:rsid w:val="00611BD3"/>
    <w:rsid w:val="00611F6C"/>
    <w:rsid w:val="00612043"/>
    <w:rsid w:val="0061594E"/>
    <w:rsid w:val="00615CA7"/>
    <w:rsid w:val="0061640A"/>
    <w:rsid w:val="00616777"/>
    <w:rsid w:val="00617B1A"/>
    <w:rsid w:val="006204F6"/>
    <w:rsid w:val="0062062F"/>
    <w:rsid w:val="00621124"/>
    <w:rsid w:val="00625071"/>
    <w:rsid w:val="00625D63"/>
    <w:rsid w:val="006269F1"/>
    <w:rsid w:val="00627A6C"/>
    <w:rsid w:val="00630C98"/>
    <w:rsid w:val="00630D4D"/>
    <w:rsid w:val="00631C33"/>
    <w:rsid w:val="00631D13"/>
    <w:rsid w:val="00632A74"/>
    <w:rsid w:val="006339B5"/>
    <w:rsid w:val="00633B81"/>
    <w:rsid w:val="00633F64"/>
    <w:rsid w:val="0063472B"/>
    <w:rsid w:val="00634912"/>
    <w:rsid w:val="0063609C"/>
    <w:rsid w:val="00636B63"/>
    <w:rsid w:val="00640306"/>
    <w:rsid w:val="00640BCC"/>
    <w:rsid w:val="00641505"/>
    <w:rsid w:val="0065002D"/>
    <w:rsid w:val="00651965"/>
    <w:rsid w:val="00651DFB"/>
    <w:rsid w:val="00652EAE"/>
    <w:rsid w:val="006532E9"/>
    <w:rsid w:val="0066007A"/>
    <w:rsid w:val="00660D41"/>
    <w:rsid w:val="0066442C"/>
    <w:rsid w:val="00665132"/>
    <w:rsid w:val="0066577F"/>
    <w:rsid w:val="00666814"/>
    <w:rsid w:val="00667BC4"/>
    <w:rsid w:val="006702A1"/>
    <w:rsid w:val="00670D65"/>
    <w:rsid w:val="006711AA"/>
    <w:rsid w:val="00671787"/>
    <w:rsid w:val="00674B1C"/>
    <w:rsid w:val="00677C8E"/>
    <w:rsid w:val="00684572"/>
    <w:rsid w:val="006873A9"/>
    <w:rsid w:val="0068752A"/>
    <w:rsid w:val="00690103"/>
    <w:rsid w:val="00690DDA"/>
    <w:rsid w:val="0069160D"/>
    <w:rsid w:val="00692AEA"/>
    <w:rsid w:val="00693F87"/>
    <w:rsid w:val="006946D1"/>
    <w:rsid w:val="00696291"/>
    <w:rsid w:val="00696B47"/>
    <w:rsid w:val="0069748D"/>
    <w:rsid w:val="00697F0E"/>
    <w:rsid w:val="006A0126"/>
    <w:rsid w:val="006A2B21"/>
    <w:rsid w:val="006A2C4A"/>
    <w:rsid w:val="006A37EA"/>
    <w:rsid w:val="006A3B48"/>
    <w:rsid w:val="006A3C74"/>
    <w:rsid w:val="006A4149"/>
    <w:rsid w:val="006A4655"/>
    <w:rsid w:val="006A4D86"/>
    <w:rsid w:val="006A4DB1"/>
    <w:rsid w:val="006A6519"/>
    <w:rsid w:val="006A6D95"/>
    <w:rsid w:val="006A6DBE"/>
    <w:rsid w:val="006A7CA6"/>
    <w:rsid w:val="006B04D9"/>
    <w:rsid w:val="006B12D9"/>
    <w:rsid w:val="006B1435"/>
    <w:rsid w:val="006B1B7D"/>
    <w:rsid w:val="006B2B3C"/>
    <w:rsid w:val="006B3478"/>
    <w:rsid w:val="006B3C3D"/>
    <w:rsid w:val="006B5B23"/>
    <w:rsid w:val="006C024B"/>
    <w:rsid w:val="006C0D34"/>
    <w:rsid w:val="006C1D81"/>
    <w:rsid w:val="006C2AF0"/>
    <w:rsid w:val="006C4F13"/>
    <w:rsid w:val="006C5554"/>
    <w:rsid w:val="006C662E"/>
    <w:rsid w:val="006C7038"/>
    <w:rsid w:val="006D0EF4"/>
    <w:rsid w:val="006D1ED8"/>
    <w:rsid w:val="006D3CE2"/>
    <w:rsid w:val="006D5CB0"/>
    <w:rsid w:val="006D6164"/>
    <w:rsid w:val="006D729C"/>
    <w:rsid w:val="006E0DC9"/>
    <w:rsid w:val="006E1463"/>
    <w:rsid w:val="006E1664"/>
    <w:rsid w:val="006E1DC4"/>
    <w:rsid w:val="006E3049"/>
    <w:rsid w:val="006E499D"/>
    <w:rsid w:val="006E6756"/>
    <w:rsid w:val="006E71E0"/>
    <w:rsid w:val="006E73EF"/>
    <w:rsid w:val="006E7610"/>
    <w:rsid w:val="006E7826"/>
    <w:rsid w:val="006F0EFE"/>
    <w:rsid w:val="006F19B5"/>
    <w:rsid w:val="006F2270"/>
    <w:rsid w:val="006F28BB"/>
    <w:rsid w:val="006F2D97"/>
    <w:rsid w:val="006F38EA"/>
    <w:rsid w:val="006F3BD9"/>
    <w:rsid w:val="006F43AB"/>
    <w:rsid w:val="006F49C1"/>
    <w:rsid w:val="006F7108"/>
    <w:rsid w:val="006F76B8"/>
    <w:rsid w:val="006F7F33"/>
    <w:rsid w:val="0070083D"/>
    <w:rsid w:val="0070318E"/>
    <w:rsid w:val="00703248"/>
    <w:rsid w:val="00707728"/>
    <w:rsid w:val="00710312"/>
    <w:rsid w:val="007111A6"/>
    <w:rsid w:val="00712CD8"/>
    <w:rsid w:val="0071488A"/>
    <w:rsid w:val="00714D4D"/>
    <w:rsid w:val="00715C78"/>
    <w:rsid w:val="00716FB3"/>
    <w:rsid w:val="00717568"/>
    <w:rsid w:val="0072062E"/>
    <w:rsid w:val="00723362"/>
    <w:rsid w:val="00725AA4"/>
    <w:rsid w:val="00725BFB"/>
    <w:rsid w:val="00727858"/>
    <w:rsid w:val="00727E13"/>
    <w:rsid w:val="00730089"/>
    <w:rsid w:val="00730986"/>
    <w:rsid w:val="0073125F"/>
    <w:rsid w:val="00731FBE"/>
    <w:rsid w:val="007338B4"/>
    <w:rsid w:val="00733903"/>
    <w:rsid w:val="00733B5A"/>
    <w:rsid w:val="00733C74"/>
    <w:rsid w:val="007370C9"/>
    <w:rsid w:val="00737171"/>
    <w:rsid w:val="00737833"/>
    <w:rsid w:val="00740EB8"/>
    <w:rsid w:val="00740EBE"/>
    <w:rsid w:val="00742D2A"/>
    <w:rsid w:val="00742FF8"/>
    <w:rsid w:val="0074457A"/>
    <w:rsid w:val="00744AC5"/>
    <w:rsid w:val="00745078"/>
    <w:rsid w:val="00751A69"/>
    <w:rsid w:val="00751A76"/>
    <w:rsid w:val="007526A6"/>
    <w:rsid w:val="00752A17"/>
    <w:rsid w:val="00752DBA"/>
    <w:rsid w:val="007532C0"/>
    <w:rsid w:val="0075451B"/>
    <w:rsid w:val="0075503E"/>
    <w:rsid w:val="00755157"/>
    <w:rsid w:val="007604BB"/>
    <w:rsid w:val="007615E2"/>
    <w:rsid w:val="00762B14"/>
    <w:rsid w:val="00762FCD"/>
    <w:rsid w:val="00763A22"/>
    <w:rsid w:val="00763A92"/>
    <w:rsid w:val="007642AB"/>
    <w:rsid w:val="007648DA"/>
    <w:rsid w:val="00765808"/>
    <w:rsid w:val="00771608"/>
    <w:rsid w:val="007720DB"/>
    <w:rsid w:val="00772D5E"/>
    <w:rsid w:val="00774046"/>
    <w:rsid w:val="007749F6"/>
    <w:rsid w:val="0077529A"/>
    <w:rsid w:val="0077699F"/>
    <w:rsid w:val="00776A5A"/>
    <w:rsid w:val="00776B43"/>
    <w:rsid w:val="00777418"/>
    <w:rsid w:val="00777C8F"/>
    <w:rsid w:val="00777D08"/>
    <w:rsid w:val="00780CAB"/>
    <w:rsid w:val="007831A5"/>
    <w:rsid w:val="00783BB7"/>
    <w:rsid w:val="00785232"/>
    <w:rsid w:val="007855CB"/>
    <w:rsid w:val="007923F0"/>
    <w:rsid w:val="00792A89"/>
    <w:rsid w:val="00792F5B"/>
    <w:rsid w:val="0079467F"/>
    <w:rsid w:val="0079656C"/>
    <w:rsid w:val="00797DCA"/>
    <w:rsid w:val="007A06EB"/>
    <w:rsid w:val="007A1D7E"/>
    <w:rsid w:val="007A21EB"/>
    <w:rsid w:val="007A249B"/>
    <w:rsid w:val="007A285F"/>
    <w:rsid w:val="007A342C"/>
    <w:rsid w:val="007A590B"/>
    <w:rsid w:val="007A6E72"/>
    <w:rsid w:val="007B1A93"/>
    <w:rsid w:val="007B28F8"/>
    <w:rsid w:val="007B2CEE"/>
    <w:rsid w:val="007B4CBA"/>
    <w:rsid w:val="007B6C27"/>
    <w:rsid w:val="007B6F1C"/>
    <w:rsid w:val="007C1050"/>
    <w:rsid w:val="007C1438"/>
    <w:rsid w:val="007C2100"/>
    <w:rsid w:val="007C316C"/>
    <w:rsid w:val="007C36C9"/>
    <w:rsid w:val="007C38BF"/>
    <w:rsid w:val="007C39C6"/>
    <w:rsid w:val="007C4252"/>
    <w:rsid w:val="007C5C2E"/>
    <w:rsid w:val="007C5D7E"/>
    <w:rsid w:val="007C6324"/>
    <w:rsid w:val="007C698A"/>
    <w:rsid w:val="007C72BB"/>
    <w:rsid w:val="007D0993"/>
    <w:rsid w:val="007D2976"/>
    <w:rsid w:val="007D3329"/>
    <w:rsid w:val="007D361D"/>
    <w:rsid w:val="007D6017"/>
    <w:rsid w:val="007D6401"/>
    <w:rsid w:val="007D6D8A"/>
    <w:rsid w:val="007E01E4"/>
    <w:rsid w:val="007E06FE"/>
    <w:rsid w:val="007E0BD3"/>
    <w:rsid w:val="007E182D"/>
    <w:rsid w:val="007E1903"/>
    <w:rsid w:val="007E273E"/>
    <w:rsid w:val="007E367B"/>
    <w:rsid w:val="007E380C"/>
    <w:rsid w:val="007E3F1A"/>
    <w:rsid w:val="007E4210"/>
    <w:rsid w:val="007E4C34"/>
    <w:rsid w:val="007E6357"/>
    <w:rsid w:val="007E701C"/>
    <w:rsid w:val="007E77B6"/>
    <w:rsid w:val="007E787C"/>
    <w:rsid w:val="007E7CDF"/>
    <w:rsid w:val="007F17C9"/>
    <w:rsid w:val="007F18BC"/>
    <w:rsid w:val="007F346C"/>
    <w:rsid w:val="007F3505"/>
    <w:rsid w:val="007F7107"/>
    <w:rsid w:val="00800D4C"/>
    <w:rsid w:val="00801F43"/>
    <w:rsid w:val="008021A5"/>
    <w:rsid w:val="008046B3"/>
    <w:rsid w:val="00805317"/>
    <w:rsid w:val="0080561B"/>
    <w:rsid w:val="00805764"/>
    <w:rsid w:val="00805EAD"/>
    <w:rsid w:val="00806529"/>
    <w:rsid w:val="00806AFA"/>
    <w:rsid w:val="0080734D"/>
    <w:rsid w:val="0081030F"/>
    <w:rsid w:val="00810D2D"/>
    <w:rsid w:val="00811194"/>
    <w:rsid w:val="00812661"/>
    <w:rsid w:val="00812917"/>
    <w:rsid w:val="00813D2A"/>
    <w:rsid w:val="00814A72"/>
    <w:rsid w:val="00814C87"/>
    <w:rsid w:val="008157C7"/>
    <w:rsid w:val="00816460"/>
    <w:rsid w:val="00816833"/>
    <w:rsid w:val="00817543"/>
    <w:rsid w:val="0082087D"/>
    <w:rsid w:val="00820B85"/>
    <w:rsid w:val="008211CC"/>
    <w:rsid w:val="00822831"/>
    <w:rsid w:val="0082373C"/>
    <w:rsid w:val="00824498"/>
    <w:rsid w:val="00826226"/>
    <w:rsid w:val="00826C0D"/>
    <w:rsid w:val="00827857"/>
    <w:rsid w:val="00831D85"/>
    <w:rsid w:val="008327A0"/>
    <w:rsid w:val="00832D4D"/>
    <w:rsid w:val="00832FA6"/>
    <w:rsid w:val="00833E69"/>
    <w:rsid w:val="00835771"/>
    <w:rsid w:val="00835EAB"/>
    <w:rsid w:val="00836B7C"/>
    <w:rsid w:val="0083778A"/>
    <w:rsid w:val="00842933"/>
    <w:rsid w:val="00842B5D"/>
    <w:rsid w:val="00843EFF"/>
    <w:rsid w:val="00844B6A"/>
    <w:rsid w:val="00847550"/>
    <w:rsid w:val="00847EC4"/>
    <w:rsid w:val="008508A0"/>
    <w:rsid w:val="008538AD"/>
    <w:rsid w:val="00854775"/>
    <w:rsid w:val="0085576B"/>
    <w:rsid w:val="00855B81"/>
    <w:rsid w:val="00856A66"/>
    <w:rsid w:val="00856EB8"/>
    <w:rsid w:val="00857472"/>
    <w:rsid w:val="00857E90"/>
    <w:rsid w:val="0086082C"/>
    <w:rsid w:val="008637D8"/>
    <w:rsid w:val="00863EF5"/>
    <w:rsid w:val="00864ADC"/>
    <w:rsid w:val="008651A3"/>
    <w:rsid w:val="00866B54"/>
    <w:rsid w:val="00871E84"/>
    <w:rsid w:val="00871FC0"/>
    <w:rsid w:val="008733AB"/>
    <w:rsid w:val="008744FB"/>
    <w:rsid w:val="00874835"/>
    <w:rsid w:val="00874ED0"/>
    <w:rsid w:val="00877711"/>
    <w:rsid w:val="00877D09"/>
    <w:rsid w:val="00880153"/>
    <w:rsid w:val="00880F97"/>
    <w:rsid w:val="0088133A"/>
    <w:rsid w:val="00881FE7"/>
    <w:rsid w:val="00883517"/>
    <w:rsid w:val="00883778"/>
    <w:rsid w:val="008865CB"/>
    <w:rsid w:val="00886972"/>
    <w:rsid w:val="008870DC"/>
    <w:rsid w:val="00892106"/>
    <w:rsid w:val="0089285E"/>
    <w:rsid w:val="0089436C"/>
    <w:rsid w:val="008946B9"/>
    <w:rsid w:val="008A0BE6"/>
    <w:rsid w:val="008A1BA5"/>
    <w:rsid w:val="008A4B37"/>
    <w:rsid w:val="008A5780"/>
    <w:rsid w:val="008A67BB"/>
    <w:rsid w:val="008A6BDB"/>
    <w:rsid w:val="008A7C7D"/>
    <w:rsid w:val="008B26D8"/>
    <w:rsid w:val="008B310E"/>
    <w:rsid w:val="008B3BB6"/>
    <w:rsid w:val="008B4CEA"/>
    <w:rsid w:val="008B5451"/>
    <w:rsid w:val="008B5717"/>
    <w:rsid w:val="008B6A79"/>
    <w:rsid w:val="008B7859"/>
    <w:rsid w:val="008B7B22"/>
    <w:rsid w:val="008C1F09"/>
    <w:rsid w:val="008C3A2E"/>
    <w:rsid w:val="008C5093"/>
    <w:rsid w:val="008D0CB3"/>
    <w:rsid w:val="008D2EA2"/>
    <w:rsid w:val="008D365C"/>
    <w:rsid w:val="008D4554"/>
    <w:rsid w:val="008D53B8"/>
    <w:rsid w:val="008D5FB4"/>
    <w:rsid w:val="008D629B"/>
    <w:rsid w:val="008E4F8B"/>
    <w:rsid w:val="008F01EC"/>
    <w:rsid w:val="008F098D"/>
    <w:rsid w:val="008F16BC"/>
    <w:rsid w:val="008F1A27"/>
    <w:rsid w:val="008F3532"/>
    <w:rsid w:val="008F3880"/>
    <w:rsid w:val="008F3CBC"/>
    <w:rsid w:val="008F468D"/>
    <w:rsid w:val="008F6557"/>
    <w:rsid w:val="009000CE"/>
    <w:rsid w:val="0090200E"/>
    <w:rsid w:val="009025B9"/>
    <w:rsid w:val="009030BF"/>
    <w:rsid w:val="00903E71"/>
    <w:rsid w:val="0091032F"/>
    <w:rsid w:val="0091294E"/>
    <w:rsid w:val="00912E0A"/>
    <w:rsid w:val="009138A1"/>
    <w:rsid w:val="00914109"/>
    <w:rsid w:val="00914368"/>
    <w:rsid w:val="00914415"/>
    <w:rsid w:val="00914A49"/>
    <w:rsid w:val="00914FB9"/>
    <w:rsid w:val="00916574"/>
    <w:rsid w:val="00916736"/>
    <w:rsid w:val="009167BF"/>
    <w:rsid w:val="009176D3"/>
    <w:rsid w:val="0092015F"/>
    <w:rsid w:val="00921A31"/>
    <w:rsid w:val="00922CD8"/>
    <w:rsid w:val="00923402"/>
    <w:rsid w:val="00923833"/>
    <w:rsid w:val="00923F09"/>
    <w:rsid w:val="0092417E"/>
    <w:rsid w:val="0092550B"/>
    <w:rsid w:val="00926126"/>
    <w:rsid w:val="00930D26"/>
    <w:rsid w:val="00931076"/>
    <w:rsid w:val="00931564"/>
    <w:rsid w:val="0093407B"/>
    <w:rsid w:val="009345D9"/>
    <w:rsid w:val="009348AB"/>
    <w:rsid w:val="00934B0C"/>
    <w:rsid w:val="00934B15"/>
    <w:rsid w:val="009358B9"/>
    <w:rsid w:val="00936AB5"/>
    <w:rsid w:val="009371E0"/>
    <w:rsid w:val="00937BE7"/>
    <w:rsid w:val="00940C87"/>
    <w:rsid w:val="00941F95"/>
    <w:rsid w:val="009424B3"/>
    <w:rsid w:val="00942A81"/>
    <w:rsid w:val="00942B62"/>
    <w:rsid w:val="00942C78"/>
    <w:rsid w:val="009447AD"/>
    <w:rsid w:val="00945CE3"/>
    <w:rsid w:val="00945D9C"/>
    <w:rsid w:val="00946E98"/>
    <w:rsid w:val="009477DB"/>
    <w:rsid w:val="00947AB8"/>
    <w:rsid w:val="009505A8"/>
    <w:rsid w:val="009507BC"/>
    <w:rsid w:val="0095131F"/>
    <w:rsid w:val="00953095"/>
    <w:rsid w:val="0095323B"/>
    <w:rsid w:val="00954051"/>
    <w:rsid w:val="00955140"/>
    <w:rsid w:val="0095558F"/>
    <w:rsid w:val="009563A9"/>
    <w:rsid w:val="00956A0C"/>
    <w:rsid w:val="00956BD9"/>
    <w:rsid w:val="00956EAD"/>
    <w:rsid w:val="00957397"/>
    <w:rsid w:val="0095768A"/>
    <w:rsid w:val="00957E6D"/>
    <w:rsid w:val="00957F90"/>
    <w:rsid w:val="00961F44"/>
    <w:rsid w:val="00962463"/>
    <w:rsid w:val="00962489"/>
    <w:rsid w:val="0096371E"/>
    <w:rsid w:val="0096388C"/>
    <w:rsid w:val="00964588"/>
    <w:rsid w:val="00965462"/>
    <w:rsid w:val="0096648E"/>
    <w:rsid w:val="0096660B"/>
    <w:rsid w:val="0096764C"/>
    <w:rsid w:val="009701D6"/>
    <w:rsid w:val="00972472"/>
    <w:rsid w:val="009741A9"/>
    <w:rsid w:val="00977DD3"/>
    <w:rsid w:val="0098248B"/>
    <w:rsid w:val="00982F9B"/>
    <w:rsid w:val="0098401C"/>
    <w:rsid w:val="00985429"/>
    <w:rsid w:val="009864F0"/>
    <w:rsid w:val="00987A5E"/>
    <w:rsid w:val="00990C09"/>
    <w:rsid w:val="00990C2C"/>
    <w:rsid w:val="00991316"/>
    <w:rsid w:val="00991421"/>
    <w:rsid w:val="00992EC2"/>
    <w:rsid w:val="00993345"/>
    <w:rsid w:val="00994538"/>
    <w:rsid w:val="0099523A"/>
    <w:rsid w:val="0099575D"/>
    <w:rsid w:val="00996112"/>
    <w:rsid w:val="0099722C"/>
    <w:rsid w:val="00997906"/>
    <w:rsid w:val="009A01B9"/>
    <w:rsid w:val="009A1166"/>
    <w:rsid w:val="009A2587"/>
    <w:rsid w:val="009A3B02"/>
    <w:rsid w:val="009A42CE"/>
    <w:rsid w:val="009A630F"/>
    <w:rsid w:val="009B15D4"/>
    <w:rsid w:val="009B55FD"/>
    <w:rsid w:val="009B614B"/>
    <w:rsid w:val="009B7E83"/>
    <w:rsid w:val="009C0B1E"/>
    <w:rsid w:val="009C0CC4"/>
    <w:rsid w:val="009C20B3"/>
    <w:rsid w:val="009C30F1"/>
    <w:rsid w:val="009C56C8"/>
    <w:rsid w:val="009C579A"/>
    <w:rsid w:val="009C63E0"/>
    <w:rsid w:val="009C6D59"/>
    <w:rsid w:val="009C77A8"/>
    <w:rsid w:val="009C7943"/>
    <w:rsid w:val="009D0103"/>
    <w:rsid w:val="009D129D"/>
    <w:rsid w:val="009D158B"/>
    <w:rsid w:val="009D1AB7"/>
    <w:rsid w:val="009D1E5C"/>
    <w:rsid w:val="009D2216"/>
    <w:rsid w:val="009D2435"/>
    <w:rsid w:val="009D32B5"/>
    <w:rsid w:val="009D4249"/>
    <w:rsid w:val="009D49FA"/>
    <w:rsid w:val="009D50E5"/>
    <w:rsid w:val="009D6CCB"/>
    <w:rsid w:val="009D6CE5"/>
    <w:rsid w:val="009D70B9"/>
    <w:rsid w:val="009D76B8"/>
    <w:rsid w:val="009E0793"/>
    <w:rsid w:val="009E1844"/>
    <w:rsid w:val="009E4808"/>
    <w:rsid w:val="009F0D1B"/>
    <w:rsid w:val="009F1069"/>
    <w:rsid w:val="009F235C"/>
    <w:rsid w:val="009F24DD"/>
    <w:rsid w:val="009F2780"/>
    <w:rsid w:val="009F2DE7"/>
    <w:rsid w:val="009F4503"/>
    <w:rsid w:val="009F696D"/>
    <w:rsid w:val="009F6BC6"/>
    <w:rsid w:val="00A00D0B"/>
    <w:rsid w:val="00A010F0"/>
    <w:rsid w:val="00A017B8"/>
    <w:rsid w:val="00A0328D"/>
    <w:rsid w:val="00A04AC7"/>
    <w:rsid w:val="00A0594D"/>
    <w:rsid w:val="00A05BCD"/>
    <w:rsid w:val="00A11A20"/>
    <w:rsid w:val="00A11B42"/>
    <w:rsid w:val="00A16F35"/>
    <w:rsid w:val="00A17328"/>
    <w:rsid w:val="00A22F30"/>
    <w:rsid w:val="00A239C8"/>
    <w:rsid w:val="00A23A20"/>
    <w:rsid w:val="00A25453"/>
    <w:rsid w:val="00A26732"/>
    <w:rsid w:val="00A26749"/>
    <w:rsid w:val="00A268B9"/>
    <w:rsid w:val="00A2703A"/>
    <w:rsid w:val="00A30FE6"/>
    <w:rsid w:val="00A33DF7"/>
    <w:rsid w:val="00A33DFF"/>
    <w:rsid w:val="00A34350"/>
    <w:rsid w:val="00A35115"/>
    <w:rsid w:val="00A35615"/>
    <w:rsid w:val="00A35D99"/>
    <w:rsid w:val="00A36D9A"/>
    <w:rsid w:val="00A414E7"/>
    <w:rsid w:val="00A41A66"/>
    <w:rsid w:val="00A4361A"/>
    <w:rsid w:val="00A44618"/>
    <w:rsid w:val="00A463FE"/>
    <w:rsid w:val="00A47EEA"/>
    <w:rsid w:val="00A51336"/>
    <w:rsid w:val="00A5364F"/>
    <w:rsid w:val="00A53A56"/>
    <w:rsid w:val="00A5447E"/>
    <w:rsid w:val="00A54AF2"/>
    <w:rsid w:val="00A5523C"/>
    <w:rsid w:val="00A554AB"/>
    <w:rsid w:val="00A56DAA"/>
    <w:rsid w:val="00A57062"/>
    <w:rsid w:val="00A60BC0"/>
    <w:rsid w:val="00A60EC1"/>
    <w:rsid w:val="00A6153C"/>
    <w:rsid w:val="00A61C8A"/>
    <w:rsid w:val="00A659E1"/>
    <w:rsid w:val="00A65AD4"/>
    <w:rsid w:val="00A661B4"/>
    <w:rsid w:val="00A66232"/>
    <w:rsid w:val="00A6739A"/>
    <w:rsid w:val="00A71950"/>
    <w:rsid w:val="00A71C11"/>
    <w:rsid w:val="00A71E58"/>
    <w:rsid w:val="00A72084"/>
    <w:rsid w:val="00A72947"/>
    <w:rsid w:val="00A74B48"/>
    <w:rsid w:val="00A75965"/>
    <w:rsid w:val="00A760AD"/>
    <w:rsid w:val="00A7710F"/>
    <w:rsid w:val="00A8049E"/>
    <w:rsid w:val="00A80A91"/>
    <w:rsid w:val="00A81037"/>
    <w:rsid w:val="00A814E6"/>
    <w:rsid w:val="00A8391D"/>
    <w:rsid w:val="00A83AFF"/>
    <w:rsid w:val="00A86603"/>
    <w:rsid w:val="00A86B3C"/>
    <w:rsid w:val="00A87717"/>
    <w:rsid w:val="00A92B53"/>
    <w:rsid w:val="00A94FA6"/>
    <w:rsid w:val="00A960EE"/>
    <w:rsid w:val="00A961E7"/>
    <w:rsid w:val="00A9648C"/>
    <w:rsid w:val="00A977CA"/>
    <w:rsid w:val="00AA04F0"/>
    <w:rsid w:val="00AA1387"/>
    <w:rsid w:val="00AA14CA"/>
    <w:rsid w:val="00AA1B47"/>
    <w:rsid w:val="00AA268A"/>
    <w:rsid w:val="00AA2C63"/>
    <w:rsid w:val="00AA334C"/>
    <w:rsid w:val="00AA49A0"/>
    <w:rsid w:val="00AA6710"/>
    <w:rsid w:val="00AA6A23"/>
    <w:rsid w:val="00AB0681"/>
    <w:rsid w:val="00AB101C"/>
    <w:rsid w:val="00AB1FAD"/>
    <w:rsid w:val="00AB23BE"/>
    <w:rsid w:val="00AB24BB"/>
    <w:rsid w:val="00AB3097"/>
    <w:rsid w:val="00AB4694"/>
    <w:rsid w:val="00AC1541"/>
    <w:rsid w:val="00AC2279"/>
    <w:rsid w:val="00AC25CA"/>
    <w:rsid w:val="00AC3CD7"/>
    <w:rsid w:val="00AD021C"/>
    <w:rsid w:val="00AD067D"/>
    <w:rsid w:val="00AD0A79"/>
    <w:rsid w:val="00AD29D0"/>
    <w:rsid w:val="00AD2BE3"/>
    <w:rsid w:val="00AD32EF"/>
    <w:rsid w:val="00AD3D4A"/>
    <w:rsid w:val="00AD4884"/>
    <w:rsid w:val="00AD520B"/>
    <w:rsid w:val="00AD6565"/>
    <w:rsid w:val="00AD786F"/>
    <w:rsid w:val="00AE045F"/>
    <w:rsid w:val="00AE04FE"/>
    <w:rsid w:val="00AE0506"/>
    <w:rsid w:val="00AE070E"/>
    <w:rsid w:val="00AE266B"/>
    <w:rsid w:val="00AE318D"/>
    <w:rsid w:val="00AE4599"/>
    <w:rsid w:val="00AE630C"/>
    <w:rsid w:val="00AE65B2"/>
    <w:rsid w:val="00AE663D"/>
    <w:rsid w:val="00AE6EB5"/>
    <w:rsid w:val="00AF1013"/>
    <w:rsid w:val="00AF25C9"/>
    <w:rsid w:val="00AF3892"/>
    <w:rsid w:val="00AF43BD"/>
    <w:rsid w:val="00AF4C9C"/>
    <w:rsid w:val="00B00121"/>
    <w:rsid w:val="00B015F1"/>
    <w:rsid w:val="00B02665"/>
    <w:rsid w:val="00B030E5"/>
    <w:rsid w:val="00B06E9D"/>
    <w:rsid w:val="00B07DFE"/>
    <w:rsid w:val="00B110A4"/>
    <w:rsid w:val="00B1135C"/>
    <w:rsid w:val="00B11F1F"/>
    <w:rsid w:val="00B13525"/>
    <w:rsid w:val="00B14DC1"/>
    <w:rsid w:val="00B1587B"/>
    <w:rsid w:val="00B16BA2"/>
    <w:rsid w:val="00B20077"/>
    <w:rsid w:val="00B228DE"/>
    <w:rsid w:val="00B23C56"/>
    <w:rsid w:val="00B322DD"/>
    <w:rsid w:val="00B32492"/>
    <w:rsid w:val="00B33458"/>
    <w:rsid w:val="00B33901"/>
    <w:rsid w:val="00B35A19"/>
    <w:rsid w:val="00B35F27"/>
    <w:rsid w:val="00B364D6"/>
    <w:rsid w:val="00B4019F"/>
    <w:rsid w:val="00B425C3"/>
    <w:rsid w:val="00B440AD"/>
    <w:rsid w:val="00B44314"/>
    <w:rsid w:val="00B44379"/>
    <w:rsid w:val="00B454B7"/>
    <w:rsid w:val="00B46475"/>
    <w:rsid w:val="00B46C34"/>
    <w:rsid w:val="00B46F16"/>
    <w:rsid w:val="00B479BB"/>
    <w:rsid w:val="00B506D1"/>
    <w:rsid w:val="00B51DEB"/>
    <w:rsid w:val="00B53B57"/>
    <w:rsid w:val="00B53E7E"/>
    <w:rsid w:val="00B55AB7"/>
    <w:rsid w:val="00B563CB"/>
    <w:rsid w:val="00B5716B"/>
    <w:rsid w:val="00B61105"/>
    <w:rsid w:val="00B63166"/>
    <w:rsid w:val="00B6342E"/>
    <w:rsid w:val="00B63B60"/>
    <w:rsid w:val="00B650FD"/>
    <w:rsid w:val="00B65A74"/>
    <w:rsid w:val="00B66332"/>
    <w:rsid w:val="00B708D9"/>
    <w:rsid w:val="00B7113F"/>
    <w:rsid w:val="00B7220A"/>
    <w:rsid w:val="00B72FEB"/>
    <w:rsid w:val="00B738B4"/>
    <w:rsid w:val="00B7584B"/>
    <w:rsid w:val="00B77043"/>
    <w:rsid w:val="00B82279"/>
    <w:rsid w:val="00B82A46"/>
    <w:rsid w:val="00B854E1"/>
    <w:rsid w:val="00B85CD1"/>
    <w:rsid w:val="00B86D50"/>
    <w:rsid w:val="00B8756F"/>
    <w:rsid w:val="00B9015D"/>
    <w:rsid w:val="00B92B33"/>
    <w:rsid w:val="00B9307B"/>
    <w:rsid w:val="00B94819"/>
    <w:rsid w:val="00B9597F"/>
    <w:rsid w:val="00B96E46"/>
    <w:rsid w:val="00BA1338"/>
    <w:rsid w:val="00BA25E4"/>
    <w:rsid w:val="00BA3831"/>
    <w:rsid w:val="00BA4519"/>
    <w:rsid w:val="00BA481F"/>
    <w:rsid w:val="00BA5520"/>
    <w:rsid w:val="00BA5B37"/>
    <w:rsid w:val="00BA65AF"/>
    <w:rsid w:val="00BA722D"/>
    <w:rsid w:val="00BA73B6"/>
    <w:rsid w:val="00BA7E27"/>
    <w:rsid w:val="00BB04C0"/>
    <w:rsid w:val="00BB0530"/>
    <w:rsid w:val="00BB1B8A"/>
    <w:rsid w:val="00BB2603"/>
    <w:rsid w:val="00BB27D3"/>
    <w:rsid w:val="00BB3D97"/>
    <w:rsid w:val="00BB49A7"/>
    <w:rsid w:val="00BB4FCD"/>
    <w:rsid w:val="00BB54B8"/>
    <w:rsid w:val="00BB59D3"/>
    <w:rsid w:val="00BB5B7E"/>
    <w:rsid w:val="00BC04E9"/>
    <w:rsid w:val="00BC2768"/>
    <w:rsid w:val="00BC3235"/>
    <w:rsid w:val="00BC4E9C"/>
    <w:rsid w:val="00BC55DA"/>
    <w:rsid w:val="00BC5738"/>
    <w:rsid w:val="00BD13EA"/>
    <w:rsid w:val="00BD4EF3"/>
    <w:rsid w:val="00BD65FD"/>
    <w:rsid w:val="00BD7F13"/>
    <w:rsid w:val="00BE3808"/>
    <w:rsid w:val="00BE3C1E"/>
    <w:rsid w:val="00BE70BB"/>
    <w:rsid w:val="00BF0392"/>
    <w:rsid w:val="00BF0994"/>
    <w:rsid w:val="00BF1426"/>
    <w:rsid w:val="00BF1E85"/>
    <w:rsid w:val="00BF290A"/>
    <w:rsid w:val="00BF3D73"/>
    <w:rsid w:val="00BF5528"/>
    <w:rsid w:val="00BF65D4"/>
    <w:rsid w:val="00C00A83"/>
    <w:rsid w:val="00C062E9"/>
    <w:rsid w:val="00C06B8C"/>
    <w:rsid w:val="00C07583"/>
    <w:rsid w:val="00C07B64"/>
    <w:rsid w:val="00C11B86"/>
    <w:rsid w:val="00C13721"/>
    <w:rsid w:val="00C13F15"/>
    <w:rsid w:val="00C14FE4"/>
    <w:rsid w:val="00C1531E"/>
    <w:rsid w:val="00C16A1E"/>
    <w:rsid w:val="00C16A74"/>
    <w:rsid w:val="00C170C4"/>
    <w:rsid w:val="00C17214"/>
    <w:rsid w:val="00C17944"/>
    <w:rsid w:val="00C20778"/>
    <w:rsid w:val="00C2116C"/>
    <w:rsid w:val="00C22C34"/>
    <w:rsid w:val="00C23A48"/>
    <w:rsid w:val="00C241DA"/>
    <w:rsid w:val="00C26CAD"/>
    <w:rsid w:val="00C27434"/>
    <w:rsid w:val="00C27EA1"/>
    <w:rsid w:val="00C3011A"/>
    <w:rsid w:val="00C3066D"/>
    <w:rsid w:val="00C3291F"/>
    <w:rsid w:val="00C32BD6"/>
    <w:rsid w:val="00C33EDF"/>
    <w:rsid w:val="00C35319"/>
    <w:rsid w:val="00C361B2"/>
    <w:rsid w:val="00C36A4F"/>
    <w:rsid w:val="00C37407"/>
    <w:rsid w:val="00C3756A"/>
    <w:rsid w:val="00C375A8"/>
    <w:rsid w:val="00C40205"/>
    <w:rsid w:val="00C415D4"/>
    <w:rsid w:val="00C42995"/>
    <w:rsid w:val="00C438D7"/>
    <w:rsid w:val="00C449E6"/>
    <w:rsid w:val="00C463FE"/>
    <w:rsid w:val="00C474E4"/>
    <w:rsid w:val="00C4781B"/>
    <w:rsid w:val="00C504A0"/>
    <w:rsid w:val="00C50539"/>
    <w:rsid w:val="00C51867"/>
    <w:rsid w:val="00C52093"/>
    <w:rsid w:val="00C52416"/>
    <w:rsid w:val="00C53E91"/>
    <w:rsid w:val="00C543F4"/>
    <w:rsid w:val="00C5486F"/>
    <w:rsid w:val="00C57D3C"/>
    <w:rsid w:val="00C60948"/>
    <w:rsid w:val="00C625E9"/>
    <w:rsid w:val="00C6291C"/>
    <w:rsid w:val="00C633CB"/>
    <w:rsid w:val="00C63815"/>
    <w:rsid w:val="00C63EDA"/>
    <w:rsid w:val="00C64A94"/>
    <w:rsid w:val="00C65443"/>
    <w:rsid w:val="00C65E8B"/>
    <w:rsid w:val="00C67BF9"/>
    <w:rsid w:val="00C7109B"/>
    <w:rsid w:val="00C72676"/>
    <w:rsid w:val="00C730B7"/>
    <w:rsid w:val="00C736B7"/>
    <w:rsid w:val="00C7501F"/>
    <w:rsid w:val="00C75857"/>
    <w:rsid w:val="00C75952"/>
    <w:rsid w:val="00C76389"/>
    <w:rsid w:val="00C81383"/>
    <w:rsid w:val="00C81B65"/>
    <w:rsid w:val="00C81D4A"/>
    <w:rsid w:val="00C82E0C"/>
    <w:rsid w:val="00C82E2E"/>
    <w:rsid w:val="00C84E67"/>
    <w:rsid w:val="00C85259"/>
    <w:rsid w:val="00C86937"/>
    <w:rsid w:val="00C872BB"/>
    <w:rsid w:val="00C8762C"/>
    <w:rsid w:val="00C87FF6"/>
    <w:rsid w:val="00C918CD"/>
    <w:rsid w:val="00C91937"/>
    <w:rsid w:val="00C931B1"/>
    <w:rsid w:val="00C93756"/>
    <w:rsid w:val="00C94771"/>
    <w:rsid w:val="00C96369"/>
    <w:rsid w:val="00CA00F9"/>
    <w:rsid w:val="00CA02F8"/>
    <w:rsid w:val="00CA0335"/>
    <w:rsid w:val="00CA06F7"/>
    <w:rsid w:val="00CA0BA5"/>
    <w:rsid w:val="00CA0CCF"/>
    <w:rsid w:val="00CA0E43"/>
    <w:rsid w:val="00CA1493"/>
    <w:rsid w:val="00CA2401"/>
    <w:rsid w:val="00CA2961"/>
    <w:rsid w:val="00CA29DC"/>
    <w:rsid w:val="00CA2A96"/>
    <w:rsid w:val="00CA4CDE"/>
    <w:rsid w:val="00CA61C7"/>
    <w:rsid w:val="00CA673A"/>
    <w:rsid w:val="00CA77B6"/>
    <w:rsid w:val="00CA7DA3"/>
    <w:rsid w:val="00CB0780"/>
    <w:rsid w:val="00CB3535"/>
    <w:rsid w:val="00CB4568"/>
    <w:rsid w:val="00CB4F77"/>
    <w:rsid w:val="00CB50D7"/>
    <w:rsid w:val="00CB6D4A"/>
    <w:rsid w:val="00CB7177"/>
    <w:rsid w:val="00CB7366"/>
    <w:rsid w:val="00CB7850"/>
    <w:rsid w:val="00CB7855"/>
    <w:rsid w:val="00CC01EC"/>
    <w:rsid w:val="00CC1998"/>
    <w:rsid w:val="00CC4946"/>
    <w:rsid w:val="00CC514A"/>
    <w:rsid w:val="00CC5DD5"/>
    <w:rsid w:val="00CC676B"/>
    <w:rsid w:val="00CD1A47"/>
    <w:rsid w:val="00CD29C9"/>
    <w:rsid w:val="00CD3B45"/>
    <w:rsid w:val="00CD560F"/>
    <w:rsid w:val="00CD69B2"/>
    <w:rsid w:val="00CD6AA0"/>
    <w:rsid w:val="00CE120E"/>
    <w:rsid w:val="00CE1824"/>
    <w:rsid w:val="00CE41E2"/>
    <w:rsid w:val="00CE543D"/>
    <w:rsid w:val="00CE5F14"/>
    <w:rsid w:val="00CE63FE"/>
    <w:rsid w:val="00CE6EDC"/>
    <w:rsid w:val="00CE7923"/>
    <w:rsid w:val="00CE7E39"/>
    <w:rsid w:val="00CF07ED"/>
    <w:rsid w:val="00CF1BE3"/>
    <w:rsid w:val="00CF2E3A"/>
    <w:rsid w:val="00CF6C0F"/>
    <w:rsid w:val="00D025C6"/>
    <w:rsid w:val="00D02CC3"/>
    <w:rsid w:val="00D0577C"/>
    <w:rsid w:val="00D0636A"/>
    <w:rsid w:val="00D06851"/>
    <w:rsid w:val="00D06C42"/>
    <w:rsid w:val="00D06E74"/>
    <w:rsid w:val="00D07C3E"/>
    <w:rsid w:val="00D07EAE"/>
    <w:rsid w:val="00D1097E"/>
    <w:rsid w:val="00D10BCA"/>
    <w:rsid w:val="00D114D1"/>
    <w:rsid w:val="00D126F9"/>
    <w:rsid w:val="00D143F0"/>
    <w:rsid w:val="00D1478B"/>
    <w:rsid w:val="00D151C2"/>
    <w:rsid w:val="00D168C4"/>
    <w:rsid w:val="00D17C0B"/>
    <w:rsid w:val="00D21263"/>
    <w:rsid w:val="00D21842"/>
    <w:rsid w:val="00D23031"/>
    <w:rsid w:val="00D23111"/>
    <w:rsid w:val="00D270A4"/>
    <w:rsid w:val="00D30BEE"/>
    <w:rsid w:val="00D30C5C"/>
    <w:rsid w:val="00D31428"/>
    <w:rsid w:val="00D3176D"/>
    <w:rsid w:val="00D31FE9"/>
    <w:rsid w:val="00D34E1B"/>
    <w:rsid w:val="00D35559"/>
    <w:rsid w:val="00D36526"/>
    <w:rsid w:val="00D376BA"/>
    <w:rsid w:val="00D405D3"/>
    <w:rsid w:val="00D40600"/>
    <w:rsid w:val="00D417BC"/>
    <w:rsid w:val="00D434E6"/>
    <w:rsid w:val="00D43D55"/>
    <w:rsid w:val="00D45038"/>
    <w:rsid w:val="00D45634"/>
    <w:rsid w:val="00D514DC"/>
    <w:rsid w:val="00D5336B"/>
    <w:rsid w:val="00D53AFA"/>
    <w:rsid w:val="00D5568A"/>
    <w:rsid w:val="00D55BB9"/>
    <w:rsid w:val="00D567F7"/>
    <w:rsid w:val="00D5746B"/>
    <w:rsid w:val="00D5756B"/>
    <w:rsid w:val="00D6351A"/>
    <w:rsid w:val="00D63C59"/>
    <w:rsid w:val="00D63D73"/>
    <w:rsid w:val="00D63DE3"/>
    <w:rsid w:val="00D64452"/>
    <w:rsid w:val="00D6455B"/>
    <w:rsid w:val="00D64C60"/>
    <w:rsid w:val="00D6684F"/>
    <w:rsid w:val="00D66E1E"/>
    <w:rsid w:val="00D67048"/>
    <w:rsid w:val="00D70188"/>
    <w:rsid w:val="00D70D80"/>
    <w:rsid w:val="00D71EB8"/>
    <w:rsid w:val="00D73493"/>
    <w:rsid w:val="00D735B7"/>
    <w:rsid w:val="00D741B8"/>
    <w:rsid w:val="00D7550A"/>
    <w:rsid w:val="00D75722"/>
    <w:rsid w:val="00D75C40"/>
    <w:rsid w:val="00D80023"/>
    <w:rsid w:val="00D80CF5"/>
    <w:rsid w:val="00D81433"/>
    <w:rsid w:val="00D81BF9"/>
    <w:rsid w:val="00D84764"/>
    <w:rsid w:val="00D849E6"/>
    <w:rsid w:val="00D878AB"/>
    <w:rsid w:val="00D87F02"/>
    <w:rsid w:val="00D90991"/>
    <w:rsid w:val="00D90DD8"/>
    <w:rsid w:val="00D91EDA"/>
    <w:rsid w:val="00D9200D"/>
    <w:rsid w:val="00D924E6"/>
    <w:rsid w:val="00D92E68"/>
    <w:rsid w:val="00D92F0F"/>
    <w:rsid w:val="00D936AA"/>
    <w:rsid w:val="00D9378A"/>
    <w:rsid w:val="00D9413E"/>
    <w:rsid w:val="00D97F3F"/>
    <w:rsid w:val="00DA1F0D"/>
    <w:rsid w:val="00DA2B09"/>
    <w:rsid w:val="00DA3DC4"/>
    <w:rsid w:val="00DA433F"/>
    <w:rsid w:val="00DA5B0A"/>
    <w:rsid w:val="00DA5BBA"/>
    <w:rsid w:val="00DB008B"/>
    <w:rsid w:val="00DB1B37"/>
    <w:rsid w:val="00DB26D2"/>
    <w:rsid w:val="00DB4345"/>
    <w:rsid w:val="00DB4E10"/>
    <w:rsid w:val="00DB6184"/>
    <w:rsid w:val="00DB67C9"/>
    <w:rsid w:val="00DB713C"/>
    <w:rsid w:val="00DB75AE"/>
    <w:rsid w:val="00DB76EC"/>
    <w:rsid w:val="00DC0C95"/>
    <w:rsid w:val="00DC36E0"/>
    <w:rsid w:val="00DC475F"/>
    <w:rsid w:val="00DC5062"/>
    <w:rsid w:val="00DC6013"/>
    <w:rsid w:val="00DC7A43"/>
    <w:rsid w:val="00DD289C"/>
    <w:rsid w:val="00DD543D"/>
    <w:rsid w:val="00DD6580"/>
    <w:rsid w:val="00DD65FC"/>
    <w:rsid w:val="00DD6CD6"/>
    <w:rsid w:val="00DD6CF9"/>
    <w:rsid w:val="00DE1D57"/>
    <w:rsid w:val="00DE22D7"/>
    <w:rsid w:val="00DE2CC7"/>
    <w:rsid w:val="00DE3FE1"/>
    <w:rsid w:val="00DE4AD0"/>
    <w:rsid w:val="00DE6670"/>
    <w:rsid w:val="00DE7222"/>
    <w:rsid w:val="00DF082E"/>
    <w:rsid w:val="00DF31C9"/>
    <w:rsid w:val="00E00AF3"/>
    <w:rsid w:val="00E018F2"/>
    <w:rsid w:val="00E024AD"/>
    <w:rsid w:val="00E033BC"/>
    <w:rsid w:val="00E05019"/>
    <w:rsid w:val="00E05380"/>
    <w:rsid w:val="00E06C19"/>
    <w:rsid w:val="00E1040A"/>
    <w:rsid w:val="00E124BF"/>
    <w:rsid w:val="00E12AE1"/>
    <w:rsid w:val="00E15724"/>
    <w:rsid w:val="00E16348"/>
    <w:rsid w:val="00E16DDC"/>
    <w:rsid w:val="00E17032"/>
    <w:rsid w:val="00E17C72"/>
    <w:rsid w:val="00E21359"/>
    <w:rsid w:val="00E21FC6"/>
    <w:rsid w:val="00E222ED"/>
    <w:rsid w:val="00E22B4A"/>
    <w:rsid w:val="00E23DEB"/>
    <w:rsid w:val="00E24F58"/>
    <w:rsid w:val="00E27658"/>
    <w:rsid w:val="00E32D28"/>
    <w:rsid w:val="00E32D56"/>
    <w:rsid w:val="00E32DDA"/>
    <w:rsid w:val="00E33E49"/>
    <w:rsid w:val="00E34527"/>
    <w:rsid w:val="00E35A43"/>
    <w:rsid w:val="00E37585"/>
    <w:rsid w:val="00E37921"/>
    <w:rsid w:val="00E41A17"/>
    <w:rsid w:val="00E42396"/>
    <w:rsid w:val="00E42660"/>
    <w:rsid w:val="00E42820"/>
    <w:rsid w:val="00E431A9"/>
    <w:rsid w:val="00E440AF"/>
    <w:rsid w:val="00E45A8F"/>
    <w:rsid w:val="00E45C99"/>
    <w:rsid w:val="00E4602F"/>
    <w:rsid w:val="00E46BD4"/>
    <w:rsid w:val="00E5066D"/>
    <w:rsid w:val="00E519D6"/>
    <w:rsid w:val="00E52A3A"/>
    <w:rsid w:val="00E542A3"/>
    <w:rsid w:val="00E547F2"/>
    <w:rsid w:val="00E607A4"/>
    <w:rsid w:val="00E62B23"/>
    <w:rsid w:val="00E64D37"/>
    <w:rsid w:val="00E6666B"/>
    <w:rsid w:val="00E66958"/>
    <w:rsid w:val="00E669E2"/>
    <w:rsid w:val="00E70E29"/>
    <w:rsid w:val="00E72182"/>
    <w:rsid w:val="00E72685"/>
    <w:rsid w:val="00E7313A"/>
    <w:rsid w:val="00E7417F"/>
    <w:rsid w:val="00E75113"/>
    <w:rsid w:val="00E755C8"/>
    <w:rsid w:val="00E76135"/>
    <w:rsid w:val="00E8063C"/>
    <w:rsid w:val="00E820DD"/>
    <w:rsid w:val="00E8244C"/>
    <w:rsid w:val="00E82F4F"/>
    <w:rsid w:val="00E83923"/>
    <w:rsid w:val="00E84FF6"/>
    <w:rsid w:val="00E90C37"/>
    <w:rsid w:val="00E9312C"/>
    <w:rsid w:val="00E93CEE"/>
    <w:rsid w:val="00E94569"/>
    <w:rsid w:val="00E961D7"/>
    <w:rsid w:val="00E9693F"/>
    <w:rsid w:val="00E97679"/>
    <w:rsid w:val="00E978B9"/>
    <w:rsid w:val="00EA18F2"/>
    <w:rsid w:val="00EA2D14"/>
    <w:rsid w:val="00EA385E"/>
    <w:rsid w:val="00EA3977"/>
    <w:rsid w:val="00EA41F1"/>
    <w:rsid w:val="00EA538F"/>
    <w:rsid w:val="00EA5AC3"/>
    <w:rsid w:val="00EA5F23"/>
    <w:rsid w:val="00EA7065"/>
    <w:rsid w:val="00EA7435"/>
    <w:rsid w:val="00EA749A"/>
    <w:rsid w:val="00EB2067"/>
    <w:rsid w:val="00EB2457"/>
    <w:rsid w:val="00EB247B"/>
    <w:rsid w:val="00EB26CD"/>
    <w:rsid w:val="00EB3818"/>
    <w:rsid w:val="00EB542E"/>
    <w:rsid w:val="00EB62A4"/>
    <w:rsid w:val="00EB644A"/>
    <w:rsid w:val="00EC1032"/>
    <w:rsid w:val="00EC2844"/>
    <w:rsid w:val="00EC3271"/>
    <w:rsid w:val="00EC5500"/>
    <w:rsid w:val="00EC5BD5"/>
    <w:rsid w:val="00EC616E"/>
    <w:rsid w:val="00EC74F5"/>
    <w:rsid w:val="00ED11DA"/>
    <w:rsid w:val="00ED18F8"/>
    <w:rsid w:val="00ED3F04"/>
    <w:rsid w:val="00ED4036"/>
    <w:rsid w:val="00ED43EA"/>
    <w:rsid w:val="00ED605A"/>
    <w:rsid w:val="00ED6670"/>
    <w:rsid w:val="00ED673C"/>
    <w:rsid w:val="00ED7FA2"/>
    <w:rsid w:val="00EE48F6"/>
    <w:rsid w:val="00EE50AC"/>
    <w:rsid w:val="00EE522A"/>
    <w:rsid w:val="00EE74EE"/>
    <w:rsid w:val="00EE76F6"/>
    <w:rsid w:val="00EE7D81"/>
    <w:rsid w:val="00EE7F0D"/>
    <w:rsid w:val="00EF0D36"/>
    <w:rsid w:val="00EF2A3F"/>
    <w:rsid w:val="00EF4FB1"/>
    <w:rsid w:val="00EF617B"/>
    <w:rsid w:val="00EF6C6C"/>
    <w:rsid w:val="00EF6ED8"/>
    <w:rsid w:val="00EF7F5D"/>
    <w:rsid w:val="00F00A85"/>
    <w:rsid w:val="00F01B42"/>
    <w:rsid w:val="00F02C9E"/>
    <w:rsid w:val="00F03590"/>
    <w:rsid w:val="00F056FC"/>
    <w:rsid w:val="00F05935"/>
    <w:rsid w:val="00F05E41"/>
    <w:rsid w:val="00F065F7"/>
    <w:rsid w:val="00F07D1B"/>
    <w:rsid w:val="00F10476"/>
    <w:rsid w:val="00F10DE4"/>
    <w:rsid w:val="00F1140B"/>
    <w:rsid w:val="00F11457"/>
    <w:rsid w:val="00F119F1"/>
    <w:rsid w:val="00F11AC8"/>
    <w:rsid w:val="00F135D8"/>
    <w:rsid w:val="00F14750"/>
    <w:rsid w:val="00F17D9A"/>
    <w:rsid w:val="00F2035F"/>
    <w:rsid w:val="00F20394"/>
    <w:rsid w:val="00F21AB1"/>
    <w:rsid w:val="00F22308"/>
    <w:rsid w:val="00F22521"/>
    <w:rsid w:val="00F22C87"/>
    <w:rsid w:val="00F24BDA"/>
    <w:rsid w:val="00F256C1"/>
    <w:rsid w:val="00F30381"/>
    <w:rsid w:val="00F3039E"/>
    <w:rsid w:val="00F30430"/>
    <w:rsid w:val="00F30676"/>
    <w:rsid w:val="00F30C76"/>
    <w:rsid w:val="00F31299"/>
    <w:rsid w:val="00F32943"/>
    <w:rsid w:val="00F342D3"/>
    <w:rsid w:val="00F348CD"/>
    <w:rsid w:val="00F3534A"/>
    <w:rsid w:val="00F35699"/>
    <w:rsid w:val="00F36050"/>
    <w:rsid w:val="00F369B9"/>
    <w:rsid w:val="00F36BE9"/>
    <w:rsid w:val="00F37183"/>
    <w:rsid w:val="00F37462"/>
    <w:rsid w:val="00F37C2A"/>
    <w:rsid w:val="00F407F2"/>
    <w:rsid w:val="00F40F1E"/>
    <w:rsid w:val="00F450A7"/>
    <w:rsid w:val="00F452B6"/>
    <w:rsid w:val="00F4595A"/>
    <w:rsid w:val="00F50846"/>
    <w:rsid w:val="00F511CB"/>
    <w:rsid w:val="00F51609"/>
    <w:rsid w:val="00F51EC1"/>
    <w:rsid w:val="00F5435E"/>
    <w:rsid w:val="00F555F7"/>
    <w:rsid w:val="00F601F8"/>
    <w:rsid w:val="00F61340"/>
    <w:rsid w:val="00F61A47"/>
    <w:rsid w:val="00F62554"/>
    <w:rsid w:val="00F67D88"/>
    <w:rsid w:val="00F67E99"/>
    <w:rsid w:val="00F703EB"/>
    <w:rsid w:val="00F7129D"/>
    <w:rsid w:val="00F72CCC"/>
    <w:rsid w:val="00F73B0B"/>
    <w:rsid w:val="00F73C4D"/>
    <w:rsid w:val="00F74A48"/>
    <w:rsid w:val="00F758DE"/>
    <w:rsid w:val="00F761A7"/>
    <w:rsid w:val="00F770CA"/>
    <w:rsid w:val="00F77525"/>
    <w:rsid w:val="00F77E50"/>
    <w:rsid w:val="00F802DA"/>
    <w:rsid w:val="00F81006"/>
    <w:rsid w:val="00F81378"/>
    <w:rsid w:val="00F85325"/>
    <w:rsid w:val="00F85A13"/>
    <w:rsid w:val="00F85F46"/>
    <w:rsid w:val="00F86BC1"/>
    <w:rsid w:val="00F8777D"/>
    <w:rsid w:val="00F90F61"/>
    <w:rsid w:val="00F91D03"/>
    <w:rsid w:val="00F92DF0"/>
    <w:rsid w:val="00F9507E"/>
    <w:rsid w:val="00F96040"/>
    <w:rsid w:val="00F96BEC"/>
    <w:rsid w:val="00FA2112"/>
    <w:rsid w:val="00FA5576"/>
    <w:rsid w:val="00FA5BCF"/>
    <w:rsid w:val="00FA66D2"/>
    <w:rsid w:val="00FB016E"/>
    <w:rsid w:val="00FB4020"/>
    <w:rsid w:val="00FB4166"/>
    <w:rsid w:val="00FB4EB4"/>
    <w:rsid w:val="00FB570D"/>
    <w:rsid w:val="00FB590C"/>
    <w:rsid w:val="00FB72A9"/>
    <w:rsid w:val="00FB7D5F"/>
    <w:rsid w:val="00FB7E56"/>
    <w:rsid w:val="00FC0428"/>
    <w:rsid w:val="00FC22E7"/>
    <w:rsid w:val="00FC3194"/>
    <w:rsid w:val="00FC45C9"/>
    <w:rsid w:val="00FC704E"/>
    <w:rsid w:val="00FC7748"/>
    <w:rsid w:val="00FD221C"/>
    <w:rsid w:val="00FD22B1"/>
    <w:rsid w:val="00FD32B6"/>
    <w:rsid w:val="00FD3D74"/>
    <w:rsid w:val="00FD4637"/>
    <w:rsid w:val="00FD4D3A"/>
    <w:rsid w:val="00FD5B53"/>
    <w:rsid w:val="00FD5C74"/>
    <w:rsid w:val="00FD6854"/>
    <w:rsid w:val="00FD7924"/>
    <w:rsid w:val="00FD7DD7"/>
    <w:rsid w:val="00FE1401"/>
    <w:rsid w:val="00FE23DA"/>
    <w:rsid w:val="00FE2C08"/>
    <w:rsid w:val="00FE3A11"/>
    <w:rsid w:val="00FE3ACE"/>
    <w:rsid w:val="00FE3CB4"/>
    <w:rsid w:val="00FE43B2"/>
    <w:rsid w:val="00FE472C"/>
    <w:rsid w:val="00FE5397"/>
    <w:rsid w:val="00FE64D9"/>
    <w:rsid w:val="00FE76DF"/>
    <w:rsid w:val="00FF020F"/>
    <w:rsid w:val="00FF25A7"/>
    <w:rsid w:val="00FF69F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371E0"/>
  </w:style>
  <w:style w:type="paragraph" w:styleId="Heading1">
    <w:name w:val="heading 1"/>
    <w:basedOn w:val="BodyText"/>
    <w:next w:val="BodyText"/>
    <w:rsid w:val="009371E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371E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371E0"/>
    <w:pPr>
      <w:spacing w:before="560" w:line="320" w:lineRule="exact"/>
      <w:ind w:left="0" w:firstLine="0"/>
      <w:outlineLvl w:val="2"/>
    </w:pPr>
    <w:rPr>
      <w:sz w:val="26"/>
    </w:rPr>
  </w:style>
  <w:style w:type="paragraph" w:styleId="Heading4">
    <w:name w:val="heading 4"/>
    <w:basedOn w:val="Heading3"/>
    <w:next w:val="BodyText"/>
    <w:link w:val="Heading4Char"/>
    <w:qFormat/>
    <w:rsid w:val="009371E0"/>
    <w:pPr>
      <w:spacing w:before="480"/>
      <w:outlineLvl w:val="3"/>
    </w:pPr>
    <w:rPr>
      <w:b w:val="0"/>
      <w:sz w:val="24"/>
    </w:rPr>
  </w:style>
  <w:style w:type="paragraph" w:styleId="Heading5">
    <w:name w:val="heading 5"/>
    <w:basedOn w:val="Heading4"/>
    <w:next w:val="BodyText"/>
    <w:link w:val="Heading5Char"/>
    <w:qFormat/>
    <w:rsid w:val="009371E0"/>
    <w:pPr>
      <w:outlineLvl w:val="4"/>
    </w:pPr>
    <w:rPr>
      <w:i/>
      <w:sz w:val="22"/>
    </w:rPr>
  </w:style>
  <w:style w:type="paragraph" w:styleId="Heading6">
    <w:name w:val="heading 6"/>
    <w:basedOn w:val="BodyText"/>
    <w:next w:val="BodyText"/>
    <w:rsid w:val="009371E0"/>
    <w:pPr>
      <w:spacing w:after="60"/>
      <w:jc w:val="left"/>
      <w:outlineLvl w:val="5"/>
    </w:pPr>
    <w:rPr>
      <w:i/>
      <w:sz w:val="22"/>
    </w:rPr>
  </w:style>
  <w:style w:type="paragraph" w:styleId="Heading7">
    <w:name w:val="heading 7"/>
    <w:basedOn w:val="BodyText"/>
    <w:next w:val="BodyText"/>
    <w:rsid w:val="009371E0"/>
    <w:pPr>
      <w:spacing w:after="60" w:line="240" w:lineRule="auto"/>
      <w:jc w:val="left"/>
      <w:outlineLvl w:val="6"/>
    </w:pPr>
    <w:rPr>
      <w:rFonts w:ascii="Arial" w:hAnsi="Arial"/>
      <w:sz w:val="20"/>
    </w:rPr>
  </w:style>
  <w:style w:type="paragraph" w:styleId="Heading8">
    <w:name w:val="heading 8"/>
    <w:basedOn w:val="BodyText"/>
    <w:next w:val="BodyText"/>
    <w:rsid w:val="009371E0"/>
    <w:pPr>
      <w:spacing w:after="60" w:line="240" w:lineRule="auto"/>
      <w:jc w:val="left"/>
      <w:outlineLvl w:val="7"/>
    </w:pPr>
    <w:rPr>
      <w:rFonts w:ascii="Arial" w:hAnsi="Arial"/>
      <w:i/>
      <w:sz w:val="20"/>
    </w:rPr>
  </w:style>
  <w:style w:type="paragraph" w:styleId="Heading9">
    <w:name w:val="heading 9"/>
    <w:basedOn w:val="BodyText"/>
    <w:next w:val="BodyText"/>
    <w:rsid w:val="009371E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371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1E0"/>
  </w:style>
  <w:style w:type="paragraph" w:styleId="BodyText">
    <w:name w:val="Body Text"/>
    <w:link w:val="BodyTextChar"/>
    <w:qFormat/>
    <w:rsid w:val="009371E0"/>
    <w:pPr>
      <w:spacing w:before="240" w:line="300" w:lineRule="atLeast"/>
      <w:jc w:val="both"/>
    </w:pPr>
    <w:rPr>
      <w:szCs w:val="20"/>
    </w:rPr>
  </w:style>
  <w:style w:type="paragraph" w:customStyle="1" w:styleId="Chapter">
    <w:name w:val="Chapter"/>
    <w:basedOn w:val="Heading1"/>
    <w:next w:val="BodyText"/>
    <w:semiHidden/>
    <w:rsid w:val="009371E0"/>
    <w:pPr>
      <w:ind w:left="0" w:firstLine="0"/>
      <w:outlineLvl w:val="9"/>
    </w:pPr>
  </w:style>
  <w:style w:type="paragraph" w:styleId="Footer">
    <w:name w:val="footer"/>
    <w:basedOn w:val="BodyText"/>
    <w:link w:val="FooterChar"/>
    <w:rsid w:val="009371E0"/>
    <w:pPr>
      <w:spacing w:before="80" w:line="200" w:lineRule="exact"/>
      <w:ind w:right="6"/>
      <w:jc w:val="left"/>
    </w:pPr>
    <w:rPr>
      <w:rFonts w:ascii="Arial" w:hAnsi="Arial"/>
      <w:caps/>
      <w:spacing w:val="-4"/>
      <w:sz w:val="16"/>
    </w:rPr>
  </w:style>
  <w:style w:type="paragraph" w:customStyle="1" w:styleId="FooterEnd">
    <w:name w:val="Footer End"/>
    <w:basedOn w:val="Footer"/>
    <w:rsid w:val="009371E0"/>
    <w:pPr>
      <w:spacing w:before="0" w:line="20" w:lineRule="exact"/>
    </w:pPr>
  </w:style>
  <w:style w:type="paragraph" w:styleId="Header">
    <w:name w:val="header"/>
    <w:basedOn w:val="BodyText"/>
    <w:rsid w:val="009371E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371E0"/>
    <w:pPr>
      <w:spacing w:line="20" w:lineRule="exact"/>
    </w:pPr>
    <w:rPr>
      <w:sz w:val="16"/>
    </w:rPr>
  </w:style>
  <w:style w:type="paragraph" w:customStyle="1" w:styleId="HeaderEven">
    <w:name w:val="Header Even"/>
    <w:basedOn w:val="Header"/>
    <w:semiHidden/>
    <w:rsid w:val="009371E0"/>
  </w:style>
  <w:style w:type="paragraph" w:customStyle="1" w:styleId="HeaderOdd">
    <w:name w:val="Header Odd"/>
    <w:basedOn w:val="Header"/>
    <w:semiHidden/>
    <w:rsid w:val="009371E0"/>
  </w:style>
  <w:style w:type="character" w:styleId="PageNumber">
    <w:name w:val="page number"/>
    <w:basedOn w:val="DefaultParagraphFont"/>
    <w:rsid w:val="009371E0"/>
    <w:rPr>
      <w:rFonts w:ascii="Arial" w:hAnsi="Arial"/>
      <w:b/>
      <w:sz w:val="16"/>
    </w:rPr>
  </w:style>
  <w:style w:type="paragraph" w:customStyle="1" w:styleId="Abbreviation">
    <w:name w:val="Abbreviation"/>
    <w:basedOn w:val="BodyText"/>
    <w:rsid w:val="009371E0"/>
    <w:pPr>
      <w:spacing w:before="120"/>
      <w:ind w:left="2381" w:hanging="2381"/>
      <w:jc w:val="left"/>
    </w:pPr>
  </w:style>
  <w:style w:type="paragraph" w:customStyle="1" w:styleId="Box">
    <w:name w:val="Box"/>
    <w:basedOn w:val="BodyText"/>
    <w:qFormat/>
    <w:rsid w:val="009371E0"/>
    <w:pPr>
      <w:keepNext/>
      <w:spacing w:before="120" w:line="260" w:lineRule="atLeast"/>
    </w:pPr>
    <w:rPr>
      <w:rFonts w:ascii="Arial" w:hAnsi="Arial"/>
      <w:sz w:val="20"/>
    </w:rPr>
  </w:style>
  <w:style w:type="paragraph" w:customStyle="1" w:styleId="BoxContinued">
    <w:name w:val="Box Continued"/>
    <w:basedOn w:val="BodyText"/>
    <w:next w:val="BodyText"/>
    <w:semiHidden/>
    <w:rsid w:val="009371E0"/>
    <w:pPr>
      <w:spacing w:before="180" w:line="220" w:lineRule="exact"/>
      <w:jc w:val="right"/>
    </w:pPr>
    <w:rPr>
      <w:rFonts w:ascii="Arial" w:hAnsi="Arial"/>
      <w:sz w:val="18"/>
    </w:rPr>
  </w:style>
  <w:style w:type="paragraph" w:customStyle="1" w:styleId="BoxHeading1">
    <w:name w:val="Box Heading 1"/>
    <w:basedOn w:val="BodyText"/>
    <w:next w:val="Box"/>
    <w:rsid w:val="009371E0"/>
    <w:pPr>
      <w:keepNext/>
      <w:spacing w:before="200" w:line="280" w:lineRule="atLeast"/>
    </w:pPr>
    <w:rPr>
      <w:rFonts w:ascii="Arial" w:hAnsi="Arial"/>
      <w:b/>
      <w:sz w:val="22"/>
    </w:rPr>
  </w:style>
  <w:style w:type="paragraph" w:customStyle="1" w:styleId="BoxHeading2">
    <w:name w:val="Box Heading 2"/>
    <w:basedOn w:val="BoxHeading1"/>
    <w:next w:val="Normal"/>
    <w:rsid w:val="009371E0"/>
    <w:rPr>
      <w:b w:val="0"/>
      <w:i/>
    </w:rPr>
  </w:style>
  <w:style w:type="paragraph" w:customStyle="1" w:styleId="BoxListBullet">
    <w:name w:val="Box List Bullet"/>
    <w:basedOn w:val="BodyText"/>
    <w:rsid w:val="009371E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371E0"/>
    <w:pPr>
      <w:numPr>
        <w:numId w:val="16"/>
      </w:numPr>
      <w:ind w:left="568" w:hanging="284"/>
    </w:pPr>
  </w:style>
  <w:style w:type="paragraph" w:customStyle="1" w:styleId="BoxListNumber">
    <w:name w:val="Box List Number"/>
    <w:basedOn w:val="BodyText"/>
    <w:rsid w:val="009371E0"/>
    <w:pPr>
      <w:keepNext/>
      <w:numPr>
        <w:numId w:val="12"/>
      </w:numPr>
      <w:spacing w:before="100" w:line="260" w:lineRule="atLeast"/>
    </w:pPr>
    <w:rPr>
      <w:rFonts w:ascii="Arial" w:hAnsi="Arial"/>
      <w:sz w:val="20"/>
    </w:rPr>
  </w:style>
  <w:style w:type="paragraph" w:customStyle="1" w:styleId="BoxListNumber2">
    <w:name w:val="Box List Number 2"/>
    <w:basedOn w:val="BoxListNumber"/>
    <w:rsid w:val="009371E0"/>
    <w:pPr>
      <w:numPr>
        <w:ilvl w:val="1"/>
      </w:numPr>
      <w:ind w:left="681" w:hanging="397"/>
    </w:pPr>
  </w:style>
  <w:style w:type="paragraph" w:customStyle="1" w:styleId="BoxQuote">
    <w:name w:val="Box Quote"/>
    <w:basedOn w:val="BodyText"/>
    <w:next w:val="Box"/>
    <w:qFormat/>
    <w:rsid w:val="009371E0"/>
    <w:pPr>
      <w:keepNext/>
      <w:spacing w:before="60" w:line="240" w:lineRule="exact"/>
      <w:ind w:left="284"/>
    </w:pPr>
    <w:rPr>
      <w:rFonts w:ascii="Arial" w:hAnsi="Arial"/>
      <w:sz w:val="18"/>
    </w:rPr>
  </w:style>
  <w:style w:type="paragraph" w:customStyle="1" w:styleId="Note">
    <w:name w:val="Note"/>
    <w:basedOn w:val="BodyText"/>
    <w:next w:val="BodyText"/>
    <w:rsid w:val="009371E0"/>
    <w:pPr>
      <w:keepLines/>
      <w:spacing w:before="80" w:line="220" w:lineRule="exact"/>
    </w:pPr>
    <w:rPr>
      <w:rFonts w:ascii="Arial" w:hAnsi="Arial"/>
      <w:sz w:val="18"/>
    </w:rPr>
  </w:style>
  <w:style w:type="paragraph" w:customStyle="1" w:styleId="Source">
    <w:name w:val="Source"/>
    <w:basedOn w:val="Normal"/>
    <w:next w:val="BodyText"/>
    <w:rsid w:val="009371E0"/>
    <w:pPr>
      <w:keepLines/>
      <w:spacing w:before="80" w:line="220" w:lineRule="exact"/>
      <w:jc w:val="both"/>
    </w:pPr>
    <w:rPr>
      <w:rFonts w:ascii="Arial" w:hAnsi="Arial"/>
      <w:sz w:val="18"/>
      <w:szCs w:val="20"/>
    </w:rPr>
  </w:style>
  <w:style w:type="paragraph" w:customStyle="1" w:styleId="BoxSource">
    <w:name w:val="Box Source"/>
    <w:basedOn w:val="Source"/>
    <w:next w:val="BodyText"/>
    <w:rsid w:val="009371E0"/>
    <w:pPr>
      <w:spacing w:before="120"/>
    </w:pPr>
  </w:style>
  <w:style w:type="paragraph" w:customStyle="1" w:styleId="BoxSpaceAbove">
    <w:name w:val="Box Space Above"/>
    <w:basedOn w:val="BodyText"/>
    <w:rsid w:val="009371E0"/>
    <w:pPr>
      <w:keepNext/>
      <w:spacing w:before="360" w:line="80" w:lineRule="exact"/>
      <w:jc w:val="left"/>
    </w:pPr>
  </w:style>
  <w:style w:type="paragraph" w:styleId="Caption">
    <w:name w:val="caption"/>
    <w:basedOn w:val="Normal"/>
    <w:next w:val="BodyText"/>
    <w:rsid w:val="009371E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371E0"/>
    <w:pPr>
      <w:spacing w:before="120" w:after="0"/>
    </w:pPr>
  </w:style>
  <w:style w:type="paragraph" w:customStyle="1" w:styleId="BoxSubtitle">
    <w:name w:val="Box Subtitle"/>
    <w:basedOn w:val="BoxTitle"/>
    <w:next w:val="Normal"/>
    <w:rsid w:val="009371E0"/>
    <w:pPr>
      <w:spacing w:after="80" w:line="200" w:lineRule="exact"/>
      <w:ind w:firstLine="0"/>
    </w:pPr>
    <w:rPr>
      <w:b w:val="0"/>
      <w:sz w:val="20"/>
    </w:rPr>
  </w:style>
  <w:style w:type="paragraph" w:customStyle="1" w:styleId="ChapterSummary">
    <w:name w:val="Chapter Summary"/>
    <w:basedOn w:val="BodyText"/>
    <w:rsid w:val="009371E0"/>
    <w:pPr>
      <w:spacing w:line="280" w:lineRule="atLeast"/>
      <w:ind w:left="907"/>
    </w:pPr>
    <w:rPr>
      <w:rFonts w:ascii="Arial" w:hAnsi="Arial"/>
      <w:b/>
      <w:sz w:val="20"/>
    </w:rPr>
  </w:style>
  <w:style w:type="character" w:styleId="CommentReference">
    <w:name w:val="annotation reference"/>
    <w:basedOn w:val="DefaultParagraphFont"/>
    <w:semiHidden/>
    <w:rsid w:val="009371E0"/>
    <w:rPr>
      <w:b/>
      <w:vanish/>
      <w:color w:val="FF00FF"/>
      <w:sz w:val="20"/>
    </w:rPr>
  </w:style>
  <w:style w:type="paragraph" w:styleId="CommentText">
    <w:name w:val="annotation text"/>
    <w:basedOn w:val="Normal"/>
    <w:link w:val="CommentTextChar"/>
    <w:semiHidden/>
    <w:rsid w:val="009371E0"/>
    <w:pPr>
      <w:spacing w:before="120" w:line="240" w:lineRule="atLeast"/>
      <w:ind w:left="567" w:hanging="567"/>
    </w:pPr>
    <w:rPr>
      <w:sz w:val="20"/>
    </w:rPr>
  </w:style>
  <w:style w:type="character" w:customStyle="1" w:styleId="CommentTextChar">
    <w:name w:val="Comment Text Char"/>
    <w:basedOn w:val="DefaultParagraphFont"/>
    <w:link w:val="CommentText"/>
    <w:semiHidden/>
    <w:rsid w:val="006F7108"/>
    <w:rPr>
      <w:sz w:val="20"/>
    </w:rPr>
  </w:style>
  <w:style w:type="paragraph" w:customStyle="1" w:styleId="Continued">
    <w:name w:val="Continued"/>
    <w:basedOn w:val="BoxContinued"/>
    <w:next w:val="BodyText"/>
    <w:rsid w:val="009371E0"/>
  </w:style>
  <w:style w:type="character" w:customStyle="1" w:styleId="DocumentInfo">
    <w:name w:val="Document Info"/>
    <w:basedOn w:val="DefaultParagraphFont"/>
    <w:semiHidden/>
    <w:rsid w:val="009371E0"/>
    <w:rPr>
      <w:rFonts w:ascii="Arial" w:hAnsi="Arial"/>
      <w:sz w:val="14"/>
    </w:rPr>
  </w:style>
  <w:style w:type="character" w:customStyle="1" w:styleId="DraftingNote">
    <w:name w:val="Drafting Note"/>
    <w:basedOn w:val="DefaultParagraphFont"/>
    <w:rsid w:val="009371E0"/>
    <w:rPr>
      <w:b/>
      <w:color w:val="FF0000"/>
      <w:sz w:val="24"/>
      <w:u w:val="dotted"/>
    </w:rPr>
  </w:style>
  <w:style w:type="paragraph" w:customStyle="1" w:styleId="Figure">
    <w:name w:val="Figure"/>
    <w:basedOn w:val="BodyText"/>
    <w:rsid w:val="009371E0"/>
    <w:pPr>
      <w:keepNext/>
      <w:spacing w:before="120" w:after="120" w:line="240" w:lineRule="atLeast"/>
      <w:jc w:val="center"/>
    </w:pPr>
  </w:style>
  <w:style w:type="paragraph" w:customStyle="1" w:styleId="FigureTitle">
    <w:name w:val="Figure Title"/>
    <w:basedOn w:val="Caption"/>
    <w:next w:val="Subtitle"/>
    <w:rsid w:val="009371E0"/>
    <w:pPr>
      <w:spacing w:before="120"/>
    </w:pPr>
  </w:style>
  <w:style w:type="paragraph" w:styleId="Subtitle">
    <w:name w:val="Subtitle"/>
    <w:basedOn w:val="Caption"/>
    <w:link w:val="SubtitleChar"/>
    <w:qFormat/>
    <w:rsid w:val="009371E0"/>
    <w:pPr>
      <w:spacing w:before="0" w:line="200" w:lineRule="exact"/>
      <w:ind w:firstLine="0"/>
    </w:pPr>
    <w:rPr>
      <w:b w:val="0"/>
      <w:sz w:val="20"/>
    </w:rPr>
  </w:style>
  <w:style w:type="character" w:customStyle="1" w:styleId="SubtitleChar">
    <w:name w:val="Subtitle Char"/>
    <w:basedOn w:val="DefaultParagraphFont"/>
    <w:link w:val="Subtitle"/>
    <w:rsid w:val="009371E0"/>
    <w:rPr>
      <w:rFonts w:ascii="Arial" w:hAnsi="Arial"/>
      <w:sz w:val="20"/>
    </w:rPr>
  </w:style>
  <w:style w:type="paragraph" w:customStyle="1" w:styleId="Finding">
    <w:name w:val="Finding"/>
    <w:basedOn w:val="BodyText"/>
    <w:rsid w:val="009371E0"/>
    <w:pPr>
      <w:keepLines/>
      <w:spacing w:before="120" w:line="280" w:lineRule="atLeast"/>
    </w:pPr>
    <w:rPr>
      <w:rFonts w:ascii="Arial" w:hAnsi="Arial"/>
      <w:sz w:val="22"/>
    </w:rPr>
  </w:style>
  <w:style w:type="paragraph" w:customStyle="1" w:styleId="FindingBullet">
    <w:name w:val="Finding Bullet"/>
    <w:basedOn w:val="Finding"/>
    <w:rsid w:val="009371E0"/>
    <w:pPr>
      <w:numPr>
        <w:numId w:val="2"/>
      </w:numPr>
      <w:spacing w:before="80"/>
    </w:pPr>
  </w:style>
  <w:style w:type="paragraph" w:customStyle="1" w:styleId="FindingNoTitle">
    <w:name w:val="Finding NoTitle"/>
    <w:basedOn w:val="Finding"/>
    <w:semiHidden/>
    <w:rsid w:val="009371E0"/>
    <w:pPr>
      <w:spacing w:before="240"/>
    </w:pPr>
  </w:style>
  <w:style w:type="paragraph" w:customStyle="1" w:styleId="RecTitle">
    <w:name w:val="Rec Title"/>
    <w:basedOn w:val="BodyText"/>
    <w:next w:val="Rec"/>
    <w:qFormat/>
    <w:rsid w:val="009371E0"/>
    <w:pPr>
      <w:keepNext/>
      <w:keepLines/>
      <w:spacing w:line="280" w:lineRule="atLeast"/>
    </w:pPr>
    <w:rPr>
      <w:rFonts w:ascii="Arial" w:hAnsi="Arial"/>
      <w:caps/>
      <w:sz w:val="18"/>
    </w:rPr>
  </w:style>
  <w:style w:type="paragraph" w:customStyle="1" w:styleId="FindingTitle">
    <w:name w:val="Finding Title"/>
    <w:basedOn w:val="RecTitle"/>
    <w:next w:val="Finding"/>
    <w:rsid w:val="009371E0"/>
  </w:style>
  <w:style w:type="character" w:styleId="FootnoteReference">
    <w:name w:val="footnote reference"/>
    <w:basedOn w:val="DefaultParagraphFont"/>
    <w:semiHidden/>
    <w:rsid w:val="009371E0"/>
    <w:rPr>
      <w:rFonts w:ascii="Times New Roman" w:hAnsi="Times New Roman"/>
      <w:position w:val="6"/>
      <w:sz w:val="20"/>
      <w:vertAlign w:val="baseline"/>
    </w:rPr>
  </w:style>
  <w:style w:type="paragraph" w:styleId="FootnoteText">
    <w:name w:val="footnote text"/>
    <w:basedOn w:val="BodyText"/>
    <w:rsid w:val="009371E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371E0"/>
    <w:rPr>
      <w:i/>
    </w:rPr>
  </w:style>
  <w:style w:type="paragraph" w:customStyle="1" w:styleId="Jurisdictioncommentsbodytext">
    <w:name w:val="Jurisdiction comments body text"/>
    <w:rsid w:val="009371E0"/>
    <w:pPr>
      <w:spacing w:after="140"/>
      <w:jc w:val="both"/>
    </w:pPr>
    <w:rPr>
      <w:rFonts w:ascii="Arial" w:hAnsi="Arial"/>
      <w:szCs w:val="20"/>
      <w:lang w:eastAsia="en-US"/>
    </w:rPr>
  </w:style>
  <w:style w:type="paragraph" w:customStyle="1" w:styleId="Jurisdictioncommentsheading">
    <w:name w:val="Jurisdiction comments heading"/>
    <w:rsid w:val="009371E0"/>
    <w:pPr>
      <w:spacing w:after="140" w:line="320" w:lineRule="atLeast"/>
      <w:jc w:val="both"/>
    </w:pPr>
    <w:rPr>
      <w:rFonts w:ascii="Arial" w:hAnsi="Arial"/>
      <w:b/>
      <w:szCs w:val="20"/>
      <w:lang w:eastAsia="en-US"/>
    </w:rPr>
  </w:style>
  <w:style w:type="paragraph" w:customStyle="1" w:styleId="Jurisdictioncommentslistbullet">
    <w:name w:val="Jurisdiction comments list bullet"/>
    <w:rsid w:val="009371E0"/>
    <w:pPr>
      <w:numPr>
        <w:numId w:val="3"/>
      </w:numPr>
      <w:spacing w:after="140"/>
      <w:jc w:val="both"/>
    </w:pPr>
    <w:rPr>
      <w:rFonts w:ascii="Arial" w:hAnsi="Arial"/>
      <w:szCs w:val="20"/>
      <w:lang w:eastAsia="en-US"/>
    </w:rPr>
  </w:style>
  <w:style w:type="paragraph" w:styleId="ListBullet">
    <w:name w:val="List Bullet"/>
    <w:basedOn w:val="BodyText"/>
    <w:rsid w:val="009371E0"/>
    <w:pPr>
      <w:numPr>
        <w:numId w:val="4"/>
      </w:numPr>
      <w:spacing w:before="120"/>
    </w:pPr>
  </w:style>
  <w:style w:type="paragraph" w:styleId="ListBullet2">
    <w:name w:val="List Bullet 2"/>
    <w:basedOn w:val="BodyText"/>
    <w:rsid w:val="009371E0"/>
    <w:pPr>
      <w:numPr>
        <w:numId w:val="5"/>
      </w:numPr>
      <w:spacing w:before="120"/>
    </w:pPr>
  </w:style>
  <w:style w:type="paragraph" w:styleId="ListBullet3">
    <w:name w:val="List Bullet 3"/>
    <w:basedOn w:val="BodyText"/>
    <w:rsid w:val="009371E0"/>
    <w:pPr>
      <w:numPr>
        <w:numId w:val="6"/>
      </w:numPr>
      <w:spacing w:before="120"/>
      <w:ind w:left="1020" w:hanging="340"/>
    </w:pPr>
  </w:style>
  <w:style w:type="paragraph" w:styleId="ListNumber">
    <w:name w:val="List Number"/>
    <w:basedOn w:val="BodyText"/>
    <w:rsid w:val="009371E0"/>
    <w:pPr>
      <w:numPr>
        <w:numId w:val="11"/>
      </w:numPr>
      <w:spacing w:before="120"/>
    </w:pPr>
  </w:style>
  <w:style w:type="paragraph" w:styleId="ListNumber2">
    <w:name w:val="List Number 2"/>
    <w:basedOn w:val="ListNumber"/>
    <w:rsid w:val="009371E0"/>
    <w:pPr>
      <w:numPr>
        <w:ilvl w:val="1"/>
      </w:numPr>
    </w:pPr>
  </w:style>
  <w:style w:type="paragraph" w:styleId="ListNumber3">
    <w:name w:val="List Number 3"/>
    <w:basedOn w:val="ListNumber2"/>
    <w:rsid w:val="009371E0"/>
    <w:pPr>
      <w:numPr>
        <w:ilvl w:val="2"/>
      </w:numPr>
    </w:pPr>
  </w:style>
  <w:style w:type="character" w:customStyle="1" w:styleId="NoteLabel">
    <w:name w:val="Note Label"/>
    <w:basedOn w:val="DefaultParagraphFont"/>
    <w:rsid w:val="009371E0"/>
    <w:rPr>
      <w:rFonts w:ascii="Arial" w:hAnsi="Arial"/>
      <w:b/>
      <w:position w:val="6"/>
      <w:sz w:val="18"/>
    </w:rPr>
  </w:style>
  <w:style w:type="paragraph" w:customStyle="1" w:styleId="PartDivider">
    <w:name w:val="Part Divider"/>
    <w:basedOn w:val="BodyText"/>
    <w:next w:val="BodyText"/>
    <w:semiHidden/>
    <w:rsid w:val="009371E0"/>
    <w:pPr>
      <w:spacing w:before="0" w:line="40" w:lineRule="exact"/>
      <w:jc w:val="right"/>
    </w:pPr>
    <w:rPr>
      <w:smallCaps/>
      <w:sz w:val="16"/>
    </w:rPr>
  </w:style>
  <w:style w:type="paragraph" w:customStyle="1" w:styleId="PartNumber">
    <w:name w:val="Part Number"/>
    <w:basedOn w:val="BodyText"/>
    <w:next w:val="BodyText"/>
    <w:semiHidden/>
    <w:rsid w:val="009371E0"/>
    <w:pPr>
      <w:spacing w:before="4000" w:line="320" w:lineRule="exact"/>
      <w:ind w:left="6634"/>
      <w:jc w:val="right"/>
    </w:pPr>
    <w:rPr>
      <w:smallCaps/>
      <w:spacing w:val="60"/>
      <w:sz w:val="32"/>
    </w:rPr>
  </w:style>
  <w:style w:type="paragraph" w:customStyle="1" w:styleId="PartTitle">
    <w:name w:val="Part Title"/>
    <w:basedOn w:val="BodyText"/>
    <w:semiHidden/>
    <w:rsid w:val="009371E0"/>
    <w:pPr>
      <w:spacing w:before="160" w:after="1360" w:line="520" w:lineRule="exact"/>
      <w:ind w:right="2381"/>
      <w:jc w:val="right"/>
    </w:pPr>
    <w:rPr>
      <w:smallCaps/>
      <w:sz w:val="52"/>
    </w:rPr>
  </w:style>
  <w:style w:type="paragraph" w:styleId="Quote">
    <w:name w:val="Quote"/>
    <w:basedOn w:val="BodyText"/>
    <w:next w:val="BodyText"/>
    <w:qFormat/>
    <w:rsid w:val="009371E0"/>
    <w:pPr>
      <w:spacing w:before="120" w:line="280" w:lineRule="exact"/>
      <w:ind w:left="340"/>
    </w:pPr>
    <w:rPr>
      <w:sz w:val="22"/>
    </w:rPr>
  </w:style>
  <w:style w:type="paragraph" w:customStyle="1" w:styleId="QuoteBullet">
    <w:name w:val="Quote Bullet"/>
    <w:basedOn w:val="Quote"/>
    <w:rsid w:val="009371E0"/>
    <w:pPr>
      <w:numPr>
        <w:numId w:val="7"/>
      </w:numPr>
    </w:pPr>
  </w:style>
  <w:style w:type="paragraph" w:customStyle="1" w:styleId="Rec">
    <w:name w:val="Rec"/>
    <w:basedOn w:val="BodyText"/>
    <w:qFormat/>
    <w:rsid w:val="009371E0"/>
    <w:pPr>
      <w:keepLines/>
      <w:spacing w:before="120" w:line="280" w:lineRule="atLeast"/>
    </w:pPr>
    <w:rPr>
      <w:rFonts w:ascii="Arial" w:hAnsi="Arial"/>
      <w:sz w:val="22"/>
    </w:rPr>
  </w:style>
  <w:style w:type="paragraph" w:customStyle="1" w:styleId="RecBullet">
    <w:name w:val="Rec Bullet"/>
    <w:basedOn w:val="Rec"/>
    <w:rsid w:val="009371E0"/>
    <w:pPr>
      <w:numPr>
        <w:numId w:val="8"/>
      </w:numPr>
      <w:spacing w:before="80"/>
    </w:pPr>
  </w:style>
  <w:style w:type="paragraph" w:customStyle="1" w:styleId="RecB">
    <w:name w:val="RecB"/>
    <w:basedOn w:val="Normal"/>
    <w:semiHidden/>
    <w:rsid w:val="009371E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371E0"/>
    <w:pPr>
      <w:numPr>
        <w:numId w:val="13"/>
      </w:numPr>
      <w:spacing w:before="80"/>
    </w:pPr>
  </w:style>
  <w:style w:type="paragraph" w:customStyle="1" w:styleId="RecBNoTitle">
    <w:name w:val="RecB NoTitle"/>
    <w:basedOn w:val="RecB"/>
    <w:semiHidden/>
    <w:rsid w:val="009371E0"/>
    <w:pPr>
      <w:spacing w:before="240"/>
    </w:pPr>
  </w:style>
  <w:style w:type="paragraph" w:customStyle="1" w:styleId="Reference">
    <w:name w:val="Reference"/>
    <w:basedOn w:val="BodyText"/>
    <w:rsid w:val="009371E0"/>
    <w:pPr>
      <w:spacing w:before="120"/>
      <w:ind w:left="340" w:hanging="340"/>
    </w:pPr>
  </w:style>
  <w:style w:type="paragraph" w:customStyle="1" w:styleId="SequenceInfo">
    <w:name w:val="Sequence Info"/>
    <w:basedOn w:val="BodyText"/>
    <w:semiHidden/>
    <w:rsid w:val="009371E0"/>
    <w:rPr>
      <w:vanish/>
      <w:sz w:val="16"/>
    </w:rPr>
  </w:style>
  <w:style w:type="paragraph" w:customStyle="1" w:styleId="SideNote">
    <w:name w:val="Side Note"/>
    <w:basedOn w:val="BodyText"/>
    <w:next w:val="BodyText"/>
    <w:semiHidden/>
    <w:rsid w:val="009371E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371E0"/>
    <w:pPr>
      <w:framePr w:wrap="around"/>
      <w:numPr>
        <w:numId w:val="9"/>
      </w:numPr>
      <w:tabs>
        <w:tab w:val="left" w:pos="227"/>
      </w:tabs>
    </w:pPr>
  </w:style>
  <w:style w:type="paragraph" w:customStyle="1" w:styleId="SideNoteGraphic">
    <w:name w:val="Side Note Graphic"/>
    <w:basedOn w:val="SideNote"/>
    <w:next w:val="BodyText"/>
    <w:semiHidden/>
    <w:rsid w:val="009371E0"/>
    <w:pPr>
      <w:framePr w:wrap="around"/>
    </w:pPr>
  </w:style>
  <w:style w:type="paragraph" w:customStyle="1" w:styleId="TableBodyText">
    <w:name w:val="Table Body Text"/>
    <w:basedOn w:val="BodyText"/>
    <w:rsid w:val="009371E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371E0"/>
    <w:pPr>
      <w:numPr>
        <w:numId w:val="10"/>
      </w:numPr>
      <w:jc w:val="left"/>
    </w:pPr>
  </w:style>
  <w:style w:type="paragraph" w:customStyle="1" w:styleId="TableColumnHeading">
    <w:name w:val="Table Column Heading"/>
    <w:basedOn w:val="TableBodyText"/>
    <w:rsid w:val="009371E0"/>
    <w:pPr>
      <w:spacing w:before="80" w:after="80"/>
    </w:pPr>
    <w:rPr>
      <w:i/>
    </w:rPr>
  </w:style>
  <w:style w:type="paragraph" w:styleId="TOC2">
    <w:name w:val="toc 2"/>
    <w:basedOn w:val="TOC1"/>
    <w:rsid w:val="009371E0"/>
    <w:pPr>
      <w:ind w:left="1134" w:hanging="624"/>
    </w:pPr>
    <w:rPr>
      <w:b w:val="0"/>
    </w:rPr>
  </w:style>
  <w:style w:type="paragraph" w:styleId="TOC3">
    <w:name w:val="toc 3"/>
    <w:basedOn w:val="TOC2"/>
    <w:rsid w:val="009371E0"/>
    <w:pPr>
      <w:spacing w:before="60"/>
      <w:ind w:left="1190" w:hanging="680"/>
    </w:pPr>
  </w:style>
  <w:style w:type="paragraph" w:styleId="TableofFigures">
    <w:name w:val="table of figures"/>
    <w:basedOn w:val="TOC3"/>
    <w:next w:val="BodyText"/>
    <w:semiHidden/>
    <w:rsid w:val="009371E0"/>
    <w:pPr>
      <w:ind w:left="737" w:hanging="737"/>
    </w:pPr>
  </w:style>
  <w:style w:type="paragraph" w:customStyle="1" w:styleId="TableTitle">
    <w:name w:val="Table Title"/>
    <w:basedOn w:val="Caption"/>
    <w:next w:val="Subtitle"/>
    <w:qFormat/>
    <w:rsid w:val="009371E0"/>
    <w:pPr>
      <w:spacing w:before="120"/>
    </w:pPr>
  </w:style>
  <w:style w:type="paragraph" w:customStyle="1" w:styleId="TableUnitsRow">
    <w:name w:val="Table Units Row"/>
    <w:basedOn w:val="TableBodyText"/>
    <w:rsid w:val="009371E0"/>
    <w:pPr>
      <w:spacing w:before="40"/>
    </w:pPr>
  </w:style>
  <w:style w:type="paragraph" w:styleId="TOC1">
    <w:name w:val="toc 1"/>
    <w:basedOn w:val="Normal"/>
    <w:next w:val="TOC2"/>
    <w:link w:val="TOC1Char"/>
    <w:rsid w:val="009371E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371E0"/>
    <w:pPr>
      <w:ind w:left="1191" w:firstLine="0"/>
    </w:pPr>
  </w:style>
  <w:style w:type="paragraph" w:customStyle="1" w:styleId="RecBBullet2">
    <w:name w:val="RecB Bullet 2"/>
    <w:basedOn w:val="ListBullet2"/>
    <w:semiHidden/>
    <w:rsid w:val="009371E0"/>
    <w:pPr>
      <w:pBdr>
        <w:left w:val="single" w:sz="24" w:space="29" w:color="C0C0C0"/>
      </w:pBdr>
    </w:pPr>
    <w:rPr>
      <w:b/>
      <w:i/>
    </w:rPr>
  </w:style>
  <w:style w:type="paragraph" w:styleId="BalloonText">
    <w:name w:val="Balloon Text"/>
    <w:basedOn w:val="Normal"/>
    <w:link w:val="BalloonTextChar"/>
    <w:rsid w:val="009371E0"/>
    <w:rPr>
      <w:rFonts w:ascii="Tahoma" w:hAnsi="Tahoma" w:cs="Tahoma"/>
      <w:sz w:val="16"/>
      <w:szCs w:val="16"/>
    </w:rPr>
  </w:style>
  <w:style w:type="character" w:customStyle="1" w:styleId="BalloonTextChar">
    <w:name w:val="Balloon Text Char"/>
    <w:basedOn w:val="DefaultParagraphFont"/>
    <w:link w:val="BalloonText"/>
    <w:rsid w:val="009371E0"/>
    <w:rPr>
      <w:rFonts w:ascii="Tahoma" w:hAnsi="Tahoma" w:cs="Tahoma"/>
      <w:sz w:val="16"/>
      <w:szCs w:val="16"/>
    </w:rPr>
  </w:style>
  <w:style w:type="paragraph" w:customStyle="1" w:styleId="BoxListBullet3">
    <w:name w:val="Box List Bullet 3"/>
    <w:basedOn w:val="ListBullet3"/>
    <w:rsid w:val="009371E0"/>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371E0"/>
    <w:rPr>
      <w:i/>
      <w:iCs/>
    </w:rPr>
  </w:style>
  <w:style w:type="paragraph" w:customStyle="1" w:styleId="BoxQuoteBullet">
    <w:name w:val="Box Quote Bullet"/>
    <w:basedOn w:val="BoxQuote"/>
    <w:next w:val="Box"/>
    <w:rsid w:val="009371E0"/>
    <w:pPr>
      <w:numPr>
        <w:numId w:val="14"/>
      </w:numPr>
      <w:ind w:left="568" w:hanging="284"/>
    </w:pPr>
  </w:style>
  <w:style w:type="paragraph" w:customStyle="1" w:styleId="InformationRequestBullet">
    <w:name w:val="Information Request Bullet"/>
    <w:basedOn w:val="ListBullet"/>
    <w:next w:val="BodyText"/>
    <w:rsid w:val="009371E0"/>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9371E0"/>
    <w:pPr>
      <w:keepNext w:val="0"/>
      <w:spacing w:before="60" w:after="60" w:line="80" w:lineRule="exact"/>
    </w:pPr>
    <w:rPr>
      <w:sz w:val="14"/>
    </w:rPr>
  </w:style>
  <w:style w:type="paragraph" w:styleId="CommentSubject">
    <w:name w:val="annotation subject"/>
    <w:basedOn w:val="CommentText"/>
    <w:next w:val="CommentText"/>
    <w:link w:val="CommentSubjectChar"/>
    <w:rsid w:val="006F7108"/>
    <w:pPr>
      <w:spacing w:before="0" w:line="240" w:lineRule="auto"/>
      <w:ind w:left="0" w:firstLine="0"/>
    </w:pPr>
    <w:rPr>
      <w:b/>
      <w:bCs/>
      <w:szCs w:val="20"/>
    </w:rPr>
  </w:style>
  <w:style w:type="character" w:customStyle="1" w:styleId="CommentSubjectChar">
    <w:name w:val="Comment Subject Char"/>
    <w:basedOn w:val="CommentTextChar"/>
    <w:link w:val="CommentSubject"/>
    <w:rsid w:val="006F7108"/>
    <w:rPr>
      <w:b/>
      <w:bCs/>
      <w:sz w:val="20"/>
      <w:szCs w:val="24"/>
    </w:rPr>
  </w:style>
  <w:style w:type="paragraph" w:styleId="Revision">
    <w:name w:val="Revision"/>
    <w:hidden/>
    <w:uiPriority w:val="99"/>
    <w:semiHidden/>
    <w:rsid w:val="00BB0530"/>
    <w:rPr>
      <w:sz w:val="26"/>
    </w:rPr>
  </w:style>
  <w:style w:type="character" w:customStyle="1" w:styleId="Heading3Char">
    <w:name w:val="Heading 3 Char"/>
    <w:basedOn w:val="DefaultParagraphFont"/>
    <w:link w:val="Heading3"/>
    <w:rsid w:val="00776A5A"/>
    <w:rPr>
      <w:rFonts w:ascii="Arial" w:hAnsi="Arial"/>
      <w:b/>
      <w:sz w:val="26"/>
      <w:szCs w:val="20"/>
    </w:rPr>
  </w:style>
  <w:style w:type="character" w:customStyle="1" w:styleId="Heading4Char">
    <w:name w:val="Heading 4 Char"/>
    <w:basedOn w:val="DefaultParagraphFont"/>
    <w:link w:val="Heading4"/>
    <w:rsid w:val="00776A5A"/>
    <w:rPr>
      <w:rFonts w:ascii="Arial" w:hAnsi="Arial"/>
      <w:szCs w:val="20"/>
    </w:rPr>
  </w:style>
  <w:style w:type="table" w:styleId="TableGrid">
    <w:name w:val="Table Grid"/>
    <w:basedOn w:val="TableNormal"/>
    <w:rsid w:val="009371E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space">
    <w:name w:val="Figure space"/>
    <w:basedOn w:val="Box"/>
    <w:rsid w:val="009371E0"/>
    <w:pPr>
      <w:spacing w:before="0" w:line="120" w:lineRule="exact"/>
    </w:pPr>
  </w:style>
  <w:style w:type="paragraph" w:styleId="NormalWeb">
    <w:name w:val="Normal (Web)"/>
    <w:basedOn w:val="Normal"/>
    <w:uiPriority w:val="99"/>
    <w:unhideWhenUsed/>
    <w:rsid w:val="009358B9"/>
    <w:pPr>
      <w:spacing w:before="100" w:beforeAutospacing="1" w:after="100" w:afterAutospacing="1"/>
    </w:pPr>
    <w:rPr>
      <w:rFonts w:eastAsiaTheme="minorEastAsia"/>
    </w:rPr>
  </w:style>
  <w:style w:type="paragraph" w:customStyle="1" w:styleId="Default">
    <w:name w:val="Default"/>
    <w:rsid w:val="00B61105"/>
    <w:pPr>
      <w:autoSpaceDE w:val="0"/>
      <w:autoSpaceDN w:val="0"/>
      <w:adjustRightInd w:val="0"/>
    </w:pPr>
    <w:rPr>
      <w:rFonts w:ascii="Arial" w:hAnsi="Arial" w:cs="Arial"/>
      <w:color w:val="000000"/>
    </w:rPr>
  </w:style>
  <w:style w:type="paragraph" w:styleId="Bibliography">
    <w:name w:val="Bibliography"/>
    <w:basedOn w:val="Normal"/>
    <w:next w:val="Normal"/>
    <w:uiPriority w:val="37"/>
    <w:unhideWhenUsed/>
    <w:rsid w:val="002D2356"/>
    <w:pPr>
      <w:spacing w:after="240"/>
      <w:ind w:left="720" w:hanging="720"/>
    </w:pPr>
  </w:style>
  <w:style w:type="character" w:styleId="EndnoteReference">
    <w:name w:val="endnote reference"/>
    <w:basedOn w:val="DefaultParagraphFont"/>
    <w:rsid w:val="00CA0335"/>
    <w:rPr>
      <w:vertAlign w:val="superscript"/>
    </w:rPr>
  </w:style>
  <w:style w:type="character" w:styleId="Hyperlink">
    <w:name w:val="Hyperlink"/>
    <w:basedOn w:val="DefaultParagraphFont"/>
    <w:rsid w:val="00436C00"/>
    <w:rPr>
      <w:color w:val="78A22F" w:themeColor="hyperlink"/>
      <w:u w:val="single"/>
    </w:rPr>
  </w:style>
  <w:style w:type="paragraph" w:customStyle="1" w:styleId="KeyPointsListBullet">
    <w:name w:val="Key Points List Bullet"/>
    <w:basedOn w:val="Normal"/>
    <w:qFormat/>
    <w:rsid w:val="009371E0"/>
    <w:pPr>
      <w:keepNext/>
      <w:numPr>
        <w:numId w:val="2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371E0"/>
    <w:pPr>
      <w:numPr>
        <w:numId w:val="29"/>
      </w:numPr>
      <w:ind w:left="568" w:hanging="284"/>
    </w:pPr>
  </w:style>
  <w:style w:type="paragraph" w:customStyle="1" w:styleId="InformationRequestTitle">
    <w:name w:val="Information Request Title"/>
    <w:basedOn w:val="FindingTitle"/>
    <w:next w:val="InformationRequest"/>
    <w:rsid w:val="009371E0"/>
    <w:rPr>
      <w:i/>
    </w:rPr>
  </w:style>
  <w:style w:type="paragraph" w:customStyle="1" w:styleId="Space">
    <w:name w:val="Space"/>
    <w:basedOn w:val="Normal"/>
    <w:rsid w:val="009371E0"/>
    <w:pPr>
      <w:keepNext/>
      <w:spacing w:line="120" w:lineRule="exact"/>
      <w:jc w:val="both"/>
    </w:pPr>
    <w:rPr>
      <w:rFonts w:ascii="Arial" w:hAnsi="Arial"/>
      <w:sz w:val="20"/>
      <w:szCs w:val="20"/>
    </w:rPr>
  </w:style>
  <w:style w:type="paragraph" w:customStyle="1" w:styleId="Heading1nochapterno">
    <w:name w:val="Heading 1 (no chapter no.)"/>
    <w:basedOn w:val="Heading1"/>
    <w:rsid w:val="009371E0"/>
    <w:pPr>
      <w:spacing w:before="0"/>
      <w:ind w:left="0" w:firstLine="0"/>
    </w:pPr>
  </w:style>
  <w:style w:type="paragraph" w:customStyle="1" w:styleId="Heading2nosectionno">
    <w:name w:val="Heading 2 (no section no.)"/>
    <w:basedOn w:val="Heading2"/>
    <w:rsid w:val="009371E0"/>
    <w:pPr>
      <w:ind w:left="0" w:firstLine="0"/>
    </w:pPr>
  </w:style>
  <w:style w:type="character" w:customStyle="1" w:styleId="Heading5Char">
    <w:name w:val="Heading 5 Char"/>
    <w:basedOn w:val="DefaultParagraphFont"/>
    <w:link w:val="Heading5"/>
    <w:rsid w:val="009371E0"/>
    <w:rPr>
      <w:rFonts w:ascii="Arial" w:hAnsi="Arial"/>
      <w:i/>
      <w:sz w:val="22"/>
      <w:szCs w:val="20"/>
    </w:rPr>
  </w:style>
  <w:style w:type="paragraph" w:customStyle="1" w:styleId="FooterDraftReport">
    <w:name w:val="FooterDraftReport"/>
    <w:basedOn w:val="Footer"/>
    <w:link w:val="FooterDraftReportChar"/>
    <w:rsid w:val="009371E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9371E0"/>
    <w:rPr>
      <w:szCs w:val="20"/>
    </w:rPr>
  </w:style>
  <w:style w:type="character" w:customStyle="1" w:styleId="FooterChar">
    <w:name w:val="Footer Char"/>
    <w:basedOn w:val="BodyTextChar"/>
    <w:link w:val="Footer"/>
    <w:rsid w:val="009371E0"/>
    <w:rPr>
      <w:rFonts w:ascii="Arial" w:hAnsi="Arial"/>
      <w:caps/>
      <w:spacing w:val="-4"/>
      <w:sz w:val="16"/>
      <w:szCs w:val="20"/>
    </w:rPr>
  </w:style>
  <w:style w:type="character" w:customStyle="1" w:styleId="FooterDraftReportChar">
    <w:name w:val="FooterDraftReport Char"/>
    <w:basedOn w:val="FooterChar"/>
    <w:link w:val="FooterDraftReport"/>
    <w:rsid w:val="009371E0"/>
    <w:rPr>
      <w:rFonts w:ascii="Arial" w:hAnsi="Arial" w:cs="Arial"/>
      <w:caps/>
      <w:color w:val="808080"/>
      <w:spacing w:val="-4"/>
      <w:sz w:val="16"/>
      <w:szCs w:val="20"/>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9371E0"/>
    <w:rPr>
      <w:rFonts w:ascii="Arial" w:hAnsi="Arial"/>
      <w:b/>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371E0"/>
  </w:style>
  <w:style w:type="paragraph" w:styleId="Heading1">
    <w:name w:val="heading 1"/>
    <w:basedOn w:val="BodyText"/>
    <w:next w:val="BodyText"/>
    <w:rsid w:val="009371E0"/>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9371E0"/>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9371E0"/>
    <w:pPr>
      <w:spacing w:before="560" w:line="320" w:lineRule="exact"/>
      <w:ind w:left="0" w:firstLine="0"/>
      <w:outlineLvl w:val="2"/>
    </w:pPr>
    <w:rPr>
      <w:sz w:val="26"/>
    </w:rPr>
  </w:style>
  <w:style w:type="paragraph" w:styleId="Heading4">
    <w:name w:val="heading 4"/>
    <w:basedOn w:val="Heading3"/>
    <w:next w:val="BodyText"/>
    <w:link w:val="Heading4Char"/>
    <w:qFormat/>
    <w:rsid w:val="009371E0"/>
    <w:pPr>
      <w:spacing w:before="480"/>
      <w:outlineLvl w:val="3"/>
    </w:pPr>
    <w:rPr>
      <w:b w:val="0"/>
      <w:sz w:val="24"/>
    </w:rPr>
  </w:style>
  <w:style w:type="paragraph" w:styleId="Heading5">
    <w:name w:val="heading 5"/>
    <w:basedOn w:val="Heading4"/>
    <w:next w:val="BodyText"/>
    <w:link w:val="Heading5Char"/>
    <w:qFormat/>
    <w:rsid w:val="009371E0"/>
    <w:pPr>
      <w:outlineLvl w:val="4"/>
    </w:pPr>
    <w:rPr>
      <w:i/>
      <w:sz w:val="22"/>
    </w:rPr>
  </w:style>
  <w:style w:type="paragraph" w:styleId="Heading6">
    <w:name w:val="heading 6"/>
    <w:basedOn w:val="BodyText"/>
    <w:next w:val="BodyText"/>
    <w:rsid w:val="009371E0"/>
    <w:pPr>
      <w:spacing w:after="60"/>
      <w:jc w:val="left"/>
      <w:outlineLvl w:val="5"/>
    </w:pPr>
    <w:rPr>
      <w:i/>
      <w:sz w:val="22"/>
    </w:rPr>
  </w:style>
  <w:style w:type="paragraph" w:styleId="Heading7">
    <w:name w:val="heading 7"/>
    <w:basedOn w:val="BodyText"/>
    <w:next w:val="BodyText"/>
    <w:rsid w:val="009371E0"/>
    <w:pPr>
      <w:spacing w:after="60" w:line="240" w:lineRule="auto"/>
      <w:jc w:val="left"/>
      <w:outlineLvl w:val="6"/>
    </w:pPr>
    <w:rPr>
      <w:rFonts w:ascii="Arial" w:hAnsi="Arial"/>
      <w:sz w:val="20"/>
    </w:rPr>
  </w:style>
  <w:style w:type="paragraph" w:styleId="Heading8">
    <w:name w:val="heading 8"/>
    <w:basedOn w:val="BodyText"/>
    <w:next w:val="BodyText"/>
    <w:rsid w:val="009371E0"/>
    <w:pPr>
      <w:spacing w:after="60" w:line="240" w:lineRule="auto"/>
      <w:jc w:val="left"/>
      <w:outlineLvl w:val="7"/>
    </w:pPr>
    <w:rPr>
      <w:rFonts w:ascii="Arial" w:hAnsi="Arial"/>
      <w:i/>
      <w:sz w:val="20"/>
    </w:rPr>
  </w:style>
  <w:style w:type="paragraph" w:styleId="Heading9">
    <w:name w:val="heading 9"/>
    <w:basedOn w:val="BodyText"/>
    <w:next w:val="BodyText"/>
    <w:rsid w:val="009371E0"/>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rsid w:val="009371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71E0"/>
  </w:style>
  <w:style w:type="paragraph" w:styleId="BodyText">
    <w:name w:val="Body Text"/>
    <w:link w:val="BodyTextChar"/>
    <w:qFormat/>
    <w:rsid w:val="009371E0"/>
    <w:pPr>
      <w:spacing w:before="240" w:line="300" w:lineRule="atLeast"/>
      <w:jc w:val="both"/>
    </w:pPr>
    <w:rPr>
      <w:szCs w:val="20"/>
    </w:rPr>
  </w:style>
  <w:style w:type="paragraph" w:customStyle="1" w:styleId="Chapter">
    <w:name w:val="Chapter"/>
    <w:basedOn w:val="Heading1"/>
    <w:next w:val="BodyText"/>
    <w:semiHidden/>
    <w:rsid w:val="009371E0"/>
    <w:pPr>
      <w:ind w:left="0" w:firstLine="0"/>
      <w:outlineLvl w:val="9"/>
    </w:pPr>
  </w:style>
  <w:style w:type="paragraph" w:styleId="Footer">
    <w:name w:val="footer"/>
    <w:basedOn w:val="BodyText"/>
    <w:link w:val="FooterChar"/>
    <w:rsid w:val="009371E0"/>
    <w:pPr>
      <w:spacing w:before="80" w:line="200" w:lineRule="exact"/>
      <w:ind w:right="6"/>
      <w:jc w:val="left"/>
    </w:pPr>
    <w:rPr>
      <w:rFonts w:ascii="Arial" w:hAnsi="Arial"/>
      <w:caps/>
      <w:spacing w:val="-4"/>
      <w:sz w:val="16"/>
    </w:rPr>
  </w:style>
  <w:style w:type="paragraph" w:customStyle="1" w:styleId="FooterEnd">
    <w:name w:val="Footer End"/>
    <w:basedOn w:val="Footer"/>
    <w:rsid w:val="009371E0"/>
    <w:pPr>
      <w:spacing w:before="0" w:line="20" w:lineRule="exact"/>
    </w:pPr>
  </w:style>
  <w:style w:type="paragraph" w:styleId="Header">
    <w:name w:val="header"/>
    <w:basedOn w:val="BodyText"/>
    <w:rsid w:val="009371E0"/>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371E0"/>
    <w:pPr>
      <w:spacing w:line="20" w:lineRule="exact"/>
    </w:pPr>
    <w:rPr>
      <w:sz w:val="16"/>
    </w:rPr>
  </w:style>
  <w:style w:type="paragraph" w:customStyle="1" w:styleId="HeaderEven">
    <w:name w:val="Header Even"/>
    <w:basedOn w:val="Header"/>
    <w:semiHidden/>
    <w:rsid w:val="009371E0"/>
  </w:style>
  <w:style w:type="paragraph" w:customStyle="1" w:styleId="HeaderOdd">
    <w:name w:val="Header Odd"/>
    <w:basedOn w:val="Header"/>
    <w:semiHidden/>
    <w:rsid w:val="009371E0"/>
  </w:style>
  <w:style w:type="character" w:styleId="PageNumber">
    <w:name w:val="page number"/>
    <w:basedOn w:val="DefaultParagraphFont"/>
    <w:rsid w:val="009371E0"/>
    <w:rPr>
      <w:rFonts w:ascii="Arial" w:hAnsi="Arial"/>
      <w:b/>
      <w:sz w:val="16"/>
    </w:rPr>
  </w:style>
  <w:style w:type="paragraph" w:customStyle="1" w:styleId="Abbreviation">
    <w:name w:val="Abbreviation"/>
    <w:basedOn w:val="BodyText"/>
    <w:rsid w:val="009371E0"/>
    <w:pPr>
      <w:spacing w:before="120"/>
      <w:ind w:left="2381" w:hanging="2381"/>
      <w:jc w:val="left"/>
    </w:pPr>
  </w:style>
  <w:style w:type="paragraph" w:customStyle="1" w:styleId="Box">
    <w:name w:val="Box"/>
    <w:basedOn w:val="BodyText"/>
    <w:qFormat/>
    <w:rsid w:val="009371E0"/>
    <w:pPr>
      <w:keepNext/>
      <w:spacing w:before="120" w:line="260" w:lineRule="atLeast"/>
    </w:pPr>
    <w:rPr>
      <w:rFonts w:ascii="Arial" w:hAnsi="Arial"/>
      <w:sz w:val="20"/>
    </w:rPr>
  </w:style>
  <w:style w:type="paragraph" w:customStyle="1" w:styleId="BoxContinued">
    <w:name w:val="Box Continued"/>
    <w:basedOn w:val="BodyText"/>
    <w:next w:val="BodyText"/>
    <w:semiHidden/>
    <w:rsid w:val="009371E0"/>
    <w:pPr>
      <w:spacing w:before="180" w:line="220" w:lineRule="exact"/>
      <w:jc w:val="right"/>
    </w:pPr>
    <w:rPr>
      <w:rFonts w:ascii="Arial" w:hAnsi="Arial"/>
      <w:sz w:val="18"/>
    </w:rPr>
  </w:style>
  <w:style w:type="paragraph" w:customStyle="1" w:styleId="BoxHeading1">
    <w:name w:val="Box Heading 1"/>
    <w:basedOn w:val="BodyText"/>
    <w:next w:val="Box"/>
    <w:rsid w:val="009371E0"/>
    <w:pPr>
      <w:keepNext/>
      <w:spacing w:before="200" w:line="280" w:lineRule="atLeast"/>
    </w:pPr>
    <w:rPr>
      <w:rFonts w:ascii="Arial" w:hAnsi="Arial"/>
      <w:b/>
      <w:sz w:val="22"/>
    </w:rPr>
  </w:style>
  <w:style w:type="paragraph" w:customStyle="1" w:styleId="BoxHeading2">
    <w:name w:val="Box Heading 2"/>
    <w:basedOn w:val="BoxHeading1"/>
    <w:next w:val="Normal"/>
    <w:rsid w:val="009371E0"/>
    <w:rPr>
      <w:b w:val="0"/>
      <w:i/>
    </w:rPr>
  </w:style>
  <w:style w:type="paragraph" w:customStyle="1" w:styleId="BoxListBullet">
    <w:name w:val="Box List Bullet"/>
    <w:basedOn w:val="BodyText"/>
    <w:rsid w:val="009371E0"/>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9371E0"/>
    <w:pPr>
      <w:numPr>
        <w:numId w:val="16"/>
      </w:numPr>
      <w:ind w:left="568" w:hanging="284"/>
    </w:pPr>
  </w:style>
  <w:style w:type="paragraph" w:customStyle="1" w:styleId="BoxListNumber">
    <w:name w:val="Box List Number"/>
    <w:basedOn w:val="BodyText"/>
    <w:rsid w:val="009371E0"/>
    <w:pPr>
      <w:keepNext/>
      <w:numPr>
        <w:numId w:val="12"/>
      </w:numPr>
      <w:spacing w:before="100" w:line="260" w:lineRule="atLeast"/>
    </w:pPr>
    <w:rPr>
      <w:rFonts w:ascii="Arial" w:hAnsi="Arial"/>
      <w:sz w:val="20"/>
    </w:rPr>
  </w:style>
  <w:style w:type="paragraph" w:customStyle="1" w:styleId="BoxListNumber2">
    <w:name w:val="Box List Number 2"/>
    <w:basedOn w:val="BoxListNumber"/>
    <w:rsid w:val="009371E0"/>
    <w:pPr>
      <w:numPr>
        <w:ilvl w:val="1"/>
      </w:numPr>
      <w:ind w:left="681" w:hanging="397"/>
    </w:pPr>
  </w:style>
  <w:style w:type="paragraph" w:customStyle="1" w:styleId="BoxQuote">
    <w:name w:val="Box Quote"/>
    <w:basedOn w:val="BodyText"/>
    <w:next w:val="Box"/>
    <w:qFormat/>
    <w:rsid w:val="009371E0"/>
    <w:pPr>
      <w:keepNext/>
      <w:spacing w:before="60" w:line="240" w:lineRule="exact"/>
      <w:ind w:left="284"/>
    </w:pPr>
    <w:rPr>
      <w:rFonts w:ascii="Arial" w:hAnsi="Arial"/>
      <w:sz w:val="18"/>
    </w:rPr>
  </w:style>
  <w:style w:type="paragraph" w:customStyle="1" w:styleId="Note">
    <w:name w:val="Note"/>
    <w:basedOn w:val="BodyText"/>
    <w:next w:val="BodyText"/>
    <w:rsid w:val="009371E0"/>
    <w:pPr>
      <w:keepLines/>
      <w:spacing w:before="80" w:line="220" w:lineRule="exact"/>
    </w:pPr>
    <w:rPr>
      <w:rFonts w:ascii="Arial" w:hAnsi="Arial"/>
      <w:sz w:val="18"/>
    </w:rPr>
  </w:style>
  <w:style w:type="paragraph" w:customStyle="1" w:styleId="Source">
    <w:name w:val="Source"/>
    <w:basedOn w:val="Normal"/>
    <w:next w:val="BodyText"/>
    <w:rsid w:val="009371E0"/>
    <w:pPr>
      <w:keepLines/>
      <w:spacing w:before="80" w:line="220" w:lineRule="exact"/>
      <w:jc w:val="both"/>
    </w:pPr>
    <w:rPr>
      <w:rFonts w:ascii="Arial" w:hAnsi="Arial"/>
      <w:sz w:val="18"/>
      <w:szCs w:val="20"/>
    </w:rPr>
  </w:style>
  <w:style w:type="paragraph" w:customStyle="1" w:styleId="BoxSource">
    <w:name w:val="Box Source"/>
    <w:basedOn w:val="Source"/>
    <w:next w:val="BodyText"/>
    <w:rsid w:val="009371E0"/>
    <w:pPr>
      <w:spacing w:before="120"/>
    </w:pPr>
  </w:style>
  <w:style w:type="paragraph" w:customStyle="1" w:styleId="BoxSpaceAbove">
    <w:name w:val="Box Space Above"/>
    <w:basedOn w:val="BodyText"/>
    <w:rsid w:val="009371E0"/>
    <w:pPr>
      <w:keepNext/>
      <w:spacing w:before="360" w:line="80" w:lineRule="exact"/>
      <w:jc w:val="left"/>
    </w:pPr>
  </w:style>
  <w:style w:type="paragraph" w:styleId="Caption">
    <w:name w:val="caption"/>
    <w:basedOn w:val="Normal"/>
    <w:next w:val="BodyText"/>
    <w:rsid w:val="009371E0"/>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371E0"/>
    <w:pPr>
      <w:spacing w:before="120" w:after="0"/>
    </w:pPr>
  </w:style>
  <w:style w:type="paragraph" w:customStyle="1" w:styleId="BoxSubtitle">
    <w:name w:val="Box Subtitle"/>
    <w:basedOn w:val="BoxTitle"/>
    <w:next w:val="Normal"/>
    <w:rsid w:val="009371E0"/>
    <w:pPr>
      <w:spacing w:after="80" w:line="200" w:lineRule="exact"/>
      <w:ind w:firstLine="0"/>
    </w:pPr>
    <w:rPr>
      <w:b w:val="0"/>
      <w:sz w:val="20"/>
    </w:rPr>
  </w:style>
  <w:style w:type="paragraph" w:customStyle="1" w:styleId="ChapterSummary">
    <w:name w:val="Chapter Summary"/>
    <w:basedOn w:val="BodyText"/>
    <w:rsid w:val="009371E0"/>
    <w:pPr>
      <w:spacing w:line="280" w:lineRule="atLeast"/>
      <w:ind w:left="907"/>
    </w:pPr>
    <w:rPr>
      <w:rFonts w:ascii="Arial" w:hAnsi="Arial"/>
      <w:b/>
      <w:sz w:val="20"/>
    </w:rPr>
  </w:style>
  <w:style w:type="character" w:styleId="CommentReference">
    <w:name w:val="annotation reference"/>
    <w:basedOn w:val="DefaultParagraphFont"/>
    <w:semiHidden/>
    <w:rsid w:val="009371E0"/>
    <w:rPr>
      <w:b/>
      <w:vanish/>
      <w:color w:val="FF00FF"/>
      <w:sz w:val="20"/>
    </w:rPr>
  </w:style>
  <w:style w:type="paragraph" w:styleId="CommentText">
    <w:name w:val="annotation text"/>
    <w:basedOn w:val="Normal"/>
    <w:link w:val="CommentTextChar"/>
    <w:semiHidden/>
    <w:rsid w:val="009371E0"/>
    <w:pPr>
      <w:spacing w:before="120" w:line="240" w:lineRule="atLeast"/>
      <w:ind w:left="567" w:hanging="567"/>
    </w:pPr>
    <w:rPr>
      <w:sz w:val="20"/>
    </w:rPr>
  </w:style>
  <w:style w:type="character" w:customStyle="1" w:styleId="CommentTextChar">
    <w:name w:val="Comment Text Char"/>
    <w:basedOn w:val="DefaultParagraphFont"/>
    <w:link w:val="CommentText"/>
    <w:semiHidden/>
    <w:rsid w:val="006F7108"/>
    <w:rPr>
      <w:sz w:val="20"/>
    </w:rPr>
  </w:style>
  <w:style w:type="paragraph" w:customStyle="1" w:styleId="Continued">
    <w:name w:val="Continued"/>
    <w:basedOn w:val="BoxContinued"/>
    <w:next w:val="BodyText"/>
    <w:rsid w:val="009371E0"/>
  </w:style>
  <w:style w:type="character" w:customStyle="1" w:styleId="DocumentInfo">
    <w:name w:val="Document Info"/>
    <w:basedOn w:val="DefaultParagraphFont"/>
    <w:semiHidden/>
    <w:rsid w:val="009371E0"/>
    <w:rPr>
      <w:rFonts w:ascii="Arial" w:hAnsi="Arial"/>
      <w:sz w:val="14"/>
    </w:rPr>
  </w:style>
  <w:style w:type="character" w:customStyle="1" w:styleId="DraftingNote">
    <w:name w:val="Drafting Note"/>
    <w:basedOn w:val="DefaultParagraphFont"/>
    <w:rsid w:val="009371E0"/>
    <w:rPr>
      <w:b/>
      <w:color w:val="FF0000"/>
      <w:sz w:val="24"/>
      <w:u w:val="dotted"/>
    </w:rPr>
  </w:style>
  <w:style w:type="paragraph" w:customStyle="1" w:styleId="Figure">
    <w:name w:val="Figure"/>
    <w:basedOn w:val="BodyText"/>
    <w:rsid w:val="009371E0"/>
    <w:pPr>
      <w:keepNext/>
      <w:spacing w:before="120" w:after="120" w:line="240" w:lineRule="atLeast"/>
      <w:jc w:val="center"/>
    </w:pPr>
  </w:style>
  <w:style w:type="paragraph" w:customStyle="1" w:styleId="FigureTitle">
    <w:name w:val="Figure Title"/>
    <w:basedOn w:val="Caption"/>
    <w:next w:val="Subtitle"/>
    <w:rsid w:val="009371E0"/>
    <w:pPr>
      <w:spacing w:before="120"/>
    </w:pPr>
  </w:style>
  <w:style w:type="paragraph" w:styleId="Subtitle">
    <w:name w:val="Subtitle"/>
    <w:basedOn w:val="Caption"/>
    <w:link w:val="SubtitleChar"/>
    <w:qFormat/>
    <w:rsid w:val="009371E0"/>
    <w:pPr>
      <w:spacing w:before="0" w:line="200" w:lineRule="exact"/>
      <w:ind w:firstLine="0"/>
    </w:pPr>
    <w:rPr>
      <w:b w:val="0"/>
      <w:sz w:val="20"/>
    </w:rPr>
  </w:style>
  <w:style w:type="character" w:customStyle="1" w:styleId="SubtitleChar">
    <w:name w:val="Subtitle Char"/>
    <w:basedOn w:val="DefaultParagraphFont"/>
    <w:link w:val="Subtitle"/>
    <w:rsid w:val="009371E0"/>
    <w:rPr>
      <w:rFonts w:ascii="Arial" w:hAnsi="Arial"/>
      <w:sz w:val="20"/>
    </w:rPr>
  </w:style>
  <w:style w:type="paragraph" w:customStyle="1" w:styleId="Finding">
    <w:name w:val="Finding"/>
    <w:basedOn w:val="BodyText"/>
    <w:rsid w:val="009371E0"/>
    <w:pPr>
      <w:keepLines/>
      <w:spacing w:before="120" w:line="280" w:lineRule="atLeast"/>
    </w:pPr>
    <w:rPr>
      <w:rFonts w:ascii="Arial" w:hAnsi="Arial"/>
      <w:sz w:val="22"/>
    </w:rPr>
  </w:style>
  <w:style w:type="paragraph" w:customStyle="1" w:styleId="FindingBullet">
    <w:name w:val="Finding Bullet"/>
    <w:basedOn w:val="Finding"/>
    <w:rsid w:val="009371E0"/>
    <w:pPr>
      <w:numPr>
        <w:numId w:val="2"/>
      </w:numPr>
      <w:spacing w:before="80"/>
    </w:pPr>
  </w:style>
  <w:style w:type="paragraph" w:customStyle="1" w:styleId="FindingNoTitle">
    <w:name w:val="Finding NoTitle"/>
    <w:basedOn w:val="Finding"/>
    <w:semiHidden/>
    <w:rsid w:val="009371E0"/>
    <w:pPr>
      <w:spacing w:before="240"/>
    </w:pPr>
  </w:style>
  <w:style w:type="paragraph" w:customStyle="1" w:styleId="RecTitle">
    <w:name w:val="Rec Title"/>
    <w:basedOn w:val="BodyText"/>
    <w:next w:val="Rec"/>
    <w:qFormat/>
    <w:rsid w:val="009371E0"/>
    <w:pPr>
      <w:keepNext/>
      <w:keepLines/>
      <w:spacing w:line="280" w:lineRule="atLeast"/>
    </w:pPr>
    <w:rPr>
      <w:rFonts w:ascii="Arial" w:hAnsi="Arial"/>
      <w:caps/>
      <w:sz w:val="18"/>
    </w:rPr>
  </w:style>
  <w:style w:type="paragraph" w:customStyle="1" w:styleId="FindingTitle">
    <w:name w:val="Finding Title"/>
    <w:basedOn w:val="RecTitle"/>
    <w:next w:val="Finding"/>
    <w:rsid w:val="009371E0"/>
  </w:style>
  <w:style w:type="character" w:styleId="FootnoteReference">
    <w:name w:val="footnote reference"/>
    <w:basedOn w:val="DefaultParagraphFont"/>
    <w:semiHidden/>
    <w:rsid w:val="009371E0"/>
    <w:rPr>
      <w:rFonts w:ascii="Times New Roman" w:hAnsi="Times New Roman"/>
      <w:position w:val="6"/>
      <w:sz w:val="20"/>
      <w:vertAlign w:val="baseline"/>
    </w:rPr>
  </w:style>
  <w:style w:type="paragraph" w:styleId="FootnoteText">
    <w:name w:val="footnote text"/>
    <w:basedOn w:val="BodyText"/>
    <w:rsid w:val="009371E0"/>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371E0"/>
    <w:rPr>
      <w:i/>
    </w:rPr>
  </w:style>
  <w:style w:type="paragraph" w:customStyle="1" w:styleId="Jurisdictioncommentsbodytext">
    <w:name w:val="Jurisdiction comments body text"/>
    <w:rsid w:val="009371E0"/>
    <w:pPr>
      <w:spacing w:after="140"/>
      <w:jc w:val="both"/>
    </w:pPr>
    <w:rPr>
      <w:rFonts w:ascii="Arial" w:hAnsi="Arial"/>
      <w:szCs w:val="20"/>
      <w:lang w:eastAsia="en-US"/>
    </w:rPr>
  </w:style>
  <w:style w:type="paragraph" w:customStyle="1" w:styleId="Jurisdictioncommentsheading">
    <w:name w:val="Jurisdiction comments heading"/>
    <w:rsid w:val="009371E0"/>
    <w:pPr>
      <w:spacing w:after="140" w:line="320" w:lineRule="atLeast"/>
      <w:jc w:val="both"/>
    </w:pPr>
    <w:rPr>
      <w:rFonts w:ascii="Arial" w:hAnsi="Arial"/>
      <w:b/>
      <w:szCs w:val="20"/>
      <w:lang w:eastAsia="en-US"/>
    </w:rPr>
  </w:style>
  <w:style w:type="paragraph" w:customStyle="1" w:styleId="Jurisdictioncommentslistbullet">
    <w:name w:val="Jurisdiction comments list bullet"/>
    <w:rsid w:val="009371E0"/>
    <w:pPr>
      <w:numPr>
        <w:numId w:val="3"/>
      </w:numPr>
      <w:spacing w:after="140"/>
      <w:jc w:val="both"/>
    </w:pPr>
    <w:rPr>
      <w:rFonts w:ascii="Arial" w:hAnsi="Arial"/>
      <w:szCs w:val="20"/>
      <w:lang w:eastAsia="en-US"/>
    </w:rPr>
  </w:style>
  <w:style w:type="paragraph" w:styleId="ListBullet">
    <w:name w:val="List Bullet"/>
    <w:basedOn w:val="BodyText"/>
    <w:rsid w:val="009371E0"/>
    <w:pPr>
      <w:numPr>
        <w:numId w:val="4"/>
      </w:numPr>
      <w:spacing w:before="120"/>
    </w:pPr>
  </w:style>
  <w:style w:type="paragraph" w:styleId="ListBullet2">
    <w:name w:val="List Bullet 2"/>
    <w:basedOn w:val="BodyText"/>
    <w:rsid w:val="009371E0"/>
    <w:pPr>
      <w:numPr>
        <w:numId w:val="5"/>
      </w:numPr>
      <w:spacing w:before="120"/>
    </w:pPr>
  </w:style>
  <w:style w:type="paragraph" w:styleId="ListBullet3">
    <w:name w:val="List Bullet 3"/>
    <w:basedOn w:val="BodyText"/>
    <w:rsid w:val="009371E0"/>
    <w:pPr>
      <w:numPr>
        <w:numId w:val="6"/>
      </w:numPr>
      <w:spacing w:before="120"/>
      <w:ind w:left="1020" w:hanging="340"/>
    </w:pPr>
  </w:style>
  <w:style w:type="paragraph" w:styleId="ListNumber">
    <w:name w:val="List Number"/>
    <w:basedOn w:val="BodyText"/>
    <w:rsid w:val="009371E0"/>
    <w:pPr>
      <w:numPr>
        <w:numId w:val="11"/>
      </w:numPr>
      <w:spacing w:before="120"/>
    </w:pPr>
  </w:style>
  <w:style w:type="paragraph" w:styleId="ListNumber2">
    <w:name w:val="List Number 2"/>
    <w:basedOn w:val="ListNumber"/>
    <w:rsid w:val="009371E0"/>
    <w:pPr>
      <w:numPr>
        <w:ilvl w:val="1"/>
      </w:numPr>
    </w:pPr>
  </w:style>
  <w:style w:type="paragraph" w:styleId="ListNumber3">
    <w:name w:val="List Number 3"/>
    <w:basedOn w:val="ListNumber2"/>
    <w:rsid w:val="009371E0"/>
    <w:pPr>
      <w:numPr>
        <w:ilvl w:val="2"/>
      </w:numPr>
    </w:pPr>
  </w:style>
  <w:style w:type="character" w:customStyle="1" w:styleId="NoteLabel">
    <w:name w:val="Note Label"/>
    <w:basedOn w:val="DefaultParagraphFont"/>
    <w:rsid w:val="009371E0"/>
    <w:rPr>
      <w:rFonts w:ascii="Arial" w:hAnsi="Arial"/>
      <w:b/>
      <w:position w:val="6"/>
      <w:sz w:val="18"/>
    </w:rPr>
  </w:style>
  <w:style w:type="paragraph" w:customStyle="1" w:styleId="PartDivider">
    <w:name w:val="Part Divider"/>
    <w:basedOn w:val="BodyText"/>
    <w:next w:val="BodyText"/>
    <w:semiHidden/>
    <w:rsid w:val="009371E0"/>
    <w:pPr>
      <w:spacing w:before="0" w:line="40" w:lineRule="exact"/>
      <w:jc w:val="right"/>
    </w:pPr>
    <w:rPr>
      <w:smallCaps/>
      <w:sz w:val="16"/>
    </w:rPr>
  </w:style>
  <w:style w:type="paragraph" w:customStyle="1" w:styleId="PartNumber">
    <w:name w:val="Part Number"/>
    <w:basedOn w:val="BodyText"/>
    <w:next w:val="BodyText"/>
    <w:semiHidden/>
    <w:rsid w:val="009371E0"/>
    <w:pPr>
      <w:spacing w:before="4000" w:line="320" w:lineRule="exact"/>
      <w:ind w:left="6634"/>
      <w:jc w:val="right"/>
    </w:pPr>
    <w:rPr>
      <w:smallCaps/>
      <w:spacing w:val="60"/>
      <w:sz w:val="32"/>
    </w:rPr>
  </w:style>
  <w:style w:type="paragraph" w:customStyle="1" w:styleId="PartTitle">
    <w:name w:val="Part Title"/>
    <w:basedOn w:val="BodyText"/>
    <w:semiHidden/>
    <w:rsid w:val="009371E0"/>
    <w:pPr>
      <w:spacing w:before="160" w:after="1360" w:line="520" w:lineRule="exact"/>
      <w:ind w:right="2381"/>
      <w:jc w:val="right"/>
    </w:pPr>
    <w:rPr>
      <w:smallCaps/>
      <w:sz w:val="52"/>
    </w:rPr>
  </w:style>
  <w:style w:type="paragraph" w:styleId="Quote">
    <w:name w:val="Quote"/>
    <w:basedOn w:val="BodyText"/>
    <w:next w:val="BodyText"/>
    <w:qFormat/>
    <w:rsid w:val="009371E0"/>
    <w:pPr>
      <w:spacing w:before="120" w:line="280" w:lineRule="exact"/>
      <w:ind w:left="340"/>
    </w:pPr>
    <w:rPr>
      <w:sz w:val="22"/>
    </w:rPr>
  </w:style>
  <w:style w:type="paragraph" w:customStyle="1" w:styleId="QuoteBullet">
    <w:name w:val="Quote Bullet"/>
    <w:basedOn w:val="Quote"/>
    <w:rsid w:val="009371E0"/>
    <w:pPr>
      <w:numPr>
        <w:numId w:val="7"/>
      </w:numPr>
    </w:pPr>
  </w:style>
  <w:style w:type="paragraph" w:customStyle="1" w:styleId="Rec">
    <w:name w:val="Rec"/>
    <w:basedOn w:val="BodyText"/>
    <w:qFormat/>
    <w:rsid w:val="009371E0"/>
    <w:pPr>
      <w:keepLines/>
      <w:spacing w:before="120" w:line="280" w:lineRule="atLeast"/>
    </w:pPr>
    <w:rPr>
      <w:rFonts w:ascii="Arial" w:hAnsi="Arial"/>
      <w:sz w:val="22"/>
    </w:rPr>
  </w:style>
  <w:style w:type="paragraph" w:customStyle="1" w:styleId="RecBullet">
    <w:name w:val="Rec Bullet"/>
    <w:basedOn w:val="Rec"/>
    <w:rsid w:val="009371E0"/>
    <w:pPr>
      <w:numPr>
        <w:numId w:val="8"/>
      </w:numPr>
      <w:spacing w:before="80"/>
    </w:pPr>
  </w:style>
  <w:style w:type="paragraph" w:customStyle="1" w:styleId="RecB">
    <w:name w:val="RecB"/>
    <w:basedOn w:val="Normal"/>
    <w:semiHidden/>
    <w:rsid w:val="009371E0"/>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9371E0"/>
    <w:pPr>
      <w:numPr>
        <w:numId w:val="13"/>
      </w:numPr>
      <w:spacing w:before="80"/>
    </w:pPr>
  </w:style>
  <w:style w:type="paragraph" w:customStyle="1" w:styleId="RecBNoTitle">
    <w:name w:val="RecB NoTitle"/>
    <w:basedOn w:val="RecB"/>
    <w:semiHidden/>
    <w:rsid w:val="009371E0"/>
    <w:pPr>
      <w:spacing w:before="240"/>
    </w:pPr>
  </w:style>
  <w:style w:type="paragraph" w:customStyle="1" w:styleId="Reference">
    <w:name w:val="Reference"/>
    <w:basedOn w:val="BodyText"/>
    <w:rsid w:val="009371E0"/>
    <w:pPr>
      <w:spacing w:before="120"/>
      <w:ind w:left="340" w:hanging="340"/>
    </w:pPr>
  </w:style>
  <w:style w:type="paragraph" w:customStyle="1" w:styleId="SequenceInfo">
    <w:name w:val="Sequence Info"/>
    <w:basedOn w:val="BodyText"/>
    <w:semiHidden/>
    <w:rsid w:val="009371E0"/>
    <w:rPr>
      <w:vanish/>
      <w:sz w:val="16"/>
    </w:rPr>
  </w:style>
  <w:style w:type="paragraph" w:customStyle="1" w:styleId="SideNote">
    <w:name w:val="Side Note"/>
    <w:basedOn w:val="BodyText"/>
    <w:next w:val="BodyText"/>
    <w:semiHidden/>
    <w:rsid w:val="009371E0"/>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9371E0"/>
    <w:pPr>
      <w:framePr w:wrap="around"/>
      <w:numPr>
        <w:numId w:val="9"/>
      </w:numPr>
      <w:tabs>
        <w:tab w:val="left" w:pos="227"/>
      </w:tabs>
    </w:pPr>
  </w:style>
  <w:style w:type="paragraph" w:customStyle="1" w:styleId="SideNoteGraphic">
    <w:name w:val="Side Note Graphic"/>
    <w:basedOn w:val="SideNote"/>
    <w:next w:val="BodyText"/>
    <w:semiHidden/>
    <w:rsid w:val="009371E0"/>
    <w:pPr>
      <w:framePr w:wrap="around"/>
    </w:pPr>
  </w:style>
  <w:style w:type="paragraph" w:customStyle="1" w:styleId="TableBodyText">
    <w:name w:val="Table Body Text"/>
    <w:basedOn w:val="BodyText"/>
    <w:rsid w:val="009371E0"/>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9371E0"/>
    <w:pPr>
      <w:numPr>
        <w:numId w:val="10"/>
      </w:numPr>
      <w:jc w:val="left"/>
    </w:pPr>
  </w:style>
  <w:style w:type="paragraph" w:customStyle="1" w:styleId="TableColumnHeading">
    <w:name w:val="Table Column Heading"/>
    <w:basedOn w:val="TableBodyText"/>
    <w:rsid w:val="009371E0"/>
    <w:pPr>
      <w:spacing w:before="80" w:after="80"/>
    </w:pPr>
    <w:rPr>
      <w:i/>
    </w:rPr>
  </w:style>
  <w:style w:type="paragraph" w:styleId="TOC2">
    <w:name w:val="toc 2"/>
    <w:basedOn w:val="TOC1"/>
    <w:rsid w:val="009371E0"/>
    <w:pPr>
      <w:ind w:left="1134" w:hanging="624"/>
    </w:pPr>
    <w:rPr>
      <w:b w:val="0"/>
    </w:rPr>
  </w:style>
  <w:style w:type="paragraph" w:styleId="TOC3">
    <w:name w:val="toc 3"/>
    <w:basedOn w:val="TOC2"/>
    <w:rsid w:val="009371E0"/>
    <w:pPr>
      <w:spacing w:before="60"/>
      <w:ind w:left="1190" w:hanging="680"/>
    </w:pPr>
  </w:style>
  <w:style w:type="paragraph" w:styleId="TableofFigures">
    <w:name w:val="table of figures"/>
    <w:basedOn w:val="TOC3"/>
    <w:next w:val="BodyText"/>
    <w:semiHidden/>
    <w:rsid w:val="009371E0"/>
    <w:pPr>
      <w:ind w:left="737" w:hanging="737"/>
    </w:pPr>
  </w:style>
  <w:style w:type="paragraph" w:customStyle="1" w:styleId="TableTitle">
    <w:name w:val="Table Title"/>
    <w:basedOn w:val="Caption"/>
    <w:next w:val="Subtitle"/>
    <w:qFormat/>
    <w:rsid w:val="009371E0"/>
    <w:pPr>
      <w:spacing w:before="120"/>
    </w:pPr>
  </w:style>
  <w:style w:type="paragraph" w:customStyle="1" w:styleId="TableUnitsRow">
    <w:name w:val="Table Units Row"/>
    <w:basedOn w:val="TableBodyText"/>
    <w:rsid w:val="009371E0"/>
    <w:pPr>
      <w:spacing w:before="40"/>
    </w:pPr>
  </w:style>
  <w:style w:type="paragraph" w:styleId="TOC1">
    <w:name w:val="toc 1"/>
    <w:basedOn w:val="Normal"/>
    <w:next w:val="TOC2"/>
    <w:link w:val="TOC1Char"/>
    <w:rsid w:val="009371E0"/>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9371E0"/>
    <w:pPr>
      <w:ind w:left="1191" w:firstLine="0"/>
    </w:pPr>
  </w:style>
  <w:style w:type="paragraph" w:customStyle="1" w:styleId="RecBBullet2">
    <w:name w:val="RecB Bullet 2"/>
    <w:basedOn w:val="ListBullet2"/>
    <w:semiHidden/>
    <w:rsid w:val="009371E0"/>
    <w:pPr>
      <w:pBdr>
        <w:left w:val="single" w:sz="24" w:space="29" w:color="C0C0C0"/>
      </w:pBdr>
    </w:pPr>
    <w:rPr>
      <w:b/>
      <w:i/>
    </w:rPr>
  </w:style>
  <w:style w:type="paragraph" w:styleId="BalloonText">
    <w:name w:val="Balloon Text"/>
    <w:basedOn w:val="Normal"/>
    <w:link w:val="BalloonTextChar"/>
    <w:rsid w:val="009371E0"/>
    <w:rPr>
      <w:rFonts w:ascii="Tahoma" w:hAnsi="Tahoma" w:cs="Tahoma"/>
      <w:sz w:val="16"/>
      <w:szCs w:val="16"/>
    </w:rPr>
  </w:style>
  <w:style w:type="character" w:customStyle="1" w:styleId="BalloonTextChar">
    <w:name w:val="Balloon Text Char"/>
    <w:basedOn w:val="DefaultParagraphFont"/>
    <w:link w:val="BalloonText"/>
    <w:rsid w:val="009371E0"/>
    <w:rPr>
      <w:rFonts w:ascii="Tahoma" w:hAnsi="Tahoma" w:cs="Tahoma"/>
      <w:sz w:val="16"/>
      <w:szCs w:val="16"/>
    </w:rPr>
  </w:style>
  <w:style w:type="paragraph" w:customStyle="1" w:styleId="BoxListBullet3">
    <w:name w:val="Box List Bullet 3"/>
    <w:basedOn w:val="ListBullet3"/>
    <w:rsid w:val="009371E0"/>
    <w:pPr>
      <w:numPr>
        <w:numId w:val="17"/>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9371E0"/>
    <w:rPr>
      <w:i/>
      <w:iCs/>
    </w:rPr>
  </w:style>
  <w:style w:type="paragraph" w:customStyle="1" w:styleId="BoxQuoteBullet">
    <w:name w:val="Box Quote Bullet"/>
    <w:basedOn w:val="BoxQuote"/>
    <w:next w:val="Box"/>
    <w:rsid w:val="009371E0"/>
    <w:pPr>
      <w:numPr>
        <w:numId w:val="14"/>
      </w:numPr>
      <w:ind w:left="568" w:hanging="284"/>
    </w:pPr>
  </w:style>
  <w:style w:type="paragraph" w:customStyle="1" w:styleId="InformationRequestBullet">
    <w:name w:val="Information Request Bullet"/>
    <w:basedOn w:val="ListBullet"/>
    <w:next w:val="BodyText"/>
    <w:rsid w:val="009371E0"/>
    <w:pPr>
      <w:numPr>
        <w:numId w:val="15"/>
      </w:numPr>
      <w:spacing w:before="80" w:line="280" w:lineRule="atLeast"/>
      <w:ind w:left="357" w:hanging="357"/>
    </w:pPr>
    <w:rPr>
      <w:rFonts w:ascii="Arial" w:hAnsi="Arial"/>
      <w:i/>
      <w:sz w:val="22"/>
    </w:rPr>
  </w:style>
  <w:style w:type="paragraph" w:customStyle="1" w:styleId="BoxSpaceBelow">
    <w:name w:val="Box Space Below"/>
    <w:basedOn w:val="Box"/>
    <w:rsid w:val="009371E0"/>
    <w:pPr>
      <w:keepNext w:val="0"/>
      <w:spacing w:before="60" w:after="60" w:line="80" w:lineRule="exact"/>
    </w:pPr>
    <w:rPr>
      <w:sz w:val="14"/>
    </w:rPr>
  </w:style>
  <w:style w:type="paragraph" w:styleId="CommentSubject">
    <w:name w:val="annotation subject"/>
    <w:basedOn w:val="CommentText"/>
    <w:next w:val="CommentText"/>
    <w:link w:val="CommentSubjectChar"/>
    <w:rsid w:val="006F7108"/>
    <w:pPr>
      <w:spacing w:before="0" w:line="240" w:lineRule="auto"/>
      <w:ind w:left="0" w:firstLine="0"/>
    </w:pPr>
    <w:rPr>
      <w:b/>
      <w:bCs/>
      <w:szCs w:val="20"/>
    </w:rPr>
  </w:style>
  <w:style w:type="character" w:customStyle="1" w:styleId="CommentSubjectChar">
    <w:name w:val="Comment Subject Char"/>
    <w:basedOn w:val="CommentTextChar"/>
    <w:link w:val="CommentSubject"/>
    <w:rsid w:val="006F7108"/>
    <w:rPr>
      <w:b/>
      <w:bCs/>
      <w:sz w:val="20"/>
      <w:szCs w:val="24"/>
    </w:rPr>
  </w:style>
  <w:style w:type="paragraph" w:styleId="Revision">
    <w:name w:val="Revision"/>
    <w:hidden/>
    <w:uiPriority w:val="99"/>
    <w:semiHidden/>
    <w:rsid w:val="00BB0530"/>
    <w:rPr>
      <w:sz w:val="26"/>
    </w:rPr>
  </w:style>
  <w:style w:type="character" w:customStyle="1" w:styleId="Heading3Char">
    <w:name w:val="Heading 3 Char"/>
    <w:basedOn w:val="DefaultParagraphFont"/>
    <w:link w:val="Heading3"/>
    <w:rsid w:val="00776A5A"/>
    <w:rPr>
      <w:rFonts w:ascii="Arial" w:hAnsi="Arial"/>
      <w:b/>
      <w:sz w:val="26"/>
      <w:szCs w:val="20"/>
    </w:rPr>
  </w:style>
  <w:style w:type="character" w:customStyle="1" w:styleId="Heading4Char">
    <w:name w:val="Heading 4 Char"/>
    <w:basedOn w:val="DefaultParagraphFont"/>
    <w:link w:val="Heading4"/>
    <w:rsid w:val="00776A5A"/>
    <w:rPr>
      <w:rFonts w:ascii="Arial" w:hAnsi="Arial"/>
      <w:szCs w:val="20"/>
    </w:rPr>
  </w:style>
  <w:style w:type="table" w:styleId="TableGrid">
    <w:name w:val="Table Grid"/>
    <w:basedOn w:val="TableNormal"/>
    <w:rsid w:val="009371E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igurespace">
    <w:name w:val="Figure space"/>
    <w:basedOn w:val="Box"/>
    <w:rsid w:val="009371E0"/>
    <w:pPr>
      <w:spacing w:before="0" w:line="120" w:lineRule="exact"/>
    </w:pPr>
  </w:style>
  <w:style w:type="paragraph" w:styleId="NormalWeb">
    <w:name w:val="Normal (Web)"/>
    <w:basedOn w:val="Normal"/>
    <w:uiPriority w:val="99"/>
    <w:unhideWhenUsed/>
    <w:rsid w:val="009358B9"/>
    <w:pPr>
      <w:spacing w:before="100" w:beforeAutospacing="1" w:after="100" w:afterAutospacing="1"/>
    </w:pPr>
    <w:rPr>
      <w:rFonts w:eastAsiaTheme="minorEastAsia"/>
    </w:rPr>
  </w:style>
  <w:style w:type="paragraph" w:customStyle="1" w:styleId="Default">
    <w:name w:val="Default"/>
    <w:rsid w:val="00B61105"/>
    <w:pPr>
      <w:autoSpaceDE w:val="0"/>
      <w:autoSpaceDN w:val="0"/>
      <w:adjustRightInd w:val="0"/>
    </w:pPr>
    <w:rPr>
      <w:rFonts w:ascii="Arial" w:hAnsi="Arial" w:cs="Arial"/>
      <w:color w:val="000000"/>
    </w:rPr>
  </w:style>
  <w:style w:type="paragraph" w:styleId="Bibliography">
    <w:name w:val="Bibliography"/>
    <w:basedOn w:val="Normal"/>
    <w:next w:val="Normal"/>
    <w:uiPriority w:val="37"/>
    <w:unhideWhenUsed/>
    <w:rsid w:val="002D2356"/>
    <w:pPr>
      <w:spacing w:after="240"/>
      <w:ind w:left="720" w:hanging="720"/>
    </w:pPr>
  </w:style>
  <w:style w:type="character" w:styleId="EndnoteReference">
    <w:name w:val="endnote reference"/>
    <w:basedOn w:val="DefaultParagraphFont"/>
    <w:rsid w:val="00CA0335"/>
    <w:rPr>
      <w:vertAlign w:val="superscript"/>
    </w:rPr>
  </w:style>
  <w:style w:type="character" w:styleId="Hyperlink">
    <w:name w:val="Hyperlink"/>
    <w:basedOn w:val="DefaultParagraphFont"/>
    <w:rsid w:val="00436C00"/>
    <w:rPr>
      <w:color w:val="78A22F" w:themeColor="hyperlink"/>
      <w:u w:val="single"/>
    </w:rPr>
  </w:style>
  <w:style w:type="paragraph" w:customStyle="1" w:styleId="KeyPointsListBullet">
    <w:name w:val="Key Points List Bullet"/>
    <w:basedOn w:val="Normal"/>
    <w:qFormat/>
    <w:rsid w:val="009371E0"/>
    <w:pPr>
      <w:keepNext/>
      <w:numPr>
        <w:numId w:val="2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9371E0"/>
    <w:pPr>
      <w:numPr>
        <w:numId w:val="29"/>
      </w:numPr>
      <w:ind w:left="568" w:hanging="284"/>
    </w:pPr>
  </w:style>
  <w:style w:type="paragraph" w:customStyle="1" w:styleId="InformationRequestTitle">
    <w:name w:val="Information Request Title"/>
    <w:basedOn w:val="FindingTitle"/>
    <w:next w:val="InformationRequest"/>
    <w:rsid w:val="009371E0"/>
    <w:rPr>
      <w:i/>
    </w:rPr>
  </w:style>
  <w:style w:type="paragraph" w:customStyle="1" w:styleId="Space">
    <w:name w:val="Space"/>
    <w:basedOn w:val="Normal"/>
    <w:rsid w:val="009371E0"/>
    <w:pPr>
      <w:keepNext/>
      <w:spacing w:line="120" w:lineRule="exact"/>
      <w:jc w:val="both"/>
    </w:pPr>
    <w:rPr>
      <w:rFonts w:ascii="Arial" w:hAnsi="Arial"/>
      <w:sz w:val="20"/>
      <w:szCs w:val="20"/>
    </w:rPr>
  </w:style>
  <w:style w:type="paragraph" w:customStyle="1" w:styleId="Heading1nochapterno">
    <w:name w:val="Heading 1 (no chapter no.)"/>
    <w:basedOn w:val="Heading1"/>
    <w:rsid w:val="009371E0"/>
    <w:pPr>
      <w:spacing w:before="0"/>
      <w:ind w:left="0" w:firstLine="0"/>
    </w:pPr>
  </w:style>
  <w:style w:type="paragraph" w:customStyle="1" w:styleId="Heading2nosectionno">
    <w:name w:val="Heading 2 (no section no.)"/>
    <w:basedOn w:val="Heading2"/>
    <w:rsid w:val="009371E0"/>
    <w:pPr>
      <w:ind w:left="0" w:firstLine="0"/>
    </w:pPr>
  </w:style>
  <w:style w:type="character" w:customStyle="1" w:styleId="Heading5Char">
    <w:name w:val="Heading 5 Char"/>
    <w:basedOn w:val="DefaultParagraphFont"/>
    <w:link w:val="Heading5"/>
    <w:rsid w:val="009371E0"/>
    <w:rPr>
      <w:rFonts w:ascii="Arial" w:hAnsi="Arial"/>
      <w:i/>
      <w:sz w:val="22"/>
      <w:szCs w:val="20"/>
    </w:rPr>
  </w:style>
  <w:style w:type="paragraph" w:customStyle="1" w:styleId="FooterDraftReport">
    <w:name w:val="FooterDraftReport"/>
    <w:basedOn w:val="Footer"/>
    <w:link w:val="FooterDraftReportChar"/>
    <w:rsid w:val="009371E0"/>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9371E0"/>
    <w:rPr>
      <w:szCs w:val="20"/>
    </w:rPr>
  </w:style>
  <w:style w:type="character" w:customStyle="1" w:styleId="FooterChar">
    <w:name w:val="Footer Char"/>
    <w:basedOn w:val="BodyTextChar"/>
    <w:link w:val="Footer"/>
    <w:rsid w:val="009371E0"/>
    <w:rPr>
      <w:rFonts w:ascii="Arial" w:hAnsi="Arial"/>
      <w:caps/>
      <w:spacing w:val="-4"/>
      <w:sz w:val="16"/>
      <w:szCs w:val="20"/>
    </w:rPr>
  </w:style>
  <w:style w:type="character" w:customStyle="1" w:styleId="FooterDraftReportChar">
    <w:name w:val="FooterDraftReport Char"/>
    <w:basedOn w:val="FooterChar"/>
    <w:link w:val="FooterDraftReport"/>
    <w:rsid w:val="009371E0"/>
    <w:rPr>
      <w:rFonts w:ascii="Arial" w:hAnsi="Arial" w:cs="Arial"/>
      <w:caps/>
      <w:color w:val="808080"/>
      <w:spacing w:val="-4"/>
      <w:sz w:val="16"/>
      <w:szCs w:val="20"/>
      <w14:textFill>
        <w14:solidFill>
          <w14:srgbClr w14:val="808080">
            <w14:lumMod w14:val="50000"/>
            <w14:lumOff w14:val="50000"/>
            <w14:lumMod w14:val="50000"/>
            <w14:lumOff w14:val="50000"/>
            <w14:lumMod w14:val="50000"/>
          </w14:srgbClr>
        </w14:solidFill>
      </w14:textFill>
    </w:rPr>
  </w:style>
  <w:style w:type="character" w:customStyle="1" w:styleId="TOC1Char">
    <w:name w:val="TOC 1 Char"/>
    <w:basedOn w:val="DefaultParagraphFont"/>
    <w:link w:val="TOC1"/>
    <w:rsid w:val="009371E0"/>
    <w:rPr>
      <w:rFonts w:ascii="Arial" w:hAnsi="Arial"/>
      <w:b/>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0567660">
      <w:bodyDiv w:val="1"/>
      <w:marLeft w:val="0"/>
      <w:marRight w:val="0"/>
      <w:marTop w:val="0"/>
      <w:marBottom w:val="0"/>
      <w:divBdr>
        <w:top w:val="none" w:sz="0" w:space="0" w:color="auto"/>
        <w:left w:val="none" w:sz="0" w:space="0" w:color="auto"/>
        <w:bottom w:val="none" w:sz="0" w:space="0" w:color="auto"/>
        <w:right w:val="none" w:sz="0" w:space="0" w:color="auto"/>
      </w:divBdr>
    </w:div>
    <w:div w:id="1124810282">
      <w:bodyDiv w:val="1"/>
      <w:marLeft w:val="0"/>
      <w:marRight w:val="0"/>
      <w:marTop w:val="0"/>
      <w:marBottom w:val="0"/>
      <w:divBdr>
        <w:top w:val="none" w:sz="0" w:space="0" w:color="auto"/>
        <w:left w:val="none" w:sz="0" w:space="0" w:color="auto"/>
        <w:bottom w:val="none" w:sz="0" w:space="0" w:color="auto"/>
        <w:right w:val="none" w:sz="0" w:space="0" w:color="auto"/>
      </w:divBdr>
    </w:div>
    <w:div w:id="1386640811">
      <w:bodyDiv w:val="1"/>
      <w:marLeft w:val="0"/>
      <w:marRight w:val="0"/>
      <w:marTop w:val="0"/>
      <w:marBottom w:val="0"/>
      <w:divBdr>
        <w:top w:val="none" w:sz="0" w:space="0" w:color="auto"/>
        <w:left w:val="none" w:sz="0" w:space="0" w:color="auto"/>
        <w:bottom w:val="none" w:sz="0" w:space="0" w:color="auto"/>
        <w:right w:val="none" w:sz="0" w:space="0" w:color="auto"/>
      </w:divBdr>
    </w:div>
    <w:div w:id="1504390740">
      <w:bodyDiv w:val="1"/>
      <w:marLeft w:val="0"/>
      <w:marRight w:val="0"/>
      <w:marTop w:val="0"/>
      <w:marBottom w:val="0"/>
      <w:divBdr>
        <w:top w:val="none" w:sz="0" w:space="0" w:color="auto"/>
        <w:left w:val="none" w:sz="0" w:space="0" w:color="auto"/>
        <w:bottom w:val="none" w:sz="0" w:space="0" w:color="auto"/>
        <w:right w:val="none" w:sz="0" w:space="0" w:color="auto"/>
      </w:divBdr>
    </w:div>
    <w:div w:id="1507748673">
      <w:bodyDiv w:val="1"/>
      <w:marLeft w:val="0"/>
      <w:marRight w:val="0"/>
      <w:marTop w:val="0"/>
      <w:marBottom w:val="0"/>
      <w:divBdr>
        <w:top w:val="none" w:sz="0" w:space="0" w:color="auto"/>
        <w:left w:val="none" w:sz="0" w:space="0" w:color="auto"/>
        <w:bottom w:val="none" w:sz="0" w:space="0" w:color="auto"/>
        <w:right w:val="none" w:sz="0" w:space="0" w:color="auto"/>
      </w:divBdr>
    </w:div>
    <w:div w:id="1835874184">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chart" Target="charts/chart1.xm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chart" Target="charts/chart3.xml"/><Relationship Id="rId7" Type="http://schemas.openxmlformats.org/officeDocument/2006/relationships/webSettings" Target="webSettings.xml"/><Relationship Id="rId12" Type="http://schemas.openxmlformats.org/officeDocument/2006/relationships/oleObject" Target="embeddings/oleObject1.bin"/><Relationship Id="rId17" Type="http://schemas.openxmlformats.org/officeDocument/2006/relationships/image" Target="media/image7.emf"/><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chart" Target="charts/chart6.xml"/><Relationship Id="rId5" Type="http://schemas.microsoft.com/office/2007/relationships/stylesWithEffects" Target="stylesWithEffects.xml"/><Relationship Id="rId15" Type="http://schemas.openxmlformats.org/officeDocument/2006/relationships/image" Target="media/image5.emf"/><Relationship Id="rId23" Type="http://schemas.openxmlformats.org/officeDocument/2006/relationships/chart" Target="charts/chart5.xml"/><Relationship Id="rId28"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chart" Target="charts/chart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emf"/><Relationship Id="rId22" Type="http://schemas.openxmlformats.org/officeDocument/2006/relationships/chart" Target="charts/chart4.xml"/><Relationship Id="rId27" Type="http://schemas.openxmlformats.org/officeDocument/2006/relationships/footer" Target="foot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file:///\\MEL_1\groups\Elmrb\04_Current%20projects\Housing\02_Research\Jack\curves\Difference%20in%20subsidy%20for%20RENTS%20LW.xlsx"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9.8652823416767496E-2"/>
          <c:y val="3.1647034466422801E-2"/>
          <c:w val="0.88251912885607697"/>
          <c:h val="0.70875143184421496"/>
        </c:manualLayout>
      </c:layout>
      <c:barChart>
        <c:barDir val="col"/>
        <c:grouping val="stacked"/>
        <c:varyColors val="0"/>
        <c:ser>
          <c:idx val="2"/>
          <c:order val="0"/>
          <c:tx>
            <c:strRef>
              <c:f>cumulative_CRA!$A$7</c:f>
              <c:strCache>
                <c:ptCount val="1"/>
                <c:pt idx="0">
                  <c:v>CRA</c:v>
                </c:pt>
              </c:strCache>
            </c:strRef>
          </c:tx>
          <c:spPr>
            <a:ln>
              <a:solidFill>
                <a:srgbClr val="B2D673"/>
              </a:solidFill>
            </a:ln>
          </c:spPr>
          <c:invertIfNegative val="0"/>
          <c:cat>
            <c:multiLvlStrRef>
              <c:f>cumulative_CRA!$B$2:$T$4</c:f>
              <c:multiLvlStrCache>
                <c:ptCount val="19"/>
                <c:lvl>
                  <c:pt idx="0">
                    <c:v>$0</c:v>
                  </c:pt>
                  <c:pt idx="1">
                    <c:v>$50</c:v>
                  </c:pt>
                  <c:pt idx="2">
                    <c:v>  </c:v>
                  </c:pt>
                  <c:pt idx="3">
                    <c:v>$0</c:v>
                  </c:pt>
                  <c:pt idx="4">
                    <c:v>$50</c:v>
                  </c:pt>
                  <c:pt idx="5">
                    <c:v> </c:v>
                  </c:pt>
                  <c:pt idx="7">
                    <c:v>$0</c:v>
                  </c:pt>
                  <c:pt idx="8">
                    <c:v>$50</c:v>
                  </c:pt>
                  <c:pt idx="9">
                    <c:v>  </c:v>
                  </c:pt>
                  <c:pt idx="10">
                    <c:v>$0</c:v>
                  </c:pt>
                  <c:pt idx="11">
                    <c:v>$50</c:v>
                  </c:pt>
                  <c:pt idx="12">
                    <c:v>  </c:v>
                  </c:pt>
                  <c:pt idx="14">
                    <c:v>$0</c:v>
                  </c:pt>
                  <c:pt idx="15">
                    <c:v>$50</c:v>
                  </c:pt>
                  <c:pt idx="16">
                    <c:v>  </c:v>
                  </c:pt>
                  <c:pt idx="17">
                    <c:v>$0</c:v>
                  </c:pt>
                  <c:pt idx="18">
                    <c:v>$50</c:v>
                  </c:pt>
                </c:lvl>
                <c:lvl>
                  <c:pt idx="0">
                    <c:v>Income flows</c:v>
                  </c:pt>
                  <c:pt idx="2">
                    <c:v> </c:v>
                  </c:pt>
                  <c:pt idx="3">
                    <c:v>Post rent income</c:v>
                  </c:pt>
                  <c:pt idx="5">
                    <c:v> </c:v>
                  </c:pt>
                  <c:pt idx="7">
                    <c:v>Income flows</c:v>
                  </c:pt>
                  <c:pt idx="9">
                    <c:v> </c:v>
                  </c:pt>
                  <c:pt idx="10">
                    <c:v>Post rent income</c:v>
                  </c:pt>
                  <c:pt idx="12">
                    <c:v> </c:v>
                  </c:pt>
                  <c:pt idx="14">
                    <c:v>Income flows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cumulative_CRA!$B$7:$T$7</c:f>
              <c:numCache>
                <c:formatCode>General</c:formatCode>
                <c:ptCount val="19"/>
                <c:pt idx="0">
                  <c:v>3295.4285714285702</c:v>
                </c:pt>
                <c:pt idx="1">
                  <c:v>1113.14285685714</c:v>
                </c:pt>
                <c:pt idx="7">
                  <c:v>3295.4285714285702</c:v>
                </c:pt>
                <c:pt idx="8">
                  <c:v>0</c:v>
                </c:pt>
                <c:pt idx="14">
                  <c:v>3858.05</c:v>
                </c:pt>
                <c:pt idx="15">
                  <c:v>3858.05</c:v>
                </c:pt>
              </c:numCache>
            </c:numRef>
          </c:val>
        </c:ser>
        <c:ser>
          <c:idx val="1"/>
          <c:order val="1"/>
          <c:tx>
            <c:strRef>
              <c:f>cumulative_CRA!$A$6</c:f>
              <c:strCache>
                <c:ptCount val="1"/>
                <c:pt idx="0">
                  <c:v>Welfare payments</c:v>
                </c:pt>
              </c:strCache>
            </c:strRef>
          </c:tx>
          <c:spPr>
            <a:ln>
              <a:solidFill>
                <a:srgbClr val="265A9A"/>
              </a:solidFill>
            </a:ln>
          </c:spPr>
          <c:invertIfNegative val="0"/>
          <c:cat>
            <c:multiLvlStrRef>
              <c:f>cumulative_CRA!$B$2:$T$4</c:f>
              <c:multiLvlStrCache>
                <c:ptCount val="19"/>
                <c:lvl>
                  <c:pt idx="0">
                    <c:v>$0</c:v>
                  </c:pt>
                  <c:pt idx="1">
                    <c:v>$50</c:v>
                  </c:pt>
                  <c:pt idx="2">
                    <c:v>  </c:v>
                  </c:pt>
                  <c:pt idx="3">
                    <c:v>$0</c:v>
                  </c:pt>
                  <c:pt idx="4">
                    <c:v>$50</c:v>
                  </c:pt>
                  <c:pt idx="5">
                    <c:v> </c:v>
                  </c:pt>
                  <c:pt idx="7">
                    <c:v>$0</c:v>
                  </c:pt>
                  <c:pt idx="8">
                    <c:v>$50</c:v>
                  </c:pt>
                  <c:pt idx="9">
                    <c:v>  </c:v>
                  </c:pt>
                  <c:pt idx="10">
                    <c:v>$0</c:v>
                  </c:pt>
                  <c:pt idx="11">
                    <c:v>$50</c:v>
                  </c:pt>
                  <c:pt idx="12">
                    <c:v>  </c:v>
                  </c:pt>
                  <c:pt idx="14">
                    <c:v>$0</c:v>
                  </c:pt>
                  <c:pt idx="15">
                    <c:v>$50</c:v>
                  </c:pt>
                  <c:pt idx="16">
                    <c:v>  </c:v>
                  </c:pt>
                  <c:pt idx="17">
                    <c:v>$0</c:v>
                  </c:pt>
                  <c:pt idx="18">
                    <c:v>$50</c:v>
                  </c:pt>
                </c:lvl>
                <c:lvl>
                  <c:pt idx="0">
                    <c:v>Income flows</c:v>
                  </c:pt>
                  <c:pt idx="2">
                    <c:v> </c:v>
                  </c:pt>
                  <c:pt idx="3">
                    <c:v>Post rent income</c:v>
                  </c:pt>
                  <c:pt idx="5">
                    <c:v> </c:v>
                  </c:pt>
                  <c:pt idx="7">
                    <c:v>Income flows</c:v>
                  </c:pt>
                  <c:pt idx="9">
                    <c:v> </c:v>
                  </c:pt>
                  <c:pt idx="10">
                    <c:v>Post rent income</c:v>
                  </c:pt>
                  <c:pt idx="12">
                    <c:v> </c:v>
                  </c:pt>
                  <c:pt idx="14">
                    <c:v>Income flows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cumulative_CRA!$B$6:$T$6</c:f>
              <c:numCache>
                <c:formatCode>General</c:formatCode>
                <c:ptCount val="19"/>
                <c:pt idx="0">
                  <c:v>21610.607142857101</c:v>
                </c:pt>
                <c:pt idx="1">
                  <c:v>878.607142857143</c:v>
                </c:pt>
                <c:pt idx="7">
                  <c:v>13309.464285714301</c:v>
                </c:pt>
                <c:pt idx="8">
                  <c:v>0</c:v>
                </c:pt>
                <c:pt idx="14">
                  <c:v>27518.392857142899</c:v>
                </c:pt>
                <c:pt idx="15">
                  <c:v>9443.5071428571391</c:v>
                </c:pt>
              </c:numCache>
            </c:numRef>
          </c:val>
        </c:ser>
        <c:ser>
          <c:idx val="0"/>
          <c:order val="2"/>
          <c:tx>
            <c:strRef>
              <c:f>cumulative_CRA!$A$5</c:f>
              <c:strCache>
                <c:ptCount val="1"/>
                <c:pt idx="0">
                  <c:v>Salary</c:v>
                </c:pt>
              </c:strCache>
            </c:strRef>
          </c:tx>
          <c:spPr>
            <a:ln>
              <a:solidFill>
                <a:srgbClr val="78A22F"/>
              </a:solidFill>
            </a:ln>
          </c:spPr>
          <c:invertIfNegative val="0"/>
          <c:cat>
            <c:multiLvlStrRef>
              <c:f>cumulative_CRA!$B$2:$T$4</c:f>
              <c:multiLvlStrCache>
                <c:ptCount val="19"/>
                <c:lvl>
                  <c:pt idx="0">
                    <c:v>$0</c:v>
                  </c:pt>
                  <c:pt idx="1">
                    <c:v>$50</c:v>
                  </c:pt>
                  <c:pt idx="2">
                    <c:v>  </c:v>
                  </c:pt>
                  <c:pt idx="3">
                    <c:v>$0</c:v>
                  </c:pt>
                  <c:pt idx="4">
                    <c:v>$50</c:v>
                  </c:pt>
                  <c:pt idx="5">
                    <c:v> </c:v>
                  </c:pt>
                  <c:pt idx="7">
                    <c:v>$0</c:v>
                  </c:pt>
                  <c:pt idx="8">
                    <c:v>$50</c:v>
                  </c:pt>
                  <c:pt idx="9">
                    <c:v>  </c:v>
                  </c:pt>
                  <c:pt idx="10">
                    <c:v>$0</c:v>
                  </c:pt>
                  <c:pt idx="11">
                    <c:v>$50</c:v>
                  </c:pt>
                  <c:pt idx="12">
                    <c:v>  </c:v>
                  </c:pt>
                  <c:pt idx="14">
                    <c:v>$0</c:v>
                  </c:pt>
                  <c:pt idx="15">
                    <c:v>$50</c:v>
                  </c:pt>
                  <c:pt idx="16">
                    <c:v>  </c:v>
                  </c:pt>
                  <c:pt idx="17">
                    <c:v>$0</c:v>
                  </c:pt>
                  <c:pt idx="18">
                    <c:v>$50</c:v>
                  </c:pt>
                </c:lvl>
                <c:lvl>
                  <c:pt idx="0">
                    <c:v>Income flows</c:v>
                  </c:pt>
                  <c:pt idx="2">
                    <c:v> </c:v>
                  </c:pt>
                  <c:pt idx="3">
                    <c:v>Post rent income</c:v>
                  </c:pt>
                  <c:pt idx="5">
                    <c:v> </c:v>
                  </c:pt>
                  <c:pt idx="7">
                    <c:v>Income flows</c:v>
                  </c:pt>
                  <c:pt idx="9">
                    <c:v> </c:v>
                  </c:pt>
                  <c:pt idx="10">
                    <c:v>Post rent income</c:v>
                  </c:pt>
                  <c:pt idx="12">
                    <c:v> </c:v>
                  </c:pt>
                  <c:pt idx="14">
                    <c:v>Income flows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cumulative_CRA!$B$5:$T$5</c:f>
              <c:numCache>
                <c:formatCode>General</c:formatCode>
                <c:ptCount val="19"/>
                <c:pt idx="0">
                  <c:v>0</c:v>
                </c:pt>
                <c:pt idx="1">
                  <c:v>50000</c:v>
                </c:pt>
                <c:pt idx="7">
                  <c:v>0</c:v>
                </c:pt>
                <c:pt idx="8">
                  <c:v>50000</c:v>
                </c:pt>
                <c:pt idx="14">
                  <c:v>0</c:v>
                </c:pt>
                <c:pt idx="15">
                  <c:v>50000</c:v>
                </c:pt>
              </c:numCache>
            </c:numRef>
          </c:val>
        </c:ser>
        <c:ser>
          <c:idx val="5"/>
          <c:order val="3"/>
          <c:tx>
            <c:strRef>
              <c:f>cumulative_CRA!$A$10</c:f>
              <c:strCache>
                <c:ptCount val="1"/>
                <c:pt idx="0">
                  <c:v>Income tax</c:v>
                </c:pt>
              </c:strCache>
            </c:strRef>
          </c:tx>
          <c:spPr>
            <a:ln>
              <a:solidFill>
                <a:srgbClr val="C00000"/>
              </a:solidFill>
            </a:ln>
          </c:spPr>
          <c:invertIfNegative val="0"/>
          <c:cat>
            <c:multiLvlStrRef>
              <c:f>cumulative_CRA!$B$2:$T$4</c:f>
              <c:multiLvlStrCache>
                <c:ptCount val="19"/>
                <c:lvl>
                  <c:pt idx="0">
                    <c:v>$0</c:v>
                  </c:pt>
                  <c:pt idx="1">
                    <c:v>$50</c:v>
                  </c:pt>
                  <c:pt idx="2">
                    <c:v>  </c:v>
                  </c:pt>
                  <c:pt idx="3">
                    <c:v>$0</c:v>
                  </c:pt>
                  <c:pt idx="4">
                    <c:v>$50</c:v>
                  </c:pt>
                  <c:pt idx="5">
                    <c:v> </c:v>
                  </c:pt>
                  <c:pt idx="7">
                    <c:v>$0</c:v>
                  </c:pt>
                  <c:pt idx="8">
                    <c:v>$50</c:v>
                  </c:pt>
                  <c:pt idx="9">
                    <c:v>  </c:v>
                  </c:pt>
                  <c:pt idx="10">
                    <c:v>$0</c:v>
                  </c:pt>
                  <c:pt idx="11">
                    <c:v>$50</c:v>
                  </c:pt>
                  <c:pt idx="12">
                    <c:v>  </c:v>
                  </c:pt>
                  <c:pt idx="14">
                    <c:v>$0</c:v>
                  </c:pt>
                  <c:pt idx="15">
                    <c:v>$50</c:v>
                  </c:pt>
                  <c:pt idx="16">
                    <c:v>  </c:v>
                  </c:pt>
                  <c:pt idx="17">
                    <c:v>$0</c:v>
                  </c:pt>
                  <c:pt idx="18">
                    <c:v>$50</c:v>
                  </c:pt>
                </c:lvl>
                <c:lvl>
                  <c:pt idx="0">
                    <c:v>Income flows</c:v>
                  </c:pt>
                  <c:pt idx="2">
                    <c:v> </c:v>
                  </c:pt>
                  <c:pt idx="3">
                    <c:v>Post rent income</c:v>
                  </c:pt>
                  <c:pt idx="5">
                    <c:v> </c:v>
                  </c:pt>
                  <c:pt idx="7">
                    <c:v>Income flows</c:v>
                  </c:pt>
                  <c:pt idx="9">
                    <c:v> </c:v>
                  </c:pt>
                  <c:pt idx="10">
                    <c:v>Post rent income</c:v>
                  </c:pt>
                  <c:pt idx="12">
                    <c:v> </c:v>
                  </c:pt>
                  <c:pt idx="14">
                    <c:v>Income flows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cumulative_CRA!$B$10:$T$10</c:f>
              <c:numCache>
                <c:formatCode>General</c:formatCode>
                <c:ptCount val="19"/>
                <c:pt idx="0">
                  <c:v>0</c:v>
                </c:pt>
                <c:pt idx="1">
                  <c:v>-8296.9850002028488</c:v>
                </c:pt>
                <c:pt idx="7">
                  <c:v>0</c:v>
                </c:pt>
                <c:pt idx="8">
                  <c:v>-8296.9850002028488</c:v>
                </c:pt>
                <c:pt idx="14">
                  <c:v>0</c:v>
                </c:pt>
                <c:pt idx="15">
                  <c:v>-8608.8905359171276</c:v>
                </c:pt>
              </c:numCache>
            </c:numRef>
          </c:val>
        </c:ser>
        <c:ser>
          <c:idx val="3"/>
          <c:order val="4"/>
          <c:tx>
            <c:strRef>
              <c:f>cumulative_CRA!$A$9</c:f>
              <c:strCache>
                <c:ptCount val="1"/>
                <c:pt idx="0">
                  <c:v>Post rent income</c:v>
                </c:pt>
              </c:strCache>
            </c:strRef>
          </c:tx>
          <c:spPr>
            <a:ln>
              <a:solidFill>
                <a:sysClr val="windowText" lastClr="000000">
                  <a:lumMod val="65000"/>
                  <a:lumOff val="35000"/>
                </a:sysClr>
              </a:solidFill>
            </a:ln>
          </c:spPr>
          <c:invertIfNegative val="0"/>
          <c:cat>
            <c:multiLvlStrRef>
              <c:f>cumulative_CRA!$B$2:$T$4</c:f>
              <c:multiLvlStrCache>
                <c:ptCount val="19"/>
                <c:lvl>
                  <c:pt idx="0">
                    <c:v>$0</c:v>
                  </c:pt>
                  <c:pt idx="1">
                    <c:v>$50</c:v>
                  </c:pt>
                  <c:pt idx="2">
                    <c:v>  </c:v>
                  </c:pt>
                  <c:pt idx="3">
                    <c:v>$0</c:v>
                  </c:pt>
                  <c:pt idx="4">
                    <c:v>$50</c:v>
                  </c:pt>
                  <c:pt idx="5">
                    <c:v> </c:v>
                  </c:pt>
                  <c:pt idx="7">
                    <c:v>$0</c:v>
                  </c:pt>
                  <c:pt idx="8">
                    <c:v>$50</c:v>
                  </c:pt>
                  <c:pt idx="9">
                    <c:v>  </c:v>
                  </c:pt>
                  <c:pt idx="10">
                    <c:v>$0</c:v>
                  </c:pt>
                  <c:pt idx="11">
                    <c:v>$50</c:v>
                  </c:pt>
                  <c:pt idx="12">
                    <c:v>  </c:v>
                  </c:pt>
                  <c:pt idx="14">
                    <c:v>$0</c:v>
                  </c:pt>
                  <c:pt idx="15">
                    <c:v>$50</c:v>
                  </c:pt>
                  <c:pt idx="16">
                    <c:v>  </c:v>
                  </c:pt>
                  <c:pt idx="17">
                    <c:v>$0</c:v>
                  </c:pt>
                  <c:pt idx="18">
                    <c:v>$50</c:v>
                  </c:pt>
                </c:lvl>
                <c:lvl>
                  <c:pt idx="0">
                    <c:v>Income flows</c:v>
                  </c:pt>
                  <c:pt idx="2">
                    <c:v> </c:v>
                  </c:pt>
                  <c:pt idx="3">
                    <c:v>Post rent income</c:v>
                  </c:pt>
                  <c:pt idx="5">
                    <c:v> </c:v>
                  </c:pt>
                  <c:pt idx="7">
                    <c:v>Income flows</c:v>
                  </c:pt>
                  <c:pt idx="9">
                    <c:v> </c:v>
                  </c:pt>
                  <c:pt idx="10">
                    <c:v>Post rent income</c:v>
                  </c:pt>
                  <c:pt idx="12">
                    <c:v> </c:v>
                  </c:pt>
                  <c:pt idx="14">
                    <c:v>Income flows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cumulative_CRA!$B$9:$T$9</c:f>
              <c:numCache>
                <c:formatCode>General</c:formatCode>
                <c:ptCount val="19"/>
                <c:pt idx="3">
                  <c:v>14906.035715214301</c:v>
                </c:pt>
                <c:pt idx="4">
                  <c:v>33694.765001011219</c:v>
                </c:pt>
                <c:pt idx="10">
                  <c:v>6604.892858071431</c:v>
                </c:pt>
                <c:pt idx="11">
                  <c:v>31703.015001297099</c:v>
                </c:pt>
                <c:pt idx="17">
                  <c:v>20950.365522898599</c:v>
                </c:pt>
                <c:pt idx="18">
                  <c:v>44625.939273267097</c:v>
                </c:pt>
              </c:numCache>
            </c:numRef>
          </c:val>
        </c:ser>
        <c:dLbls>
          <c:showLegendKey val="0"/>
          <c:showVal val="0"/>
          <c:showCatName val="0"/>
          <c:showSerName val="0"/>
          <c:showPercent val="0"/>
          <c:showBubbleSize val="0"/>
        </c:dLbls>
        <c:gapWidth val="0"/>
        <c:overlap val="100"/>
        <c:axId val="45873408"/>
        <c:axId val="45293568"/>
      </c:barChart>
      <c:catAx>
        <c:axId val="45873408"/>
        <c:scaling>
          <c:orientation val="minMax"/>
        </c:scaling>
        <c:delete val="0"/>
        <c:axPos val="b"/>
        <c:majorTickMark val="out"/>
        <c:minorTickMark val="none"/>
        <c:tickLblPos val="low"/>
        <c:txPr>
          <a:bodyPr rot="0" vert="horz" anchor="t" anchorCtr="0"/>
          <a:lstStyle/>
          <a:p>
            <a:pPr>
              <a:defRPr/>
            </a:pPr>
            <a:endParaRPr lang="en-US"/>
          </a:p>
        </c:txPr>
        <c:crossAx val="45293568"/>
        <c:crosses val="autoZero"/>
        <c:auto val="1"/>
        <c:lblAlgn val="ctr"/>
        <c:lblOffset val="100"/>
        <c:noMultiLvlLbl val="0"/>
      </c:catAx>
      <c:valAx>
        <c:axId val="45293568"/>
        <c:scaling>
          <c:orientation val="minMax"/>
        </c:scaling>
        <c:delete val="0"/>
        <c:axPos val="l"/>
        <c:majorGridlines>
          <c:spPr>
            <a:ln>
              <a:solidFill>
                <a:srgbClr val="BFBFBF"/>
              </a:solidFill>
            </a:ln>
          </c:spPr>
        </c:majorGridlines>
        <c:numFmt formatCode="#\ ##0" sourceLinked="0"/>
        <c:majorTickMark val="out"/>
        <c:minorTickMark val="none"/>
        <c:tickLblPos val="nextTo"/>
        <c:crossAx val="45873408"/>
        <c:crosses val="autoZero"/>
        <c:crossBetween val="between"/>
      </c:valAx>
    </c:plotArea>
    <c:legend>
      <c:legendPos val="t"/>
      <c:layout>
        <c:manualLayout>
          <c:xMode val="edge"/>
          <c:yMode val="edge"/>
          <c:x val="0.17336131731297452"/>
          <c:y val="1.3298166227849509E-2"/>
          <c:w val="0.78380903059343199"/>
          <c:h val="6.2518209876543204E-2"/>
        </c:manualLayout>
      </c:layout>
      <c:overlay val="0"/>
    </c:legend>
    <c:plotVisOnly val="1"/>
    <c:dispBlanksAs val="gap"/>
    <c:showDLblsOverMax val="0"/>
  </c:chart>
  <c:spPr>
    <a:ln>
      <a:noFill/>
    </a:ln>
  </c:spPr>
  <c:txPr>
    <a:bodyPr/>
    <a:lstStyle/>
    <a:p>
      <a:pPr>
        <a:defRPr sz="900">
          <a:latin typeface="Arial" panose="020B0604020202020204" pitchFamily="34" charset="0"/>
          <a:cs typeface="Arial" panose="020B0604020202020204"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9581330994089902E-2"/>
          <c:y val="3.1647034466422801E-2"/>
          <c:w val="0.93528808062381996"/>
          <c:h val="0.80849654323197595"/>
        </c:manualLayout>
      </c:layout>
      <c:barChart>
        <c:barDir val="col"/>
        <c:grouping val="stacked"/>
        <c:varyColors val="0"/>
        <c:ser>
          <c:idx val="2"/>
          <c:order val="0"/>
          <c:tx>
            <c:strRef>
              <c:f>cumulative_SH!$A$7</c:f>
              <c:strCache>
                <c:ptCount val="1"/>
                <c:pt idx="0">
                  <c:v>Social housing rent</c:v>
                </c:pt>
              </c:strCache>
            </c:strRef>
          </c:tx>
          <c:spPr>
            <a:ln>
              <a:solidFill>
                <a:srgbClr val="B2D673"/>
              </a:solidFill>
            </a:ln>
          </c:spPr>
          <c:invertIfNegative val="0"/>
          <c:cat>
            <c:multiLvlStrRef>
              <c:f>cumulative_SH!$B$2:$T$4</c:f>
              <c:multiLvlStrCache>
                <c:ptCount val="19"/>
                <c:lvl>
                  <c:pt idx="0">
                    <c:v>$0</c:v>
                  </c:pt>
                  <c:pt idx="1">
                    <c:v>$50</c:v>
                  </c:pt>
                  <c:pt idx="2">
                    <c:v>  </c:v>
                  </c:pt>
                  <c:pt idx="3">
                    <c:v>$0</c:v>
                  </c:pt>
                  <c:pt idx="4">
                    <c:v>$50</c:v>
                  </c:pt>
                  <c:pt idx="7">
                    <c:v>$0</c:v>
                  </c:pt>
                  <c:pt idx="8">
                    <c:v>$50</c:v>
                  </c:pt>
                  <c:pt idx="9">
                    <c:v>  </c:v>
                  </c:pt>
                  <c:pt idx="10">
                    <c:v>$0</c:v>
                  </c:pt>
                  <c:pt idx="11">
                    <c:v>$50</c:v>
                  </c:pt>
                  <c:pt idx="14">
                    <c:v>$0</c:v>
                  </c:pt>
                  <c:pt idx="15">
                    <c:v>$50</c:v>
                  </c:pt>
                  <c:pt idx="16">
                    <c:v>  </c:v>
                  </c:pt>
                  <c:pt idx="17">
                    <c:v>$0</c:v>
                  </c:pt>
                  <c:pt idx="18">
                    <c:v>$50</c:v>
                  </c:pt>
                </c:lvl>
                <c:lvl>
                  <c:pt idx="0">
                    <c:v>Income flows</c:v>
                  </c:pt>
                  <c:pt idx="2">
                    <c:v> </c:v>
                  </c:pt>
                  <c:pt idx="3">
                    <c:v>Post rent income</c:v>
                  </c:pt>
                  <c:pt idx="7">
                    <c:v>Income flows</c:v>
                  </c:pt>
                  <c:pt idx="9">
                    <c:v> </c:v>
                  </c:pt>
                  <c:pt idx="10">
                    <c:v>Post rent income</c:v>
                  </c:pt>
                  <c:pt idx="14">
                    <c:v>Transfers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cumulative_SH!$B$7:$T$7</c:f>
              <c:numCache>
                <c:formatCode>General</c:formatCode>
                <c:ptCount val="19"/>
                <c:pt idx="0">
                  <c:v>-4992.6785714285697</c:v>
                </c:pt>
                <c:pt idx="1">
                  <c:v>-9999.9999990714296</c:v>
                </c:pt>
                <c:pt idx="7">
                  <c:v>-3327.3660714285702</c:v>
                </c:pt>
                <c:pt idx="8">
                  <c:v>-9999.9999990714296</c:v>
                </c:pt>
                <c:pt idx="14">
                  <c:v>-5791.3246428571401</c:v>
                </c:pt>
                <c:pt idx="15">
                  <c:v>-9999.9999990714296</c:v>
                </c:pt>
              </c:numCache>
            </c:numRef>
          </c:val>
        </c:ser>
        <c:ser>
          <c:idx val="1"/>
          <c:order val="1"/>
          <c:tx>
            <c:strRef>
              <c:f>cumulative_SH!$A$6</c:f>
              <c:strCache>
                <c:ptCount val="1"/>
                <c:pt idx="0">
                  <c:v>Welfare payments</c:v>
                </c:pt>
              </c:strCache>
            </c:strRef>
          </c:tx>
          <c:spPr>
            <a:ln>
              <a:solidFill>
                <a:srgbClr val="265A9A"/>
              </a:solidFill>
            </a:ln>
          </c:spPr>
          <c:invertIfNegative val="0"/>
          <c:cat>
            <c:multiLvlStrRef>
              <c:f>cumulative_SH!$B$2:$T$4</c:f>
              <c:multiLvlStrCache>
                <c:ptCount val="19"/>
                <c:lvl>
                  <c:pt idx="0">
                    <c:v>$0</c:v>
                  </c:pt>
                  <c:pt idx="1">
                    <c:v>$50</c:v>
                  </c:pt>
                  <c:pt idx="2">
                    <c:v>  </c:v>
                  </c:pt>
                  <c:pt idx="3">
                    <c:v>$0</c:v>
                  </c:pt>
                  <c:pt idx="4">
                    <c:v>$50</c:v>
                  </c:pt>
                  <c:pt idx="7">
                    <c:v>$0</c:v>
                  </c:pt>
                  <c:pt idx="8">
                    <c:v>$50</c:v>
                  </c:pt>
                  <c:pt idx="9">
                    <c:v>  </c:v>
                  </c:pt>
                  <c:pt idx="10">
                    <c:v>$0</c:v>
                  </c:pt>
                  <c:pt idx="11">
                    <c:v>$50</c:v>
                  </c:pt>
                  <c:pt idx="14">
                    <c:v>$0</c:v>
                  </c:pt>
                  <c:pt idx="15">
                    <c:v>$50</c:v>
                  </c:pt>
                  <c:pt idx="16">
                    <c:v>  </c:v>
                  </c:pt>
                  <c:pt idx="17">
                    <c:v>$0</c:v>
                  </c:pt>
                  <c:pt idx="18">
                    <c:v>$50</c:v>
                  </c:pt>
                </c:lvl>
                <c:lvl>
                  <c:pt idx="0">
                    <c:v>Income flows</c:v>
                  </c:pt>
                  <c:pt idx="2">
                    <c:v> </c:v>
                  </c:pt>
                  <c:pt idx="3">
                    <c:v>Post rent income</c:v>
                  </c:pt>
                  <c:pt idx="7">
                    <c:v>Income flows</c:v>
                  </c:pt>
                  <c:pt idx="9">
                    <c:v> </c:v>
                  </c:pt>
                  <c:pt idx="10">
                    <c:v>Post rent income</c:v>
                  </c:pt>
                  <c:pt idx="14">
                    <c:v>Transfers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cumulative_SH!$B$6:$T$6</c:f>
              <c:numCache>
                <c:formatCode>General</c:formatCode>
                <c:ptCount val="19"/>
                <c:pt idx="0">
                  <c:v>21610.607142857101</c:v>
                </c:pt>
                <c:pt idx="1">
                  <c:v>0</c:v>
                </c:pt>
                <c:pt idx="7">
                  <c:v>13309.464285714301</c:v>
                </c:pt>
                <c:pt idx="8">
                  <c:v>0</c:v>
                </c:pt>
                <c:pt idx="14">
                  <c:v>27164.342857142899</c:v>
                </c:pt>
                <c:pt idx="15">
                  <c:v>9089.4571428571417</c:v>
                </c:pt>
              </c:numCache>
            </c:numRef>
          </c:val>
        </c:ser>
        <c:ser>
          <c:idx val="0"/>
          <c:order val="2"/>
          <c:tx>
            <c:strRef>
              <c:f>cumulative_SH!$A$5</c:f>
              <c:strCache>
                <c:ptCount val="1"/>
                <c:pt idx="0">
                  <c:v>Salary</c:v>
                </c:pt>
              </c:strCache>
            </c:strRef>
          </c:tx>
          <c:spPr>
            <a:ln>
              <a:solidFill>
                <a:srgbClr val="78A22F"/>
              </a:solidFill>
            </a:ln>
          </c:spPr>
          <c:invertIfNegative val="0"/>
          <c:cat>
            <c:multiLvlStrRef>
              <c:f>cumulative_SH!$B$2:$T$4</c:f>
              <c:multiLvlStrCache>
                <c:ptCount val="19"/>
                <c:lvl>
                  <c:pt idx="0">
                    <c:v>$0</c:v>
                  </c:pt>
                  <c:pt idx="1">
                    <c:v>$50</c:v>
                  </c:pt>
                  <c:pt idx="2">
                    <c:v>  </c:v>
                  </c:pt>
                  <c:pt idx="3">
                    <c:v>$0</c:v>
                  </c:pt>
                  <c:pt idx="4">
                    <c:v>$50</c:v>
                  </c:pt>
                  <c:pt idx="7">
                    <c:v>$0</c:v>
                  </c:pt>
                  <c:pt idx="8">
                    <c:v>$50</c:v>
                  </c:pt>
                  <c:pt idx="9">
                    <c:v>  </c:v>
                  </c:pt>
                  <c:pt idx="10">
                    <c:v>$0</c:v>
                  </c:pt>
                  <c:pt idx="11">
                    <c:v>$50</c:v>
                  </c:pt>
                  <c:pt idx="14">
                    <c:v>$0</c:v>
                  </c:pt>
                  <c:pt idx="15">
                    <c:v>$50</c:v>
                  </c:pt>
                  <c:pt idx="16">
                    <c:v>  </c:v>
                  </c:pt>
                  <c:pt idx="17">
                    <c:v>$0</c:v>
                  </c:pt>
                  <c:pt idx="18">
                    <c:v>$50</c:v>
                  </c:pt>
                </c:lvl>
                <c:lvl>
                  <c:pt idx="0">
                    <c:v>Income flows</c:v>
                  </c:pt>
                  <c:pt idx="2">
                    <c:v> </c:v>
                  </c:pt>
                  <c:pt idx="3">
                    <c:v>Post rent income</c:v>
                  </c:pt>
                  <c:pt idx="7">
                    <c:v>Income flows</c:v>
                  </c:pt>
                  <c:pt idx="9">
                    <c:v> </c:v>
                  </c:pt>
                  <c:pt idx="10">
                    <c:v>Post rent income</c:v>
                  </c:pt>
                  <c:pt idx="14">
                    <c:v>Transfers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cumulative_SH!$B$5:$T$5</c:f>
              <c:numCache>
                <c:formatCode>General</c:formatCode>
                <c:ptCount val="19"/>
                <c:pt idx="0">
                  <c:v>0</c:v>
                </c:pt>
                <c:pt idx="1">
                  <c:v>50000</c:v>
                </c:pt>
                <c:pt idx="7">
                  <c:v>0</c:v>
                </c:pt>
                <c:pt idx="8">
                  <c:v>50000</c:v>
                </c:pt>
                <c:pt idx="14">
                  <c:v>0</c:v>
                </c:pt>
                <c:pt idx="15">
                  <c:v>50000</c:v>
                </c:pt>
              </c:numCache>
            </c:numRef>
          </c:val>
        </c:ser>
        <c:ser>
          <c:idx val="5"/>
          <c:order val="3"/>
          <c:tx>
            <c:strRef>
              <c:f>cumulative_SH!$A$10</c:f>
              <c:strCache>
                <c:ptCount val="1"/>
                <c:pt idx="0">
                  <c:v>Income tax</c:v>
                </c:pt>
              </c:strCache>
            </c:strRef>
          </c:tx>
          <c:spPr>
            <a:ln>
              <a:solidFill>
                <a:srgbClr val="C00000"/>
              </a:solidFill>
            </a:ln>
          </c:spPr>
          <c:invertIfNegative val="0"/>
          <c:cat>
            <c:multiLvlStrRef>
              <c:f>cumulative_SH!$B$2:$T$4</c:f>
              <c:multiLvlStrCache>
                <c:ptCount val="19"/>
                <c:lvl>
                  <c:pt idx="0">
                    <c:v>$0</c:v>
                  </c:pt>
                  <c:pt idx="1">
                    <c:v>$50</c:v>
                  </c:pt>
                  <c:pt idx="2">
                    <c:v>  </c:v>
                  </c:pt>
                  <c:pt idx="3">
                    <c:v>$0</c:v>
                  </c:pt>
                  <c:pt idx="4">
                    <c:v>$50</c:v>
                  </c:pt>
                  <c:pt idx="7">
                    <c:v>$0</c:v>
                  </c:pt>
                  <c:pt idx="8">
                    <c:v>$50</c:v>
                  </c:pt>
                  <c:pt idx="9">
                    <c:v>  </c:v>
                  </c:pt>
                  <c:pt idx="10">
                    <c:v>$0</c:v>
                  </c:pt>
                  <c:pt idx="11">
                    <c:v>$50</c:v>
                  </c:pt>
                  <c:pt idx="14">
                    <c:v>$0</c:v>
                  </c:pt>
                  <c:pt idx="15">
                    <c:v>$50</c:v>
                  </c:pt>
                  <c:pt idx="16">
                    <c:v>  </c:v>
                  </c:pt>
                  <c:pt idx="17">
                    <c:v>$0</c:v>
                  </c:pt>
                  <c:pt idx="18">
                    <c:v>$50</c:v>
                  </c:pt>
                </c:lvl>
                <c:lvl>
                  <c:pt idx="0">
                    <c:v>Income flows</c:v>
                  </c:pt>
                  <c:pt idx="2">
                    <c:v> </c:v>
                  </c:pt>
                  <c:pt idx="3">
                    <c:v>Post rent income</c:v>
                  </c:pt>
                  <c:pt idx="7">
                    <c:v>Income flows</c:v>
                  </c:pt>
                  <c:pt idx="9">
                    <c:v> </c:v>
                  </c:pt>
                  <c:pt idx="10">
                    <c:v>Post rent income</c:v>
                  </c:pt>
                  <c:pt idx="14">
                    <c:v>Transfers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cumulative_SH!$B$10:$T$10</c:f>
              <c:numCache>
                <c:formatCode>General</c:formatCode>
                <c:ptCount val="19"/>
                <c:pt idx="0">
                  <c:v>0</c:v>
                </c:pt>
                <c:pt idx="1">
                  <c:v>-7546.9850001942896</c:v>
                </c:pt>
                <c:pt idx="7">
                  <c:v>0</c:v>
                </c:pt>
                <c:pt idx="8">
                  <c:v>-7546.9850001942896</c:v>
                </c:pt>
                <c:pt idx="14">
                  <c:v>0</c:v>
                </c:pt>
                <c:pt idx="15">
                  <c:v>-7723.5324285714296</c:v>
                </c:pt>
              </c:numCache>
            </c:numRef>
          </c:val>
        </c:ser>
        <c:ser>
          <c:idx val="3"/>
          <c:order val="4"/>
          <c:tx>
            <c:strRef>
              <c:f>cumulative_SH!$A$8</c:f>
              <c:strCache>
                <c:ptCount val="1"/>
                <c:pt idx="0">
                  <c:v>Post rent income</c:v>
                </c:pt>
              </c:strCache>
            </c:strRef>
          </c:tx>
          <c:spPr>
            <a:ln>
              <a:solidFill>
                <a:sysClr val="windowText" lastClr="000000">
                  <a:lumMod val="65000"/>
                  <a:lumOff val="35000"/>
                </a:sysClr>
              </a:solidFill>
            </a:ln>
          </c:spPr>
          <c:invertIfNegative val="0"/>
          <c:cat>
            <c:multiLvlStrRef>
              <c:f>cumulative_SH!$B$2:$T$4</c:f>
              <c:multiLvlStrCache>
                <c:ptCount val="19"/>
                <c:lvl>
                  <c:pt idx="0">
                    <c:v>$0</c:v>
                  </c:pt>
                  <c:pt idx="1">
                    <c:v>$50</c:v>
                  </c:pt>
                  <c:pt idx="2">
                    <c:v>  </c:v>
                  </c:pt>
                  <c:pt idx="3">
                    <c:v>$0</c:v>
                  </c:pt>
                  <c:pt idx="4">
                    <c:v>$50</c:v>
                  </c:pt>
                  <c:pt idx="7">
                    <c:v>$0</c:v>
                  </c:pt>
                  <c:pt idx="8">
                    <c:v>$50</c:v>
                  </c:pt>
                  <c:pt idx="9">
                    <c:v>  </c:v>
                  </c:pt>
                  <c:pt idx="10">
                    <c:v>$0</c:v>
                  </c:pt>
                  <c:pt idx="11">
                    <c:v>$50</c:v>
                  </c:pt>
                  <c:pt idx="14">
                    <c:v>$0</c:v>
                  </c:pt>
                  <c:pt idx="15">
                    <c:v>$50</c:v>
                  </c:pt>
                  <c:pt idx="16">
                    <c:v>  </c:v>
                  </c:pt>
                  <c:pt idx="17">
                    <c:v>$0</c:v>
                  </c:pt>
                  <c:pt idx="18">
                    <c:v>$50</c:v>
                  </c:pt>
                </c:lvl>
                <c:lvl>
                  <c:pt idx="0">
                    <c:v>Income flows</c:v>
                  </c:pt>
                  <c:pt idx="2">
                    <c:v> </c:v>
                  </c:pt>
                  <c:pt idx="3">
                    <c:v>Post rent income</c:v>
                  </c:pt>
                  <c:pt idx="7">
                    <c:v>Income flows</c:v>
                  </c:pt>
                  <c:pt idx="9">
                    <c:v> </c:v>
                  </c:pt>
                  <c:pt idx="10">
                    <c:v>Post rent income</c:v>
                  </c:pt>
                  <c:pt idx="14">
                    <c:v>Transfers</c:v>
                  </c:pt>
                  <c:pt idx="16">
                    <c:v> </c:v>
                  </c:pt>
                  <c:pt idx="17">
                    <c:v>Post rent income</c:v>
                  </c:pt>
                </c:lvl>
                <c:lvl>
                  <c:pt idx="0">
                    <c:v>Single DSP recipient</c:v>
                  </c:pt>
                  <c:pt idx="5">
                    <c:v> </c:v>
                  </c:pt>
                  <c:pt idx="7">
                    <c:v>Single NWS recipient</c:v>
                  </c:pt>
                  <c:pt idx="12">
                    <c:v> </c:v>
                  </c:pt>
                  <c:pt idx="14">
                    <c:v>Single PP and FTB, one child</c:v>
                  </c:pt>
                </c:lvl>
              </c:multiLvlStrCache>
            </c:multiLvlStrRef>
          </c:cat>
          <c:val>
            <c:numRef>
              <c:f>cumulative_SH!$B$8:$T$8</c:f>
              <c:numCache>
                <c:formatCode>General</c:formatCode>
                <c:ptCount val="19"/>
                <c:pt idx="3">
                  <c:v>16207.955357142901</c:v>
                </c:pt>
                <c:pt idx="4">
                  <c:v>31703.015001297099</c:v>
                </c:pt>
                <c:pt idx="10">
                  <c:v>9982.0982142857101</c:v>
                </c:pt>
                <c:pt idx="11">
                  <c:v>31703.015001297099</c:v>
                </c:pt>
                <c:pt idx="17">
                  <c:v>21373.018214285701</c:v>
                </c:pt>
                <c:pt idx="18">
                  <c:v>40608.135858292</c:v>
                </c:pt>
              </c:numCache>
            </c:numRef>
          </c:val>
        </c:ser>
        <c:dLbls>
          <c:showLegendKey val="0"/>
          <c:showVal val="0"/>
          <c:showCatName val="0"/>
          <c:showSerName val="0"/>
          <c:showPercent val="0"/>
          <c:showBubbleSize val="0"/>
        </c:dLbls>
        <c:gapWidth val="0"/>
        <c:overlap val="100"/>
        <c:axId val="45402368"/>
        <c:axId val="45412352"/>
      </c:barChart>
      <c:catAx>
        <c:axId val="45402368"/>
        <c:scaling>
          <c:orientation val="minMax"/>
        </c:scaling>
        <c:delete val="0"/>
        <c:axPos val="b"/>
        <c:majorTickMark val="out"/>
        <c:minorTickMark val="none"/>
        <c:tickLblPos val="low"/>
        <c:txPr>
          <a:bodyPr rot="0" vert="horz" anchor="t" anchorCtr="0"/>
          <a:lstStyle/>
          <a:p>
            <a:pPr>
              <a:defRPr/>
            </a:pPr>
            <a:endParaRPr lang="en-US"/>
          </a:p>
        </c:txPr>
        <c:crossAx val="45412352"/>
        <c:crosses val="autoZero"/>
        <c:auto val="1"/>
        <c:lblAlgn val="ctr"/>
        <c:lblOffset val="100"/>
        <c:noMultiLvlLbl val="0"/>
      </c:catAx>
      <c:valAx>
        <c:axId val="45412352"/>
        <c:scaling>
          <c:orientation val="minMax"/>
          <c:min val="-20000"/>
        </c:scaling>
        <c:delete val="0"/>
        <c:axPos val="l"/>
        <c:majorGridlines>
          <c:spPr>
            <a:ln>
              <a:solidFill>
                <a:srgbClr val="BFBFBF"/>
              </a:solidFill>
            </a:ln>
          </c:spPr>
        </c:majorGridlines>
        <c:numFmt formatCode="#\ ##0" sourceLinked="0"/>
        <c:majorTickMark val="out"/>
        <c:minorTickMark val="none"/>
        <c:tickLblPos val="nextTo"/>
        <c:crossAx val="45402368"/>
        <c:crosses val="autoZero"/>
        <c:crossBetween val="between"/>
      </c:valAx>
    </c:plotArea>
    <c:legend>
      <c:legendPos val="t"/>
      <c:layout>
        <c:manualLayout>
          <c:xMode val="edge"/>
          <c:yMode val="edge"/>
          <c:x val="8.0779269202088E-2"/>
          <c:y val="2.3518518518518501E-2"/>
          <c:w val="0.9"/>
          <c:h val="6.2518209876543204E-2"/>
        </c:manualLayout>
      </c:layout>
      <c:overlay val="0"/>
    </c:legend>
    <c:plotVisOnly val="1"/>
    <c:dispBlanksAs val="gap"/>
    <c:showDLblsOverMax val="0"/>
  </c:chart>
  <c:spPr>
    <a:ln>
      <a:noFill/>
    </a:ln>
  </c:spPr>
  <c:txPr>
    <a:bodyPr/>
    <a:lstStyle/>
    <a:p>
      <a:pPr>
        <a:defRPr sz="900">
          <a:latin typeface="Arial" panose="020B0604020202020204" pitchFamily="34" charset="0"/>
          <a:cs typeface="Arial" panose="020B0604020202020204" pitchFamily="34" charset="0"/>
        </a:defRPr>
      </a:pPr>
      <a:endParaRPr lang="en-US"/>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95931991627157"/>
          <c:y val="5.5955039771167003E-2"/>
          <c:w val="0.83449723313893043"/>
          <c:h val="0.71714311752697601"/>
        </c:manualLayout>
      </c:layout>
      <c:scatterChart>
        <c:scatterStyle val="smoothMarker"/>
        <c:varyColors val="0"/>
        <c:ser>
          <c:idx val="0"/>
          <c:order val="0"/>
          <c:tx>
            <c:strRef>
              <c:f>'difference in sub'!$AJ$42</c:f>
              <c:strCache>
                <c:ptCount val="1"/>
                <c:pt idx="0">
                  <c:v>NWS, single, childless</c:v>
                </c:pt>
              </c:strCache>
            </c:strRef>
          </c:tx>
          <c:spPr>
            <a:ln>
              <a:solidFill>
                <a:srgbClr val="78A22F"/>
              </a:solidFill>
              <a:prstDash val="sysDot"/>
            </a:ln>
          </c:spPr>
          <c:marker>
            <c:symbol val="none"/>
          </c:marker>
          <c:xVal>
            <c:numRef>
              <c:f>'difference in sub'!$A$4:$A$103</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sub'!$B$4:$B$103</c:f>
              <c:numCache>
                <c:formatCode>0</c:formatCode>
                <c:ptCount val="100"/>
                <c:pt idx="0">
                  <c:v>1198.63392857143</c:v>
                </c:pt>
                <c:pt idx="1">
                  <c:v>1302.9196428571399</c:v>
                </c:pt>
                <c:pt idx="2">
                  <c:v>1407.2053571428601</c:v>
                </c:pt>
                <c:pt idx="3">
                  <c:v>1511.49107142857</c:v>
                </c:pt>
                <c:pt idx="4">
                  <c:v>1615.7767857142801</c:v>
                </c:pt>
                <c:pt idx="5">
                  <c:v>1720.0625</c:v>
                </c:pt>
                <c:pt idx="6">
                  <c:v>1824.3482142857099</c:v>
                </c:pt>
                <c:pt idx="7">
                  <c:v>1928.63392857143</c:v>
                </c:pt>
                <c:pt idx="8">
                  <c:v>2032.9196428571399</c:v>
                </c:pt>
                <c:pt idx="9">
                  <c:v>2137.2053571428601</c:v>
                </c:pt>
                <c:pt idx="10">
                  <c:v>2241.4910714285702</c:v>
                </c:pt>
                <c:pt idx="11">
                  <c:v>2345.776785714279</c:v>
                </c:pt>
                <c:pt idx="12">
                  <c:v>2450.0625</c:v>
                </c:pt>
                <c:pt idx="13">
                  <c:v>2554.3482142857101</c:v>
                </c:pt>
                <c:pt idx="14">
                  <c:v>2658.6339285714298</c:v>
                </c:pt>
                <c:pt idx="15">
                  <c:v>2762.9196428571399</c:v>
                </c:pt>
                <c:pt idx="16">
                  <c:v>2867.2053571428601</c:v>
                </c:pt>
                <c:pt idx="17">
                  <c:v>2971.4910714285702</c:v>
                </c:pt>
                <c:pt idx="18">
                  <c:v>3075.776785714279</c:v>
                </c:pt>
                <c:pt idx="19">
                  <c:v>3180.0625</c:v>
                </c:pt>
                <c:pt idx="20">
                  <c:v>3284.3482142857101</c:v>
                </c:pt>
                <c:pt idx="21">
                  <c:v>3388.6339285714298</c:v>
                </c:pt>
                <c:pt idx="22">
                  <c:v>3492.9196428571399</c:v>
                </c:pt>
                <c:pt idx="23">
                  <c:v>3597.2053571428601</c:v>
                </c:pt>
                <c:pt idx="24">
                  <c:v>3701.4910714285702</c:v>
                </c:pt>
                <c:pt idx="25">
                  <c:v>3805.776785714279</c:v>
                </c:pt>
                <c:pt idx="26">
                  <c:v>3910.0625</c:v>
                </c:pt>
                <c:pt idx="27">
                  <c:v>4014.3482142857101</c:v>
                </c:pt>
                <c:pt idx="28">
                  <c:v>4118.6339285714303</c:v>
                </c:pt>
                <c:pt idx="29">
                  <c:v>4222.9196428571404</c:v>
                </c:pt>
                <c:pt idx="30">
                  <c:v>4327.2053571428496</c:v>
                </c:pt>
                <c:pt idx="31">
                  <c:v>4431.4910714285697</c:v>
                </c:pt>
                <c:pt idx="32">
                  <c:v>4535.7767857142717</c:v>
                </c:pt>
                <c:pt idx="33">
                  <c:v>4640.0625</c:v>
                </c:pt>
                <c:pt idx="34">
                  <c:v>4744.3482142857101</c:v>
                </c:pt>
                <c:pt idx="35">
                  <c:v>4848.6339285714303</c:v>
                </c:pt>
                <c:pt idx="36">
                  <c:v>4952.9196428571404</c:v>
                </c:pt>
                <c:pt idx="37">
                  <c:v>5057.2053571428496</c:v>
                </c:pt>
                <c:pt idx="38">
                  <c:v>5161.4910714285697</c:v>
                </c:pt>
                <c:pt idx="39">
                  <c:v>5265.7767857142717</c:v>
                </c:pt>
                <c:pt idx="40">
                  <c:v>5370.0625</c:v>
                </c:pt>
                <c:pt idx="41">
                  <c:v>5474.3482142857101</c:v>
                </c:pt>
                <c:pt idx="42">
                  <c:v>5578.6339285714303</c:v>
                </c:pt>
                <c:pt idx="43">
                  <c:v>5682.9196428571404</c:v>
                </c:pt>
                <c:pt idx="44">
                  <c:v>5787.2053571428496</c:v>
                </c:pt>
                <c:pt idx="45">
                  <c:v>5891.4910714285697</c:v>
                </c:pt>
                <c:pt idx="46">
                  <c:v>5995.7767857142717</c:v>
                </c:pt>
                <c:pt idx="47">
                  <c:v>6100.0625</c:v>
                </c:pt>
                <c:pt idx="48">
                  <c:v>6204.3482142857101</c:v>
                </c:pt>
                <c:pt idx="49">
                  <c:v>6308.6339285714303</c:v>
                </c:pt>
                <c:pt idx="50">
                  <c:v>6412.9196428571404</c:v>
                </c:pt>
                <c:pt idx="51">
                  <c:v>6517.2053571428496</c:v>
                </c:pt>
                <c:pt idx="52">
                  <c:v>6621.4910714285697</c:v>
                </c:pt>
                <c:pt idx="53">
                  <c:v>6725.7767857142717</c:v>
                </c:pt>
                <c:pt idx="54">
                  <c:v>6830.0625</c:v>
                </c:pt>
                <c:pt idx="55">
                  <c:v>6934.3482142857101</c:v>
                </c:pt>
                <c:pt idx="56">
                  <c:v>7038.6339285714303</c:v>
                </c:pt>
                <c:pt idx="57">
                  <c:v>7142.9196428571404</c:v>
                </c:pt>
                <c:pt idx="58">
                  <c:v>7247.2053571428496</c:v>
                </c:pt>
                <c:pt idx="59">
                  <c:v>7351.4910714285697</c:v>
                </c:pt>
                <c:pt idx="60">
                  <c:v>7455.7767857142717</c:v>
                </c:pt>
                <c:pt idx="61">
                  <c:v>7560.0625</c:v>
                </c:pt>
                <c:pt idx="62">
                  <c:v>7664.3482142857101</c:v>
                </c:pt>
                <c:pt idx="63">
                  <c:v>7768.6339285714303</c:v>
                </c:pt>
                <c:pt idx="64">
                  <c:v>7872.9196428571404</c:v>
                </c:pt>
                <c:pt idx="65">
                  <c:v>7977.2053571428496</c:v>
                </c:pt>
                <c:pt idx="66">
                  <c:v>8081.4910714285697</c:v>
                </c:pt>
                <c:pt idx="67">
                  <c:v>8185.7767857142717</c:v>
                </c:pt>
                <c:pt idx="68">
                  <c:v>8290.0625</c:v>
                </c:pt>
                <c:pt idx="69">
                  <c:v>8394.3482142857029</c:v>
                </c:pt>
                <c:pt idx="70">
                  <c:v>8498.6339285714294</c:v>
                </c:pt>
                <c:pt idx="71">
                  <c:v>8602.9196428571395</c:v>
                </c:pt>
                <c:pt idx="72">
                  <c:v>8707.2053571428605</c:v>
                </c:pt>
                <c:pt idx="73">
                  <c:v>8811.491071428567</c:v>
                </c:pt>
                <c:pt idx="74">
                  <c:v>8915.7767857142808</c:v>
                </c:pt>
                <c:pt idx="75">
                  <c:v>9020.0625</c:v>
                </c:pt>
                <c:pt idx="76">
                  <c:v>9124.3482142857029</c:v>
                </c:pt>
                <c:pt idx="77">
                  <c:v>9228.6339285714294</c:v>
                </c:pt>
                <c:pt idx="78">
                  <c:v>9332.9196428571395</c:v>
                </c:pt>
                <c:pt idx="79">
                  <c:v>9437.2053571428605</c:v>
                </c:pt>
                <c:pt idx="80">
                  <c:v>9541.491071428567</c:v>
                </c:pt>
                <c:pt idx="81">
                  <c:v>9645.7767857142808</c:v>
                </c:pt>
                <c:pt idx="82">
                  <c:v>9750.0625</c:v>
                </c:pt>
                <c:pt idx="83">
                  <c:v>9854.3482142857029</c:v>
                </c:pt>
                <c:pt idx="84">
                  <c:v>9958.6339285714294</c:v>
                </c:pt>
                <c:pt idx="85">
                  <c:v>10062.919642857099</c:v>
                </c:pt>
                <c:pt idx="86">
                  <c:v>10167.205357142901</c:v>
                </c:pt>
                <c:pt idx="87">
                  <c:v>10271.4910714286</c:v>
                </c:pt>
                <c:pt idx="88">
                  <c:v>10375.776785714301</c:v>
                </c:pt>
                <c:pt idx="89">
                  <c:v>10480.0625</c:v>
                </c:pt>
                <c:pt idx="90">
                  <c:v>10584.348214285699</c:v>
                </c:pt>
                <c:pt idx="91">
                  <c:v>10688.6339285714</c:v>
                </c:pt>
                <c:pt idx="92">
                  <c:v>10792.919642857099</c:v>
                </c:pt>
                <c:pt idx="93">
                  <c:v>10897.205357142901</c:v>
                </c:pt>
                <c:pt idx="94">
                  <c:v>11001.4910714286</c:v>
                </c:pt>
                <c:pt idx="95">
                  <c:v>11105.776785714301</c:v>
                </c:pt>
                <c:pt idx="96">
                  <c:v>11210.0625</c:v>
                </c:pt>
                <c:pt idx="97">
                  <c:v>11314.348214285699</c:v>
                </c:pt>
                <c:pt idx="98">
                  <c:v>11418.6339285714</c:v>
                </c:pt>
                <c:pt idx="99">
                  <c:v>11522.919642857099</c:v>
                </c:pt>
              </c:numCache>
            </c:numRef>
          </c:yVal>
          <c:smooth val="1"/>
        </c:ser>
        <c:ser>
          <c:idx val="1"/>
          <c:order val="1"/>
          <c:tx>
            <c:strRef>
              <c:f>'difference in sub'!$AJ$43</c:f>
              <c:strCache>
                <c:ptCount val="1"/>
                <c:pt idx="0">
                  <c:v>DSP, single, childless</c:v>
                </c:pt>
              </c:strCache>
            </c:strRef>
          </c:tx>
          <c:spPr>
            <a:ln>
              <a:solidFill>
                <a:srgbClr val="265A9A"/>
              </a:solidFill>
              <a:prstDash val="solid"/>
            </a:ln>
          </c:spPr>
          <c:marker>
            <c:symbol val="none"/>
          </c:marker>
          <c:xVal>
            <c:numRef>
              <c:f>'difference in sub'!$A$4:$A$103</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sub'!$C$4:$C$103</c:f>
              <c:numCache>
                <c:formatCode>0</c:formatCode>
                <c:ptCount val="100"/>
                <c:pt idx="0">
                  <c:v>-466.67857142857162</c:v>
                </c:pt>
                <c:pt idx="1">
                  <c:v>-362.39285714285899</c:v>
                </c:pt>
                <c:pt idx="2">
                  <c:v>-258.10714285714499</c:v>
                </c:pt>
                <c:pt idx="3">
                  <c:v>-153.821428571431</c:v>
                </c:pt>
                <c:pt idx="4">
                  <c:v>-49.535714285717397</c:v>
                </c:pt>
                <c:pt idx="5">
                  <c:v>54.75</c:v>
                </c:pt>
                <c:pt idx="6">
                  <c:v>159.03571428570999</c:v>
                </c:pt>
                <c:pt idx="7">
                  <c:v>263.32142857142799</c:v>
                </c:pt>
                <c:pt idx="8">
                  <c:v>367.60714285714101</c:v>
                </c:pt>
                <c:pt idx="9">
                  <c:v>471.89285714285501</c:v>
                </c:pt>
                <c:pt idx="10">
                  <c:v>576.17857142857099</c:v>
                </c:pt>
                <c:pt idx="11">
                  <c:v>680.46428571428282</c:v>
                </c:pt>
                <c:pt idx="12">
                  <c:v>784.74999999999795</c:v>
                </c:pt>
                <c:pt idx="13">
                  <c:v>889.03571428571138</c:v>
                </c:pt>
                <c:pt idx="14">
                  <c:v>993.32142857142787</c:v>
                </c:pt>
                <c:pt idx="15">
                  <c:v>1097.6071428571399</c:v>
                </c:pt>
                <c:pt idx="16">
                  <c:v>1201.8928571428601</c:v>
                </c:pt>
                <c:pt idx="17">
                  <c:v>1306.17857142857</c:v>
                </c:pt>
                <c:pt idx="18">
                  <c:v>1410.4642857142801</c:v>
                </c:pt>
                <c:pt idx="19">
                  <c:v>1514.75</c:v>
                </c:pt>
                <c:pt idx="20">
                  <c:v>1619.0357142857099</c:v>
                </c:pt>
                <c:pt idx="21">
                  <c:v>1723.32142857143</c:v>
                </c:pt>
                <c:pt idx="22">
                  <c:v>1827.6071428571399</c:v>
                </c:pt>
                <c:pt idx="23">
                  <c:v>1931.8928571428601</c:v>
                </c:pt>
                <c:pt idx="24">
                  <c:v>2036.17857142857</c:v>
                </c:pt>
                <c:pt idx="25">
                  <c:v>2140.464285714279</c:v>
                </c:pt>
                <c:pt idx="26">
                  <c:v>2244.75</c:v>
                </c:pt>
                <c:pt idx="27">
                  <c:v>2349.0357142857101</c:v>
                </c:pt>
                <c:pt idx="28">
                  <c:v>2453.3214285714298</c:v>
                </c:pt>
                <c:pt idx="29">
                  <c:v>2557.6071428571399</c:v>
                </c:pt>
                <c:pt idx="30">
                  <c:v>2661.8928571428601</c:v>
                </c:pt>
                <c:pt idx="31">
                  <c:v>2766.1785714285702</c:v>
                </c:pt>
                <c:pt idx="32">
                  <c:v>2870.464285714279</c:v>
                </c:pt>
                <c:pt idx="33">
                  <c:v>2974.75</c:v>
                </c:pt>
                <c:pt idx="34">
                  <c:v>3079.0357142857101</c:v>
                </c:pt>
                <c:pt idx="35">
                  <c:v>3183.3214285714298</c:v>
                </c:pt>
                <c:pt idx="36">
                  <c:v>3287.6071428571399</c:v>
                </c:pt>
                <c:pt idx="37">
                  <c:v>3391.8928571428601</c:v>
                </c:pt>
                <c:pt idx="38">
                  <c:v>3496.1785714285702</c:v>
                </c:pt>
                <c:pt idx="39">
                  <c:v>3600.464285714279</c:v>
                </c:pt>
                <c:pt idx="40">
                  <c:v>3704.75</c:v>
                </c:pt>
                <c:pt idx="41">
                  <c:v>3809.0357142857101</c:v>
                </c:pt>
                <c:pt idx="42">
                  <c:v>3913.3214285714298</c:v>
                </c:pt>
                <c:pt idx="43">
                  <c:v>4017.6071428571399</c:v>
                </c:pt>
                <c:pt idx="44">
                  <c:v>4121.8928571428596</c:v>
                </c:pt>
                <c:pt idx="45">
                  <c:v>4226.1785714285697</c:v>
                </c:pt>
                <c:pt idx="46">
                  <c:v>4330.4642857142799</c:v>
                </c:pt>
                <c:pt idx="47">
                  <c:v>4434.75</c:v>
                </c:pt>
                <c:pt idx="48">
                  <c:v>4539.0357142857101</c:v>
                </c:pt>
                <c:pt idx="49">
                  <c:v>4643.3214285714303</c:v>
                </c:pt>
                <c:pt idx="50">
                  <c:v>4747.6071428571404</c:v>
                </c:pt>
                <c:pt idx="51">
                  <c:v>4851.8928571428596</c:v>
                </c:pt>
                <c:pt idx="52">
                  <c:v>4956.1785714285697</c:v>
                </c:pt>
                <c:pt idx="53">
                  <c:v>5060.4642857142799</c:v>
                </c:pt>
                <c:pt idx="54">
                  <c:v>5164.75</c:v>
                </c:pt>
                <c:pt idx="55">
                  <c:v>5269.0357142857101</c:v>
                </c:pt>
                <c:pt idx="56">
                  <c:v>5373.3214285714303</c:v>
                </c:pt>
                <c:pt idx="57">
                  <c:v>5477.6071428571404</c:v>
                </c:pt>
                <c:pt idx="58">
                  <c:v>5581.8928571428596</c:v>
                </c:pt>
                <c:pt idx="59">
                  <c:v>5686.1785714285697</c:v>
                </c:pt>
                <c:pt idx="60">
                  <c:v>5790.4642857142799</c:v>
                </c:pt>
                <c:pt idx="61">
                  <c:v>5894.75</c:v>
                </c:pt>
                <c:pt idx="62">
                  <c:v>5999.0357142857101</c:v>
                </c:pt>
                <c:pt idx="63">
                  <c:v>6103.3214285714303</c:v>
                </c:pt>
                <c:pt idx="64">
                  <c:v>6207.6071428571404</c:v>
                </c:pt>
                <c:pt idx="65">
                  <c:v>6311.8928571428596</c:v>
                </c:pt>
                <c:pt idx="66">
                  <c:v>6416.1785714285697</c:v>
                </c:pt>
                <c:pt idx="67">
                  <c:v>6520.4642857142799</c:v>
                </c:pt>
                <c:pt idx="68">
                  <c:v>6624.75</c:v>
                </c:pt>
                <c:pt idx="69">
                  <c:v>6729.0357142857101</c:v>
                </c:pt>
                <c:pt idx="70">
                  <c:v>6833.3214285714303</c:v>
                </c:pt>
                <c:pt idx="71">
                  <c:v>6937.6071428571404</c:v>
                </c:pt>
                <c:pt idx="72">
                  <c:v>7041.8928571428596</c:v>
                </c:pt>
                <c:pt idx="73">
                  <c:v>7146.1785714285697</c:v>
                </c:pt>
                <c:pt idx="74">
                  <c:v>7250.4642857142799</c:v>
                </c:pt>
                <c:pt idx="75">
                  <c:v>7354.75</c:v>
                </c:pt>
                <c:pt idx="76">
                  <c:v>7459.0357142857101</c:v>
                </c:pt>
                <c:pt idx="77">
                  <c:v>7563.3214285714303</c:v>
                </c:pt>
                <c:pt idx="78">
                  <c:v>7667.6071428571404</c:v>
                </c:pt>
                <c:pt idx="79">
                  <c:v>7771.8928571428596</c:v>
                </c:pt>
                <c:pt idx="80">
                  <c:v>7876.1785714285697</c:v>
                </c:pt>
                <c:pt idx="81">
                  <c:v>7980.4642857142799</c:v>
                </c:pt>
                <c:pt idx="82">
                  <c:v>8084.75</c:v>
                </c:pt>
                <c:pt idx="83">
                  <c:v>8189.0357142857101</c:v>
                </c:pt>
                <c:pt idx="84">
                  <c:v>8293.3214285714294</c:v>
                </c:pt>
                <c:pt idx="85">
                  <c:v>8397.6071428571395</c:v>
                </c:pt>
                <c:pt idx="86">
                  <c:v>8501.8928571428605</c:v>
                </c:pt>
                <c:pt idx="87">
                  <c:v>8606.178571428567</c:v>
                </c:pt>
                <c:pt idx="88">
                  <c:v>8710.4642857142899</c:v>
                </c:pt>
                <c:pt idx="89">
                  <c:v>8814.75</c:v>
                </c:pt>
                <c:pt idx="90">
                  <c:v>8919.0357142857029</c:v>
                </c:pt>
                <c:pt idx="91">
                  <c:v>9023.3214285714294</c:v>
                </c:pt>
                <c:pt idx="92">
                  <c:v>9127.6071428571395</c:v>
                </c:pt>
                <c:pt idx="93">
                  <c:v>9231.8928571428605</c:v>
                </c:pt>
                <c:pt idx="94">
                  <c:v>9336.178571428567</c:v>
                </c:pt>
                <c:pt idx="95">
                  <c:v>9440.4642857142899</c:v>
                </c:pt>
                <c:pt idx="96">
                  <c:v>9544.75</c:v>
                </c:pt>
                <c:pt idx="97">
                  <c:v>9649.0357142857029</c:v>
                </c:pt>
                <c:pt idx="98">
                  <c:v>9753.3214285714294</c:v>
                </c:pt>
                <c:pt idx="99">
                  <c:v>9857.6071428571395</c:v>
                </c:pt>
              </c:numCache>
            </c:numRef>
          </c:yVal>
          <c:smooth val="1"/>
        </c:ser>
        <c:ser>
          <c:idx val="2"/>
          <c:order val="2"/>
          <c:tx>
            <c:strRef>
              <c:f>'difference in sub'!$AJ$44</c:f>
              <c:strCache>
                <c:ptCount val="1"/>
                <c:pt idx="0">
                  <c:v>PP and FTB, single, one child</c:v>
                </c:pt>
              </c:strCache>
            </c:strRef>
          </c:tx>
          <c:spPr>
            <a:ln>
              <a:solidFill>
                <a:srgbClr val="B2D673"/>
              </a:solidFill>
              <a:prstDash val="solid"/>
            </a:ln>
          </c:spPr>
          <c:marker>
            <c:symbol val="none"/>
          </c:marker>
          <c:xVal>
            <c:numRef>
              <c:f>'difference in sub'!$A$4:$A$103</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sub'!$D$4:$D$103</c:f>
              <c:numCache>
                <c:formatCode>0</c:formatCode>
                <c:ptCount val="100"/>
                <c:pt idx="0">
                  <c:v>-989.74964285713895</c:v>
                </c:pt>
                <c:pt idx="1">
                  <c:v>-963.67821428571199</c:v>
                </c:pt>
                <c:pt idx="2">
                  <c:v>-937.606785714284</c:v>
                </c:pt>
                <c:pt idx="3">
                  <c:v>-911.53535714285704</c:v>
                </c:pt>
                <c:pt idx="4">
                  <c:v>-885.46392857142837</c:v>
                </c:pt>
                <c:pt idx="5">
                  <c:v>-859.39249999999311</c:v>
                </c:pt>
                <c:pt idx="6">
                  <c:v>-833.32107142857399</c:v>
                </c:pt>
                <c:pt idx="7">
                  <c:v>-807.24964285713895</c:v>
                </c:pt>
                <c:pt idx="8">
                  <c:v>-781.17821428571199</c:v>
                </c:pt>
                <c:pt idx="9">
                  <c:v>-755.106785714284</c:v>
                </c:pt>
                <c:pt idx="10">
                  <c:v>-729.03535714285704</c:v>
                </c:pt>
                <c:pt idx="11">
                  <c:v>-680.80321428571096</c:v>
                </c:pt>
                <c:pt idx="12">
                  <c:v>-576.51749999999311</c:v>
                </c:pt>
                <c:pt idx="13">
                  <c:v>-472.23178571428321</c:v>
                </c:pt>
                <c:pt idx="14">
                  <c:v>-367.94607142856682</c:v>
                </c:pt>
                <c:pt idx="15">
                  <c:v>-263.660357142853</c:v>
                </c:pt>
                <c:pt idx="16">
                  <c:v>-159.37464285713901</c:v>
                </c:pt>
                <c:pt idx="17">
                  <c:v>-55.088928571422002</c:v>
                </c:pt>
                <c:pt idx="18">
                  <c:v>49.196785714288097</c:v>
                </c:pt>
                <c:pt idx="19">
                  <c:v>153.48250000000601</c:v>
                </c:pt>
                <c:pt idx="20">
                  <c:v>257.768214285716</c:v>
                </c:pt>
                <c:pt idx="21">
                  <c:v>362.053928571433</c:v>
                </c:pt>
                <c:pt idx="22">
                  <c:v>466.339642857147</c:v>
                </c:pt>
                <c:pt idx="23">
                  <c:v>570.62535714286105</c:v>
                </c:pt>
                <c:pt idx="24">
                  <c:v>674.911071428578</c:v>
                </c:pt>
                <c:pt idx="25">
                  <c:v>779.19678571428801</c:v>
                </c:pt>
                <c:pt idx="26">
                  <c:v>883.48250000000598</c:v>
                </c:pt>
                <c:pt idx="27">
                  <c:v>987.76821428571498</c:v>
                </c:pt>
                <c:pt idx="28">
                  <c:v>1092.0539285714301</c:v>
                </c:pt>
                <c:pt idx="29">
                  <c:v>1196.33964285715</c:v>
                </c:pt>
                <c:pt idx="30">
                  <c:v>1300.6253571428599</c:v>
                </c:pt>
                <c:pt idx="31">
                  <c:v>1404.91107142858</c:v>
                </c:pt>
                <c:pt idx="32">
                  <c:v>1509.1967857142899</c:v>
                </c:pt>
                <c:pt idx="33">
                  <c:v>1613.4825000000101</c:v>
                </c:pt>
                <c:pt idx="34">
                  <c:v>1717.76821428572</c:v>
                </c:pt>
                <c:pt idx="35">
                  <c:v>1822.0539285714301</c:v>
                </c:pt>
                <c:pt idx="36">
                  <c:v>1926.33964285715</c:v>
                </c:pt>
                <c:pt idx="37">
                  <c:v>2030.6253571428599</c:v>
                </c:pt>
                <c:pt idx="38">
                  <c:v>2134.9110714285798</c:v>
                </c:pt>
                <c:pt idx="39">
                  <c:v>2239.196785714289</c:v>
                </c:pt>
                <c:pt idx="40">
                  <c:v>2343.4825000000101</c:v>
                </c:pt>
                <c:pt idx="41">
                  <c:v>2447.7682142857202</c:v>
                </c:pt>
                <c:pt idx="42">
                  <c:v>2552.0539285714299</c:v>
                </c:pt>
                <c:pt idx="43">
                  <c:v>2656.33964285715</c:v>
                </c:pt>
                <c:pt idx="44">
                  <c:v>2760.6253571428601</c:v>
                </c:pt>
                <c:pt idx="45">
                  <c:v>2864.9110714285798</c:v>
                </c:pt>
                <c:pt idx="46">
                  <c:v>2969.196785714289</c:v>
                </c:pt>
                <c:pt idx="47">
                  <c:v>3073.4825000000101</c:v>
                </c:pt>
                <c:pt idx="48">
                  <c:v>3177.7682142857202</c:v>
                </c:pt>
                <c:pt idx="49">
                  <c:v>3282.0539285714299</c:v>
                </c:pt>
                <c:pt idx="50">
                  <c:v>3386.33964285715</c:v>
                </c:pt>
                <c:pt idx="51">
                  <c:v>3490.6253571428601</c:v>
                </c:pt>
                <c:pt idx="52">
                  <c:v>3594.9110714285798</c:v>
                </c:pt>
                <c:pt idx="53">
                  <c:v>3699.196785714289</c:v>
                </c:pt>
                <c:pt idx="54">
                  <c:v>3803.4825000000101</c:v>
                </c:pt>
                <c:pt idx="55">
                  <c:v>3907.7682142857202</c:v>
                </c:pt>
                <c:pt idx="56">
                  <c:v>4012.0539285714299</c:v>
                </c:pt>
                <c:pt idx="57">
                  <c:v>4116.3396428571496</c:v>
                </c:pt>
                <c:pt idx="58">
                  <c:v>4220.6253571428597</c:v>
                </c:pt>
                <c:pt idx="59">
                  <c:v>4324.9110714285798</c:v>
                </c:pt>
                <c:pt idx="60">
                  <c:v>4429.1967857142899</c:v>
                </c:pt>
                <c:pt idx="61">
                  <c:v>4533.4825000000101</c:v>
                </c:pt>
                <c:pt idx="62">
                  <c:v>4637.7682142857202</c:v>
                </c:pt>
                <c:pt idx="63">
                  <c:v>4742.0539285714303</c:v>
                </c:pt>
                <c:pt idx="64">
                  <c:v>4846.3396428571496</c:v>
                </c:pt>
                <c:pt idx="65">
                  <c:v>4950.6253571428597</c:v>
                </c:pt>
                <c:pt idx="66">
                  <c:v>5054.9110714285798</c:v>
                </c:pt>
                <c:pt idx="67">
                  <c:v>5159.1967857142899</c:v>
                </c:pt>
                <c:pt idx="68">
                  <c:v>5263.4825000000001</c:v>
                </c:pt>
                <c:pt idx="69">
                  <c:v>5367.7682142857202</c:v>
                </c:pt>
                <c:pt idx="70">
                  <c:v>5472.0539285714303</c:v>
                </c:pt>
                <c:pt idx="71">
                  <c:v>5576.3396428571496</c:v>
                </c:pt>
                <c:pt idx="72">
                  <c:v>5680.6253571428597</c:v>
                </c:pt>
                <c:pt idx="73">
                  <c:v>5784.9110714285798</c:v>
                </c:pt>
                <c:pt idx="74">
                  <c:v>5889.1967857142899</c:v>
                </c:pt>
                <c:pt idx="75">
                  <c:v>5993.4825000000001</c:v>
                </c:pt>
                <c:pt idx="76">
                  <c:v>6097.7682142857202</c:v>
                </c:pt>
                <c:pt idx="77">
                  <c:v>6202.0539285714303</c:v>
                </c:pt>
                <c:pt idx="78">
                  <c:v>6306.3396428571496</c:v>
                </c:pt>
                <c:pt idx="79">
                  <c:v>6410.6253571428597</c:v>
                </c:pt>
                <c:pt idx="80">
                  <c:v>6514.9110714285798</c:v>
                </c:pt>
                <c:pt idx="81">
                  <c:v>6619.1967857142899</c:v>
                </c:pt>
                <c:pt idx="82">
                  <c:v>6723.4825000000001</c:v>
                </c:pt>
                <c:pt idx="83">
                  <c:v>6827.7682142857202</c:v>
                </c:pt>
                <c:pt idx="84">
                  <c:v>6932.0539285714303</c:v>
                </c:pt>
                <c:pt idx="85">
                  <c:v>7036.3396428571496</c:v>
                </c:pt>
                <c:pt idx="86">
                  <c:v>7140.6253571428597</c:v>
                </c:pt>
                <c:pt idx="87">
                  <c:v>7244.9110714285698</c:v>
                </c:pt>
                <c:pt idx="88">
                  <c:v>7349.1967857142899</c:v>
                </c:pt>
                <c:pt idx="89">
                  <c:v>7453.4825000000101</c:v>
                </c:pt>
                <c:pt idx="90">
                  <c:v>7557.7682142857202</c:v>
                </c:pt>
                <c:pt idx="91">
                  <c:v>7662.0539285714303</c:v>
                </c:pt>
                <c:pt idx="92">
                  <c:v>7766.3396428571496</c:v>
                </c:pt>
                <c:pt idx="93">
                  <c:v>7870.6253571428597</c:v>
                </c:pt>
                <c:pt idx="94">
                  <c:v>7974.9110714285698</c:v>
                </c:pt>
                <c:pt idx="95">
                  <c:v>8079.1967857142899</c:v>
                </c:pt>
                <c:pt idx="96">
                  <c:v>8183.4825000000101</c:v>
                </c:pt>
                <c:pt idx="97">
                  <c:v>8287.7682142857047</c:v>
                </c:pt>
                <c:pt idx="98">
                  <c:v>8392.0539285714294</c:v>
                </c:pt>
                <c:pt idx="99">
                  <c:v>8496.3396428571505</c:v>
                </c:pt>
              </c:numCache>
            </c:numRef>
          </c:yVal>
          <c:smooth val="1"/>
        </c:ser>
        <c:dLbls>
          <c:showLegendKey val="0"/>
          <c:showVal val="0"/>
          <c:showCatName val="0"/>
          <c:showSerName val="0"/>
          <c:showPercent val="0"/>
          <c:showBubbleSize val="0"/>
        </c:dLbls>
        <c:axId val="48603136"/>
        <c:axId val="48605056"/>
      </c:scatterChart>
      <c:valAx>
        <c:axId val="48603136"/>
        <c:scaling>
          <c:orientation val="minMax"/>
          <c:max val="300"/>
          <c:min val="150"/>
        </c:scaling>
        <c:delete val="0"/>
        <c:axPos val="b"/>
        <c:title>
          <c:tx>
            <c:rich>
              <a:bodyPr/>
              <a:lstStyle/>
              <a:p>
                <a:pPr>
                  <a:defRPr/>
                </a:pPr>
                <a:r>
                  <a:rPr lang="en-US"/>
                  <a:t>Weekly market rent</a:t>
                </a:r>
              </a:p>
            </c:rich>
          </c:tx>
          <c:layout/>
          <c:overlay val="0"/>
        </c:title>
        <c:numFmt formatCode="General" sourceLinked="1"/>
        <c:majorTickMark val="out"/>
        <c:minorTickMark val="none"/>
        <c:tickLblPos val="low"/>
        <c:spPr>
          <a:ln>
            <a:solidFill>
              <a:srgbClr val="BFBFBF"/>
            </a:solidFill>
          </a:ln>
        </c:spPr>
        <c:crossAx val="48605056"/>
        <c:crossesAt val="0"/>
        <c:crossBetween val="midCat"/>
        <c:majorUnit val="25"/>
      </c:valAx>
      <c:valAx>
        <c:axId val="48605056"/>
        <c:scaling>
          <c:orientation val="minMax"/>
          <c:max val="10000"/>
        </c:scaling>
        <c:delete val="0"/>
        <c:axPos val="l"/>
        <c:majorGridlines>
          <c:spPr>
            <a:ln>
              <a:solidFill>
                <a:sysClr val="window" lastClr="FFFFFF">
                  <a:lumMod val="65000"/>
                </a:sysClr>
              </a:solidFill>
            </a:ln>
          </c:spPr>
        </c:majorGridlines>
        <c:title>
          <c:tx>
            <c:rich>
              <a:bodyPr rot="-5400000" vert="horz"/>
              <a:lstStyle/>
              <a:p>
                <a:pPr>
                  <a:defRPr/>
                </a:pPr>
                <a:r>
                  <a:rPr lang="en-US"/>
                  <a:t>Difference in post rent income ($)</a:t>
                </a:r>
              </a:p>
            </c:rich>
          </c:tx>
          <c:layout>
            <c:manualLayout>
              <c:xMode val="edge"/>
              <c:yMode val="edge"/>
              <c:x val="3.6279212878141559E-3"/>
              <c:y val="6.4485853859014952E-2"/>
            </c:manualLayout>
          </c:layout>
          <c:overlay val="0"/>
        </c:title>
        <c:numFmt formatCode="#\ ##0" sourceLinked="0"/>
        <c:majorTickMark val="none"/>
        <c:minorTickMark val="none"/>
        <c:tickLblPos val="nextTo"/>
        <c:crossAx val="48603136"/>
        <c:crosses val="autoZero"/>
        <c:crossBetween val="midCat"/>
      </c:valAx>
    </c:plotArea>
    <c:legend>
      <c:legendPos val="b"/>
      <c:layout>
        <c:manualLayout>
          <c:xMode val="edge"/>
          <c:yMode val="edge"/>
          <c:x val="2.6347417052442154E-3"/>
          <c:y val="0.92411055379643381"/>
          <c:w val="0.99236225134380407"/>
          <c:h val="7.5695711900459053E-2"/>
        </c:manualLayout>
      </c:layout>
      <c:overlay val="0"/>
    </c:legend>
    <c:plotVisOnly val="1"/>
    <c:dispBlanksAs val="gap"/>
    <c:showDLblsOverMax val="0"/>
  </c:chart>
  <c:spPr>
    <a:ln>
      <a:noFill/>
    </a:ln>
  </c:spPr>
  <c:txPr>
    <a:bodyPr/>
    <a:lstStyle/>
    <a:p>
      <a:pPr>
        <a:defRPr sz="900" baseline="0">
          <a:latin typeface="Arial" panose="020B0604020202020204" pitchFamily="34" charset="0"/>
        </a:defRPr>
      </a:pPr>
      <a:endParaRPr lang="en-US"/>
    </a:p>
  </c:txPr>
  <c:externalData r:id="rId2">
    <c:autoUpdate val="0"/>
  </c:externalData>
  <c:userShapes r:id="rId3"/>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8872600477877"/>
          <c:y val="2.8177311169437148E-2"/>
          <c:w val="0.83513278267666713"/>
          <c:h val="0.74739494684800567"/>
        </c:manualLayout>
      </c:layout>
      <c:scatterChart>
        <c:scatterStyle val="smoothMarker"/>
        <c:varyColors val="0"/>
        <c:ser>
          <c:idx val="0"/>
          <c:order val="0"/>
          <c:tx>
            <c:strRef>
              <c:f>'difference in sub'!$K$2</c:f>
              <c:strCache>
                <c:ptCount val="1"/>
                <c:pt idx="0">
                  <c:v>NWS, single, childless</c:v>
                </c:pt>
              </c:strCache>
            </c:strRef>
          </c:tx>
          <c:spPr>
            <a:ln w="31750">
              <a:solidFill>
                <a:srgbClr val="78A22F"/>
              </a:solidFill>
              <a:prstDash val="sysDot"/>
            </a:ln>
          </c:spPr>
          <c:marker>
            <c:symbol val="none"/>
          </c:marker>
          <c:xVal>
            <c:numRef>
              <c:f>'difference in sub'!$A$3:$A$102</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sub'!$K$3:$K$102</c:f>
              <c:numCache>
                <c:formatCode>0.0</c:formatCode>
                <c:ptCount val="100"/>
                <c:pt idx="0">
                  <c:v>-790.20535726428704</c:v>
                </c:pt>
                <c:pt idx="1">
                  <c:v>-685.91964297857305</c:v>
                </c:pt>
                <c:pt idx="2">
                  <c:v>-581.63392869285997</c:v>
                </c:pt>
                <c:pt idx="3">
                  <c:v>-477.34821440714597</c:v>
                </c:pt>
                <c:pt idx="4">
                  <c:v>-373.06250012142999</c:v>
                </c:pt>
                <c:pt idx="5">
                  <c:v>-268.77678583571702</c:v>
                </c:pt>
                <c:pt idx="6">
                  <c:v>-164.491071550003</c:v>
                </c:pt>
                <c:pt idx="7">
                  <c:v>-60.205357264287201</c:v>
                </c:pt>
                <c:pt idx="8">
                  <c:v>44.0803570214266</c:v>
                </c:pt>
                <c:pt idx="9">
                  <c:v>148.36607130714</c:v>
                </c:pt>
                <c:pt idx="10">
                  <c:v>252.65178559285599</c:v>
                </c:pt>
                <c:pt idx="11">
                  <c:v>356.93749987857001</c:v>
                </c:pt>
                <c:pt idx="12">
                  <c:v>461.22321416428298</c:v>
                </c:pt>
                <c:pt idx="13">
                  <c:v>565.50892844999703</c:v>
                </c:pt>
                <c:pt idx="14">
                  <c:v>669.79464273571296</c:v>
                </c:pt>
                <c:pt idx="15">
                  <c:v>774.08035702142695</c:v>
                </c:pt>
                <c:pt idx="16">
                  <c:v>878.36607130714003</c:v>
                </c:pt>
                <c:pt idx="17">
                  <c:v>982.65178559285596</c:v>
                </c:pt>
                <c:pt idx="18">
                  <c:v>1086.93749987857</c:v>
                </c:pt>
                <c:pt idx="19">
                  <c:v>1191.2232141642801</c:v>
                </c:pt>
                <c:pt idx="20">
                  <c:v>1295.50892845</c:v>
                </c:pt>
                <c:pt idx="21">
                  <c:v>1399.7946427357101</c:v>
                </c:pt>
                <c:pt idx="22">
                  <c:v>1504.08035702143</c:v>
                </c:pt>
                <c:pt idx="23">
                  <c:v>1608.3660713071399</c:v>
                </c:pt>
                <c:pt idx="24">
                  <c:v>1712.6517855928601</c:v>
                </c:pt>
                <c:pt idx="25">
                  <c:v>1816.93749987857</c:v>
                </c:pt>
                <c:pt idx="26">
                  <c:v>1921.2232141642801</c:v>
                </c:pt>
                <c:pt idx="27">
                  <c:v>2025.50892845</c:v>
                </c:pt>
                <c:pt idx="28">
                  <c:v>2129.7946427357101</c:v>
                </c:pt>
                <c:pt idx="29">
                  <c:v>2234.0803570214298</c:v>
                </c:pt>
                <c:pt idx="30">
                  <c:v>2338.3660713071399</c:v>
                </c:pt>
                <c:pt idx="31">
                  <c:v>2442.6517855928601</c:v>
                </c:pt>
                <c:pt idx="32">
                  <c:v>2546.9374998785702</c:v>
                </c:pt>
                <c:pt idx="33">
                  <c:v>2651.2232141642799</c:v>
                </c:pt>
                <c:pt idx="34">
                  <c:v>2755.50892845</c:v>
                </c:pt>
                <c:pt idx="35">
                  <c:v>2859.7946427357101</c:v>
                </c:pt>
                <c:pt idx="36">
                  <c:v>2964.0803570214298</c:v>
                </c:pt>
                <c:pt idx="37">
                  <c:v>3068.3660713071399</c:v>
                </c:pt>
                <c:pt idx="38">
                  <c:v>3172.6517855928601</c:v>
                </c:pt>
                <c:pt idx="39">
                  <c:v>3276.9374998785702</c:v>
                </c:pt>
                <c:pt idx="40">
                  <c:v>3381.2232141642799</c:v>
                </c:pt>
                <c:pt idx="41">
                  <c:v>3485.50892845</c:v>
                </c:pt>
                <c:pt idx="42">
                  <c:v>3589.7946427357101</c:v>
                </c:pt>
                <c:pt idx="43">
                  <c:v>3694.0803570214298</c:v>
                </c:pt>
                <c:pt idx="44">
                  <c:v>3798.3660713071399</c:v>
                </c:pt>
                <c:pt idx="45">
                  <c:v>3902.6517855928601</c:v>
                </c:pt>
                <c:pt idx="46">
                  <c:v>4006.9374998785702</c:v>
                </c:pt>
                <c:pt idx="47">
                  <c:v>4111.2232141642799</c:v>
                </c:pt>
                <c:pt idx="48">
                  <c:v>4215.50892845</c:v>
                </c:pt>
                <c:pt idx="49">
                  <c:v>4319.7946427357101</c:v>
                </c:pt>
                <c:pt idx="50">
                  <c:v>4424.0803570214302</c:v>
                </c:pt>
                <c:pt idx="51">
                  <c:v>4528.3660713071404</c:v>
                </c:pt>
                <c:pt idx="52">
                  <c:v>4632.6517855928596</c:v>
                </c:pt>
                <c:pt idx="53">
                  <c:v>4736.9374998785697</c:v>
                </c:pt>
                <c:pt idx="54">
                  <c:v>4841.2232141642799</c:v>
                </c:pt>
                <c:pt idx="55">
                  <c:v>4945.50892845</c:v>
                </c:pt>
                <c:pt idx="56">
                  <c:v>5049.7946427357101</c:v>
                </c:pt>
                <c:pt idx="57">
                  <c:v>5154.0803570214302</c:v>
                </c:pt>
                <c:pt idx="58">
                  <c:v>5258.3660713071404</c:v>
                </c:pt>
                <c:pt idx="59">
                  <c:v>5362.6517855928596</c:v>
                </c:pt>
                <c:pt idx="60">
                  <c:v>5466.9374998785697</c:v>
                </c:pt>
                <c:pt idx="61">
                  <c:v>5571.2232141642799</c:v>
                </c:pt>
                <c:pt idx="62">
                  <c:v>5675.50892845</c:v>
                </c:pt>
                <c:pt idx="63">
                  <c:v>5779.7946427357101</c:v>
                </c:pt>
                <c:pt idx="64">
                  <c:v>5884.0803570214302</c:v>
                </c:pt>
                <c:pt idx="65">
                  <c:v>5988.3660713071404</c:v>
                </c:pt>
                <c:pt idx="66">
                  <c:v>6092.6517855928596</c:v>
                </c:pt>
                <c:pt idx="67">
                  <c:v>6196.9374998785697</c:v>
                </c:pt>
                <c:pt idx="68">
                  <c:v>6301.2232141642799</c:v>
                </c:pt>
                <c:pt idx="69">
                  <c:v>6405.50892845</c:v>
                </c:pt>
                <c:pt idx="70">
                  <c:v>6509.7946427357101</c:v>
                </c:pt>
                <c:pt idx="71">
                  <c:v>6614.0803570214302</c:v>
                </c:pt>
                <c:pt idx="72">
                  <c:v>6718.3660713071404</c:v>
                </c:pt>
                <c:pt idx="73">
                  <c:v>6822.6517855928596</c:v>
                </c:pt>
                <c:pt idx="74">
                  <c:v>6926.9374998785697</c:v>
                </c:pt>
                <c:pt idx="75">
                  <c:v>7031.2232141642799</c:v>
                </c:pt>
                <c:pt idx="76">
                  <c:v>7135.50892845</c:v>
                </c:pt>
                <c:pt idx="77">
                  <c:v>7239.7946427357101</c:v>
                </c:pt>
                <c:pt idx="78">
                  <c:v>7344.0803570214302</c:v>
                </c:pt>
                <c:pt idx="79">
                  <c:v>7448.3660713071404</c:v>
                </c:pt>
                <c:pt idx="80">
                  <c:v>7552.6517855928596</c:v>
                </c:pt>
                <c:pt idx="81">
                  <c:v>7656.9374998785697</c:v>
                </c:pt>
                <c:pt idx="82">
                  <c:v>7761.2232141642799</c:v>
                </c:pt>
                <c:pt idx="83">
                  <c:v>7865.50892845</c:v>
                </c:pt>
                <c:pt idx="84">
                  <c:v>7969.7946427357101</c:v>
                </c:pt>
                <c:pt idx="85">
                  <c:v>8074.0803570214302</c:v>
                </c:pt>
                <c:pt idx="86">
                  <c:v>8178.3660713071404</c:v>
                </c:pt>
                <c:pt idx="87">
                  <c:v>8282.6517855928505</c:v>
                </c:pt>
                <c:pt idx="88">
                  <c:v>8386.9374998785697</c:v>
                </c:pt>
                <c:pt idx="89">
                  <c:v>8491.2232141642908</c:v>
                </c:pt>
                <c:pt idx="90">
                  <c:v>8595.5089284500009</c:v>
                </c:pt>
                <c:pt idx="91">
                  <c:v>8699.7946427357092</c:v>
                </c:pt>
                <c:pt idx="92">
                  <c:v>8804.0803570214302</c:v>
                </c:pt>
                <c:pt idx="93">
                  <c:v>8908.3660713071404</c:v>
                </c:pt>
                <c:pt idx="94">
                  <c:v>9012.6517855928505</c:v>
                </c:pt>
                <c:pt idx="95">
                  <c:v>9116.9374998785697</c:v>
                </c:pt>
                <c:pt idx="96">
                  <c:v>9221.2232141642908</c:v>
                </c:pt>
                <c:pt idx="97">
                  <c:v>9325.5089284500009</c:v>
                </c:pt>
                <c:pt idx="98">
                  <c:v>9429.7946427357092</c:v>
                </c:pt>
                <c:pt idx="99">
                  <c:v>9534.0803570214302</c:v>
                </c:pt>
              </c:numCache>
            </c:numRef>
          </c:yVal>
          <c:smooth val="1"/>
        </c:ser>
        <c:ser>
          <c:idx val="1"/>
          <c:order val="1"/>
          <c:tx>
            <c:strRef>
              <c:f>'difference in sub'!$L$2</c:f>
              <c:strCache>
                <c:ptCount val="1"/>
                <c:pt idx="0">
                  <c:v>DSP, single, childless</c:v>
                </c:pt>
              </c:strCache>
            </c:strRef>
          </c:tx>
          <c:spPr>
            <a:ln>
              <a:solidFill>
                <a:srgbClr val="265A9A"/>
              </a:solidFill>
              <a:prstDash val="solid"/>
            </a:ln>
          </c:spPr>
          <c:marker>
            <c:symbol val="none"/>
          </c:marker>
          <c:xVal>
            <c:numRef>
              <c:f>'difference in sub'!$A$3:$A$102</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sub'!$L$3:$L$102</c:f>
              <c:numCache>
                <c:formatCode>0.0</c:formatCode>
                <c:ptCount val="100"/>
                <c:pt idx="0">
                  <c:v>-1738.1071431785699</c:v>
                </c:pt>
                <c:pt idx="1">
                  <c:v>-1633.82142889286</c:v>
                </c:pt>
                <c:pt idx="2">
                  <c:v>-1529.5357146071401</c:v>
                </c:pt>
                <c:pt idx="3">
                  <c:v>-1425.25000032143</c:v>
                </c:pt>
                <c:pt idx="4">
                  <c:v>-1320.9642860357101</c:v>
                </c:pt>
                <c:pt idx="5">
                  <c:v>-1216.6785717499999</c:v>
                </c:pt>
                <c:pt idx="6">
                  <c:v>-1112.39285746429</c:v>
                </c:pt>
                <c:pt idx="7">
                  <c:v>-1008.10714317857</c:v>
                </c:pt>
                <c:pt idx="8">
                  <c:v>-903.82142889285797</c:v>
                </c:pt>
                <c:pt idx="9">
                  <c:v>-799.53571460714397</c:v>
                </c:pt>
                <c:pt idx="10">
                  <c:v>-695.25000032142998</c:v>
                </c:pt>
                <c:pt idx="11">
                  <c:v>-590.96428603571303</c:v>
                </c:pt>
                <c:pt idx="12">
                  <c:v>-486.67857175000199</c:v>
                </c:pt>
                <c:pt idx="13">
                  <c:v>-382.39285746428499</c:v>
                </c:pt>
                <c:pt idx="14">
                  <c:v>-278.10714317857099</c:v>
                </c:pt>
                <c:pt idx="15">
                  <c:v>-173.82142889285799</c:v>
                </c:pt>
                <c:pt idx="16">
                  <c:v>-69.535714607143703</c:v>
                </c:pt>
                <c:pt idx="17">
                  <c:v>34.749999678569999</c:v>
                </c:pt>
                <c:pt idx="18">
                  <c:v>139.035713964287</c:v>
                </c:pt>
                <c:pt idx="19">
                  <c:v>243.32142824999801</c:v>
                </c:pt>
                <c:pt idx="20">
                  <c:v>347.60714253571501</c:v>
                </c:pt>
                <c:pt idx="21">
                  <c:v>451.89285682142901</c:v>
                </c:pt>
                <c:pt idx="22">
                  <c:v>556.17857110714203</c:v>
                </c:pt>
                <c:pt idx="23">
                  <c:v>660.46428539285603</c:v>
                </c:pt>
                <c:pt idx="24">
                  <c:v>764.74999967857002</c:v>
                </c:pt>
                <c:pt idx="25">
                  <c:v>869.03571396428697</c:v>
                </c:pt>
                <c:pt idx="26">
                  <c:v>973.32142824999801</c:v>
                </c:pt>
                <c:pt idx="27">
                  <c:v>1077.60714253571</c:v>
                </c:pt>
                <c:pt idx="28">
                  <c:v>1181.8928568214301</c:v>
                </c:pt>
                <c:pt idx="29">
                  <c:v>1286.17857110714</c:v>
                </c:pt>
                <c:pt idx="30">
                  <c:v>1390.4642853928599</c:v>
                </c:pt>
                <c:pt idx="31">
                  <c:v>1494.74999967857</c:v>
                </c:pt>
                <c:pt idx="32">
                  <c:v>1599.0357139642899</c:v>
                </c:pt>
                <c:pt idx="33">
                  <c:v>1703.3214282500001</c:v>
                </c:pt>
                <c:pt idx="34">
                  <c:v>1807.60714253571</c:v>
                </c:pt>
                <c:pt idx="35">
                  <c:v>1911.8928568214301</c:v>
                </c:pt>
                <c:pt idx="36">
                  <c:v>2016.17857110714</c:v>
                </c:pt>
                <c:pt idx="37">
                  <c:v>2120.4642853928599</c:v>
                </c:pt>
                <c:pt idx="38">
                  <c:v>2224.74999967857</c:v>
                </c:pt>
                <c:pt idx="39">
                  <c:v>2329.0357139642902</c:v>
                </c:pt>
                <c:pt idx="40">
                  <c:v>2433.3214282499998</c:v>
                </c:pt>
                <c:pt idx="41">
                  <c:v>2537.60714253571</c:v>
                </c:pt>
                <c:pt idx="42">
                  <c:v>2641.8928568214301</c:v>
                </c:pt>
                <c:pt idx="43">
                  <c:v>2746.1785711071402</c:v>
                </c:pt>
                <c:pt idx="44">
                  <c:v>2850.4642853928599</c:v>
                </c:pt>
                <c:pt idx="45">
                  <c:v>2954.74999967857</c:v>
                </c:pt>
                <c:pt idx="46">
                  <c:v>3059.0357139642902</c:v>
                </c:pt>
                <c:pt idx="47">
                  <c:v>3163.3214282499998</c:v>
                </c:pt>
                <c:pt idx="48">
                  <c:v>3267.60714253571</c:v>
                </c:pt>
                <c:pt idx="49">
                  <c:v>3371.8928568214301</c:v>
                </c:pt>
                <c:pt idx="50">
                  <c:v>3476.1785711071402</c:v>
                </c:pt>
                <c:pt idx="51">
                  <c:v>3580.4642853928599</c:v>
                </c:pt>
                <c:pt idx="52">
                  <c:v>3684.74999967857</c:v>
                </c:pt>
                <c:pt idx="53">
                  <c:v>3789.0357139642902</c:v>
                </c:pt>
                <c:pt idx="54">
                  <c:v>3893.3214282499998</c:v>
                </c:pt>
                <c:pt idx="55">
                  <c:v>3997.60714253571</c:v>
                </c:pt>
                <c:pt idx="56">
                  <c:v>4101.8928568214296</c:v>
                </c:pt>
                <c:pt idx="57">
                  <c:v>4206.1785711071398</c:v>
                </c:pt>
                <c:pt idx="58">
                  <c:v>4310.4642853928599</c:v>
                </c:pt>
                <c:pt idx="59">
                  <c:v>4414.74999967857</c:v>
                </c:pt>
                <c:pt idx="60">
                  <c:v>4519.0357139642902</c:v>
                </c:pt>
                <c:pt idx="61">
                  <c:v>4623.3214282500003</c:v>
                </c:pt>
                <c:pt idx="62">
                  <c:v>4727.6071425357104</c:v>
                </c:pt>
                <c:pt idx="63">
                  <c:v>4831.8928568214296</c:v>
                </c:pt>
                <c:pt idx="64">
                  <c:v>4936.1785711071398</c:v>
                </c:pt>
                <c:pt idx="65">
                  <c:v>5040.4642853928599</c:v>
                </c:pt>
                <c:pt idx="66">
                  <c:v>5144.74999967857</c:v>
                </c:pt>
                <c:pt idx="67">
                  <c:v>5249.0357139642902</c:v>
                </c:pt>
                <c:pt idx="68">
                  <c:v>5353.3214282500003</c:v>
                </c:pt>
                <c:pt idx="69">
                  <c:v>5457.6071425357104</c:v>
                </c:pt>
                <c:pt idx="70">
                  <c:v>5561.8928568214296</c:v>
                </c:pt>
                <c:pt idx="71">
                  <c:v>5666.1785711071398</c:v>
                </c:pt>
                <c:pt idx="72">
                  <c:v>5770.4642853928599</c:v>
                </c:pt>
                <c:pt idx="73">
                  <c:v>5874.74999967857</c:v>
                </c:pt>
                <c:pt idx="74">
                  <c:v>5979.0357139642902</c:v>
                </c:pt>
                <c:pt idx="75">
                  <c:v>6083.3214282500003</c:v>
                </c:pt>
                <c:pt idx="76">
                  <c:v>6187.6071425357104</c:v>
                </c:pt>
                <c:pt idx="77">
                  <c:v>6291.8928568214296</c:v>
                </c:pt>
                <c:pt idx="78">
                  <c:v>6396.1785711071398</c:v>
                </c:pt>
                <c:pt idx="79">
                  <c:v>6500.4642853928599</c:v>
                </c:pt>
                <c:pt idx="80">
                  <c:v>6604.74999967857</c:v>
                </c:pt>
                <c:pt idx="81">
                  <c:v>6709.0357139642902</c:v>
                </c:pt>
                <c:pt idx="82">
                  <c:v>6813.3214282500003</c:v>
                </c:pt>
                <c:pt idx="83">
                  <c:v>6917.6071425357104</c:v>
                </c:pt>
                <c:pt idx="84">
                  <c:v>7021.8928568214296</c:v>
                </c:pt>
                <c:pt idx="85">
                  <c:v>7126.1785711071398</c:v>
                </c:pt>
                <c:pt idx="86">
                  <c:v>7230.4642853928599</c:v>
                </c:pt>
                <c:pt idx="87">
                  <c:v>7334.74999967857</c:v>
                </c:pt>
                <c:pt idx="88">
                  <c:v>7439.0357139642902</c:v>
                </c:pt>
                <c:pt idx="89">
                  <c:v>7543.3214282500003</c:v>
                </c:pt>
                <c:pt idx="90">
                  <c:v>7647.6071425357104</c:v>
                </c:pt>
                <c:pt idx="91">
                  <c:v>7751.8928568214296</c:v>
                </c:pt>
                <c:pt idx="92">
                  <c:v>7856.1785711071398</c:v>
                </c:pt>
                <c:pt idx="93">
                  <c:v>7960.4642853928599</c:v>
                </c:pt>
                <c:pt idx="94">
                  <c:v>8064.74999967857</c:v>
                </c:pt>
                <c:pt idx="95">
                  <c:v>8169.0357139642902</c:v>
                </c:pt>
                <c:pt idx="96">
                  <c:v>8273.3214282499994</c:v>
                </c:pt>
                <c:pt idx="97">
                  <c:v>8377.6071425357095</c:v>
                </c:pt>
                <c:pt idx="98">
                  <c:v>8481.8928568214305</c:v>
                </c:pt>
                <c:pt idx="99">
                  <c:v>8586.1785711071407</c:v>
                </c:pt>
              </c:numCache>
            </c:numRef>
          </c:yVal>
          <c:smooth val="1"/>
        </c:ser>
        <c:ser>
          <c:idx val="3"/>
          <c:order val="2"/>
          <c:tx>
            <c:strRef>
              <c:f>'difference in sub'!$W$1</c:f>
              <c:strCache>
                <c:ptCount val="1"/>
                <c:pt idx="0">
                  <c:v>NEW PP &amp; FTB</c:v>
                </c:pt>
              </c:strCache>
            </c:strRef>
          </c:tx>
          <c:spPr>
            <a:ln>
              <a:solidFill>
                <a:srgbClr val="78A22F"/>
              </a:solidFill>
              <a:prstDash val="solid"/>
            </a:ln>
          </c:spPr>
          <c:marker>
            <c:symbol val="none"/>
          </c:marker>
          <c:xVal>
            <c:numRef>
              <c:f>'difference in sub'!$A$3:$A$102</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sub'!$W$3:$W$102</c:f>
              <c:numCache>
                <c:formatCode>0</c:formatCode>
                <c:ptCount val="100"/>
                <c:pt idx="0">
                  <c:v>-4091.9278571428586</c:v>
                </c:pt>
                <c:pt idx="1">
                  <c:v>-4065.856428571431</c:v>
                </c:pt>
                <c:pt idx="2">
                  <c:v>-4039.7850000000035</c:v>
                </c:pt>
                <c:pt idx="3">
                  <c:v>-4013.713571428576</c:v>
                </c:pt>
                <c:pt idx="4">
                  <c:v>-3987.6421428571412</c:v>
                </c:pt>
                <c:pt idx="5">
                  <c:v>-3961.5707142857136</c:v>
                </c:pt>
                <c:pt idx="6">
                  <c:v>-3935.4992857142861</c:v>
                </c:pt>
                <c:pt idx="7">
                  <c:v>-3909.4278571428586</c:v>
                </c:pt>
                <c:pt idx="8">
                  <c:v>-3883.356428571431</c:v>
                </c:pt>
                <c:pt idx="9">
                  <c:v>-3857.2850000000035</c:v>
                </c:pt>
                <c:pt idx="10">
                  <c:v>-3831.213571428576</c:v>
                </c:pt>
                <c:pt idx="11">
                  <c:v>-3805.1421428571412</c:v>
                </c:pt>
                <c:pt idx="12">
                  <c:v>-3717.8028571428586</c:v>
                </c:pt>
                <c:pt idx="13">
                  <c:v>-3613.5171428571484</c:v>
                </c:pt>
                <c:pt idx="14">
                  <c:v>-3509.231428571431</c:v>
                </c:pt>
                <c:pt idx="15">
                  <c:v>-3404.9457142857209</c:v>
                </c:pt>
                <c:pt idx="16">
                  <c:v>-3300.6600000000035</c:v>
                </c:pt>
                <c:pt idx="17">
                  <c:v>-3196.3742857142861</c:v>
                </c:pt>
                <c:pt idx="18">
                  <c:v>-3092.088571428576</c:v>
                </c:pt>
                <c:pt idx="19">
                  <c:v>-2987.8028571428586</c:v>
                </c:pt>
                <c:pt idx="20">
                  <c:v>-2883.5171428571484</c:v>
                </c:pt>
                <c:pt idx="21">
                  <c:v>-2779.231428571431</c:v>
                </c:pt>
                <c:pt idx="22">
                  <c:v>-2674.9457142857209</c:v>
                </c:pt>
                <c:pt idx="23">
                  <c:v>-2570.6600000000035</c:v>
                </c:pt>
                <c:pt idx="24">
                  <c:v>-2466.3742857142861</c:v>
                </c:pt>
                <c:pt idx="25">
                  <c:v>-2362.088571428576</c:v>
                </c:pt>
                <c:pt idx="26">
                  <c:v>-2257.8028571428586</c:v>
                </c:pt>
                <c:pt idx="27">
                  <c:v>-2153.5171428571484</c:v>
                </c:pt>
                <c:pt idx="28">
                  <c:v>-2049.231428571431</c:v>
                </c:pt>
                <c:pt idx="29">
                  <c:v>-1944.9457142857173</c:v>
                </c:pt>
                <c:pt idx="30">
                  <c:v>-1840.6600000000035</c:v>
                </c:pt>
                <c:pt idx="31">
                  <c:v>-1736.3742857142897</c:v>
                </c:pt>
                <c:pt idx="32">
                  <c:v>-1632.088571428576</c:v>
                </c:pt>
                <c:pt idx="33">
                  <c:v>-1527.8028571428586</c:v>
                </c:pt>
                <c:pt idx="34">
                  <c:v>-1423.5171428571484</c:v>
                </c:pt>
                <c:pt idx="35">
                  <c:v>-1319.231428571431</c:v>
                </c:pt>
                <c:pt idx="36">
                  <c:v>-1214.9457142857173</c:v>
                </c:pt>
                <c:pt idx="37">
                  <c:v>-1110.6600000000035</c:v>
                </c:pt>
                <c:pt idx="38">
                  <c:v>-1006.3742857142897</c:v>
                </c:pt>
                <c:pt idx="39">
                  <c:v>-902.08857142857596</c:v>
                </c:pt>
                <c:pt idx="40">
                  <c:v>-797.80285714286219</c:v>
                </c:pt>
                <c:pt idx="41">
                  <c:v>-693.51714285714479</c:v>
                </c:pt>
                <c:pt idx="42">
                  <c:v>-589.23142857143102</c:v>
                </c:pt>
                <c:pt idx="43">
                  <c:v>-484.94571428571726</c:v>
                </c:pt>
                <c:pt idx="44">
                  <c:v>-380.66000000000349</c:v>
                </c:pt>
                <c:pt idx="45">
                  <c:v>-276.37428571428973</c:v>
                </c:pt>
                <c:pt idx="46">
                  <c:v>-172.08857142857596</c:v>
                </c:pt>
                <c:pt idx="47">
                  <c:v>-67.802857142862194</c:v>
                </c:pt>
                <c:pt idx="48">
                  <c:v>36.48285714285521</c:v>
                </c:pt>
                <c:pt idx="49">
                  <c:v>140.76857142856898</c:v>
                </c:pt>
                <c:pt idx="50">
                  <c:v>245.05428571428274</c:v>
                </c:pt>
                <c:pt idx="51">
                  <c:v>349.33999999999651</c:v>
                </c:pt>
                <c:pt idx="52">
                  <c:v>453.62571428571027</c:v>
                </c:pt>
                <c:pt idx="53">
                  <c:v>557.91142857142404</c:v>
                </c:pt>
                <c:pt idx="54">
                  <c:v>662.19714285713781</c:v>
                </c:pt>
                <c:pt idx="55">
                  <c:v>766.48285714285521</c:v>
                </c:pt>
                <c:pt idx="56">
                  <c:v>870.76857142856898</c:v>
                </c:pt>
                <c:pt idx="57">
                  <c:v>975.05428571428274</c:v>
                </c:pt>
                <c:pt idx="58">
                  <c:v>1079.3399999999965</c:v>
                </c:pt>
                <c:pt idx="59">
                  <c:v>1183.6257142857103</c:v>
                </c:pt>
                <c:pt idx="60">
                  <c:v>1287.911428571424</c:v>
                </c:pt>
                <c:pt idx="61">
                  <c:v>1392.1971428571378</c:v>
                </c:pt>
                <c:pt idx="62">
                  <c:v>1496.4828571428552</c:v>
                </c:pt>
                <c:pt idx="63">
                  <c:v>1600.768571428569</c:v>
                </c:pt>
                <c:pt idx="64">
                  <c:v>1705.0542857142827</c:v>
                </c:pt>
                <c:pt idx="65">
                  <c:v>1809.3399999999965</c:v>
                </c:pt>
                <c:pt idx="66">
                  <c:v>1913.6257142857103</c:v>
                </c:pt>
                <c:pt idx="67">
                  <c:v>2017.911428571424</c:v>
                </c:pt>
                <c:pt idx="68">
                  <c:v>2122.1971428571378</c:v>
                </c:pt>
                <c:pt idx="69">
                  <c:v>2226.4828571428552</c:v>
                </c:pt>
                <c:pt idx="70">
                  <c:v>2330.768571428569</c:v>
                </c:pt>
                <c:pt idx="71">
                  <c:v>2435.0542857142827</c:v>
                </c:pt>
                <c:pt idx="72">
                  <c:v>2539.3399999999965</c:v>
                </c:pt>
                <c:pt idx="73">
                  <c:v>2643.6257142857103</c:v>
                </c:pt>
                <c:pt idx="74">
                  <c:v>2747.911428571424</c:v>
                </c:pt>
                <c:pt idx="75">
                  <c:v>2852.1971428571378</c:v>
                </c:pt>
                <c:pt idx="76">
                  <c:v>2956.4828571428552</c:v>
                </c:pt>
                <c:pt idx="77">
                  <c:v>3060.768571428569</c:v>
                </c:pt>
                <c:pt idx="78">
                  <c:v>3165.0542857142827</c:v>
                </c:pt>
                <c:pt idx="79">
                  <c:v>3269.3399999999965</c:v>
                </c:pt>
                <c:pt idx="80">
                  <c:v>3373.6257142857103</c:v>
                </c:pt>
                <c:pt idx="81">
                  <c:v>3477.911428571424</c:v>
                </c:pt>
                <c:pt idx="82">
                  <c:v>3582.1971428571378</c:v>
                </c:pt>
                <c:pt idx="83">
                  <c:v>3686.4828571428552</c:v>
                </c:pt>
                <c:pt idx="84">
                  <c:v>3790.768571428569</c:v>
                </c:pt>
                <c:pt idx="85">
                  <c:v>3895.0542857142827</c:v>
                </c:pt>
                <c:pt idx="86">
                  <c:v>3999.3399999999965</c:v>
                </c:pt>
                <c:pt idx="87">
                  <c:v>4103.6257142857103</c:v>
                </c:pt>
                <c:pt idx="88">
                  <c:v>4207.911428571424</c:v>
                </c:pt>
                <c:pt idx="89">
                  <c:v>4312.1971428571378</c:v>
                </c:pt>
                <c:pt idx="90">
                  <c:v>4416.4828571428552</c:v>
                </c:pt>
                <c:pt idx="91">
                  <c:v>4520.768571428569</c:v>
                </c:pt>
                <c:pt idx="92">
                  <c:v>4625.0542857142827</c:v>
                </c:pt>
                <c:pt idx="93">
                  <c:v>4729.3399999999965</c:v>
                </c:pt>
                <c:pt idx="94">
                  <c:v>4833.6257142857103</c:v>
                </c:pt>
                <c:pt idx="95">
                  <c:v>4937.911428571424</c:v>
                </c:pt>
                <c:pt idx="96">
                  <c:v>5042.1971428571378</c:v>
                </c:pt>
                <c:pt idx="97">
                  <c:v>5146.4828571428552</c:v>
                </c:pt>
                <c:pt idx="98">
                  <c:v>5250.768571428569</c:v>
                </c:pt>
                <c:pt idx="99">
                  <c:v>5355.0542857142827</c:v>
                </c:pt>
              </c:numCache>
            </c:numRef>
          </c:yVal>
          <c:smooth val="1"/>
        </c:ser>
        <c:dLbls>
          <c:showLegendKey val="0"/>
          <c:showVal val="0"/>
          <c:showCatName val="0"/>
          <c:showSerName val="0"/>
          <c:showPercent val="0"/>
          <c:showBubbleSize val="0"/>
        </c:dLbls>
        <c:axId val="45504000"/>
        <c:axId val="45505920"/>
      </c:scatterChart>
      <c:valAx>
        <c:axId val="45504000"/>
        <c:scaling>
          <c:orientation val="minMax"/>
          <c:max val="300"/>
          <c:min val="150"/>
        </c:scaling>
        <c:delete val="0"/>
        <c:axPos val="b"/>
        <c:title>
          <c:tx>
            <c:rich>
              <a:bodyPr/>
              <a:lstStyle/>
              <a:p>
                <a:pPr>
                  <a:defRPr/>
                </a:pPr>
                <a:r>
                  <a:rPr lang="en-AU"/>
                  <a:t>Weekly market</a:t>
                </a:r>
                <a:r>
                  <a:rPr lang="en-AU" baseline="0"/>
                  <a:t> rent</a:t>
                </a:r>
                <a:endParaRPr lang="en-AU"/>
              </a:p>
            </c:rich>
          </c:tx>
          <c:layout/>
          <c:overlay val="0"/>
        </c:title>
        <c:numFmt formatCode="General" sourceLinked="1"/>
        <c:majorTickMark val="out"/>
        <c:minorTickMark val="none"/>
        <c:tickLblPos val="low"/>
        <c:crossAx val="45505920"/>
        <c:crossesAt val="0"/>
        <c:crossBetween val="midCat"/>
        <c:majorUnit val="25"/>
      </c:valAx>
      <c:valAx>
        <c:axId val="45505920"/>
        <c:scaling>
          <c:orientation val="minMax"/>
          <c:max val="10000"/>
        </c:scaling>
        <c:delete val="0"/>
        <c:axPos val="l"/>
        <c:majorGridlines>
          <c:spPr>
            <a:ln>
              <a:solidFill>
                <a:srgbClr val="BFBFBF"/>
              </a:solidFill>
            </a:ln>
          </c:spPr>
        </c:majorGridlines>
        <c:title>
          <c:tx>
            <c:rich>
              <a:bodyPr rot="-5400000" vert="horz"/>
              <a:lstStyle/>
              <a:p>
                <a:pPr>
                  <a:defRPr/>
                </a:pPr>
                <a:r>
                  <a:rPr lang="en-US"/>
                  <a:t>Differences in post rent income ($)</a:t>
                </a:r>
              </a:p>
            </c:rich>
          </c:tx>
          <c:layout/>
          <c:overlay val="0"/>
        </c:title>
        <c:numFmt formatCode="#\ ##0" sourceLinked="0"/>
        <c:majorTickMark val="none"/>
        <c:minorTickMark val="none"/>
        <c:tickLblPos val="nextTo"/>
        <c:crossAx val="45504000"/>
        <c:crosses val="autoZero"/>
        <c:crossBetween val="midCat"/>
      </c:valAx>
    </c:plotArea>
    <c:legend>
      <c:legendPos val="b"/>
      <c:layout>
        <c:manualLayout>
          <c:xMode val="edge"/>
          <c:yMode val="edge"/>
          <c:x val="2.2838466002713286E-2"/>
          <c:y val="0.91748069580782454"/>
          <c:w val="0.94007036727781768"/>
          <c:h val="7.9101200620780923E-2"/>
        </c:manualLayout>
      </c:layout>
      <c:overlay val="0"/>
    </c:legend>
    <c:plotVisOnly val="1"/>
    <c:dispBlanksAs val="gap"/>
    <c:showDLblsOverMax val="0"/>
  </c:chart>
  <c:spPr>
    <a:ln>
      <a:noFill/>
    </a:ln>
  </c:spPr>
  <c:txPr>
    <a:bodyPr/>
    <a:lstStyle/>
    <a:p>
      <a:pPr>
        <a:defRPr sz="900" baseline="0">
          <a:latin typeface="Arial" panose="020B0604020202020204" pitchFamily="34" charset="0"/>
        </a:defRPr>
      </a:pPr>
      <a:endParaRPr lang="en-US"/>
    </a:p>
  </c:txPr>
  <c:externalData r:id="rId2">
    <c:autoUpdate val="0"/>
  </c:externalData>
  <c:userShapes r:id="rId3"/>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2097701149425282E-2"/>
          <c:y val="3.2820607715524995E-2"/>
          <c:w val="0.90477375478927202"/>
          <c:h val="0.78768188128722483"/>
        </c:manualLayout>
      </c:layout>
      <c:barChart>
        <c:barDir val="col"/>
        <c:grouping val="stacked"/>
        <c:varyColors val="0"/>
        <c:ser>
          <c:idx val="0"/>
          <c:order val="0"/>
          <c:tx>
            <c:strRef>
              <c:f>'rent graphs 2013'!$A$13</c:f>
              <c:strCache>
                <c:ptCount val="1"/>
                <c:pt idx="0">
                  <c:v>Bottom</c:v>
                </c:pt>
              </c:strCache>
            </c:strRef>
          </c:tx>
          <c:spPr>
            <a:noFill/>
            <a:ln>
              <a:noFill/>
            </a:ln>
          </c:spPr>
          <c:invertIfNegative val="0"/>
          <c:cat>
            <c:strRef>
              <c:f>'rent graphs 2013'!$C$12:$J$12</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'rent graphs 2013'!$C$13:$J$13</c:f>
              <c:numCache>
                <c:formatCode>General</c:formatCode>
                <c:ptCount val="8"/>
                <c:pt idx="0">
                  <c:v>140</c:v>
                </c:pt>
                <c:pt idx="1">
                  <c:v>147.69</c:v>
                </c:pt>
                <c:pt idx="2">
                  <c:v>200</c:v>
                </c:pt>
                <c:pt idx="3">
                  <c:v>240</c:v>
                </c:pt>
                <c:pt idx="4">
                  <c:v>125</c:v>
                </c:pt>
                <c:pt idx="5">
                  <c:v>107</c:v>
                </c:pt>
                <c:pt idx="6">
                  <c:v>164.5</c:v>
                </c:pt>
                <c:pt idx="7">
                  <c:v>140</c:v>
                </c:pt>
              </c:numCache>
            </c:numRef>
          </c:val>
        </c:ser>
        <c:ser>
          <c:idx val="1"/>
          <c:order val="1"/>
          <c:tx>
            <c:strRef>
              <c:f>'rent graphs 2013'!$A$14</c:f>
              <c:strCache>
                <c:ptCount val="1"/>
                <c:pt idx="0">
                  <c:v>2q box</c:v>
                </c:pt>
              </c:strCache>
            </c:strRef>
          </c:tx>
          <c:spPr>
            <a:solidFill>
              <a:srgbClr val="78A22F"/>
            </a:solidFill>
            <a:ln w="15875">
              <a:solidFill>
                <a:srgbClr val="000000"/>
              </a:solidFill>
            </a:ln>
          </c:spPr>
          <c:invertIfNegative val="0"/>
          <c:dPt>
            <c:idx val="9"/>
            <c:invertIfNegative val="0"/>
            <c:bubble3D val="0"/>
            <c:spPr>
              <a:solidFill>
                <a:srgbClr val="265A9A"/>
              </a:solidFill>
              <a:ln w="15875">
                <a:solidFill>
                  <a:srgbClr val="000000"/>
                </a:solidFill>
              </a:ln>
            </c:spPr>
          </c:dPt>
          <c:dPt>
            <c:idx val="10"/>
            <c:invertIfNegative val="0"/>
            <c:bubble3D val="0"/>
            <c:spPr>
              <a:solidFill>
                <a:srgbClr val="265A9A"/>
              </a:solidFill>
              <a:ln w="15875">
                <a:solidFill>
                  <a:srgbClr val="000000"/>
                </a:solidFill>
              </a:ln>
            </c:spPr>
          </c:dPt>
          <c:dPt>
            <c:idx val="11"/>
            <c:invertIfNegative val="0"/>
            <c:bubble3D val="0"/>
            <c:spPr>
              <a:solidFill>
                <a:srgbClr val="265A9A"/>
              </a:solidFill>
              <a:ln w="15875">
                <a:solidFill>
                  <a:srgbClr val="000000"/>
                </a:solidFill>
              </a:ln>
            </c:spPr>
          </c:dPt>
          <c:dPt>
            <c:idx val="12"/>
            <c:invertIfNegative val="0"/>
            <c:bubble3D val="0"/>
            <c:spPr>
              <a:solidFill>
                <a:srgbClr val="265A9A"/>
              </a:solidFill>
              <a:ln w="15875">
                <a:solidFill>
                  <a:srgbClr val="000000"/>
                </a:solidFill>
              </a:ln>
            </c:spPr>
          </c:dPt>
          <c:dPt>
            <c:idx val="13"/>
            <c:invertIfNegative val="0"/>
            <c:bubble3D val="0"/>
            <c:spPr>
              <a:solidFill>
                <a:srgbClr val="265A9A"/>
              </a:solidFill>
              <a:ln w="15875">
                <a:solidFill>
                  <a:srgbClr val="000000"/>
                </a:solidFill>
              </a:ln>
            </c:spPr>
          </c:dPt>
          <c:dPt>
            <c:idx val="14"/>
            <c:invertIfNegative val="0"/>
            <c:bubble3D val="0"/>
            <c:spPr>
              <a:solidFill>
                <a:srgbClr val="265A9A"/>
              </a:solidFill>
              <a:ln w="15875">
                <a:solidFill>
                  <a:srgbClr val="000000"/>
                </a:solidFill>
              </a:ln>
            </c:spPr>
          </c:dPt>
          <c:dPt>
            <c:idx val="15"/>
            <c:invertIfNegative val="0"/>
            <c:bubble3D val="0"/>
            <c:spPr>
              <a:solidFill>
                <a:srgbClr val="265A9A"/>
              </a:solidFill>
              <a:ln w="15875">
                <a:solidFill>
                  <a:srgbClr val="000000"/>
                </a:solidFill>
              </a:ln>
            </c:spPr>
          </c:dPt>
          <c:dPt>
            <c:idx val="16"/>
            <c:invertIfNegative val="0"/>
            <c:bubble3D val="0"/>
            <c:spPr>
              <a:solidFill>
                <a:srgbClr val="265A9A"/>
              </a:solidFill>
              <a:ln w="15875">
                <a:solidFill>
                  <a:srgbClr val="000000"/>
                </a:solidFill>
              </a:ln>
            </c:spPr>
          </c:dPt>
          <c:dPt>
            <c:idx val="17"/>
            <c:invertIfNegative val="0"/>
            <c:bubble3D val="0"/>
            <c:spPr>
              <a:solidFill>
                <a:srgbClr val="265A9A"/>
              </a:solidFill>
              <a:ln w="15875">
                <a:solidFill>
                  <a:srgbClr val="000000"/>
                </a:solidFill>
              </a:ln>
            </c:spPr>
          </c:dPt>
          <c:dPt>
            <c:idx val="18"/>
            <c:invertIfNegative val="0"/>
            <c:bubble3D val="0"/>
            <c:spPr>
              <a:solidFill>
                <a:srgbClr val="B2D673"/>
              </a:solidFill>
              <a:ln w="15875">
                <a:solidFill>
                  <a:srgbClr val="000000"/>
                </a:solidFill>
              </a:ln>
            </c:spPr>
          </c:dPt>
          <c:dPt>
            <c:idx val="19"/>
            <c:invertIfNegative val="0"/>
            <c:bubble3D val="0"/>
            <c:spPr>
              <a:solidFill>
                <a:srgbClr val="B2D673"/>
              </a:solidFill>
              <a:ln w="15875">
                <a:solidFill>
                  <a:srgbClr val="000000"/>
                </a:solidFill>
              </a:ln>
            </c:spPr>
          </c:dPt>
          <c:dPt>
            <c:idx val="20"/>
            <c:invertIfNegative val="0"/>
            <c:bubble3D val="0"/>
            <c:spPr>
              <a:solidFill>
                <a:srgbClr val="B2D673"/>
              </a:solidFill>
              <a:ln w="15875">
                <a:solidFill>
                  <a:srgbClr val="000000"/>
                </a:solidFill>
              </a:ln>
            </c:spPr>
          </c:dPt>
          <c:dPt>
            <c:idx val="21"/>
            <c:invertIfNegative val="0"/>
            <c:bubble3D val="0"/>
            <c:spPr>
              <a:solidFill>
                <a:srgbClr val="B2D673"/>
              </a:solidFill>
              <a:ln w="15875">
                <a:solidFill>
                  <a:srgbClr val="000000"/>
                </a:solidFill>
              </a:ln>
            </c:spPr>
          </c:dPt>
          <c:dPt>
            <c:idx val="22"/>
            <c:invertIfNegative val="0"/>
            <c:bubble3D val="0"/>
            <c:spPr>
              <a:solidFill>
                <a:srgbClr val="B2D673"/>
              </a:solidFill>
              <a:ln w="15875">
                <a:solidFill>
                  <a:srgbClr val="000000"/>
                </a:solidFill>
              </a:ln>
            </c:spPr>
          </c:dPt>
          <c:dPt>
            <c:idx val="23"/>
            <c:invertIfNegative val="0"/>
            <c:bubble3D val="0"/>
            <c:spPr>
              <a:solidFill>
                <a:srgbClr val="B2D673"/>
              </a:solidFill>
              <a:ln w="15875">
                <a:solidFill>
                  <a:srgbClr val="000000"/>
                </a:solidFill>
              </a:ln>
            </c:spPr>
          </c:dPt>
          <c:dPt>
            <c:idx val="24"/>
            <c:invertIfNegative val="0"/>
            <c:bubble3D val="0"/>
            <c:spPr>
              <a:solidFill>
                <a:srgbClr val="B2D673"/>
              </a:solidFill>
              <a:ln w="15875">
                <a:solidFill>
                  <a:srgbClr val="000000"/>
                </a:solidFill>
              </a:ln>
            </c:spPr>
          </c:dPt>
          <c:dPt>
            <c:idx val="25"/>
            <c:invertIfNegative val="0"/>
            <c:bubble3D val="0"/>
            <c:spPr>
              <a:solidFill>
                <a:srgbClr val="B2D673"/>
              </a:solidFill>
              <a:ln w="15875">
                <a:solidFill>
                  <a:srgbClr val="000000"/>
                </a:solidFill>
              </a:ln>
            </c:spPr>
          </c:dPt>
          <c:dPt>
            <c:idx val="26"/>
            <c:invertIfNegative val="0"/>
            <c:bubble3D val="0"/>
            <c:spPr>
              <a:solidFill>
                <a:srgbClr val="B2D673"/>
              </a:solidFill>
              <a:ln w="15875">
                <a:solidFill>
                  <a:srgbClr val="000000"/>
                </a:solidFill>
              </a:ln>
            </c:spPr>
          </c:dPt>
          <c:cat>
            <c:strRef>
              <c:f>'rent graphs 2013'!$C$12:$J$12</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'rent graphs 2013'!$C$14:$J$14</c:f>
              <c:numCache>
                <c:formatCode>General</c:formatCode>
                <c:ptCount val="8"/>
                <c:pt idx="0">
                  <c:v>35.909999999999997</c:v>
                </c:pt>
                <c:pt idx="1">
                  <c:v>50.31</c:v>
                </c:pt>
                <c:pt idx="2">
                  <c:v>55</c:v>
                </c:pt>
                <c:pt idx="3">
                  <c:v>60</c:v>
                </c:pt>
                <c:pt idx="4">
                  <c:v>30</c:v>
                </c:pt>
                <c:pt idx="5">
                  <c:v>43</c:v>
                </c:pt>
                <c:pt idx="6">
                  <c:v>74.050000000000011</c:v>
                </c:pt>
                <c:pt idx="7">
                  <c:v>40.460000000000008</c:v>
                </c:pt>
              </c:numCache>
            </c:numRef>
          </c:val>
        </c:ser>
        <c:ser>
          <c:idx val="2"/>
          <c:order val="2"/>
          <c:tx>
            <c:strRef>
              <c:f>'rent graphs 2013'!$A$15</c:f>
              <c:strCache>
                <c:ptCount val="1"/>
                <c:pt idx="0">
                  <c:v>3q box</c:v>
                </c:pt>
              </c:strCache>
            </c:strRef>
          </c:tx>
          <c:spPr>
            <a:solidFill>
              <a:srgbClr val="78A22F"/>
            </a:solidFill>
            <a:ln w="15875">
              <a:solidFill>
                <a:srgbClr val="000000"/>
              </a:solidFill>
            </a:ln>
          </c:spPr>
          <c:invertIfNegative val="0"/>
          <c:dPt>
            <c:idx val="9"/>
            <c:invertIfNegative val="0"/>
            <c:bubble3D val="0"/>
            <c:spPr>
              <a:solidFill>
                <a:srgbClr val="265A9A"/>
              </a:solidFill>
              <a:ln w="15875">
                <a:solidFill>
                  <a:srgbClr val="000000"/>
                </a:solidFill>
              </a:ln>
            </c:spPr>
          </c:dPt>
          <c:dPt>
            <c:idx val="10"/>
            <c:invertIfNegative val="0"/>
            <c:bubble3D val="0"/>
            <c:spPr>
              <a:solidFill>
                <a:srgbClr val="265A9A"/>
              </a:solidFill>
              <a:ln w="15875">
                <a:solidFill>
                  <a:srgbClr val="000000"/>
                </a:solidFill>
              </a:ln>
            </c:spPr>
          </c:dPt>
          <c:dPt>
            <c:idx val="11"/>
            <c:invertIfNegative val="0"/>
            <c:bubble3D val="0"/>
            <c:spPr>
              <a:solidFill>
                <a:srgbClr val="265A9A"/>
              </a:solidFill>
              <a:ln w="15875">
                <a:solidFill>
                  <a:srgbClr val="000000"/>
                </a:solidFill>
              </a:ln>
            </c:spPr>
          </c:dPt>
          <c:dPt>
            <c:idx val="12"/>
            <c:invertIfNegative val="0"/>
            <c:bubble3D val="0"/>
            <c:spPr>
              <a:solidFill>
                <a:srgbClr val="265A9A"/>
              </a:solidFill>
              <a:ln w="15875">
                <a:solidFill>
                  <a:srgbClr val="000000"/>
                </a:solidFill>
              </a:ln>
            </c:spPr>
          </c:dPt>
          <c:dPt>
            <c:idx val="13"/>
            <c:invertIfNegative val="0"/>
            <c:bubble3D val="0"/>
            <c:spPr>
              <a:solidFill>
                <a:srgbClr val="265A9A"/>
              </a:solidFill>
              <a:ln w="15875">
                <a:solidFill>
                  <a:srgbClr val="000000"/>
                </a:solidFill>
              </a:ln>
            </c:spPr>
          </c:dPt>
          <c:dPt>
            <c:idx val="14"/>
            <c:invertIfNegative val="0"/>
            <c:bubble3D val="0"/>
            <c:spPr>
              <a:solidFill>
                <a:srgbClr val="265A9A"/>
              </a:solidFill>
              <a:ln w="15875">
                <a:solidFill>
                  <a:srgbClr val="000000"/>
                </a:solidFill>
              </a:ln>
            </c:spPr>
          </c:dPt>
          <c:dPt>
            <c:idx val="15"/>
            <c:invertIfNegative val="0"/>
            <c:bubble3D val="0"/>
            <c:spPr>
              <a:solidFill>
                <a:srgbClr val="265A9A"/>
              </a:solidFill>
              <a:ln w="15875">
                <a:solidFill>
                  <a:srgbClr val="000000"/>
                </a:solidFill>
              </a:ln>
            </c:spPr>
          </c:dPt>
          <c:dPt>
            <c:idx val="16"/>
            <c:invertIfNegative val="0"/>
            <c:bubble3D val="0"/>
            <c:spPr>
              <a:solidFill>
                <a:srgbClr val="265A9A"/>
              </a:solidFill>
              <a:ln w="15875">
                <a:solidFill>
                  <a:srgbClr val="000000"/>
                </a:solidFill>
              </a:ln>
            </c:spPr>
          </c:dPt>
          <c:dPt>
            <c:idx val="17"/>
            <c:invertIfNegative val="0"/>
            <c:bubble3D val="0"/>
            <c:spPr>
              <a:solidFill>
                <a:srgbClr val="265A9A"/>
              </a:solidFill>
              <a:ln w="15875">
                <a:solidFill>
                  <a:srgbClr val="000000"/>
                </a:solidFill>
              </a:ln>
            </c:spPr>
          </c:dPt>
          <c:dPt>
            <c:idx val="18"/>
            <c:invertIfNegative val="0"/>
            <c:bubble3D val="0"/>
            <c:spPr>
              <a:solidFill>
                <a:srgbClr val="B2D673"/>
              </a:solidFill>
              <a:ln w="15875">
                <a:solidFill>
                  <a:srgbClr val="000000"/>
                </a:solidFill>
              </a:ln>
            </c:spPr>
          </c:dPt>
          <c:dPt>
            <c:idx val="19"/>
            <c:invertIfNegative val="0"/>
            <c:bubble3D val="0"/>
            <c:spPr>
              <a:solidFill>
                <a:srgbClr val="B2D673"/>
              </a:solidFill>
              <a:ln w="15875">
                <a:solidFill>
                  <a:srgbClr val="000000"/>
                </a:solidFill>
              </a:ln>
            </c:spPr>
          </c:dPt>
          <c:dPt>
            <c:idx val="20"/>
            <c:invertIfNegative val="0"/>
            <c:bubble3D val="0"/>
            <c:spPr>
              <a:solidFill>
                <a:srgbClr val="B2D673"/>
              </a:solidFill>
              <a:ln w="15875">
                <a:solidFill>
                  <a:srgbClr val="000000"/>
                </a:solidFill>
              </a:ln>
            </c:spPr>
          </c:dPt>
          <c:dPt>
            <c:idx val="21"/>
            <c:invertIfNegative val="0"/>
            <c:bubble3D val="0"/>
            <c:spPr>
              <a:solidFill>
                <a:srgbClr val="B2D673"/>
              </a:solidFill>
              <a:ln w="15875">
                <a:solidFill>
                  <a:srgbClr val="000000"/>
                </a:solidFill>
              </a:ln>
            </c:spPr>
          </c:dPt>
          <c:dPt>
            <c:idx val="22"/>
            <c:invertIfNegative val="0"/>
            <c:bubble3D val="0"/>
            <c:spPr>
              <a:solidFill>
                <a:srgbClr val="B2D673"/>
              </a:solidFill>
              <a:ln w="15875">
                <a:solidFill>
                  <a:srgbClr val="000000"/>
                </a:solidFill>
              </a:ln>
            </c:spPr>
          </c:dPt>
          <c:dPt>
            <c:idx val="23"/>
            <c:invertIfNegative val="0"/>
            <c:bubble3D val="0"/>
            <c:spPr>
              <a:solidFill>
                <a:srgbClr val="B2D673"/>
              </a:solidFill>
              <a:ln w="15875">
                <a:solidFill>
                  <a:srgbClr val="000000"/>
                </a:solidFill>
              </a:ln>
            </c:spPr>
          </c:dPt>
          <c:dPt>
            <c:idx val="24"/>
            <c:invertIfNegative val="0"/>
            <c:bubble3D val="0"/>
            <c:spPr>
              <a:solidFill>
                <a:srgbClr val="B2D673"/>
              </a:solidFill>
              <a:ln w="15875">
                <a:solidFill>
                  <a:srgbClr val="000000"/>
                </a:solidFill>
              </a:ln>
            </c:spPr>
          </c:dPt>
          <c:dPt>
            <c:idx val="25"/>
            <c:invertIfNegative val="0"/>
            <c:bubble3D val="0"/>
            <c:spPr>
              <a:solidFill>
                <a:srgbClr val="B2D673"/>
              </a:solidFill>
              <a:ln w="15875">
                <a:solidFill>
                  <a:srgbClr val="000000"/>
                </a:solidFill>
              </a:ln>
            </c:spPr>
          </c:dPt>
          <c:dPt>
            <c:idx val="26"/>
            <c:invertIfNegative val="0"/>
            <c:bubble3D val="0"/>
            <c:spPr>
              <a:solidFill>
                <a:srgbClr val="B2D673"/>
              </a:solidFill>
              <a:ln w="15875">
                <a:solidFill>
                  <a:srgbClr val="000000"/>
                </a:solidFill>
              </a:ln>
            </c:spPr>
          </c:dPt>
          <c:cat>
            <c:strRef>
              <c:f>'rent graphs 2013'!$C$12:$J$12</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'rent graphs 2013'!$C$15:$J$15</c:f>
              <c:numCache>
                <c:formatCode>General</c:formatCode>
                <c:ptCount val="8"/>
                <c:pt idx="0">
                  <c:v>69.34</c:v>
                </c:pt>
                <c:pt idx="1">
                  <c:v>77</c:v>
                </c:pt>
                <c:pt idx="2">
                  <c:v>65</c:v>
                </c:pt>
                <c:pt idx="3">
                  <c:v>50</c:v>
                </c:pt>
                <c:pt idx="4">
                  <c:v>45</c:v>
                </c:pt>
                <c:pt idx="5">
                  <c:v>35</c:v>
                </c:pt>
                <c:pt idx="6">
                  <c:v>71.449999999999989</c:v>
                </c:pt>
                <c:pt idx="7">
                  <c:v>79.539999999999992</c:v>
                </c:pt>
              </c:numCache>
            </c:numRef>
          </c:val>
        </c:ser>
        <c:ser>
          <c:idx val="4"/>
          <c:order val="4"/>
          <c:tx>
            <c:strRef>
              <c:f>'rent graphs 2013'!$A$17</c:f>
              <c:strCache>
                <c:ptCount val="1"/>
                <c:pt idx="0">
                  <c:v>Gap</c:v>
                </c:pt>
              </c:strCache>
            </c:strRef>
          </c:tx>
          <c:spPr>
            <a:noFill/>
          </c:spPr>
          <c:invertIfNegative val="0"/>
          <c:cat>
            <c:strRef>
              <c:f>'rent graphs 2013'!$C$12:$J$12</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'rent graphs 2013'!$C$17:$J$17</c:f>
              <c:numCache>
                <c:formatCode>General</c:formatCode>
                <c:ptCount val="8"/>
                <c:pt idx="0">
                  <c:v>-100</c:v>
                </c:pt>
                <c:pt idx="1">
                  <c:v>-100</c:v>
                </c:pt>
                <c:pt idx="2">
                  <c:v>-100</c:v>
                </c:pt>
                <c:pt idx="3">
                  <c:v>-100</c:v>
                </c:pt>
                <c:pt idx="4">
                  <c:v>-100</c:v>
                </c:pt>
                <c:pt idx="5">
                  <c:v>-100</c:v>
                </c:pt>
                <c:pt idx="6">
                  <c:v>-100</c:v>
                </c:pt>
                <c:pt idx="7">
                  <c:v>-100</c:v>
                </c:pt>
              </c:numCache>
            </c:numRef>
          </c:val>
        </c:ser>
        <c:ser>
          <c:idx val="5"/>
          <c:order val="5"/>
          <c:tx>
            <c:strRef>
              <c:f>'rent graphs 2013'!$A$18</c:f>
              <c:strCache>
                <c:ptCount val="1"/>
                <c:pt idx="0">
                  <c:v>Commonwealth Rent Assistance</c:v>
                </c:pt>
              </c:strCache>
            </c:strRef>
          </c:tx>
          <c:spPr>
            <a:solidFill>
              <a:srgbClr val="78A22F"/>
            </a:solidFill>
            <a:ln w="15875">
              <a:solidFill>
                <a:srgbClr val="000000"/>
              </a:solidFill>
            </a:ln>
          </c:spPr>
          <c:invertIfNegative val="0"/>
          <c:cat>
            <c:strRef>
              <c:f>'rent graphs 2013'!$C$12:$J$12</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'rent graphs 2013'!$C$18:$J$18</c:f>
              <c:numCache>
                <c:formatCode>General</c:formatCode>
                <c:ptCount val="8"/>
                <c:pt idx="0">
                  <c:v>-100</c:v>
                </c:pt>
                <c:pt idx="1">
                  <c:v>-100</c:v>
                </c:pt>
                <c:pt idx="2">
                  <c:v>-100</c:v>
                </c:pt>
                <c:pt idx="3">
                  <c:v>-100</c:v>
                </c:pt>
                <c:pt idx="4">
                  <c:v>-100</c:v>
                </c:pt>
                <c:pt idx="5">
                  <c:v>-100</c:v>
                </c:pt>
                <c:pt idx="6">
                  <c:v>-100</c:v>
                </c:pt>
                <c:pt idx="7">
                  <c:v>-100</c:v>
                </c:pt>
              </c:numCache>
            </c:numRef>
          </c:val>
        </c:ser>
        <c:ser>
          <c:idx val="6"/>
          <c:order val="6"/>
          <c:tx>
            <c:strRef>
              <c:f>'rent graphs 2013'!$A$19</c:f>
              <c:strCache>
                <c:ptCount val="1"/>
                <c:pt idx="0">
                  <c:v>Government Housing</c:v>
                </c:pt>
              </c:strCache>
            </c:strRef>
          </c:tx>
          <c:spPr>
            <a:solidFill>
              <a:srgbClr val="265A9A"/>
            </a:solidFill>
            <a:ln w="15875">
              <a:solidFill>
                <a:srgbClr val="000000"/>
              </a:solidFill>
            </a:ln>
          </c:spPr>
          <c:invertIfNegative val="0"/>
          <c:cat>
            <c:strRef>
              <c:f>'rent graphs 2013'!$C$12:$J$12</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'rent graphs 2013'!$C$19:$J$19</c:f>
              <c:numCache>
                <c:formatCode>General</c:formatCode>
                <c:ptCount val="8"/>
                <c:pt idx="0">
                  <c:v>-100</c:v>
                </c:pt>
                <c:pt idx="1">
                  <c:v>-100</c:v>
                </c:pt>
                <c:pt idx="2">
                  <c:v>-100</c:v>
                </c:pt>
                <c:pt idx="3">
                  <c:v>-100</c:v>
                </c:pt>
                <c:pt idx="4">
                  <c:v>-100</c:v>
                </c:pt>
                <c:pt idx="5">
                  <c:v>-100</c:v>
                </c:pt>
                <c:pt idx="6">
                  <c:v>-100</c:v>
                </c:pt>
                <c:pt idx="7">
                  <c:v>-100</c:v>
                </c:pt>
              </c:numCache>
            </c:numRef>
          </c:val>
        </c:ser>
        <c:ser>
          <c:idx val="7"/>
          <c:order val="7"/>
          <c:tx>
            <c:strRef>
              <c:f>'rent graphs 2013'!$A$20</c:f>
              <c:strCache>
                <c:ptCount val="1"/>
                <c:pt idx="0">
                  <c:v>Other tenure</c:v>
                </c:pt>
              </c:strCache>
            </c:strRef>
          </c:tx>
          <c:spPr>
            <a:solidFill>
              <a:srgbClr val="B2D673"/>
            </a:solidFill>
            <a:ln w="15875">
              <a:solidFill>
                <a:srgbClr val="000000"/>
              </a:solidFill>
            </a:ln>
          </c:spPr>
          <c:invertIfNegative val="0"/>
          <c:cat>
            <c:strRef>
              <c:f>'rent graphs 2013'!$C$12:$J$12</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'rent graphs 2013'!$C$20:$J$20</c:f>
              <c:numCache>
                <c:formatCode>General</c:formatCode>
                <c:ptCount val="8"/>
                <c:pt idx="0">
                  <c:v>-100</c:v>
                </c:pt>
                <c:pt idx="1">
                  <c:v>-100</c:v>
                </c:pt>
                <c:pt idx="2">
                  <c:v>-100</c:v>
                </c:pt>
                <c:pt idx="3">
                  <c:v>-100</c:v>
                </c:pt>
                <c:pt idx="4">
                  <c:v>-100</c:v>
                </c:pt>
                <c:pt idx="5">
                  <c:v>-100</c:v>
                </c:pt>
                <c:pt idx="6">
                  <c:v>-100</c:v>
                </c:pt>
                <c:pt idx="7">
                  <c:v>-100</c:v>
                </c:pt>
              </c:numCache>
            </c:numRef>
          </c:val>
        </c:ser>
        <c:dLbls>
          <c:showLegendKey val="0"/>
          <c:showVal val="0"/>
          <c:showCatName val="0"/>
          <c:showSerName val="0"/>
          <c:showPercent val="0"/>
          <c:showBubbleSize val="0"/>
        </c:dLbls>
        <c:gapWidth val="20"/>
        <c:overlap val="100"/>
        <c:axId val="45966080"/>
        <c:axId val="45968000"/>
      </c:barChart>
      <c:lineChart>
        <c:grouping val="standard"/>
        <c:varyColors val="0"/>
        <c:ser>
          <c:idx val="3"/>
          <c:order val="3"/>
          <c:tx>
            <c:strRef>
              <c:f>'rent graphs 2013'!$A$16</c:f>
              <c:strCache>
                <c:ptCount val="1"/>
                <c:pt idx="0">
                  <c:v>Mean</c:v>
                </c:pt>
              </c:strCache>
            </c:strRef>
          </c:tx>
          <c:spPr>
            <a:ln>
              <a:noFill/>
            </a:ln>
          </c:spPr>
          <c:marker>
            <c:symbol val="diamond"/>
            <c:size val="7"/>
            <c:spPr>
              <a:solidFill>
                <a:sysClr val="window" lastClr="FFFFFF">
                  <a:alpha val="40000"/>
                </a:sysClr>
              </a:solidFill>
              <a:ln w="12700">
                <a:solidFill>
                  <a:sysClr val="window" lastClr="FFFFFF"/>
                </a:solidFill>
              </a:ln>
            </c:spPr>
          </c:marker>
          <c:cat>
            <c:strRef>
              <c:f>'rent graphs 2013'!$B$12:$R$12</c:f>
              <c:strCache>
                <c:ptCount val="9"/>
                <c:pt idx="1">
                  <c:v>Disability
Support
Pension</c:v>
                </c:pt>
                <c:pt idx="2">
                  <c:v>Newstart
Allowance</c:v>
                </c:pt>
                <c:pt idx="3">
                  <c:v>Parenting
Payment
(Single)</c:v>
                </c:pt>
                <c:pt idx="4">
                  <c:v>Parenting
Payment
(Partnered)</c:v>
                </c:pt>
                <c:pt idx="5">
                  <c:v>Youth
Allowance
(Student)</c:v>
                </c:pt>
                <c:pt idx="6">
                  <c:v>Youth
Allowance
(Job seeker)</c:v>
                </c:pt>
                <c:pt idx="7">
                  <c:v>Carer
Payment</c:v>
                </c:pt>
                <c:pt idx="8">
                  <c:v>Other</c:v>
                </c:pt>
              </c:strCache>
            </c:strRef>
          </c:cat>
          <c:val>
            <c:numRef>
              <c:f>'rent graphs 2013'!$C$16:$J$16</c:f>
              <c:numCache>
                <c:formatCode>General</c:formatCode>
                <c:ptCount val="8"/>
                <c:pt idx="0">
                  <c:v>197.12</c:v>
                </c:pt>
                <c:pt idx="1">
                  <c:v>215.41</c:v>
                </c:pt>
                <c:pt idx="2">
                  <c:v>260.67</c:v>
                </c:pt>
                <c:pt idx="3">
                  <c:v>302.08999999999997</c:v>
                </c:pt>
                <c:pt idx="4">
                  <c:v>175.6</c:v>
                </c:pt>
                <c:pt idx="5">
                  <c:v>155.43</c:v>
                </c:pt>
                <c:pt idx="6">
                  <c:v>246.84</c:v>
                </c:pt>
                <c:pt idx="7">
                  <c:v>207.33</c:v>
                </c:pt>
              </c:numCache>
            </c:numRef>
          </c:val>
          <c:smooth val="0"/>
        </c:ser>
        <c:dLbls>
          <c:showLegendKey val="0"/>
          <c:showVal val="0"/>
          <c:showCatName val="0"/>
          <c:showSerName val="0"/>
          <c:showPercent val="0"/>
          <c:showBubbleSize val="0"/>
        </c:dLbls>
        <c:marker val="1"/>
        <c:smooth val="0"/>
        <c:axId val="45966080"/>
        <c:axId val="45968000"/>
      </c:lineChart>
      <c:catAx>
        <c:axId val="45966080"/>
        <c:scaling>
          <c:orientation val="minMax"/>
        </c:scaling>
        <c:delete val="0"/>
        <c:axPos val="b"/>
        <c:majorTickMark val="out"/>
        <c:minorTickMark val="none"/>
        <c:tickLblPos val="nextTo"/>
        <c:spPr>
          <a:ln>
            <a:solidFill>
              <a:srgbClr val="BFBFBF"/>
            </a:solidFill>
          </a:ln>
        </c:spPr>
        <c:txPr>
          <a:bodyPr rot="0" vert="horz"/>
          <a:lstStyle/>
          <a:p>
            <a:pPr>
              <a:defRPr sz="870"/>
            </a:pPr>
            <a:endParaRPr lang="en-US"/>
          </a:p>
        </c:txPr>
        <c:crossAx val="45968000"/>
        <c:crosses val="autoZero"/>
        <c:auto val="1"/>
        <c:lblAlgn val="ctr"/>
        <c:lblOffset val="100"/>
        <c:noMultiLvlLbl val="0"/>
      </c:catAx>
      <c:valAx>
        <c:axId val="45968000"/>
        <c:scaling>
          <c:orientation val="minMax"/>
          <c:min val="0"/>
        </c:scaling>
        <c:delete val="0"/>
        <c:axPos val="l"/>
        <c:majorGridlines>
          <c:spPr>
            <a:ln>
              <a:noFill/>
            </a:ln>
          </c:spPr>
        </c:majorGridlines>
        <c:title>
          <c:tx>
            <c:rich>
              <a:bodyPr rot="-5400000" vert="horz"/>
              <a:lstStyle/>
              <a:p>
                <a:pPr>
                  <a:defRPr/>
                </a:pPr>
                <a:r>
                  <a:rPr lang="en-AU" baseline="0"/>
                  <a:t>Weekly rent ($)</a:t>
                </a:r>
                <a:endParaRPr lang="en-AU"/>
              </a:p>
            </c:rich>
          </c:tx>
          <c:layout>
            <c:manualLayout>
              <c:xMode val="edge"/>
              <c:yMode val="edge"/>
              <c:x val="1.053831417624521E-3"/>
              <c:y val="0.26249861111111106"/>
            </c:manualLayout>
          </c:layout>
          <c:overlay val="0"/>
        </c:title>
        <c:numFmt formatCode="General" sourceLinked="1"/>
        <c:majorTickMark val="out"/>
        <c:minorTickMark val="none"/>
        <c:tickLblPos val="nextTo"/>
        <c:spPr>
          <a:ln>
            <a:solidFill>
              <a:srgbClr val="BFBFBF"/>
            </a:solidFill>
          </a:ln>
        </c:spPr>
        <c:crossAx val="45966080"/>
        <c:crosses val="autoZero"/>
        <c:crossBetween val="between"/>
        <c:majorUnit val="80"/>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4301724137930995E-2"/>
          <c:y val="2.8073076923076899E-2"/>
          <c:w val="0.91569827586206898"/>
          <c:h val="0.67050913696064396"/>
        </c:manualLayout>
      </c:layout>
      <c:barChart>
        <c:barDir val="col"/>
        <c:grouping val="clustered"/>
        <c:varyColors val="0"/>
        <c:ser>
          <c:idx val="0"/>
          <c:order val="0"/>
          <c:tx>
            <c:strRef>
              <c:f>employment_2013!$D$11</c:f>
              <c:strCache>
                <c:ptCount val="1"/>
                <c:pt idx="0">
                  <c:v>Commonwealth Rent Asistance</c:v>
                </c:pt>
              </c:strCache>
            </c:strRef>
          </c:tx>
          <c:spPr>
            <a:solidFill>
              <a:srgbClr val="78A22F"/>
            </a:solidFill>
            <a:ln>
              <a:solidFill>
                <a:srgbClr val="78A22F"/>
              </a:solidFill>
            </a:ln>
          </c:spPr>
          <c:invertIfNegative val="0"/>
          <c:cat>
            <c:strRef>
              <c:f>employment_2013!$E$10:$L$10</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employment_2013!$E$11:$L$11</c:f>
              <c:numCache>
                <c:formatCode>0.0</c:formatCode>
                <c:ptCount val="8"/>
                <c:pt idx="0">
                  <c:v>10.038534612202373</c:v>
                </c:pt>
                <c:pt idx="1">
                  <c:v>27.041916657297342</c:v>
                </c:pt>
                <c:pt idx="2">
                  <c:v>29.392459605026932</c:v>
                </c:pt>
                <c:pt idx="3">
                  <c:v>11.970954780019174</c:v>
                </c:pt>
                <c:pt idx="4">
                  <c:v>38.615050175678064</c:v>
                </c:pt>
                <c:pt idx="5">
                  <c:v>20.179101907263099</c:v>
                </c:pt>
                <c:pt idx="6">
                  <c:v>12.234013995024787</c:v>
                </c:pt>
                <c:pt idx="7">
                  <c:v>27.352697499878158</c:v>
                </c:pt>
              </c:numCache>
            </c:numRef>
          </c:val>
        </c:ser>
        <c:ser>
          <c:idx val="1"/>
          <c:order val="1"/>
          <c:tx>
            <c:strRef>
              <c:f>employment_2013!$D$12</c:f>
              <c:strCache>
                <c:ptCount val="1"/>
                <c:pt idx="0">
                  <c:v>Public housing</c:v>
                </c:pt>
              </c:strCache>
            </c:strRef>
          </c:tx>
          <c:spPr>
            <a:solidFill>
              <a:srgbClr val="265A9A"/>
            </a:solidFill>
            <a:ln>
              <a:solidFill>
                <a:srgbClr val="265A9A"/>
              </a:solidFill>
            </a:ln>
          </c:spPr>
          <c:invertIfNegative val="0"/>
          <c:cat>
            <c:strRef>
              <c:f>employment_2013!$E$10:$L$10</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employment_2013!$E$12:$L$12</c:f>
              <c:numCache>
                <c:formatCode>0.0</c:formatCode>
                <c:ptCount val="8"/>
                <c:pt idx="0">
                  <c:v>6.0449036788370627</c:v>
                </c:pt>
                <c:pt idx="1">
                  <c:v>21.284618854307624</c:v>
                </c:pt>
                <c:pt idx="2">
                  <c:v>12.404580152671755</c:v>
                </c:pt>
                <c:pt idx="3">
                  <c:v>9.6791588029118358</c:v>
                </c:pt>
                <c:pt idx="4">
                  <c:v>19.540229885057471</c:v>
                </c:pt>
                <c:pt idx="5">
                  <c:v>9.220779220779221</c:v>
                </c:pt>
                <c:pt idx="6">
                  <c:v>8.1885656970912741</c:v>
                </c:pt>
                <c:pt idx="7">
                  <c:v>12.131014961585119</c:v>
                </c:pt>
              </c:numCache>
            </c:numRef>
          </c:val>
        </c:ser>
        <c:dLbls>
          <c:showLegendKey val="0"/>
          <c:showVal val="0"/>
          <c:showCatName val="0"/>
          <c:showSerName val="0"/>
          <c:showPercent val="0"/>
          <c:showBubbleSize val="0"/>
        </c:dLbls>
        <c:gapWidth val="150"/>
        <c:axId val="45984768"/>
        <c:axId val="45998848"/>
      </c:barChart>
      <c:catAx>
        <c:axId val="45984768"/>
        <c:scaling>
          <c:orientation val="minMax"/>
        </c:scaling>
        <c:delete val="0"/>
        <c:axPos val="b"/>
        <c:majorTickMark val="none"/>
        <c:minorTickMark val="none"/>
        <c:tickLblPos val="nextTo"/>
        <c:spPr>
          <a:ln>
            <a:solidFill>
              <a:srgbClr val="BFBFBF"/>
            </a:solidFill>
          </a:ln>
        </c:spPr>
        <c:txPr>
          <a:bodyPr/>
          <a:lstStyle/>
          <a:p>
            <a:pPr>
              <a:defRPr sz="900"/>
            </a:pPr>
            <a:endParaRPr lang="en-US"/>
          </a:p>
        </c:txPr>
        <c:crossAx val="45998848"/>
        <c:crosses val="autoZero"/>
        <c:auto val="1"/>
        <c:lblAlgn val="ctr"/>
        <c:lblOffset val="100"/>
        <c:noMultiLvlLbl val="0"/>
      </c:catAx>
      <c:valAx>
        <c:axId val="45998848"/>
        <c:scaling>
          <c:orientation val="minMax"/>
        </c:scaling>
        <c:delete val="0"/>
        <c:axPos val="l"/>
        <c:majorGridlines>
          <c:spPr>
            <a:ln>
              <a:noFill/>
            </a:ln>
          </c:spPr>
        </c:majorGridlines>
        <c:title>
          <c:tx>
            <c:rich>
              <a:bodyPr rot="-5400000" vert="horz"/>
              <a:lstStyle/>
              <a:p>
                <a:pPr>
                  <a:defRPr/>
                </a:pPr>
                <a:r>
                  <a:rPr lang="en-AU"/>
                  <a:t>Per cent</a:t>
                </a:r>
              </a:p>
            </c:rich>
          </c:tx>
          <c:layout>
            <c:manualLayout>
              <c:xMode val="edge"/>
              <c:yMode val="edge"/>
              <c:x val="1.37816091954023E-3"/>
              <c:y val="0.30955624999999998"/>
            </c:manualLayout>
          </c:layout>
          <c:overlay val="0"/>
        </c:title>
        <c:numFmt formatCode="#,##0" sourceLinked="0"/>
        <c:majorTickMark val="out"/>
        <c:minorTickMark val="none"/>
        <c:tickLblPos val="nextTo"/>
        <c:spPr>
          <a:ln>
            <a:solidFill>
              <a:srgbClr val="BFBFBF"/>
            </a:solidFill>
          </a:ln>
        </c:spPr>
        <c:crossAx val="45984768"/>
        <c:crosses val="autoZero"/>
        <c:crossBetween val="between"/>
        <c:majorUnit val="9"/>
      </c:valAx>
      <c:spPr>
        <a:noFill/>
        <a:ln>
          <a:noFill/>
        </a:ln>
      </c:spPr>
    </c:plotArea>
    <c:legend>
      <c:legendPos val="t"/>
      <c:layout>
        <c:manualLayout>
          <c:xMode val="edge"/>
          <c:yMode val="edge"/>
          <c:x val="0.104352592592593"/>
          <c:y val="3.0238095238095199E-2"/>
          <c:w val="0.87360962962962996"/>
          <c:h val="8.0380555555555497E-2"/>
        </c:manualLayout>
      </c:layout>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0.25981</cdr:x>
      <cdr:y>0.30767</cdr:y>
    </cdr:from>
    <cdr:to>
      <cdr:x>0.25981</cdr:x>
      <cdr:y>0.35442</cdr:y>
    </cdr:to>
    <cdr:cxnSp macro="">
      <cdr:nvCxnSpPr>
        <cdr:cNvPr id="3" name="Straight Arrow Connector 2"/>
        <cdr:cNvCxnSpPr/>
      </cdr:nvCxnSpPr>
      <cdr:spPr>
        <a:xfrm xmlns:a="http://schemas.openxmlformats.org/drawingml/2006/main" flipV="1">
          <a:off x="1383022" y="996780"/>
          <a:ext cx="0" cy="151459"/>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0.25981</cdr:x>
      <cdr:y>0.39954</cdr:y>
    </cdr:from>
    <cdr:to>
      <cdr:x>0.25987</cdr:x>
      <cdr:y>0.44792</cdr:y>
    </cdr:to>
    <cdr:cxnSp macro="">
      <cdr:nvCxnSpPr>
        <cdr:cNvPr id="4" name="Straight Arrow Connector 3"/>
        <cdr:cNvCxnSpPr/>
      </cdr:nvCxnSpPr>
      <cdr:spPr>
        <a:xfrm xmlns:a="http://schemas.openxmlformats.org/drawingml/2006/main" flipH="1">
          <a:off x="1383012" y="1294413"/>
          <a:ext cx="319" cy="156740"/>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0.20955</cdr:x>
      <cdr:y>0.34248</cdr:y>
    </cdr:from>
    <cdr:to>
      <cdr:x>0.3056</cdr:x>
      <cdr:y>0.41352</cdr:y>
    </cdr:to>
    <cdr:sp macro="" textlink="">
      <cdr:nvSpPr>
        <cdr:cNvPr id="2" name="Text Box 1"/>
        <cdr:cNvSpPr txBox="1"/>
      </cdr:nvSpPr>
      <cdr:spPr>
        <a:xfrm xmlns:a="http://schemas.openxmlformats.org/drawingml/2006/main">
          <a:off x="1115483" y="1109546"/>
          <a:ext cx="511298" cy="23015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18788</a:t>
          </a:r>
        </a:p>
      </cdr:txBody>
    </cdr:sp>
  </cdr:relSizeAnchor>
  <cdr:relSizeAnchor xmlns:cdr="http://schemas.openxmlformats.org/drawingml/2006/chartDrawing">
    <cdr:from>
      <cdr:x>0.58494</cdr:x>
      <cdr:y>0.31834</cdr:y>
    </cdr:from>
    <cdr:to>
      <cdr:x>0.58494</cdr:x>
      <cdr:y>0.39636</cdr:y>
    </cdr:to>
    <cdr:cxnSp macro="">
      <cdr:nvCxnSpPr>
        <cdr:cNvPr id="5" name="Straight Arrow Connector 4"/>
        <cdr:cNvCxnSpPr/>
      </cdr:nvCxnSpPr>
      <cdr:spPr>
        <a:xfrm xmlns:a="http://schemas.openxmlformats.org/drawingml/2006/main" flipV="1">
          <a:off x="3113742" y="1031342"/>
          <a:ext cx="0" cy="252767"/>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0.583</cdr:x>
      <cdr:y>0.44476</cdr:y>
    </cdr:from>
    <cdr:to>
      <cdr:x>0.583</cdr:x>
      <cdr:y>0.51526</cdr:y>
    </cdr:to>
    <cdr:cxnSp macro="">
      <cdr:nvCxnSpPr>
        <cdr:cNvPr id="6" name="Straight Arrow Connector 5"/>
        <cdr:cNvCxnSpPr/>
      </cdr:nvCxnSpPr>
      <cdr:spPr>
        <a:xfrm xmlns:a="http://schemas.openxmlformats.org/drawingml/2006/main" flipH="1">
          <a:off x="3103443" y="1440906"/>
          <a:ext cx="2" cy="228406"/>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0.53269</cdr:x>
      <cdr:y>0.38769</cdr:y>
    </cdr:from>
    <cdr:to>
      <cdr:x>0.62874</cdr:x>
      <cdr:y>0.45874</cdr:y>
    </cdr:to>
    <cdr:sp macro="" textlink="">
      <cdr:nvSpPr>
        <cdr:cNvPr id="7" name="Text Box 3"/>
        <cdr:cNvSpPr txBox="1"/>
      </cdr:nvSpPr>
      <cdr:spPr>
        <a:xfrm xmlns:a="http://schemas.openxmlformats.org/drawingml/2006/main">
          <a:off x="2835595" y="1256039"/>
          <a:ext cx="511298" cy="23015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25098</a:t>
          </a:r>
        </a:p>
      </cdr:txBody>
    </cdr:sp>
  </cdr:relSizeAnchor>
  <cdr:relSizeAnchor xmlns:cdr="http://schemas.openxmlformats.org/drawingml/2006/chartDrawing">
    <cdr:from>
      <cdr:x>0.91207</cdr:x>
      <cdr:y>0.2166</cdr:y>
    </cdr:from>
    <cdr:to>
      <cdr:x>0.91281</cdr:x>
      <cdr:y>0.28732</cdr:y>
    </cdr:to>
    <cdr:cxnSp macro="">
      <cdr:nvCxnSpPr>
        <cdr:cNvPr id="16" name="Straight Arrow Connector 15"/>
        <cdr:cNvCxnSpPr/>
      </cdr:nvCxnSpPr>
      <cdr:spPr>
        <a:xfrm xmlns:a="http://schemas.openxmlformats.org/drawingml/2006/main" flipV="1">
          <a:off x="4855136" y="701749"/>
          <a:ext cx="3943" cy="229104"/>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0.91213</cdr:x>
      <cdr:y>0.33244</cdr:y>
    </cdr:from>
    <cdr:to>
      <cdr:x>0.91213</cdr:x>
      <cdr:y>0.40294</cdr:y>
    </cdr:to>
    <cdr:cxnSp macro="">
      <cdr:nvCxnSpPr>
        <cdr:cNvPr id="17" name="Straight Arrow Connector 16"/>
        <cdr:cNvCxnSpPr/>
      </cdr:nvCxnSpPr>
      <cdr:spPr>
        <a:xfrm xmlns:a="http://schemas.openxmlformats.org/drawingml/2006/main" flipH="1">
          <a:off x="4855453" y="1077037"/>
          <a:ext cx="2" cy="228406"/>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0.86181</cdr:x>
      <cdr:y>0.27538</cdr:y>
    </cdr:from>
    <cdr:to>
      <cdr:x>0.95786</cdr:x>
      <cdr:y>0.34642</cdr:y>
    </cdr:to>
    <cdr:sp macro="" textlink="">
      <cdr:nvSpPr>
        <cdr:cNvPr id="18" name="Text Box 3"/>
        <cdr:cNvSpPr txBox="1"/>
      </cdr:nvSpPr>
      <cdr:spPr>
        <a:xfrm xmlns:a="http://schemas.openxmlformats.org/drawingml/2006/main">
          <a:off x="4587605" y="892170"/>
          <a:ext cx="511298" cy="23015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23675</a:t>
          </a:r>
        </a:p>
      </cdr:txBody>
    </cdr:sp>
  </cdr:relSizeAnchor>
</c:userShapes>
</file>

<file path=word/drawings/drawing2.xml><?xml version="1.0" encoding="utf-8"?>
<c:userShapes xmlns:c="http://schemas.openxmlformats.org/drawingml/2006/chart">
  <cdr:relSizeAnchor xmlns:cdr="http://schemas.openxmlformats.org/drawingml/2006/chartDrawing">
    <cdr:from>
      <cdr:x>0.24947</cdr:x>
      <cdr:y>0.31022</cdr:y>
    </cdr:from>
    <cdr:to>
      <cdr:x>0.24947</cdr:x>
      <cdr:y>0.35697</cdr:y>
    </cdr:to>
    <cdr:cxnSp macro="">
      <cdr:nvCxnSpPr>
        <cdr:cNvPr id="2" name="Straight Arrow Connector 1"/>
        <cdr:cNvCxnSpPr/>
      </cdr:nvCxnSpPr>
      <cdr:spPr>
        <a:xfrm xmlns:a="http://schemas.openxmlformats.org/drawingml/2006/main" flipV="1">
          <a:off x="1338119" y="1005046"/>
          <a:ext cx="0" cy="151459"/>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0.24953</cdr:x>
      <cdr:y>0.40209</cdr:y>
    </cdr:from>
    <cdr:to>
      <cdr:x>0.24953</cdr:x>
      <cdr:y>0.44305</cdr:y>
    </cdr:to>
    <cdr:cxnSp macro="">
      <cdr:nvCxnSpPr>
        <cdr:cNvPr id="3" name="Straight Arrow Connector 2"/>
        <cdr:cNvCxnSpPr/>
      </cdr:nvCxnSpPr>
      <cdr:spPr>
        <a:xfrm xmlns:a="http://schemas.openxmlformats.org/drawingml/2006/main" flipH="1">
          <a:off x="1338438" y="1302683"/>
          <a:ext cx="1" cy="132712"/>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0.19959</cdr:x>
      <cdr:y>0.34503</cdr:y>
    </cdr:from>
    <cdr:to>
      <cdr:x>0.29492</cdr:x>
      <cdr:y>0.41607</cdr:y>
    </cdr:to>
    <cdr:sp macro="" textlink="">
      <cdr:nvSpPr>
        <cdr:cNvPr id="4" name="Text Box 3"/>
        <cdr:cNvSpPr txBox="1"/>
      </cdr:nvSpPr>
      <cdr:spPr>
        <a:xfrm xmlns:a="http://schemas.openxmlformats.org/drawingml/2006/main">
          <a:off x="1070590" y="1117816"/>
          <a:ext cx="511298" cy="23015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15495</a:t>
          </a:r>
        </a:p>
      </cdr:txBody>
    </cdr:sp>
  </cdr:relSizeAnchor>
  <cdr:relSizeAnchor xmlns:cdr="http://schemas.openxmlformats.org/drawingml/2006/chartDrawing">
    <cdr:from>
      <cdr:x>0.58007</cdr:x>
      <cdr:y>0.31834</cdr:y>
    </cdr:from>
    <cdr:to>
      <cdr:x>0.5808</cdr:x>
      <cdr:y>0.38906</cdr:y>
    </cdr:to>
    <cdr:cxnSp macro="">
      <cdr:nvCxnSpPr>
        <cdr:cNvPr id="6" name="Straight Arrow Connector 5"/>
        <cdr:cNvCxnSpPr/>
      </cdr:nvCxnSpPr>
      <cdr:spPr>
        <a:xfrm xmlns:a="http://schemas.openxmlformats.org/drawingml/2006/main" flipV="1">
          <a:off x="3111406" y="1031358"/>
          <a:ext cx="3934" cy="229108"/>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0.58013</cdr:x>
      <cdr:y>0.43418</cdr:y>
    </cdr:from>
    <cdr:to>
      <cdr:x>0.58013</cdr:x>
      <cdr:y>0.489</cdr:y>
    </cdr:to>
    <cdr:cxnSp macro="">
      <cdr:nvCxnSpPr>
        <cdr:cNvPr id="7" name="Straight Arrow Connector 6"/>
        <cdr:cNvCxnSpPr/>
      </cdr:nvCxnSpPr>
      <cdr:spPr>
        <a:xfrm xmlns:a="http://schemas.openxmlformats.org/drawingml/2006/main" flipH="1">
          <a:off x="3111714" y="1406646"/>
          <a:ext cx="2" cy="177605"/>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0.53019</cdr:x>
      <cdr:y>0.37712</cdr:y>
    </cdr:from>
    <cdr:to>
      <cdr:x>0.62551</cdr:x>
      <cdr:y>0.44816</cdr:y>
    </cdr:to>
    <cdr:sp macro="" textlink="">
      <cdr:nvSpPr>
        <cdr:cNvPr id="8" name="Text Box 3"/>
        <cdr:cNvSpPr txBox="1"/>
      </cdr:nvSpPr>
      <cdr:spPr>
        <a:xfrm xmlns:a="http://schemas.openxmlformats.org/drawingml/2006/main">
          <a:off x="2843865" y="1221779"/>
          <a:ext cx="511298" cy="23015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21720</a:t>
          </a:r>
        </a:p>
      </cdr:txBody>
    </cdr:sp>
  </cdr:relSizeAnchor>
  <cdr:relSizeAnchor xmlns:cdr="http://schemas.openxmlformats.org/drawingml/2006/chartDrawing">
    <cdr:from>
      <cdr:x>0.91977</cdr:x>
      <cdr:y>0.23958</cdr:y>
    </cdr:from>
    <cdr:to>
      <cdr:x>0.92058</cdr:x>
      <cdr:y>0.29644</cdr:y>
    </cdr:to>
    <cdr:cxnSp macro="">
      <cdr:nvCxnSpPr>
        <cdr:cNvPr id="13" name="Straight Arrow Connector 12"/>
        <cdr:cNvCxnSpPr/>
      </cdr:nvCxnSpPr>
      <cdr:spPr>
        <a:xfrm xmlns:a="http://schemas.openxmlformats.org/drawingml/2006/main" flipH="1" flipV="1">
          <a:off x="4933507" y="776176"/>
          <a:ext cx="4341" cy="184222"/>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0.92064</cdr:x>
      <cdr:y>0.34156</cdr:y>
    </cdr:from>
    <cdr:to>
      <cdr:x>0.92064</cdr:x>
      <cdr:y>0.39638</cdr:y>
    </cdr:to>
    <cdr:cxnSp macro="">
      <cdr:nvCxnSpPr>
        <cdr:cNvPr id="14" name="Straight Arrow Connector 13"/>
        <cdr:cNvCxnSpPr/>
      </cdr:nvCxnSpPr>
      <cdr:spPr>
        <a:xfrm xmlns:a="http://schemas.openxmlformats.org/drawingml/2006/main" flipH="1">
          <a:off x="4938151" y="1106571"/>
          <a:ext cx="2" cy="177605"/>
        </a:xfrm>
        <a:prstGeom xmlns:a="http://schemas.openxmlformats.org/drawingml/2006/main" prst="straightConnector1">
          <a:avLst/>
        </a:prstGeom>
        <a:ln xmlns:a="http://schemas.openxmlformats.org/drawingml/2006/main">
          <a:tailEnd type="arrow" w="sm" len="sm"/>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0.8707</cdr:x>
      <cdr:y>0.2845</cdr:y>
    </cdr:from>
    <cdr:to>
      <cdr:x>0.96602</cdr:x>
      <cdr:y>0.35554</cdr:y>
    </cdr:to>
    <cdr:sp macro="" textlink="">
      <cdr:nvSpPr>
        <cdr:cNvPr id="15" name="Text Box 3"/>
        <cdr:cNvSpPr txBox="1"/>
      </cdr:nvSpPr>
      <cdr:spPr>
        <a:xfrm xmlns:a="http://schemas.openxmlformats.org/drawingml/2006/main">
          <a:off x="4670302" y="921704"/>
          <a:ext cx="511298" cy="230157"/>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r>
            <a:rPr lang="en-AU" sz="900">
              <a:latin typeface="Arial" panose="020B0604020202020204" pitchFamily="34" charset="0"/>
              <a:cs typeface="Arial" panose="020B0604020202020204" pitchFamily="34" charset="0"/>
            </a:rPr>
            <a:t>19430</a:t>
          </a:r>
        </a:p>
      </cdr:txBody>
    </cdr:sp>
  </cdr:relSizeAnchor>
</c:userShapes>
</file>

<file path=word/drawings/drawing3.xml><?xml version="1.0" encoding="utf-8"?>
<c:userShapes xmlns:c="http://schemas.openxmlformats.org/drawingml/2006/chart">
  <cdr:relSizeAnchor xmlns:cdr="http://schemas.openxmlformats.org/drawingml/2006/chartDrawing">
    <cdr:from>
      <cdr:x>0.8464</cdr:x>
      <cdr:y>0.44215</cdr:y>
    </cdr:from>
    <cdr:to>
      <cdr:x>0.98228</cdr:x>
      <cdr:y>0.78394</cdr:y>
    </cdr:to>
    <cdr:sp macro="" textlink="">
      <cdr:nvSpPr>
        <cdr:cNvPr id="5" name="Text Box 1"/>
        <cdr:cNvSpPr txBox="1"/>
      </cdr:nvSpPr>
      <cdr:spPr>
        <a:xfrm xmlns:a="http://schemas.openxmlformats.org/drawingml/2006/main">
          <a:off x="4570041" y="1114064"/>
          <a:ext cx="733671" cy="861226"/>
        </a:xfrm>
        <a:prstGeom xmlns:a="http://schemas.openxmlformats.org/drawingml/2006/main" prst="rect">
          <a:avLst/>
        </a:prstGeom>
      </cdr:spPr>
    </cdr:sp>
  </cdr:relSizeAnchor>
  <cdr:relSizeAnchor xmlns:cdr="http://schemas.openxmlformats.org/drawingml/2006/chartDrawing">
    <cdr:from>
      <cdr:x>0.8464</cdr:x>
      <cdr:y>0.44215</cdr:y>
    </cdr:from>
    <cdr:to>
      <cdr:x>0.98228</cdr:x>
      <cdr:y>0.78394</cdr:y>
    </cdr:to>
    <cdr:sp macro="" textlink="">
      <cdr:nvSpPr>
        <cdr:cNvPr id="10" name="Text Box 1"/>
        <cdr:cNvSpPr txBox="1"/>
      </cdr:nvSpPr>
      <cdr:spPr>
        <a:xfrm xmlns:a="http://schemas.openxmlformats.org/drawingml/2006/main">
          <a:off x="4570041" y="1114064"/>
          <a:ext cx="733671" cy="861226"/>
        </a:xfrm>
        <a:prstGeom xmlns:a="http://schemas.openxmlformats.org/drawingml/2006/main" prst="rect">
          <a:avLst/>
        </a:prstGeom>
      </cdr:spPr>
    </cdr:sp>
  </cdr:relSizeAnchor>
  <cdr:relSizeAnchor xmlns:cdr="http://schemas.openxmlformats.org/drawingml/2006/chartDrawing">
    <cdr:from>
      <cdr:x>0.1343</cdr:x>
      <cdr:y>0.0581</cdr:y>
    </cdr:from>
    <cdr:to>
      <cdr:x>0.60167</cdr:x>
      <cdr:y>0.32016</cdr:y>
    </cdr:to>
    <cdr:sp macro="" textlink="">
      <cdr:nvSpPr>
        <cdr:cNvPr id="12" name="TextBox 1"/>
        <cdr:cNvSpPr txBox="1"/>
      </cdr:nvSpPr>
      <cdr:spPr>
        <a:xfrm xmlns:a="http://schemas.openxmlformats.org/drawingml/2006/main">
          <a:off x="720194" y="155496"/>
          <a:ext cx="2506307" cy="701410"/>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wrap="square" lIns="36000" rIns="36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Extent to which</a:t>
          </a:r>
          <a:r>
            <a:rPr lang="en-AU" sz="900" baseline="0">
              <a:latin typeface="Arial" panose="020B0604020202020204" pitchFamily="34" charset="0"/>
              <a:cs typeface="Arial" panose="020B0604020202020204" pitchFamily="34" charset="0"/>
            </a:rPr>
            <a:t> an ISP recipient's </a:t>
          </a:r>
          <a:r>
            <a:rPr lang="en-AU" sz="900">
              <a:effectLst/>
              <a:latin typeface="Arial" panose="020B0604020202020204" pitchFamily="34" charset="0"/>
              <a:ea typeface="+mn-ea"/>
              <a:cs typeface="Arial" panose="020B0604020202020204" pitchFamily="34" charset="0"/>
            </a:rPr>
            <a:t>DIPR is higher if they pay 25 per cent of their income in public housing rent rather than if they rent privately and receive CRA.</a:t>
          </a:r>
          <a:r>
            <a:rPr lang="en-AU" sz="900">
              <a:effectLst/>
              <a:latin typeface="Arial" panose="020B0604020202020204" pitchFamily="34" charset="0"/>
              <a:cs typeface="Arial" panose="020B0604020202020204" pitchFamily="34" charset="0"/>
            </a:rPr>
            <a:t> </a:t>
          </a:r>
          <a:endParaRPr lang="en-AU" sz="900">
            <a:latin typeface="Arial" panose="020B0604020202020204" pitchFamily="34" charset="0"/>
            <a:cs typeface="Arial" panose="020B0604020202020204" pitchFamily="34" charset="0"/>
          </a:endParaRPr>
        </a:p>
      </cdr:txBody>
    </cdr:sp>
  </cdr:relSizeAnchor>
</c:userShapes>
</file>

<file path=word/drawings/drawing4.xml><?xml version="1.0" encoding="utf-8"?>
<c:userShapes xmlns:c="http://schemas.openxmlformats.org/drawingml/2006/chart">
  <cdr:relSizeAnchor xmlns:cdr="http://schemas.openxmlformats.org/drawingml/2006/chartDrawing">
    <cdr:from>
      <cdr:x>0.8464</cdr:x>
      <cdr:y>0.44215</cdr:y>
    </cdr:from>
    <cdr:to>
      <cdr:x>0.98228</cdr:x>
      <cdr:y>0.78394</cdr:y>
    </cdr:to>
    <cdr:sp macro="" textlink="">
      <cdr:nvSpPr>
        <cdr:cNvPr id="5" name="Text Box 1"/>
        <cdr:cNvSpPr txBox="1"/>
      </cdr:nvSpPr>
      <cdr:spPr>
        <a:xfrm xmlns:a="http://schemas.openxmlformats.org/drawingml/2006/main">
          <a:off x="4570041" y="1114064"/>
          <a:ext cx="733671" cy="861226"/>
        </a:xfrm>
        <a:prstGeom xmlns:a="http://schemas.openxmlformats.org/drawingml/2006/main" prst="rect">
          <a:avLst/>
        </a:prstGeom>
      </cdr:spPr>
    </cdr:sp>
  </cdr:relSizeAnchor>
  <cdr:relSizeAnchor xmlns:cdr="http://schemas.openxmlformats.org/drawingml/2006/chartDrawing">
    <cdr:from>
      <cdr:x>0.14879</cdr:x>
      <cdr:y>0.04977</cdr:y>
    </cdr:from>
    <cdr:to>
      <cdr:x>0.64452</cdr:x>
      <cdr:y>0.30791</cdr:y>
    </cdr:to>
    <cdr:sp macro="" textlink="">
      <cdr:nvSpPr>
        <cdr:cNvPr id="3" name="TextBox 1" descr="This chart shows the extent to which an ISP recipient's DIPR is higher if they pay 25 per cent of their income in public housing rent rather than if they rent privately and receive CRA. &#10;" title="Post rent income under each policy at different weekly rents"/>
        <cdr:cNvSpPr txBox="1"/>
      </cdr:nvSpPr>
      <cdr:spPr>
        <a:xfrm xmlns:a="http://schemas.openxmlformats.org/drawingml/2006/main">
          <a:off x="798143" y="136517"/>
          <a:ext cx="2659150" cy="708142"/>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wrap="square" lIns="36000" rIns="36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Extent to which</a:t>
          </a:r>
          <a:r>
            <a:rPr lang="en-AU" sz="900" baseline="0">
              <a:latin typeface="Arial" panose="020B0604020202020204" pitchFamily="34" charset="0"/>
              <a:cs typeface="Arial" panose="020B0604020202020204" pitchFamily="34" charset="0"/>
            </a:rPr>
            <a:t> an ISP recipient's </a:t>
          </a:r>
          <a:r>
            <a:rPr lang="en-AU" sz="900">
              <a:effectLst/>
              <a:latin typeface="Arial" panose="020B0604020202020204" pitchFamily="34" charset="0"/>
              <a:ea typeface="+mn-ea"/>
              <a:cs typeface="Arial" panose="020B0604020202020204" pitchFamily="34" charset="0"/>
            </a:rPr>
            <a:t>DIPR is higher if they pay 25 per cent of their income in public housing rent rather than if they rent privately and receive CRA</a:t>
          </a:r>
          <a:r>
            <a:rPr lang="en-AU" sz="900">
              <a:effectLst/>
              <a:latin typeface="+mn-lt"/>
              <a:ea typeface="+mn-ea"/>
              <a:cs typeface="+mn-cs"/>
            </a:rPr>
            <a:t>.</a:t>
          </a:r>
          <a:r>
            <a:rPr lang="en-AU" sz="900">
              <a:effectLst/>
            </a:rPr>
            <a:t> </a:t>
          </a:r>
          <a:endParaRPr lang="en-AU" sz="900"/>
        </a:p>
      </cdr:txBody>
    </cdr: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89269-87EB-4861-AEC9-0E3113C953DE}">
  <ds:schemaRefs>
    <ds:schemaRef ds:uri="http://schemas.openxmlformats.org/officeDocument/2006/bibliography"/>
  </ds:schemaRefs>
</ds:datastoreItem>
</file>

<file path=customXml/itemProps2.xml><?xml version="1.0" encoding="utf-8"?>
<ds:datastoreItem xmlns:ds="http://schemas.openxmlformats.org/officeDocument/2006/customXml" ds:itemID="{6D3D4979-4ED3-4C38-9DB4-8BFBED0A1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Template>
  <TotalTime>20</TotalTime>
  <Pages>31</Pages>
  <Words>9458</Words>
  <Characters>49126</Characters>
  <Application>Microsoft Office Word</Application>
  <DocSecurity>0</DocSecurity>
  <Lines>409</Lines>
  <Paragraphs>116</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58468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cp:lastModifiedBy>Chin, Rebecca</cp:lastModifiedBy>
  <cp:revision>8</cp:revision>
  <cp:lastPrinted>2015-03-26T23:40:00Z</cp:lastPrinted>
  <dcterms:created xsi:type="dcterms:W3CDTF">2015-04-07T01:25:00Z</dcterms:created>
  <dcterms:modified xsi:type="dcterms:W3CDTF">2015-04-07T03:29:00Z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id="54bjAbn0"/&gt;&lt;style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