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FC0133" w:rsidP="00846FEF">
      <w:pPr>
        <w:pStyle w:val="Heading1"/>
        <w:spacing w:before="0"/>
        <w:ind w:left="0" w:firstLine="0"/>
      </w:pPr>
      <w:bookmarkStart w:id="0" w:name="ChapterNumber"/>
      <w:bookmarkStart w:id="1" w:name="_GoBack"/>
      <w:bookmarkEnd w:id="1"/>
      <w:r>
        <w:t xml:space="preserve">Annex </w:t>
      </w:r>
      <w:r w:rsidR="000F5E74">
        <w:t>C</w:t>
      </w:r>
      <w:bookmarkEnd w:id="0"/>
      <w:r w:rsidR="00846FEF">
        <w:tab/>
      </w:r>
      <w:bookmarkStart w:id="2" w:name="ChapterTitle"/>
      <w:r w:rsidR="000F5E74">
        <w:t>Examples of budget</w:t>
      </w:r>
      <w:r w:rsidR="00670730">
        <w:t xml:space="preserve"> </w:t>
      </w:r>
      <w:r>
        <w:t xml:space="preserve">constraints and effective </w:t>
      </w:r>
      <w:r w:rsidR="000F5E74">
        <w:t>marginal tax</w:t>
      </w:r>
      <w:bookmarkEnd w:id="2"/>
      <w:r w:rsidR="00DC6936">
        <w:t xml:space="preserve"> rates</w:t>
      </w:r>
    </w:p>
    <w:p w:rsidR="00424F04" w:rsidRDefault="00513294" w:rsidP="00120072">
      <w:pPr>
        <w:pStyle w:val="BodyText"/>
      </w:pPr>
      <w:bookmarkStart w:id="3" w:name="begin"/>
      <w:bookmarkEnd w:id="3"/>
      <w:r>
        <w:t>This annex contains a set of figures depicting the budget constraints and effective marginal</w:t>
      </w:r>
      <w:r w:rsidR="00DE13D2">
        <w:t xml:space="preserve"> </w:t>
      </w:r>
      <w:r>
        <w:t xml:space="preserve">tax rates (EMTRs) faced by various </w:t>
      </w:r>
      <w:r w:rsidR="00567FCB">
        <w:t>single income support payment (ISP) recipients (distinguishing between those with and without children)</w:t>
      </w:r>
      <w:r w:rsidR="009F12BC">
        <w:t>, including</w:t>
      </w:r>
      <w:r w:rsidR="00424F04">
        <w:t>:</w:t>
      </w:r>
      <w:r w:rsidR="009F12BC">
        <w:t xml:space="preserve"> </w:t>
      </w:r>
    </w:p>
    <w:p w:rsidR="00424F04" w:rsidRDefault="00493CCA" w:rsidP="00424F04">
      <w:pPr>
        <w:pStyle w:val="ListBullet"/>
      </w:pPr>
      <w:r>
        <w:t>those in public housing (PH)</w:t>
      </w:r>
    </w:p>
    <w:p w:rsidR="00424F04" w:rsidRDefault="00424F04" w:rsidP="00424F04">
      <w:pPr>
        <w:pStyle w:val="ListBullet"/>
      </w:pPr>
      <w:r>
        <w:t>those</w:t>
      </w:r>
      <w:r w:rsidR="009F12BC">
        <w:t xml:space="preserve"> receiving Commonwealth Rent Assistance (CRA) </w:t>
      </w:r>
    </w:p>
    <w:p w:rsidR="00424F04" w:rsidRDefault="009F12BC" w:rsidP="00424F04">
      <w:pPr>
        <w:pStyle w:val="ListBullet"/>
      </w:pPr>
      <w:r>
        <w:t>and those who do not receive any housing assistance (HA)</w:t>
      </w:r>
      <w:r w:rsidR="00513294">
        <w:t>.</w:t>
      </w:r>
      <w:r w:rsidR="003927AC">
        <w:t xml:space="preserve"> </w:t>
      </w:r>
    </w:p>
    <w:p w:rsidR="00666E02" w:rsidRDefault="00513294" w:rsidP="00120072">
      <w:pPr>
        <w:pStyle w:val="BodyText"/>
        <w:rPr>
          <w:spacing w:val="-2"/>
        </w:rPr>
      </w:pPr>
      <w:r>
        <w:t xml:space="preserve">These figures were generated </w:t>
      </w:r>
      <w:r w:rsidR="00567FCB">
        <w:t xml:space="preserve">using </w:t>
      </w:r>
      <w:r>
        <w:t xml:space="preserve">PCTT 2014, </w:t>
      </w:r>
      <w:r w:rsidR="00B61F19">
        <w:t xml:space="preserve">a </w:t>
      </w:r>
      <w:r>
        <w:t xml:space="preserve">model of the </w:t>
      </w:r>
      <w:r w:rsidRPr="001C05C2">
        <w:rPr>
          <w:spacing w:val="-2"/>
        </w:rPr>
        <w:t>Australian tax and transfer system</w:t>
      </w:r>
      <w:r>
        <w:rPr>
          <w:spacing w:val="-2"/>
        </w:rPr>
        <w:t xml:space="preserve"> built by the Commission (</w:t>
      </w:r>
      <w:r w:rsidR="00424F04">
        <w:rPr>
          <w:spacing w:val="-2"/>
        </w:rPr>
        <w:t>BP</w:t>
      </w:r>
      <w:r w:rsidR="00556180">
        <w:rPr>
          <w:spacing w:val="-2"/>
        </w:rPr>
        <w:t> </w:t>
      </w:r>
      <w:r w:rsidR="00424F04">
        <w:rPr>
          <w:spacing w:val="-2"/>
        </w:rPr>
        <w:t xml:space="preserve">2, </w:t>
      </w:r>
      <w:r w:rsidR="000F5E74">
        <w:rPr>
          <w:spacing w:val="-2"/>
        </w:rPr>
        <w:t>annex</w:t>
      </w:r>
      <w:r>
        <w:rPr>
          <w:spacing w:val="-2"/>
        </w:rPr>
        <w:t xml:space="preserve"> A)</w:t>
      </w:r>
      <w:r w:rsidR="002B4E75">
        <w:rPr>
          <w:spacing w:val="-2"/>
        </w:rPr>
        <w:t>.</w:t>
      </w:r>
      <w:r w:rsidR="00556180">
        <w:rPr>
          <w:spacing w:val="-2"/>
        </w:rPr>
        <w:t xml:space="preserve"> A</w:t>
      </w:r>
      <w:r w:rsidR="00F37FE1">
        <w:rPr>
          <w:spacing w:val="-2"/>
        </w:rPr>
        <w:t>n example of how to interpret</w:t>
      </w:r>
      <w:r w:rsidR="00556180">
        <w:rPr>
          <w:spacing w:val="-2"/>
        </w:rPr>
        <w:t xml:space="preserve"> the figures </w:t>
      </w:r>
      <w:r w:rsidR="008436D7">
        <w:rPr>
          <w:spacing w:val="-2"/>
        </w:rPr>
        <w:t xml:space="preserve">(for Disability Support Pension recipients) </w:t>
      </w:r>
      <w:r w:rsidR="00556180">
        <w:rPr>
          <w:spacing w:val="-2"/>
        </w:rPr>
        <w:t>is provided in BP 2.</w:t>
      </w:r>
      <w:r w:rsidR="00F37FE1">
        <w:rPr>
          <w:spacing w:val="-2"/>
        </w:rPr>
        <w:t xml:space="preserve"> </w:t>
      </w:r>
    </w:p>
    <w:p w:rsidR="00556180" w:rsidRDefault="00556180" w:rsidP="00120072">
      <w:pPr>
        <w:pStyle w:val="BodyText"/>
      </w:pPr>
      <w:r w:rsidRPr="00354988">
        <w:t xml:space="preserve">As explained in BP 2, the figures only take into account the effects of </w:t>
      </w:r>
      <w:r w:rsidR="00BF117B">
        <w:t xml:space="preserve">the main </w:t>
      </w:r>
      <w:r w:rsidRPr="00354988">
        <w:t>ISPs, the tax system and housing assistance on financial incentives to work. Many other factors potentially influence an ISP recipient’s decision to work</w:t>
      </w:r>
      <w:r w:rsidR="00354988" w:rsidRPr="00354988">
        <w:t> — not least</w:t>
      </w:r>
      <w:r w:rsidR="008436D7">
        <w:t>,</w:t>
      </w:r>
      <w:r w:rsidR="00354988" w:rsidRPr="00354988">
        <w:t xml:space="preserve"> </w:t>
      </w:r>
      <w:r w:rsidR="008436D7">
        <w:t xml:space="preserve">the </w:t>
      </w:r>
      <w:r w:rsidRPr="00354988">
        <w:t>costs associated with working</w:t>
      </w:r>
      <w:r w:rsidR="00354988" w:rsidRPr="00354988">
        <w:t>,</w:t>
      </w:r>
      <w:r w:rsidRPr="00354988">
        <w:t xml:space="preserve"> like transport and childcare. As </w:t>
      </w:r>
      <w:r w:rsidR="00354988" w:rsidRPr="00354988">
        <w:t>PC (2015) illustrates</w:t>
      </w:r>
      <w:r w:rsidR="000D31D2">
        <w:t>,</w:t>
      </w:r>
      <w:r w:rsidR="008436D7">
        <w:t xml:space="preserve"> for example</w:t>
      </w:r>
      <w:r w:rsidR="00354988" w:rsidRPr="00354988">
        <w:t>, out</w:t>
      </w:r>
      <w:r w:rsidR="00C56DB9">
        <w:noBreakHyphen/>
      </w:r>
      <w:r w:rsidRPr="00354988">
        <w:t>of</w:t>
      </w:r>
      <w:r w:rsidR="00C56DB9">
        <w:noBreakHyphen/>
      </w:r>
      <w:r w:rsidRPr="00354988">
        <w:t xml:space="preserve">pocket childcare costs have a marked effect on </w:t>
      </w:r>
      <w:r w:rsidR="00354988" w:rsidRPr="00354988">
        <w:t xml:space="preserve">a single parent’s take home pay net of those costs, taxes and ISP withdrawal. </w:t>
      </w:r>
      <w:r w:rsidR="00A62CA1">
        <w:t>Analysis of the extent to which housing assistance affects recipients</w:t>
      </w:r>
      <w:r w:rsidR="00270FCB">
        <w:t>’</w:t>
      </w:r>
      <w:r w:rsidR="00A62CA1">
        <w:t xml:space="preserve"> employment rates is presented in BP 5 and chapter 3.</w:t>
      </w:r>
    </w:p>
    <w:p w:rsidR="0068538A" w:rsidRPr="00354988" w:rsidRDefault="0068538A" w:rsidP="00120072">
      <w:pPr>
        <w:pStyle w:val="BodyText"/>
      </w:pPr>
      <w:r>
        <w:t xml:space="preserve">The Australian tax and transfer system is complex. In addition to housing assistance, movements in the schedules below are influenced by ISP income </w:t>
      </w:r>
      <w:r w:rsidR="009D34DB">
        <w:t>tests and withdrawal rates, F</w:t>
      </w:r>
      <w:r>
        <w:t xml:space="preserve">amily </w:t>
      </w:r>
      <w:r w:rsidR="009D34DB">
        <w:t>T</w:t>
      </w:r>
      <w:r>
        <w:t xml:space="preserve">ax </w:t>
      </w:r>
      <w:r w:rsidR="009D34DB">
        <w:t>B</w:t>
      </w:r>
      <w:r>
        <w:t xml:space="preserve">enefit income tests and withdrawal rates, whether an ISP is taxable, marginal tax rates, tax offsets (low income tax offset, beneficiary tax offset and or, senior and pensioners tax offset), the </w:t>
      </w:r>
      <w:r w:rsidR="009D34DB">
        <w:t>M</w:t>
      </w:r>
      <w:r>
        <w:t xml:space="preserve">edicare levy and </w:t>
      </w:r>
      <w:r w:rsidR="009D34DB">
        <w:t>M</w:t>
      </w:r>
      <w:r>
        <w:t>edicare levy reduction</w:t>
      </w:r>
      <w:r w:rsidR="008436D7">
        <w:t>s</w:t>
      </w:r>
      <w:r>
        <w:t>.</w:t>
      </w:r>
      <w:r w:rsidR="00BF117B">
        <w:rPr>
          <w:rStyle w:val="FootnoteReference"/>
        </w:rPr>
        <w:footnoteReference w:id="1"/>
      </w:r>
    </w:p>
    <w:p w:rsidR="002B4E75" w:rsidRDefault="002B4E75" w:rsidP="00513294">
      <w:pPr>
        <w:pStyle w:val="BodyText"/>
        <w:rPr>
          <w:spacing w:val="-2"/>
        </w:rPr>
      </w:pPr>
      <w:r>
        <w:rPr>
          <w:spacing w:val="-2"/>
        </w:rPr>
        <w:t>In the following charts:</w:t>
      </w:r>
    </w:p>
    <w:p w:rsidR="002B4E75" w:rsidRDefault="002B4E75" w:rsidP="002B4E75">
      <w:pPr>
        <w:pStyle w:val="ListBullet"/>
      </w:pPr>
      <w:r>
        <w:t xml:space="preserve">The budget constraints </w:t>
      </w:r>
      <w:r w:rsidR="00C817E9">
        <w:t xml:space="preserve">show </w:t>
      </w:r>
      <w:r w:rsidR="00270FCB">
        <w:t xml:space="preserve">the </w:t>
      </w:r>
      <w:r w:rsidR="00C817E9">
        <w:t xml:space="preserve">annual market income and </w:t>
      </w:r>
      <w:r w:rsidR="00270FCB">
        <w:t xml:space="preserve">the </w:t>
      </w:r>
      <w:r w:rsidR="00C817E9">
        <w:t xml:space="preserve">annual disposable income </w:t>
      </w:r>
      <w:r w:rsidR="008436D7">
        <w:t xml:space="preserve">post rent </w:t>
      </w:r>
      <w:r w:rsidR="00C817E9">
        <w:t xml:space="preserve">available to </w:t>
      </w:r>
      <w:r w:rsidR="005174E9">
        <w:t xml:space="preserve">an </w:t>
      </w:r>
      <w:r w:rsidR="00567FCB">
        <w:t>ISP</w:t>
      </w:r>
      <w:r w:rsidR="00C817E9">
        <w:t xml:space="preserve"> </w:t>
      </w:r>
      <w:r w:rsidR="00B61F19">
        <w:t>recipient</w:t>
      </w:r>
      <w:r w:rsidR="00C817E9">
        <w:t>.</w:t>
      </w:r>
    </w:p>
    <w:p w:rsidR="00E17687" w:rsidRDefault="00513294" w:rsidP="002B4E75">
      <w:pPr>
        <w:pStyle w:val="ListBullet"/>
      </w:pPr>
      <w:r>
        <w:t>Market rent is assumed to be $10 000 per annum</w:t>
      </w:r>
      <w:r w:rsidR="00BF4100">
        <w:t xml:space="preserve"> ($192 per week)</w:t>
      </w:r>
      <w:r>
        <w:t>.</w:t>
      </w:r>
      <w:r w:rsidR="00556180">
        <w:t xml:space="preserve"> The same rent is used in each example to facilitate comparisons </w:t>
      </w:r>
      <w:r w:rsidR="005174E9">
        <w:t xml:space="preserve">across </w:t>
      </w:r>
      <w:r w:rsidR="00556180">
        <w:t>the different types of ISP</w:t>
      </w:r>
      <w:r w:rsidR="005174E9">
        <w:t>s</w:t>
      </w:r>
      <w:r w:rsidR="00556180">
        <w:t xml:space="preserve">. The level of market rent does not affect EMTRs for CRA recipients. For public housing </w:t>
      </w:r>
      <w:r w:rsidR="00556180">
        <w:lastRenderedPageBreak/>
        <w:t xml:space="preserve">tenants, market rent affects the income range over which rent setting rules contribute to EMTRs. The higher </w:t>
      </w:r>
      <w:r w:rsidR="005174E9">
        <w:t xml:space="preserve">the </w:t>
      </w:r>
      <w:r w:rsidR="00556180">
        <w:t xml:space="preserve">market rent, the larger the </w:t>
      </w:r>
      <w:r w:rsidR="005174E9">
        <w:t xml:space="preserve">market </w:t>
      </w:r>
      <w:r w:rsidR="00556180">
        <w:t>income range over which public housing</w:t>
      </w:r>
      <w:r w:rsidR="00354988">
        <w:t xml:space="preserve"> rent setting</w:t>
      </w:r>
      <w:r w:rsidR="00556180">
        <w:t xml:space="preserve"> contributes to EMTRs.</w:t>
      </w:r>
    </w:p>
    <w:p w:rsidR="00556180" w:rsidRPr="00354988" w:rsidRDefault="009D34DB" w:rsidP="00354988">
      <w:pPr>
        <w:pStyle w:val="ListBullet"/>
      </w:pPr>
      <w:r>
        <w:t>For recipients of P</w:t>
      </w:r>
      <w:r w:rsidR="00E17687" w:rsidRPr="00354988">
        <w:t xml:space="preserve">arenting </w:t>
      </w:r>
      <w:r>
        <w:t>P</w:t>
      </w:r>
      <w:r w:rsidR="00E17687" w:rsidRPr="00354988">
        <w:t xml:space="preserve">ayment, </w:t>
      </w:r>
      <w:r w:rsidR="00414329">
        <w:t xml:space="preserve">if the parent has one child they are assumed to be </w:t>
      </w:r>
      <w:r w:rsidR="00E17687" w:rsidRPr="00354988">
        <w:t>5 years old</w:t>
      </w:r>
      <w:r w:rsidR="00414329">
        <w:t xml:space="preserve">. If they have two children, one is assumed to be 5 years old, and the other </w:t>
      </w:r>
      <w:r w:rsidR="00384678">
        <w:t>younger</w:t>
      </w:r>
      <w:r w:rsidR="00414329">
        <w:t xml:space="preserve"> than </w:t>
      </w:r>
      <w:r w:rsidR="00DC349B">
        <w:t>5 years</w:t>
      </w:r>
      <w:r w:rsidR="00E17687" w:rsidRPr="00354988">
        <w:t>.</w:t>
      </w:r>
      <w:r w:rsidR="00414329">
        <w:rPr>
          <w:rStyle w:val="FootnoteReference"/>
        </w:rPr>
        <w:footnoteReference w:id="2"/>
      </w:r>
      <w:r w:rsidR="00E17687" w:rsidRPr="00354988">
        <w:t xml:space="preserve"> For all other cases, children are assumed to be 10 years old.</w:t>
      </w:r>
    </w:p>
    <w:p w:rsidR="00C0070E" w:rsidRDefault="00C0070E" w:rsidP="00354988">
      <w:pPr>
        <w:pStyle w:val="ListBullet"/>
      </w:pPr>
      <w:r w:rsidRPr="00354988">
        <w:t xml:space="preserve">For recipients of Youth Allowance, the budget constraints and EMTRs are calculated based on the rates paid to </w:t>
      </w:r>
      <w:r w:rsidR="008436D7">
        <w:t>students</w:t>
      </w:r>
      <w:r w:rsidR="008436D7" w:rsidRPr="00354988">
        <w:t xml:space="preserve"> </w:t>
      </w:r>
      <w:r w:rsidRPr="00354988">
        <w:t>living separately from their parents.</w:t>
      </w:r>
    </w:p>
    <w:p w:rsidR="00123A77" w:rsidRDefault="00123A77" w:rsidP="00123A77">
      <w:pPr>
        <w:pStyle w:val="BodyText"/>
      </w:pPr>
      <w:r>
        <w:t xml:space="preserve">Comparing the different ISP recipients, those without children tend to face higher EMTRs (because of higher ISP withdrawal rates). That said, EMTRs faced by </w:t>
      </w:r>
      <w:r w:rsidR="009D34DB">
        <w:t>P</w:t>
      </w:r>
      <w:r>
        <w:t xml:space="preserve">arenting </w:t>
      </w:r>
      <w:r w:rsidR="009D34DB">
        <w:t>P</w:t>
      </w:r>
      <w:r>
        <w:t>ayment recipients are at least 50 per cent over a large range of income — creating a large financial disincentive for this group too.</w:t>
      </w:r>
    </w:p>
    <w:p w:rsidR="001C0AED" w:rsidRDefault="00A33DFF" w:rsidP="00120072">
      <w:pPr>
        <w:pStyle w:val="BodyText"/>
      </w:pPr>
      <w:r>
        <w:br w:type="page"/>
      </w:r>
    </w:p>
    <w:p w:rsidR="00424F04" w:rsidRDefault="00424F04" w:rsidP="00176D3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24F04" w:rsidTr="00F95957">
        <w:tc>
          <w:tcPr>
            <w:tcW w:w="8771" w:type="dxa"/>
            <w:tcBorders>
              <w:top w:val="single" w:sz="6" w:space="0" w:color="78A22F"/>
              <w:left w:val="nil"/>
              <w:bottom w:val="nil"/>
              <w:right w:val="nil"/>
            </w:tcBorders>
            <w:shd w:val="clear" w:color="auto" w:fill="auto"/>
          </w:tcPr>
          <w:p w:rsidR="00424F04" w:rsidRPr="00176D3F" w:rsidRDefault="00424F04" w:rsidP="00FC0133">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proofErr w:type="spellStart"/>
            <w:r w:rsidR="000F5E74">
              <w:rPr>
                <w:b w:val="0"/>
              </w:rPr>
              <w:t>C.</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AD11CD">
              <w:rPr>
                <w:b w:val="0"/>
                <w:noProof/>
              </w:rPr>
              <w:t>1</w:t>
            </w:r>
            <w:proofErr w:type="spellEnd"/>
            <w:r w:rsidRPr="00784A05">
              <w:rPr>
                <w:b w:val="0"/>
              </w:rPr>
              <w:fldChar w:fldCharType="end"/>
            </w:r>
            <w:r>
              <w:tab/>
              <w:t xml:space="preserve">Single, childless </w:t>
            </w:r>
            <w:proofErr w:type="spellStart"/>
            <w:r>
              <w:t>Newstart</w:t>
            </w:r>
            <w:proofErr w:type="spellEnd"/>
            <w:r>
              <w:t xml:space="preserve"> recipient</w:t>
            </w:r>
            <w:proofErr w:type="spellStart"/>
            <w:r w:rsidR="002E6028" w:rsidRPr="002E6028">
              <w:rPr>
                <w:rStyle w:val="NoteLabel"/>
                <w:b/>
              </w:rPr>
              <w:t>a</w:t>
            </w:r>
            <w:r w:rsidR="00DC349B">
              <w:rPr>
                <w:rStyle w:val="NoteLabel"/>
                <w:b/>
              </w:rPr>
              <w:t>,b</w:t>
            </w:r>
            <w:proofErr w:type="spellEnd"/>
          </w:p>
        </w:tc>
      </w:tr>
      <w:tr w:rsidR="00424F04" w:rsidTr="00F9595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424F04" w:rsidTr="00AD11CD">
              <w:trPr>
                <w:trHeight w:val="5411"/>
                <w:jc w:val="center"/>
              </w:trPr>
              <w:tc>
                <w:tcPr>
                  <w:tcW w:w="8504" w:type="dxa"/>
                  <w:tcBorders>
                    <w:top w:val="nil"/>
                    <w:bottom w:val="nil"/>
                  </w:tcBorders>
                </w:tcPr>
                <w:p w:rsidR="00424F04" w:rsidRDefault="00AD11CD" w:rsidP="007C17A6">
                  <w:pPr>
                    <w:pStyle w:val="Figure"/>
                    <w:spacing w:before="60" w:after="60"/>
                  </w:pPr>
                  <w:r>
                    <w:rPr>
                      <w:noProof/>
                    </w:rPr>
                    <w:drawing>
                      <wp:inline distT="0" distB="0" distL="0" distR="0" wp14:anchorId="0DEF482C" wp14:editId="2FB08718">
                        <wp:extent cx="5257800" cy="3305175"/>
                        <wp:effectExtent l="0" t="0" r="0" b="0"/>
                        <wp:docPr id="297" name="Picture 297" descr="This chart displays the budget constraint for a single, childless Newstart recipient, illustrating their market income and disposable income post rent under different housing assistance scenarios, assuming market rent is $10 000 per annum." title="Single, childless Newstart recip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7800" cy="3305175"/>
                                </a:xfrm>
                                <a:prstGeom prst="rect">
                                  <a:avLst/>
                                </a:prstGeom>
                                <a:noFill/>
                                <a:ln>
                                  <a:noFill/>
                                </a:ln>
                              </pic:spPr>
                            </pic:pic>
                          </a:graphicData>
                        </a:graphic>
                      </wp:inline>
                    </w:drawing>
                  </w:r>
                </w:p>
              </w:tc>
            </w:tr>
          </w:tbl>
          <w:p w:rsidR="00424F04" w:rsidRDefault="00424F04" w:rsidP="00176D3F">
            <w:pPr>
              <w:pStyle w:val="Figure"/>
            </w:pPr>
          </w:p>
        </w:tc>
      </w:tr>
      <w:tr w:rsidR="00424F04" w:rsidTr="00AD11CD">
        <w:tblPrEx>
          <w:tblCellMar>
            <w:left w:w="108" w:type="dxa"/>
            <w:right w:w="108" w:type="dxa"/>
          </w:tblCellMar>
        </w:tblPrEx>
        <w:trPr>
          <w:trHeight w:val="5490"/>
        </w:trPr>
        <w:tc>
          <w:tcPr>
            <w:tcW w:w="8771" w:type="dxa"/>
            <w:tcBorders>
              <w:top w:val="nil"/>
              <w:left w:val="nil"/>
              <w:bottom w:val="nil"/>
              <w:right w:val="nil"/>
            </w:tcBorders>
            <w:shd w:val="clear" w:color="auto" w:fill="auto"/>
          </w:tcPr>
          <w:p w:rsidR="00424F04" w:rsidRDefault="00AD11CD" w:rsidP="007C17A6">
            <w:pPr>
              <w:pStyle w:val="Figure"/>
              <w:spacing w:before="60" w:after="60"/>
              <w:rPr>
                <w:noProof/>
              </w:rPr>
            </w:pPr>
            <w:r>
              <w:rPr>
                <w:noProof/>
              </w:rPr>
              <w:drawing>
                <wp:inline distT="0" distB="0" distL="0" distR="0" wp14:anchorId="223B65A8" wp14:editId="5BB7B1E0">
                  <wp:extent cx="5381625" cy="3467100"/>
                  <wp:effectExtent l="0" t="0" r="0" b="0"/>
                  <wp:docPr id="298" name="Picture 298" descr="This chart displays the effective marginal tax rates for a single, childless Newstart recipient at different levels of market income and under different housing assistance scenarios." title="Single, childless Newstart recip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381625" cy="3467100"/>
                          </a:xfrm>
                          <a:prstGeom prst="rect">
                            <a:avLst/>
                          </a:prstGeom>
                          <a:noFill/>
                          <a:ln>
                            <a:noFill/>
                          </a:ln>
                        </pic:spPr>
                      </pic:pic>
                    </a:graphicData>
                  </a:graphic>
                </wp:inline>
              </w:drawing>
            </w:r>
          </w:p>
        </w:tc>
      </w:tr>
      <w:tr w:rsidR="002E6028" w:rsidRPr="002E6028" w:rsidTr="00443D1E">
        <w:tc>
          <w:tcPr>
            <w:tcW w:w="8771" w:type="dxa"/>
            <w:tcBorders>
              <w:top w:val="nil"/>
              <w:left w:val="nil"/>
              <w:bottom w:val="nil"/>
              <w:right w:val="nil"/>
            </w:tcBorders>
            <w:shd w:val="clear" w:color="auto" w:fill="auto"/>
          </w:tcPr>
          <w:p w:rsidR="002E6028" w:rsidRPr="002E6028" w:rsidRDefault="002E6028" w:rsidP="008436D7">
            <w:pPr>
              <w:pStyle w:val="Note"/>
              <w:rPr>
                <w:spacing w:val="-2"/>
              </w:rPr>
            </w:pPr>
            <w:proofErr w:type="spellStart"/>
            <w:r w:rsidRPr="002E6028">
              <w:rPr>
                <w:rStyle w:val="NoteLabel"/>
                <w:spacing w:val="-2"/>
              </w:rPr>
              <w:t>a</w:t>
            </w:r>
            <w:proofErr w:type="spellEnd"/>
            <w:r w:rsidRPr="002E6028">
              <w:rPr>
                <w:spacing w:val="-2"/>
              </w:rPr>
              <w:t xml:space="preserve"> </w:t>
            </w:r>
            <w:proofErr w:type="spellStart"/>
            <w:r w:rsidRPr="002E6028">
              <w:rPr>
                <w:spacing w:val="-2"/>
              </w:rPr>
              <w:t>A</w:t>
            </w:r>
            <w:proofErr w:type="spellEnd"/>
            <w:r w:rsidRPr="002E6028">
              <w:rPr>
                <w:spacing w:val="-2"/>
              </w:rPr>
              <w:t xml:space="preserve"> key to changes in the height of the EMTR schedule</w:t>
            </w:r>
            <w:r w:rsidR="008436D7">
              <w:rPr>
                <w:spacing w:val="-2"/>
              </w:rPr>
              <w:t> </w:t>
            </w:r>
            <w:r w:rsidR="008436D7" w:rsidRPr="002E6028">
              <w:rPr>
                <w:spacing w:val="-2"/>
              </w:rPr>
              <w:t>— indicated by number</w:t>
            </w:r>
            <w:r w:rsidR="008436D7">
              <w:rPr>
                <w:spacing w:val="-2"/>
              </w:rPr>
              <w:t>s</w:t>
            </w:r>
            <w:r w:rsidR="008436D7" w:rsidRPr="002E6028">
              <w:rPr>
                <w:spacing w:val="-2"/>
              </w:rPr>
              <w:t xml:space="preserve"> in the figure</w:t>
            </w:r>
            <w:r w:rsidR="008436D7">
              <w:rPr>
                <w:spacing w:val="-2"/>
              </w:rPr>
              <w:t xml:space="preserve"> above — </w:t>
            </w:r>
            <w:r w:rsidRPr="002E6028">
              <w:rPr>
                <w:spacing w:val="-2"/>
              </w:rPr>
              <w:t>for a welfare recipient who does not receive housing assistance</w:t>
            </w:r>
            <w:r w:rsidR="008436D7">
              <w:rPr>
                <w:spacing w:val="-2"/>
              </w:rPr>
              <w:t xml:space="preserve"> </w:t>
            </w:r>
            <w:r w:rsidR="002C2883">
              <w:rPr>
                <w:spacing w:val="-2"/>
              </w:rPr>
              <w:t xml:space="preserve">is presented in table </w:t>
            </w:r>
            <w:r w:rsidRPr="002E6028">
              <w:rPr>
                <w:spacing w:val="-2"/>
              </w:rPr>
              <w:t xml:space="preserve">C.1. </w:t>
            </w:r>
            <w:r w:rsidR="00830399">
              <w:rPr>
                <w:spacing w:val="-2"/>
              </w:rPr>
              <w:t xml:space="preserve">The same changes </w:t>
            </w:r>
            <w:r w:rsidR="0090556E">
              <w:rPr>
                <w:spacing w:val="-2"/>
              </w:rPr>
              <w:t xml:space="preserve">affect </w:t>
            </w:r>
            <w:r w:rsidR="00830399">
              <w:rPr>
                <w:spacing w:val="-2"/>
              </w:rPr>
              <w:t xml:space="preserve">the schedules for housing assistance recipients. </w:t>
            </w:r>
            <w:r w:rsidR="0090556E">
              <w:rPr>
                <w:spacing w:val="-2"/>
              </w:rPr>
              <w:t>Differences between the schedules for welfare recipients who do and do not receive housing assistance reflect the effects of that assistance on EMTR</w:t>
            </w:r>
            <w:r w:rsidR="009E7ED2">
              <w:rPr>
                <w:spacing w:val="-2"/>
              </w:rPr>
              <w:t>s</w:t>
            </w:r>
            <w:r w:rsidR="0090556E">
              <w:rPr>
                <w:spacing w:val="-2"/>
              </w:rPr>
              <w:t>.</w:t>
            </w:r>
            <w:r w:rsidR="00DC349B">
              <w:rPr>
                <w:spacing w:val="-2"/>
              </w:rPr>
              <w:t xml:space="preserve"> b This figure is slightly different from the version presented in chapter 2 of volume 1 because of revisions to the treatment of the beneficiary tax offset.</w:t>
            </w:r>
          </w:p>
        </w:tc>
      </w:tr>
      <w:tr w:rsidR="00424F04" w:rsidTr="00F95957">
        <w:tc>
          <w:tcPr>
            <w:tcW w:w="8771" w:type="dxa"/>
            <w:tcBorders>
              <w:top w:val="nil"/>
              <w:left w:val="nil"/>
              <w:bottom w:val="single" w:sz="6" w:space="0" w:color="78A22F"/>
              <w:right w:val="nil"/>
            </w:tcBorders>
            <w:shd w:val="clear" w:color="auto" w:fill="auto"/>
          </w:tcPr>
          <w:p w:rsidR="00424F04" w:rsidRDefault="00424F04" w:rsidP="00176D3F">
            <w:pPr>
              <w:pStyle w:val="Figurespace"/>
            </w:pPr>
          </w:p>
        </w:tc>
      </w:tr>
      <w:tr w:rsidR="00424F04" w:rsidRPr="000863A5" w:rsidTr="00215A8A">
        <w:tc>
          <w:tcPr>
            <w:tcW w:w="8771" w:type="dxa"/>
            <w:tcBorders>
              <w:top w:val="single" w:sz="6" w:space="0" w:color="78A22F"/>
              <w:left w:val="nil"/>
              <w:bottom w:val="nil"/>
              <w:right w:val="nil"/>
            </w:tcBorders>
          </w:tcPr>
          <w:p w:rsidR="00424F04" w:rsidRPr="00626D32" w:rsidRDefault="00424F04" w:rsidP="00176D3F">
            <w:pPr>
              <w:pStyle w:val="BoxSpaceBelow"/>
            </w:pPr>
          </w:p>
        </w:tc>
      </w:tr>
    </w:tbl>
    <w:p w:rsidR="002E6028" w:rsidRDefault="002E6028" w:rsidP="004267D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E6028" w:rsidTr="00D27860">
        <w:tc>
          <w:tcPr>
            <w:tcW w:w="8771" w:type="dxa"/>
            <w:tcBorders>
              <w:top w:val="single" w:sz="6" w:space="0" w:color="78A22F"/>
              <w:left w:val="nil"/>
              <w:bottom w:val="nil"/>
              <w:right w:val="nil"/>
            </w:tcBorders>
            <w:shd w:val="clear" w:color="auto" w:fill="auto"/>
          </w:tcPr>
          <w:p w:rsidR="002E6028" w:rsidRPr="00784A05" w:rsidRDefault="00EF5404" w:rsidP="00EF5404">
            <w:pPr>
              <w:pStyle w:val="TableTitle"/>
            </w:pPr>
            <w:r>
              <w:rPr>
                <w:b w:val="0"/>
              </w:rPr>
              <w:t xml:space="preserve">Table </w:t>
            </w:r>
            <w:r w:rsidR="002E6028">
              <w:rPr>
                <w:b w:val="0"/>
              </w:rPr>
              <w:fldChar w:fldCharType="begin"/>
            </w:r>
            <w:r w:rsidR="002E6028">
              <w:rPr>
                <w:b w:val="0"/>
              </w:rPr>
              <w:instrText xml:space="preserve"> COMMENTS  \* MERGEFORMAT </w:instrText>
            </w:r>
            <w:r w:rsidR="002E6028">
              <w:rPr>
                <w:b w:val="0"/>
              </w:rPr>
              <w:fldChar w:fldCharType="separate"/>
            </w:r>
            <w:proofErr w:type="spellStart"/>
            <w:r w:rsidR="002E6028">
              <w:rPr>
                <w:b w:val="0"/>
              </w:rPr>
              <w:t>C.</w:t>
            </w:r>
            <w:r w:rsidR="002E6028">
              <w:rPr>
                <w:b w:val="0"/>
              </w:rPr>
              <w:fldChar w:fldCharType="end"/>
            </w:r>
            <w:r w:rsidR="002E6028">
              <w:rPr>
                <w:b w:val="0"/>
              </w:rPr>
              <w:fldChar w:fldCharType="begin"/>
            </w:r>
            <w:r w:rsidR="002E6028">
              <w:rPr>
                <w:b w:val="0"/>
              </w:rPr>
              <w:instrText xml:space="preserve"> SEQ Table \* ARABIC </w:instrText>
            </w:r>
            <w:r w:rsidR="002E6028">
              <w:rPr>
                <w:b w:val="0"/>
              </w:rPr>
              <w:fldChar w:fldCharType="separate"/>
            </w:r>
            <w:r w:rsidR="00AD11CD">
              <w:rPr>
                <w:b w:val="0"/>
                <w:noProof/>
              </w:rPr>
              <w:t>1</w:t>
            </w:r>
            <w:proofErr w:type="spellEnd"/>
            <w:r w:rsidR="002E6028">
              <w:rPr>
                <w:b w:val="0"/>
              </w:rPr>
              <w:fldChar w:fldCharType="end"/>
            </w:r>
            <w:r w:rsidR="002E6028">
              <w:tab/>
            </w:r>
            <w:r w:rsidR="00830399">
              <w:t>Key to changes in the height o</w:t>
            </w:r>
            <w:r>
              <w:t>f the EMTR schedules in figure </w:t>
            </w:r>
            <w:r w:rsidR="00830399">
              <w:t>C.1</w:t>
            </w:r>
          </w:p>
        </w:tc>
      </w:tr>
      <w:tr w:rsidR="002E6028" w:rsidTr="00F95957">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45"/>
              <w:gridCol w:w="7942"/>
            </w:tblGrid>
            <w:tr w:rsidR="00830399" w:rsidTr="00A40D0A">
              <w:tc>
                <w:tcPr>
                  <w:tcW w:w="321" w:type="pct"/>
                  <w:tcBorders>
                    <w:top w:val="single" w:sz="6" w:space="0" w:color="BFBFBF"/>
                    <w:bottom w:val="single" w:sz="6" w:space="0" w:color="BFBFBF"/>
                  </w:tcBorders>
                  <w:shd w:val="clear" w:color="auto" w:fill="auto"/>
                  <w:tcMar>
                    <w:top w:w="28" w:type="dxa"/>
                  </w:tcMar>
                </w:tcPr>
                <w:p w:rsidR="00830399" w:rsidRDefault="00830399" w:rsidP="00846637">
                  <w:pPr>
                    <w:pStyle w:val="TableColumnHeading"/>
                    <w:jc w:val="left"/>
                  </w:pPr>
                  <w:r>
                    <w:t>No.</w:t>
                  </w:r>
                </w:p>
              </w:tc>
              <w:tc>
                <w:tcPr>
                  <w:tcW w:w="4679" w:type="pct"/>
                  <w:tcBorders>
                    <w:top w:val="single" w:sz="6" w:space="0" w:color="BFBFBF"/>
                    <w:bottom w:val="single" w:sz="6" w:space="0" w:color="BFBFBF"/>
                  </w:tcBorders>
                  <w:shd w:val="clear" w:color="auto" w:fill="auto"/>
                  <w:tcMar>
                    <w:top w:w="28" w:type="dxa"/>
                  </w:tcMar>
                </w:tcPr>
                <w:p w:rsidR="00830399" w:rsidRDefault="00830399" w:rsidP="00830399">
                  <w:pPr>
                    <w:pStyle w:val="TableColumnHeading"/>
                    <w:ind w:right="28"/>
                    <w:jc w:val="left"/>
                  </w:pPr>
                  <w:r>
                    <w:t>Cause of change in the height of the EMTR schedule</w:t>
                  </w:r>
                </w:p>
              </w:tc>
            </w:tr>
            <w:tr w:rsidR="00830399" w:rsidTr="00A40D0A">
              <w:tc>
                <w:tcPr>
                  <w:tcW w:w="321" w:type="pct"/>
                </w:tcPr>
                <w:p w:rsidR="00830399" w:rsidRDefault="0090556E" w:rsidP="00846637">
                  <w:pPr>
                    <w:pStyle w:val="TableBodyText"/>
                    <w:jc w:val="left"/>
                  </w:pPr>
                  <w:r>
                    <w:t>1</w:t>
                  </w:r>
                </w:p>
              </w:tc>
              <w:tc>
                <w:tcPr>
                  <w:tcW w:w="4679" w:type="pct"/>
                </w:tcPr>
                <w:p w:rsidR="00830399" w:rsidRDefault="005B4B37" w:rsidP="00830399">
                  <w:pPr>
                    <w:pStyle w:val="TableBodyText"/>
                    <w:ind w:right="28"/>
                    <w:jc w:val="left"/>
                  </w:pPr>
                  <w:r>
                    <w:t>ISP withdrawal starts at a rate of 50 cents in the dollar</w:t>
                  </w:r>
                </w:p>
              </w:tc>
            </w:tr>
            <w:tr w:rsidR="00830399" w:rsidTr="00A40D0A">
              <w:tc>
                <w:tcPr>
                  <w:tcW w:w="321" w:type="pct"/>
                </w:tcPr>
                <w:p w:rsidR="00830399" w:rsidRDefault="0090556E" w:rsidP="00846637">
                  <w:pPr>
                    <w:pStyle w:val="TableBodyText"/>
                    <w:jc w:val="left"/>
                  </w:pPr>
                  <w:r>
                    <w:t>2</w:t>
                  </w:r>
                </w:p>
              </w:tc>
              <w:tc>
                <w:tcPr>
                  <w:tcW w:w="4679" w:type="pct"/>
                </w:tcPr>
                <w:p w:rsidR="00830399" w:rsidRDefault="005B4B37" w:rsidP="00830399">
                  <w:pPr>
                    <w:pStyle w:val="TableBodyText"/>
                    <w:ind w:right="28"/>
                    <w:jc w:val="left"/>
                  </w:pPr>
                  <w:r>
                    <w:t>ISP withdrawal rate changes to 60 cents in the dollar</w:t>
                  </w:r>
                </w:p>
              </w:tc>
            </w:tr>
            <w:tr w:rsidR="00830399" w:rsidTr="00A40D0A">
              <w:tc>
                <w:tcPr>
                  <w:tcW w:w="321" w:type="pct"/>
                </w:tcPr>
                <w:p w:rsidR="00830399" w:rsidRDefault="0090556E" w:rsidP="00846637">
                  <w:pPr>
                    <w:pStyle w:val="TableBodyText"/>
                    <w:jc w:val="left"/>
                  </w:pPr>
                  <w:r>
                    <w:t>3</w:t>
                  </w:r>
                </w:p>
              </w:tc>
              <w:tc>
                <w:tcPr>
                  <w:tcW w:w="4679" w:type="pct"/>
                </w:tcPr>
                <w:p w:rsidR="00830399" w:rsidRDefault="007E6366" w:rsidP="00A40D0A">
                  <w:pPr>
                    <w:pStyle w:val="TableBodyText"/>
                    <w:ind w:right="28"/>
                    <w:jc w:val="left"/>
                  </w:pPr>
                  <w:r>
                    <w:t>Medicare levy starts at a rate of 10 per cent of taxable income (market income less ISP withdrawn) in excess of $20 542</w:t>
                  </w:r>
                </w:p>
              </w:tc>
            </w:tr>
            <w:tr w:rsidR="00830399" w:rsidTr="00A40D0A">
              <w:tc>
                <w:tcPr>
                  <w:tcW w:w="321" w:type="pct"/>
                </w:tcPr>
                <w:p w:rsidR="00830399" w:rsidRDefault="0090556E" w:rsidP="00846637">
                  <w:pPr>
                    <w:pStyle w:val="TableBodyText"/>
                    <w:jc w:val="left"/>
                  </w:pPr>
                  <w:r>
                    <w:t>4</w:t>
                  </w:r>
                </w:p>
              </w:tc>
              <w:tc>
                <w:tcPr>
                  <w:tcW w:w="4679" w:type="pct"/>
                </w:tcPr>
                <w:p w:rsidR="00830399" w:rsidRDefault="005B4B37" w:rsidP="00957425">
                  <w:pPr>
                    <w:pStyle w:val="TableBodyText"/>
                    <w:ind w:right="28"/>
                    <w:jc w:val="left"/>
                  </w:pPr>
                  <w:r>
                    <w:t>Low income tax offset reaches its maximum level</w:t>
                  </w:r>
                  <w:r w:rsidR="00957425">
                    <w:t xml:space="preserve">. Income tax and </w:t>
                  </w:r>
                  <w:r w:rsidR="00A40D0A">
                    <w:t>reductions in the beneficiary tax offset</w:t>
                  </w:r>
                  <w:r w:rsidR="00957425">
                    <w:t xml:space="preserve"> now affect take home pay</w:t>
                  </w:r>
                </w:p>
              </w:tc>
            </w:tr>
            <w:tr w:rsidR="00830399" w:rsidTr="00A40D0A">
              <w:tc>
                <w:tcPr>
                  <w:tcW w:w="321" w:type="pct"/>
                </w:tcPr>
                <w:p w:rsidR="00830399" w:rsidRDefault="0090556E" w:rsidP="00846637">
                  <w:pPr>
                    <w:pStyle w:val="TableBodyText"/>
                    <w:jc w:val="left"/>
                  </w:pPr>
                  <w:r>
                    <w:t>5</w:t>
                  </w:r>
                </w:p>
              </w:tc>
              <w:tc>
                <w:tcPr>
                  <w:tcW w:w="4679" w:type="pct"/>
                </w:tcPr>
                <w:p w:rsidR="00830399" w:rsidRDefault="005B4B37" w:rsidP="00830399">
                  <w:pPr>
                    <w:pStyle w:val="TableBodyText"/>
                    <w:ind w:right="28"/>
                    <w:jc w:val="left"/>
                  </w:pPr>
                  <w:r>
                    <w:t>Beneficiary tax offset reduces to zero</w:t>
                  </w:r>
                </w:p>
              </w:tc>
            </w:tr>
            <w:tr w:rsidR="00830399" w:rsidTr="00A40D0A">
              <w:tc>
                <w:tcPr>
                  <w:tcW w:w="321" w:type="pct"/>
                </w:tcPr>
                <w:p w:rsidR="00830399" w:rsidRDefault="0090556E" w:rsidP="00846637">
                  <w:pPr>
                    <w:pStyle w:val="TableBodyText"/>
                    <w:jc w:val="left"/>
                  </w:pPr>
                  <w:r>
                    <w:t>6</w:t>
                  </w:r>
                </w:p>
              </w:tc>
              <w:tc>
                <w:tcPr>
                  <w:tcW w:w="4679" w:type="pct"/>
                </w:tcPr>
                <w:p w:rsidR="00830399" w:rsidRDefault="00A40D0A" w:rsidP="00830399">
                  <w:pPr>
                    <w:pStyle w:val="TableBodyText"/>
                    <w:ind w:right="28"/>
                    <w:jc w:val="left"/>
                  </w:pPr>
                  <w:r>
                    <w:t>Medicare levy drops to 1.5 per cent of taxable income</w:t>
                  </w:r>
                </w:p>
              </w:tc>
            </w:tr>
            <w:tr w:rsidR="00830399" w:rsidTr="00A40D0A">
              <w:tc>
                <w:tcPr>
                  <w:tcW w:w="321" w:type="pct"/>
                </w:tcPr>
                <w:p w:rsidR="00830399" w:rsidRDefault="0090556E" w:rsidP="00846637">
                  <w:pPr>
                    <w:pStyle w:val="TableBodyText"/>
                    <w:jc w:val="left"/>
                  </w:pPr>
                  <w:r>
                    <w:t>7</w:t>
                  </w:r>
                </w:p>
              </w:tc>
              <w:tc>
                <w:tcPr>
                  <w:tcW w:w="4679" w:type="pct"/>
                </w:tcPr>
                <w:p w:rsidR="00830399" w:rsidRDefault="00A40D0A" w:rsidP="00830399">
                  <w:pPr>
                    <w:pStyle w:val="TableBodyText"/>
                    <w:ind w:right="28"/>
                    <w:jc w:val="left"/>
                  </w:pPr>
                  <w:r>
                    <w:t>ISP withdrawal ends</w:t>
                  </w:r>
                </w:p>
              </w:tc>
            </w:tr>
            <w:tr w:rsidR="0090556E" w:rsidTr="00A40D0A">
              <w:tc>
                <w:tcPr>
                  <w:tcW w:w="321" w:type="pct"/>
                  <w:shd w:val="clear" w:color="auto" w:fill="auto"/>
                </w:tcPr>
                <w:p w:rsidR="0090556E" w:rsidRDefault="0090556E" w:rsidP="00846637">
                  <w:pPr>
                    <w:pStyle w:val="TableBodyText"/>
                    <w:jc w:val="left"/>
                  </w:pPr>
                  <w:r>
                    <w:t>8</w:t>
                  </w:r>
                </w:p>
              </w:tc>
              <w:tc>
                <w:tcPr>
                  <w:tcW w:w="4679" w:type="pct"/>
                  <w:shd w:val="clear" w:color="auto" w:fill="auto"/>
                </w:tcPr>
                <w:p w:rsidR="0090556E" w:rsidRDefault="00AC67E2" w:rsidP="00830399">
                  <w:pPr>
                    <w:pStyle w:val="TableBodyText"/>
                    <w:ind w:right="28"/>
                    <w:jc w:val="left"/>
                  </w:pPr>
                  <w:r>
                    <w:t>Marginal tax rate increases to 32.5 cents in the dollar</w:t>
                  </w:r>
                  <w:r w:rsidR="00C66BAC">
                    <w:t xml:space="preserve"> and reduction of the low income tax offset starts at a rate of 1.5 per cent of taxable income</w:t>
                  </w:r>
                </w:p>
              </w:tc>
            </w:tr>
            <w:tr w:rsidR="0090556E" w:rsidTr="00A40D0A">
              <w:tc>
                <w:tcPr>
                  <w:tcW w:w="321" w:type="pct"/>
                  <w:tcBorders>
                    <w:bottom w:val="single" w:sz="6" w:space="0" w:color="BFBFBF"/>
                  </w:tcBorders>
                  <w:shd w:val="clear" w:color="auto" w:fill="auto"/>
                </w:tcPr>
                <w:p w:rsidR="0090556E" w:rsidRDefault="0090556E" w:rsidP="00846637">
                  <w:pPr>
                    <w:pStyle w:val="TableBodyText"/>
                    <w:jc w:val="left"/>
                  </w:pPr>
                  <w:r>
                    <w:t>9</w:t>
                  </w:r>
                </w:p>
              </w:tc>
              <w:tc>
                <w:tcPr>
                  <w:tcW w:w="4679" w:type="pct"/>
                  <w:tcBorders>
                    <w:bottom w:val="single" w:sz="6" w:space="0" w:color="BFBFBF"/>
                  </w:tcBorders>
                  <w:shd w:val="clear" w:color="auto" w:fill="auto"/>
                </w:tcPr>
                <w:p w:rsidR="0090556E" w:rsidRDefault="00C66BAC" w:rsidP="00830399">
                  <w:pPr>
                    <w:pStyle w:val="TableBodyText"/>
                    <w:ind w:right="28"/>
                    <w:jc w:val="left"/>
                  </w:pPr>
                  <w:r>
                    <w:t>Low income tax offset reduces to zero</w:t>
                  </w:r>
                </w:p>
              </w:tc>
            </w:tr>
          </w:tbl>
          <w:p w:rsidR="002E6028" w:rsidRDefault="002E6028" w:rsidP="00846637">
            <w:pPr>
              <w:pStyle w:val="Box"/>
            </w:pPr>
          </w:p>
        </w:tc>
      </w:tr>
      <w:tr w:rsidR="002E6028" w:rsidTr="00D27860">
        <w:trPr>
          <w:cantSplit/>
        </w:trPr>
        <w:tc>
          <w:tcPr>
            <w:tcW w:w="8771" w:type="dxa"/>
            <w:tcBorders>
              <w:top w:val="nil"/>
              <w:left w:val="nil"/>
              <w:bottom w:val="single" w:sz="6" w:space="0" w:color="78A22F"/>
              <w:right w:val="nil"/>
            </w:tcBorders>
            <w:shd w:val="clear" w:color="auto" w:fill="auto"/>
          </w:tcPr>
          <w:p w:rsidR="002E6028" w:rsidRDefault="002E6028" w:rsidP="00846637">
            <w:pPr>
              <w:pStyle w:val="Box"/>
              <w:spacing w:before="0" w:line="120" w:lineRule="exact"/>
            </w:pPr>
          </w:p>
        </w:tc>
      </w:tr>
      <w:tr w:rsidR="002E6028" w:rsidRPr="000863A5" w:rsidTr="00D27860">
        <w:tc>
          <w:tcPr>
            <w:tcW w:w="8771" w:type="dxa"/>
            <w:tcBorders>
              <w:top w:val="single" w:sz="6" w:space="0" w:color="78A22F"/>
              <w:left w:val="nil"/>
              <w:bottom w:val="nil"/>
              <w:right w:val="nil"/>
            </w:tcBorders>
          </w:tcPr>
          <w:p w:rsidR="002E6028" w:rsidRPr="00626D32" w:rsidRDefault="002E6028" w:rsidP="00784A05">
            <w:pPr>
              <w:pStyle w:val="BoxSpaceBelow"/>
            </w:pPr>
          </w:p>
        </w:tc>
      </w:tr>
    </w:tbl>
    <w:p w:rsidR="00C92302" w:rsidRDefault="00C92302" w:rsidP="00C9230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92302" w:rsidTr="003615E8">
        <w:tc>
          <w:tcPr>
            <w:tcW w:w="8771" w:type="dxa"/>
            <w:tcBorders>
              <w:top w:val="single" w:sz="6" w:space="0" w:color="78A22F"/>
              <w:left w:val="nil"/>
              <w:bottom w:val="nil"/>
              <w:right w:val="nil"/>
            </w:tcBorders>
            <w:shd w:val="clear" w:color="auto" w:fill="auto"/>
          </w:tcPr>
          <w:p w:rsidR="00C92302" w:rsidRPr="00176D3F" w:rsidRDefault="00C92302" w:rsidP="009E7ED2">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proofErr w:type="spellStart"/>
            <w:r w:rsidR="000F5E74">
              <w:rPr>
                <w:b w:val="0"/>
              </w:rPr>
              <w:t>C.</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AD11CD">
              <w:rPr>
                <w:b w:val="0"/>
                <w:noProof/>
              </w:rPr>
              <w:t>2</w:t>
            </w:r>
            <w:proofErr w:type="spellEnd"/>
            <w:r w:rsidRPr="00784A05">
              <w:rPr>
                <w:b w:val="0"/>
              </w:rPr>
              <w:fldChar w:fldCharType="end"/>
            </w:r>
            <w:r>
              <w:tab/>
              <w:t xml:space="preserve">Single, childless Youth Allowance </w:t>
            </w:r>
            <w:r w:rsidR="007E6366">
              <w:t xml:space="preserve">(Student) </w:t>
            </w:r>
            <w:r>
              <w:t>recipient</w:t>
            </w:r>
            <w:r w:rsidR="009E7ED2" w:rsidRPr="009E7ED2">
              <w:rPr>
                <w:rStyle w:val="NoteLabel"/>
                <w:b/>
              </w:rPr>
              <w:t>a</w:t>
            </w:r>
          </w:p>
        </w:tc>
      </w:tr>
      <w:tr w:rsidR="00C92302" w:rsidTr="00381FEF">
        <w:trPr>
          <w:trHeight w:val="5499"/>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C92302" w:rsidTr="00AD11CD">
              <w:trPr>
                <w:trHeight w:val="5553"/>
                <w:jc w:val="center"/>
              </w:trPr>
              <w:tc>
                <w:tcPr>
                  <w:tcW w:w="8504" w:type="dxa"/>
                  <w:tcBorders>
                    <w:top w:val="nil"/>
                    <w:bottom w:val="nil"/>
                  </w:tcBorders>
                </w:tcPr>
                <w:p w:rsidR="00C92302" w:rsidRDefault="00AD11CD" w:rsidP="003615E8">
                  <w:pPr>
                    <w:pStyle w:val="Figure"/>
                    <w:spacing w:before="60" w:after="60"/>
                  </w:pPr>
                  <w:r>
                    <w:rPr>
                      <w:noProof/>
                    </w:rPr>
                    <w:drawing>
                      <wp:inline distT="0" distB="0" distL="0" distR="0" wp14:anchorId="461F807B" wp14:editId="4190B5CA">
                        <wp:extent cx="5257800" cy="3362325"/>
                        <wp:effectExtent l="0" t="0" r="0" b="0"/>
                        <wp:docPr id="301" name="Picture 301" descr="This chart displays the budget constraint for a single, childless Youth Allowance (Student) recipient, illustrating their market income and disposable income post rent under different housing assistance scenarios, assuming market rent is $10 000 per annum." title="Single, childless Youth Allowance (Student) recip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57800" cy="3362325"/>
                                </a:xfrm>
                                <a:prstGeom prst="rect">
                                  <a:avLst/>
                                </a:prstGeom>
                                <a:noFill/>
                                <a:ln>
                                  <a:noFill/>
                                </a:ln>
                              </pic:spPr>
                            </pic:pic>
                          </a:graphicData>
                        </a:graphic>
                      </wp:inline>
                    </w:drawing>
                  </w:r>
                </w:p>
              </w:tc>
            </w:tr>
          </w:tbl>
          <w:p w:rsidR="00C92302" w:rsidRDefault="00C92302" w:rsidP="003615E8">
            <w:pPr>
              <w:pStyle w:val="Figure"/>
            </w:pPr>
          </w:p>
        </w:tc>
      </w:tr>
      <w:tr w:rsidR="00C92302" w:rsidTr="00AD11CD">
        <w:tblPrEx>
          <w:tblCellMar>
            <w:left w:w="108" w:type="dxa"/>
            <w:right w:w="108" w:type="dxa"/>
          </w:tblCellMar>
        </w:tblPrEx>
        <w:tc>
          <w:tcPr>
            <w:tcW w:w="8771" w:type="dxa"/>
            <w:tcBorders>
              <w:top w:val="nil"/>
              <w:left w:val="nil"/>
              <w:bottom w:val="nil"/>
              <w:right w:val="nil"/>
            </w:tcBorders>
            <w:shd w:val="clear" w:color="auto" w:fill="auto"/>
          </w:tcPr>
          <w:p w:rsidR="00C92302" w:rsidRDefault="00AD11CD" w:rsidP="003615E8">
            <w:pPr>
              <w:pStyle w:val="Figure"/>
              <w:spacing w:before="60" w:after="60"/>
              <w:rPr>
                <w:noProof/>
              </w:rPr>
            </w:pPr>
            <w:r>
              <w:rPr>
                <w:noProof/>
              </w:rPr>
              <w:drawing>
                <wp:inline distT="0" distB="0" distL="0" distR="0" wp14:anchorId="679AEEAE" wp14:editId="3DC3836B">
                  <wp:extent cx="5429250" cy="3086100"/>
                  <wp:effectExtent l="0" t="0" r="0" b="0"/>
                  <wp:docPr id="302" name="Picture 302" descr="This chart displays the effective marginal tax rates for a single, childless Youth Allowance (Student) recipient at different levels of market income and under different housing assistance scenarios." title="Single, childless Youth Allowance (Student) recipi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29250" cy="3086100"/>
                          </a:xfrm>
                          <a:prstGeom prst="rect">
                            <a:avLst/>
                          </a:prstGeom>
                          <a:noFill/>
                          <a:ln>
                            <a:noFill/>
                          </a:ln>
                        </pic:spPr>
                      </pic:pic>
                    </a:graphicData>
                  </a:graphic>
                </wp:inline>
              </w:drawing>
            </w:r>
          </w:p>
        </w:tc>
      </w:tr>
      <w:tr w:rsidR="009949AF" w:rsidRPr="002E6028" w:rsidTr="00443D1E">
        <w:tc>
          <w:tcPr>
            <w:tcW w:w="8771" w:type="dxa"/>
            <w:tcBorders>
              <w:top w:val="nil"/>
              <w:left w:val="nil"/>
              <w:bottom w:val="nil"/>
              <w:right w:val="nil"/>
            </w:tcBorders>
            <w:shd w:val="clear" w:color="auto" w:fill="auto"/>
          </w:tcPr>
          <w:p w:rsidR="009949AF" w:rsidRPr="002E6028" w:rsidRDefault="009949AF" w:rsidP="008436D7">
            <w:pPr>
              <w:pStyle w:val="Note"/>
              <w:rPr>
                <w:spacing w:val="-2"/>
              </w:rPr>
            </w:pPr>
            <w:proofErr w:type="spellStart"/>
            <w:r w:rsidRPr="002E6028">
              <w:rPr>
                <w:rStyle w:val="NoteLabel"/>
                <w:spacing w:val="-2"/>
              </w:rPr>
              <w:t>a</w:t>
            </w:r>
            <w:proofErr w:type="spellEnd"/>
            <w:r w:rsidRPr="002E6028">
              <w:rPr>
                <w:spacing w:val="-2"/>
              </w:rPr>
              <w:t xml:space="preserve"> </w:t>
            </w:r>
            <w:proofErr w:type="spellStart"/>
            <w:r w:rsidR="008436D7" w:rsidRPr="002E6028">
              <w:rPr>
                <w:spacing w:val="-2"/>
              </w:rPr>
              <w:t>A</w:t>
            </w:r>
            <w:proofErr w:type="spellEnd"/>
            <w:r w:rsidR="008436D7" w:rsidRPr="002E6028">
              <w:rPr>
                <w:spacing w:val="-2"/>
              </w:rPr>
              <w:t xml:space="preserve"> key to changes in the height of the EMTR schedule</w:t>
            </w:r>
            <w:r w:rsidR="008436D7">
              <w:rPr>
                <w:spacing w:val="-2"/>
              </w:rPr>
              <w:t> </w:t>
            </w:r>
            <w:r w:rsidR="008436D7" w:rsidRPr="002E6028">
              <w:rPr>
                <w:spacing w:val="-2"/>
              </w:rPr>
              <w:t>— indicated by number</w:t>
            </w:r>
            <w:r w:rsidR="008436D7">
              <w:rPr>
                <w:spacing w:val="-2"/>
              </w:rPr>
              <w:t>s</w:t>
            </w:r>
            <w:r w:rsidR="008436D7" w:rsidRPr="002E6028">
              <w:rPr>
                <w:spacing w:val="-2"/>
              </w:rPr>
              <w:t xml:space="preserve"> in the figure</w:t>
            </w:r>
            <w:r w:rsidR="008436D7">
              <w:rPr>
                <w:spacing w:val="-2"/>
              </w:rPr>
              <w:t xml:space="preserve"> above — </w:t>
            </w:r>
            <w:r w:rsidR="008436D7" w:rsidRPr="002E6028">
              <w:rPr>
                <w:spacing w:val="-2"/>
              </w:rPr>
              <w:t>for a welfare recipient who does not receive housing assistance</w:t>
            </w:r>
            <w:r w:rsidR="008436D7">
              <w:rPr>
                <w:spacing w:val="-2"/>
              </w:rPr>
              <w:t xml:space="preserve"> is presented in </w:t>
            </w:r>
            <w:r w:rsidRPr="002E6028">
              <w:rPr>
                <w:spacing w:val="-2"/>
              </w:rPr>
              <w:t>table C.</w:t>
            </w:r>
            <w:r w:rsidR="00567380">
              <w:rPr>
                <w:spacing w:val="-2"/>
              </w:rPr>
              <w:t>2</w:t>
            </w:r>
            <w:r w:rsidRPr="002E6028">
              <w:rPr>
                <w:spacing w:val="-2"/>
              </w:rPr>
              <w:t xml:space="preserve">. </w:t>
            </w:r>
            <w:r>
              <w:rPr>
                <w:spacing w:val="-2"/>
              </w:rPr>
              <w:t>The same changes affect the schedules for housing assistance recipients. Differences between the schedules for welfare recipients who do and do not receive housing assistance reflect the effects of that assistance on EMTR</w:t>
            </w:r>
            <w:r w:rsidR="009E7ED2">
              <w:rPr>
                <w:spacing w:val="-2"/>
              </w:rPr>
              <w:t>s</w:t>
            </w:r>
            <w:r>
              <w:rPr>
                <w:spacing w:val="-2"/>
              </w:rPr>
              <w:t>.</w:t>
            </w:r>
          </w:p>
        </w:tc>
      </w:tr>
      <w:tr w:rsidR="009949AF" w:rsidTr="00443D1E">
        <w:tc>
          <w:tcPr>
            <w:tcW w:w="8771" w:type="dxa"/>
            <w:tcBorders>
              <w:top w:val="nil"/>
              <w:left w:val="nil"/>
              <w:bottom w:val="single" w:sz="6" w:space="0" w:color="78A22F"/>
              <w:right w:val="nil"/>
            </w:tcBorders>
            <w:shd w:val="clear" w:color="auto" w:fill="auto"/>
          </w:tcPr>
          <w:p w:rsidR="009949AF" w:rsidRDefault="009949AF" w:rsidP="00443D1E">
            <w:pPr>
              <w:pStyle w:val="Figurespace"/>
            </w:pPr>
          </w:p>
        </w:tc>
      </w:tr>
      <w:tr w:rsidR="00C92302" w:rsidRPr="000863A5" w:rsidTr="003615E8">
        <w:tc>
          <w:tcPr>
            <w:tcW w:w="8771" w:type="dxa"/>
            <w:tcBorders>
              <w:top w:val="single" w:sz="6" w:space="0" w:color="78A22F"/>
              <w:left w:val="nil"/>
              <w:bottom w:val="nil"/>
              <w:right w:val="nil"/>
            </w:tcBorders>
          </w:tcPr>
          <w:p w:rsidR="00C92302" w:rsidRPr="00626D32" w:rsidRDefault="00C92302" w:rsidP="003615E8">
            <w:pPr>
              <w:pStyle w:val="BoxSpaceBelow"/>
            </w:pPr>
          </w:p>
        </w:tc>
      </w:tr>
    </w:tbl>
    <w:p w:rsidR="005C5360" w:rsidRDefault="005C5360" w:rsidP="005C536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C5360" w:rsidTr="00443D1E">
        <w:tc>
          <w:tcPr>
            <w:tcW w:w="8771" w:type="dxa"/>
            <w:tcBorders>
              <w:top w:val="single" w:sz="6" w:space="0" w:color="78A22F"/>
              <w:left w:val="nil"/>
              <w:bottom w:val="nil"/>
              <w:right w:val="nil"/>
            </w:tcBorders>
            <w:shd w:val="clear" w:color="auto" w:fill="auto"/>
          </w:tcPr>
          <w:p w:rsidR="005C5360" w:rsidRPr="00784A05" w:rsidRDefault="002C2883" w:rsidP="002C2883">
            <w:pPr>
              <w:pStyle w:val="TableTitle"/>
            </w:pPr>
            <w:r>
              <w:rPr>
                <w:b w:val="0"/>
              </w:rPr>
              <w:t xml:space="preserve">Table </w:t>
            </w:r>
            <w:r w:rsidR="005C5360">
              <w:rPr>
                <w:b w:val="0"/>
              </w:rPr>
              <w:fldChar w:fldCharType="begin"/>
            </w:r>
            <w:r w:rsidR="005C5360">
              <w:rPr>
                <w:b w:val="0"/>
              </w:rPr>
              <w:instrText xml:space="preserve"> COMMENTS  \* MERGEFORMAT </w:instrText>
            </w:r>
            <w:r w:rsidR="005C5360">
              <w:rPr>
                <w:b w:val="0"/>
              </w:rPr>
              <w:fldChar w:fldCharType="separate"/>
            </w:r>
            <w:proofErr w:type="spellStart"/>
            <w:r w:rsidR="005C5360">
              <w:rPr>
                <w:b w:val="0"/>
              </w:rPr>
              <w:t>C.</w:t>
            </w:r>
            <w:r w:rsidR="005C5360">
              <w:rPr>
                <w:b w:val="0"/>
              </w:rPr>
              <w:fldChar w:fldCharType="end"/>
            </w:r>
            <w:r w:rsidR="005C5360">
              <w:rPr>
                <w:b w:val="0"/>
              </w:rPr>
              <w:fldChar w:fldCharType="begin"/>
            </w:r>
            <w:r w:rsidR="005C5360">
              <w:rPr>
                <w:b w:val="0"/>
              </w:rPr>
              <w:instrText xml:space="preserve"> SEQ Table \* ARABIC </w:instrText>
            </w:r>
            <w:r w:rsidR="005C5360">
              <w:rPr>
                <w:b w:val="0"/>
              </w:rPr>
              <w:fldChar w:fldCharType="separate"/>
            </w:r>
            <w:r w:rsidR="00AD11CD">
              <w:rPr>
                <w:b w:val="0"/>
                <w:noProof/>
              </w:rPr>
              <w:t>2</w:t>
            </w:r>
            <w:proofErr w:type="spellEnd"/>
            <w:r w:rsidR="005C5360">
              <w:rPr>
                <w:b w:val="0"/>
              </w:rPr>
              <w:fldChar w:fldCharType="end"/>
            </w:r>
            <w:r w:rsidR="005C5360">
              <w:tab/>
              <w:t>Key to changes in the height o</w:t>
            </w:r>
            <w:r>
              <w:t>f the EMTR schedules in figure </w:t>
            </w:r>
            <w:r w:rsidR="005C5360">
              <w:t>C.2</w:t>
            </w:r>
          </w:p>
        </w:tc>
      </w:tr>
      <w:tr w:rsidR="005C5360" w:rsidTr="00443D1E">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45"/>
              <w:gridCol w:w="7942"/>
            </w:tblGrid>
            <w:tr w:rsidR="005C5360" w:rsidTr="00443D1E">
              <w:tc>
                <w:tcPr>
                  <w:tcW w:w="321" w:type="pct"/>
                  <w:tcBorders>
                    <w:top w:val="single" w:sz="6" w:space="0" w:color="BFBFBF"/>
                    <w:bottom w:val="single" w:sz="6" w:space="0" w:color="BFBFBF"/>
                  </w:tcBorders>
                  <w:shd w:val="clear" w:color="auto" w:fill="auto"/>
                  <w:tcMar>
                    <w:top w:w="28" w:type="dxa"/>
                  </w:tcMar>
                </w:tcPr>
                <w:p w:rsidR="005C5360" w:rsidRDefault="005C5360" w:rsidP="00443D1E">
                  <w:pPr>
                    <w:pStyle w:val="TableColumnHeading"/>
                    <w:jc w:val="left"/>
                  </w:pPr>
                  <w:r>
                    <w:t>No.</w:t>
                  </w:r>
                </w:p>
              </w:tc>
              <w:tc>
                <w:tcPr>
                  <w:tcW w:w="4679" w:type="pct"/>
                  <w:tcBorders>
                    <w:top w:val="single" w:sz="6" w:space="0" w:color="BFBFBF"/>
                    <w:bottom w:val="single" w:sz="6" w:space="0" w:color="BFBFBF"/>
                  </w:tcBorders>
                  <w:shd w:val="clear" w:color="auto" w:fill="auto"/>
                  <w:tcMar>
                    <w:top w:w="28" w:type="dxa"/>
                  </w:tcMar>
                </w:tcPr>
                <w:p w:rsidR="005C5360" w:rsidRDefault="005C5360" w:rsidP="00443D1E">
                  <w:pPr>
                    <w:pStyle w:val="TableColumnHeading"/>
                    <w:ind w:right="28"/>
                    <w:jc w:val="left"/>
                  </w:pPr>
                  <w:r>
                    <w:t>Cause of change in the height of the EMTR schedule</w:t>
                  </w:r>
                </w:p>
              </w:tc>
            </w:tr>
            <w:tr w:rsidR="005C5360" w:rsidTr="00443D1E">
              <w:tc>
                <w:tcPr>
                  <w:tcW w:w="321" w:type="pct"/>
                </w:tcPr>
                <w:p w:rsidR="005C5360" w:rsidRDefault="005C5360" w:rsidP="00443D1E">
                  <w:pPr>
                    <w:pStyle w:val="TableBodyText"/>
                    <w:jc w:val="left"/>
                  </w:pPr>
                  <w:r>
                    <w:t>1</w:t>
                  </w:r>
                </w:p>
              </w:tc>
              <w:tc>
                <w:tcPr>
                  <w:tcW w:w="4679" w:type="pct"/>
                </w:tcPr>
                <w:p w:rsidR="005C5360" w:rsidRDefault="00945375" w:rsidP="00945375">
                  <w:pPr>
                    <w:pStyle w:val="TableBodyText"/>
                    <w:ind w:right="28"/>
                    <w:jc w:val="left"/>
                  </w:pPr>
                  <w:r>
                    <w:t>Medicare levy starts at a rate of 10 per cent of taxable income (market income less ISP withdrawn) in excess of $20 542</w:t>
                  </w:r>
                </w:p>
              </w:tc>
            </w:tr>
            <w:tr w:rsidR="00637567" w:rsidTr="00443D1E">
              <w:tc>
                <w:tcPr>
                  <w:tcW w:w="321" w:type="pct"/>
                </w:tcPr>
                <w:p w:rsidR="00637567" w:rsidRDefault="00637567" w:rsidP="00443D1E">
                  <w:pPr>
                    <w:pStyle w:val="TableBodyText"/>
                    <w:jc w:val="left"/>
                  </w:pPr>
                  <w:r>
                    <w:t>2</w:t>
                  </w:r>
                </w:p>
              </w:tc>
              <w:tc>
                <w:tcPr>
                  <w:tcW w:w="4679" w:type="pct"/>
                </w:tcPr>
                <w:p w:rsidR="00637567" w:rsidRDefault="00945375" w:rsidP="00957425">
                  <w:pPr>
                    <w:pStyle w:val="TableBodyText"/>
                    <w:ind w:right="28"/>
                    <w:jc w:val="left"/>
                  </w:pPr>
                  <w:r>
                    <w:t>ISP withdrawal starts at a rate of 50 cents in the dollar</w:t>
                  </w:r>
                </w:p>
              </w:tc>
            </w:tr>
            <w:tr w:rsidR="005C5360" w:rsidTr="00443D1E">
              <w:tc>
                <w:tcPr>
                  <w:tcW w:w="321" w:type="pct"/>
                </w:tcPr>
                <w:p w:rsidR="005C5360" w:rsidRDefault="00957425" w:rsidP="00443D1E">
                  <w:pPr>
                    <w:pStyle w:val="TableBodyText"/>
                    <w:jc w:val="left"/>
                  </w:pPr>
                  <w:r>
                    <w:t>3</w:t>
                  </w:r>
                </w:p>
              </w:tc>
              <w:tc>
                <w:tcPr>
                  <w:tcW w:w="4679" w:type="pct"/>
                </w:tcPr>
                <w:p w:rsidR="005C5360" w:rsidRDefault="00945375" w:rsidP="00443D1E">
                  <w:pPr>
                    <w:pStyle w:val="TableBodyText"/>
                    <w:ind w:right="28"/>
                    <w:jc w:val="left"/>
                  </w:pPr>
                  <w:r>
                    <w:t>ISP withdrawal rate changes to 60 cents in the dollar</w:t>
                  </w:r>
                </w:p>
              </w:tc>
            </w:tr>
            <w:tr w:rsidR="005C5360" w:rsidTr="00443D1E">
              <w:tc>
                <w:tcPr>
                  <w:tcW w:w="321" w:type="pct"/>
                </w:tcPr>
                <w:p w:rsidR="005C5360" w:rsidRDefault="00957425" w:rsidP="00443D1E">
                  <w:pPr>
                    <w:pStyle w:val="TableBodyText"/>
                    <w:jc w:val="left"/>
                  </w:pPr>
                  <w:r>
                    <w:t>4</w:t>
                  </w:r>
                </w:p>
              </w:tc>
              <w:tc>
                <w:tcPr>
                  <w:tcW w:w="4679" w:type="pct"/>
                </w:tcPr>
                <w:p w:rsidR="005C5360" w:rsidRDefault="007E6366" w:rsidP="00443D1E">
                  <w:pPr>
                    <w:pStyle w:val="TableBodyText"/>
                    <w:ind w:right="28"/>
                    <w:jc w:val="left"/>
                  </w:pPr>
                  <w:r>
                    <w:t>Low income tax offset reaches its maximum level. Income tax and reductions in the beneficiary tax offset now affect take home pay</w:t>
                  </w:r>
                </w:p>
              </w:tc>
            </w:tr>
            <w:tr w:rsidR="00957425" w:rsidTr="00443D1E">
              <w:tc>
                <w:tcPr>
                  <w:tcW w:w="321" w:type="pct"/>
                </w:tcPr>
                <w:p w:rsidR="00957425" w:rsidRDefault="00957425" w:rsidP="00443D1E">
                  <w:pPr>
                    <w:pStyle w:val="TableBodyText"/>
                    <w:jc w:val="left"/>
                  </w:pPr>
                  <w:r>
                    <w:t>5</w:t>
                  </w:r>
                </w:p>
              </w:tc>
              <w:tc>
                <w:tcPr>
                  <w:tcW w:w="4679" w:type="pct"/>
                </w:tcPr>
                <w:p w:rsidR="00957425" w:rsidRDefault="00957425" w:rsidP="00443D1E">
                  <w:pPr>
                    <w:pStyle w:val="TableBodyText"/>
                    <w:ind w:right="28"/>
                    <w:jc w:val="left"/>
                  </w:pPr>
                  <w:r>
                    <w:t>Medicare levy drops to 1.5 per cent of taxable income</w:t>
                  </w:r>
                </w:p>
              </w:tc>
            </w:tr>
            <w:tr w:rsidR="00957425" w:rsidTr="00443D1E">
              <w:tc>
                <w:tcPr>
                  <w:tcW w:w="321" w:type="pct"/>
                </w:tcPr>
                <w:p w:rsidR="00957425" w:rsidRDefault="00957425" w:rsidP="00443D1E">
                  <w:pPr>
                    <w:pStyle w:val="TableBodyText"/>
                    <w:jc w:val="left"/>
                  </w:pPr>
                  <w:r>
                    <w:t>6</w:t>
                  </w:r>
                </w:p>
              </w:tc>
              <w:tc>
                <w:tcPr>
                  <w:tcW w:w="4679" w:type="pct"/>
                </w:tcPr>
                <w:p w:rsidR="00957425" w:rsidRDefault="007E6366" w:rsidP="00443D1E">
                  <w:pPr>
                    <w:pStyle w:val="TableBodyText"/>
                    <w:ind w:right="28"/>
                    <w:jc w:val="left"/>
                  </w:pPr>
                  <w:r>
                    <w:t xml:space="preserve">Beneficiary tax offset </w:t>
                  </w:r>
                  <w:r w:rsidR="00957425">
                    <w:t>reduces to zero</w:t>
                  </w:r>
                </w:p>
              </w:tc>
            </w:tr>
            <w:tr w:rsidR="00957425" w:rsidTr="00443D1E">
              <w:tc>
                <w:tcPr>
                  <w:tcW w:w="321" w:type="pct"/>
                </w:tcPr>
                <w:p w:rsidR="00957425" w:rsidRDefault="00957425" w:rsidP="00443D1E">
                  <w:pPr>
                    <w:pStyle w:val="TableBodyText"/>
                    <w:jc w:val="left"/>
                  </w:pPr>
                  <w:r>
                    <w:t>7</w:t>
                  </w:r>
                </w:p>
              </w:tc>
              <w:tc>
                <w:tcPr>
                  <w:tcW w:w="4679" w:type="pct"/>
                </w:tcPr>
                <w:p w:rsidR="00957425" w:rsidRDefault="00957425" w:rsidP="00443D1E">
                  <w:pPr>
                    <w:pStyle w:val="TableBodyText"/>
                    <w:ind w:right="28"/>
                    <w:jc w:val="left"/>
                  </w:pPr>
                  <w:r>
                    <w:t>ISP withdrawal ends</w:t>
                  </w:r>
                </w:p>
              </w:tc>
            </w:tr>
            <w:tr w:rsidR="00957425" w:rsidTr="00443D1E">
              <w:tc>
                <w:tcPr>
                  <w:tcW w:w="321" w:type="pct"/>
                  <w:shd w:val="clear" w:color="auto" w:fill="auto"/>
                </w:tcPr>
                <w:p w:rsidR="00957425" w:rsidRDefault="00957425" w:rsidP="00443D1E">
                  <w:pPr>
                    <w:pStyle w:val="TableBodyText"/>
                    <w:jc w:val="left"/>
                  </w:pPr>
                  <w:r>
                    <w:t>8</w:t>
                  </w:r>
                </w:p>
              </w:tc>
              <w:tc>
                <w:tcPr>
                  <w:tcW w:w="4679" w:type="pct"/>
                  <w:shd w:val="clear" w:color="auto" w:fill="auto"/>
                </w:tcPr>
                <w:p w:rsidR="00957425" w:rsidRDefault="00957425" w:rsidP="00443D1E">
                  <w:pPr>
                    <w:pStyle w:val="TableBodyText"/>
                    <w:ind w:right="28"/>
                    <w:jc w:val="left"/>
                  </w:pPr>
                  <w:r>
                    <w:t>Marginal tax rate increases to 32.5 cents in the dollar and reduction of the low income tax offset starts at a rate of 1.5 per cent of taxable income</w:t>
                  </w:r>
                </w:p>
              </w:tc>
            </w:tr>
            <w:tr w:rsidR="00957425" w:rsidTr="00443D1E">
              <w:tc>
                <w:tcPr>
                  <w:tcW w:w="321" w:type="pct"/>
                  <w:tcBorders>
                    <w:bottom w:val="single" w:sz="6" w:space="0" w:color="BFBFBF"/>
                  </w:tcBorders>
                  <w:shd w:val="clear" w:color="auto" w:fill="auto"/>
                </w:tcPr>
                <w:p w:rsidR="00957425" w:rsidRDefault="00957425" w:rsidP="00443D1E">
                  <w:pPr>
                    <w:pStyle w:val="TableBodyText"/>
                    <w:jc w:val="left"/>
                  </w:pPr>
                  <w:r>
                    <w:t>9</w:t>
                  </w:r>
                </w:p>
              </w:tc>
              <w:tc>
                <w:tcPr>
                  <w:tcW w:w="4679" w:type="pct"/>
                  <w:tcBorders>
                    <w:bottom w:val="single" w:sz="6" w:space="0" w:color="BFBFBF"/>
                  </w:tcBorders>
                  <w:shd w:val="clear" w:color="auto" w:fill="auto"/>
                </w:tcPr>
                <w:p w:rsidR="00957425" w:rsidRDefault="00957425" w:rsidP="00443D1E">
                  <w:pPr>
                    <w:pStyle w:val="TableBodyText"/>
                    <w:ind w:right="28"/>
                    <w:jc w:val="left"/>
                  </w:pPr>
                  <w:r>
                    <w:t>Low income tax offset reduces to zero</w:t>
                  </w:r>
                </w:p>
              </w:tc>
            </w:tr>
          </w:tbl>
          <w:p w:rsidR="005C5360" w:rsidRDefault="005C5360" w:rsidP="00443D1E">
            <w:pPr>
              <w:pStyle w:val="Box"/>
            </w:pPr>
          </w:p>
        </w:tc>
      </w:tr>
      <w:tr w:rsidR="005C5360" w:rsidTr="00443D1E">
        <w:trPr>
          <w:cantSplit/>
        </w:trPr>
        <w:tc>
          <w:tcPr>
            <w:tcW w:w="8771" w:type="dxa"/>
            <w:tcBorders>
              <w:top w:val="nil"/>
              <w:left w:val="nil"/>
              <w:bottom w:val="single" w:sz="6" w:space="0" w:color="78A22F"/>
              <w:right w:val="nil"/>
            </w:tcBorders>
            <w:shd w:val="clear" w:color="auto" w:fill="auto"/>
          </w:tcPr>
          <w:p w:rsidR="005C5360" w:rsidRDefault="005C5360" w:rsidP="00443D1E">
            <w:pPr>
              <w:pStyle w:val="Box"/>
              <w:spacing w:before="0" w:line="120" w:lineRule="exact"/>
            </w:pPr>
          </w:p>
        </w:tc>
      </w:tr>
      <w:tr w:rsidR="005C5360" w:rsidRPr="000863A5" w:rsidTr="00443D1E">
        <w:tc>
          <w:tcPr>
            <w:tcW w:w="8771" w:type="dxa"/>
            <w:tcBorders>
              <w:top w:val="single" w:sz="6" w:space="0" w:color="78A22F"/>
              <w:left w:val="nil"/>
              <w:bottom w:val="nil"/>
              <w:right w:val="nil"/>
            </w:tcBorders>
          </w:tcPr>
          <w:p w:rsidR="005C5360" w:rsidRPr="00626D32" w:rsidRDefault="005C5360" w:rsidP="00443D1E">
            <w:pPr>
              <w:pStyle w:val="BoxSpaceBelow"/>
            </w:pPr>
          </w:p>
        </w:tc>
      </w:tr>
    </w:tbl>
    <w:p w:rsidR="005C5360" w:rsidRDefault="005C5360">
      <w:pPr>
        <w:rPr>
          <w:szCs w:val="20"/>
        </w:rPr>
      </w:pPr>
      <w:r>
        <w:br w:type="page"/>
      </w:r>
    </w:p>
    <w:p w:rsidR="00E17687" w:rsidRDefault="00E17687" w:rsidP="00E176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17687" w:rsidTr="00D93058">
        <w:tc>
          <w:tcPr>
            <w:tcW w:w="8771" w:type="dxa"/>
            <w:tcBorders>
              <w:top w:val="single" w:sz="6" w:space="0" w:color="78A22F"/>
              <w:left w:val="nil"/>
              <w:bottom w:val="nil"/>
              <w:right w:val="nil"/>
            </w:tcBorders>
            <w:shd w:val="clear" w:color="auto" w:fill="auto"/>
          </w:tcPr>
          <w:p w:rsidR="00E17687" w:rsidRPr="00176D3F" w:rsidRDefault="00E17687" w:rsidP="002C2883">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proofErr w:type="spellStart"/>
            <w:r w:rsidR="000F5E74">
              <w:rPr>
                <w:b w:val="0"/>
              </w:rPr>
              <w:t>C.</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AD11CD">
              <w:rPr>
                <w:b w:val="0"/>
                <w:noProof/>
              </w:rPr>
              <w:t>3</w:t>
            </w:r>
            <w:proofErr w:type="spellEnd"/>
            <w:r w:rsidRPr="00784A05">
              <w:rPr>
                <w:b w:val="0"/>
              </w:rPr>
              <w:fldChar w:fldCharType="end"/>
            </w:r>
            <w:r>
              <w:tab/>
              <w:t xml:space="preserve">Single </w:t>
            </w:r>
            <w:proofErr w:type="spellStart"/>
            <w:r>
              <w:t>New</w:t>
            </w:r>
            <w:r w:rsidR="00C0070E">
              <w:t>s</w:t>
            </w:r>
            <w:r>
              <w:t>tart</w:t>
            </w:r>
            <w:proofErr w:type="spellEnd"/>
            <w:r>
              <w:t xml:space="preserve"> recipient with one dependent child</w:t>
            </w:r>
            <w:r w:rsidR="009E7ED2" w:rsidRPr="009E7ED2">
              <w:rPr>
                <w:rStyle w:val="NoteLabel"/>
                <w:b/>
              </w:rPr>
              <w:t>a</w:t>
            </w:r>
          </w:p>
        </w:tc>
      </w:tr>
      <w:tr w:rsidR="00E17687" w:rsidTr="00E01BFB">
        <w:trPr>
          <w:trHeight w:val="9978"/>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E17687" w:rsidTr="00E01BFB">
              <w:trPr>
                <w:trHeight w:val="10514"/>
                <w:jc w:val="center"/>
              </w:trPr>
              <w:tc>
                <w:tcPr>
                  <w:tcW w:w="5000" w:type="pct"/>
                  <w:tcBorders>
                    <w:top w:val="nil"/>
                    <w:bottom w:val="nil"/>
                  </w:tcBorders>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E17687" w:rsidTr="00AD11CD">
                    <w:trPr>
                      <w:trHeight w:val="5159"/>
                      <w:jc w:val="center"/>
                    </w:trPr>
                    <w:tc>
                      <w:tcPr>
                        <w:tcW w:w="8504" w:type="dxa"/>
                        <w:tcBorders>
                          <w:top w:val="nil"/>
                          <w:bottom w:val="nil"/>
                        </w:tcBorders>
                      </w:tcPr>
                      <w:p w:rsidR="00E17687" w:rsidRDefault="003A6D8B" w:rsidP="00D93058">
                        <w:pPr>
                          <w:pStyle w:val="Figure"/>
                          <w:spacing w:before="60" w:after="60"/>
                        </w:pPr>
                        <w:r>
                          <w:rPr>
                            <w:noProof/>
                          </w:rPr>
                          <w:drawing>
                            <wp:inline distT="0" distB="0" distL="0" distR="0" wp14:anchorId="10958387" wp14:editId="52E39BD9">
                              <wp:extent cx="5257800" cy="3248025"/>
                              <wp:effectExtent l="0" t="0" r="0" b="0"/>
                              <wp:docPr id="305" name="Picture 305" descr="This chart displays the budget constraint for a single Newstart recipient with one dependent child, illustrating their market income and disposable income post rent under different housing assistance scenarios, assuming market rent is $10 000 per annum." title="Single Newstart recipient with one dependent ch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7800" cy="3248025"/>
                                      </a:xfrm>
                                      <a:prstGeom prst="rect">
                                        <a:avLst/>
                                      </a:prstGeom>
                                      <a:noFill/>
                                      <a:ln>
                                        <a:noFill/>
                                      </a:ln>
                                    </pic:spPr>
                                  </pic:pic>
                                </a:graphicData>
                              </a:graphic>
                            </wp:inline>
                          </w:drawing>
                        </w:r>
                      </w:p>
                    </w:tc>
                  </w:tr>
                  <w:tr w:rsidR="00E17687" w:rsidTr="00AD11CD">
                    <w:trPr>
                      <w:trHeight w:val="5329"/>
                      <w:jc w:val="center"/>
                    </w:trPr>
                    <w:tc>
                      <w:tcPr>
                        <w:tcW w:w="8504" w:type="dxa"/>
                        <w:tcBorders>
                          <w:top w:val="nil"/>
                          <w:bottom w:val="nil"/>
                        </w:tcBorders>
                      </w:tcPr>
                      <w:p w:rsidR="00E17687" w:rsidRDefault="003A6D8B" w:rsidP="00D93058">
                        <w:pPr>
                          <w:pStyle w:val="Figure"/>
                          <w:spacing w:before="60" w:after="60"/>
                          <w:rPr>
                            <w:noProof/>
                          </w:rPr>
                        </w:pPr>
                        <w:r>
                          <w:rPr>
                            <w:noProof/>
                          </w:rPr>
                          <w:drawing>
                            <wp:inline distT="0" distB="0" distL="0" distR="0" wp14:anchorId="00DEAA74" wp14:editId="793DD6B7">
                              <wp:extent cx="5257800" cy="3495675"/>
                              <wp:effectExtent l="0" t="0" r="0" b="0"/>
                              <wp:docPr id="306" name="Picture 306" descr="This chart displays the effective marginal tax rates for a single Newstart recipient with one dependent child, at different levels of market income and under different housing assistance scenarios." title="Single, childless Newstart recipient with one dependent ch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7800" cy="3495675"/>
                                      </a:xfrm>
                                      <a:prstGeom prst="rect">
                                        <a:avLst/>
                                      </a:prstGeom>
                                      <a:noFill/>
                                      <a:ln>
                                        <a:noFill/>
                                      </a:ln>
                                    </pic:spPr>
                                  </pic:pic>
                                </a:graphicData>
                              </a:graphic>
                            </wp:inline>
                          </w:drawing>
                        </w:r>
                      </w:p>
                    </w:tc>
                  </w:tr>
                </w:tbl>
                <w:p w:rsidR="00E17687" w:rsidRDefault="00E17687" w:rsidP="00D93058">
                  <w:pPr>
                    <w:pStyle w:val="Figure"/>
                    <w:spacing w:before="60" w:after="60"/>
                  </w:pPr>
                </w:p>
              </w:tc>
            </w:tr>
          </w:tbl>
          <w:p w:rsidR="00E17687" w:rsidRDefault="00E17687" w:rsidP="00D93058">
            <w:pPr>
              <w:pStyle w:val="Figure"/>
            </w:pPr>
          </w:p>
        </w:tc>
      </w:tr>
      <w:tr w:rsidR="00E01BFB" w:rsidRPr="002E6028" w:rsidTr="00443D1E">
        <w:tc>
          <w:tcPr>
            <w:tcW w:w="8771" w:type="dxa"/>
            <w:tcBorders>
              <w:top w:val="nil"/>
              <w:left w:val="nil"/>
              <w:bottom w:val="nil"/>
              <w:right w:val="nil"/>
            </w:tcBorders>
            <w:shd w:val="clear" w:color="auto" w:fill="auto"/>
          </w:tcPr>
          <w:p w:rsidR="00E01BFB" w:rsidRPr="002E6028" w:rsidRDefault="00E01BFB" w:rsidP="00443D1E">
            <w:pPr>
              <w:pStyle w:val="Note"/>
              <w:rPr>
                <w:spacing w:val="-2"/>
              </w:rPr>
            </w:pPr>
            <w:proofErr w:type="spellStart"/>
            <w:r w:rsidRPr="002E6028">
              <w:rPr>
                <w:rStyle w:val="NoteLabel"/>
                <w:spacing w:val="-2"/>
              </w:rPr>
              <w:t>a</w:t>
            </w:r>
            <w:proofErr w:type="spellEnd"/>
            <w:r w:rsidRPr="002E6028">
              <w:rPr>
                <w:spacing w:val="-2"/>
              </w:rPr>
              <w:t xml:space="preserve"> </w:t>
            </w:r>
            <w:proofErr w:type="spellStart"/>
            <w:r w:rsidR="008436D7" w:rsidRPr="002E6028">
              <w:rPr>
                <w:spacing w:val="-2"/>
              </w:rPr>
              <w:t>A</w:t>
            </w:r>
            <w:proofErr w:type="spellEnd"/>
            <w:r w:rsidR="008436D7" w:rsidRPr="002E6028">
              <w:rPr>
                <w:spacing w:val="-2"/>
              </w:rPr>
              <w:t xml:space="preserve"> key to changes in the height of the EMTR schedule</w:t>
            </w:r>
            <w:r w:rsidR="008436D7">
              <w:rPr>
                <w:spacing w:val="-2"/>
              </w:rPr>
              <w:t> </w:t>
            </w:r>
            <w:r w:rsidR="008436D7" w:rsidRPr="002E6028">
              <w:rPr>
                <w:spacing w:val="-2"/>
              </w:rPr>
              <w:t>— indicated by number</w:t>
            </w:r>
            <w:r w:rsidR="008436D7">
              <w:rPr>
                <w:spacing w:val="-2"/>
              </w:rPr>
              <w:t>s</w:t>
            </w:r>
            <w:r w:rsidR="008436D7" w:rsidRPr="002E6028">
              <w:rPr>
                <w:spacing w:val="-2"/>
              </w:rPr>
              <w:t xml:space="preserve"> in the figure</w:t>
            </w:r>
            <w:r w:rsidR="008436D7">
              <w:rPr>
                <w:spacing w:val="-2"/>
              </w:rPr>
              <w:t xml:space="preserve"> above — </w:t>
            </w:r>
            <w:r w:rsidR="008436D7" w:rsidRPr="002E6028">
              <w:rPr>
                <w:spacing w:val="-2"/>
              </w:rPr>
              <w:t>for a welfare recipient who does not receive housing assistance</w:t>
            </w:r>
            <w:r w:rsidR="008436D7">
              <w:rPr>
                <w:spacing w:val="-2"/>
              </w:rPr>
              <w:t xml:space="preserve"> is presented in </w:t>
            </w:r>
            <w:r w:rsidR="002C2883">
              <w:rPr>
                <w:spacing w:val="-2"/>
              </w:rPr>
              <w:t xml:space="preserve">table </w:t>
            </w:r>
            <w:r w:rsidR="00567380">
              <w:rPr>
                <w:spacing w:val="-2"/>
              </w:rPr>
              <w:t>C.3</w:t>
            </w:r>
            <w:r w:rsidRPr="002E6028">
              <w:rPr>
                <w:spacing w:val="-2"/>
              </w:rPr>
              <w:t xml:space="preserve">. </w:t>
            </w:r>
            <w:r>
              <w:rPr>
                <w:spacing w:val="-2"/>
              </w:rPr>
              <w:t>The same changes affect the schedules for housing assistance recipients. Differences between the schedules for welfare recipients who do and do not receive housing assistance reflect the eff</w:t>
            </w:r>
            <w:r w:rsidR="009E7ED2">
              <w:rPr>
                <w:spacing w:val="-2"/>
              </w:rPr>
              <w:t>ects of that assistance on EMTRs</w:t>
            </w:r>
            <w:r>
              <w:rPr>
                <w:spacing w:val="-2"/>
              </w:rPr>
              <w:t>.</w:t>
            </w:r>
          </w:p>
        </w:tc>
      </w:tr>
      <w:tr w:rsidR="00E17687" w:rsidTr="00D93058">
        <w:tc>
          <w:tcPr>
            <w:tcW w:w="8771" w:type="dxa"/>
            <w:tcBorders>
              <w:top w:val="nil"/>
              <w:left w:val="nil"/>
              <w:bottom w:val="single" w:sz="6" w:space="0" w:color="78A22F"/>
              <w:right w:val="nil"/>
            </w:tcBorders>
            <w:shd w:val="clear" w:color="auto" w:fill="auto"/>
          </w:tcPr>
          <w:p w:rsidR="00E17687" w:rsidRDefault="00E17687" w:rsidP="00D93058">
            <w:pPr>
              <w:pStyle w:val="Figurespace"/>
            </w:pPr>
          </w:p>
        </w:tc>
      </w:tr>
      <w:tr w:rsidR="00E17687" w:rsidRPr="000863A5" w:rsidTr="00D93058">
        <w:tc>
          <w:tcPr>
            <w:tcW w:w="8771" w:type="dxa"/>
            <w:tcBorders>
              <w:top w:val="single" w:sz="6" w:space="0" w:color="78A22F"/>
              <w:left w:val="nil"/>
              <w:bottom w:val="nil"/>
              <w:right w:val="nil"/>
            </w:tcBorders>
          </w:tcPr>
          <w:p w:rsidR="00E17687" w:rsidRPr="00626D32" w:rsidRDefault="00E17687" w:rsidP="00D93058">
            <w:pPr>
              <w:pStyle w:val="BoxSpaceBelow"/>
            </w:pPr>
          </w:p>
        </w:tc>
      </w:tr>
    </w:tbl>
    <w:p w:rsidR="00E01BFB" w:rsidRDefault="00E01BFB" w:rsidP="00E01BFB">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01BFB" w:rsidTr="00443D1E">
        <w:tc>
          <w:tcPr>
            <w:tcW w:w="8771" w:type="dxa"/>
            <w:tcBorders>
              <w:top w:val="single" w:sz="6" w:space="0" w:color="78A22F"/>
              <w:left w:val="nil"/>
              <w:bottom w:val="nil"/>
              <w:right w:val="nil"/>
            </w:tcBorders>
            <w:shd w:val="clear" w:color="auto" w:fill="auto"/>
          </w:tcPr>
          <w:p w:rsidR="00E01BFB" w:rsidRPr="00784A05" w:rsidRDefault="00E01BFB" w:rsidP="002C2883">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Pr>
                <w:b w:val="0"/>
              </w:rPr>
              <w:t>C.</w:t>
            </w:r>
            <w:r>
              <w:rPr>
                <w:b w:val="0"/>
              </w:rPr>
              <w:fldChar w:fldCharType="end"/>
            </w:r>
            <w:r>
              <w:rPr>
                <w:b w:val="0"/>
              </w:rPr>
              <w:fldChar w:fldCharType="begin"/>
            </w:r>
            <w:r>
              <w:rPr>
                <w:b w:val="0"/>
              </w:rPr>
              <w:instrText xml:space="preserve"> SEQ Table \* ARABIC </w:instrText>
            </w:r>
            <w:r>
              <w:rPr>
                <w:b w:val="0"/>
              </w:rPr>
              <w:fldChar w:fldCharType="separate"/>
            </w:r>
            <w:r w:rsidR="00AD11CD">
              <w:rPr>
                <w:b w:val="0"/>
                <w:noProof/>
              </w:rPr>
              <w:t>3</w:t>
            </w:r>
            <w:proofErr w:type="spellEnd"/>
            <w:r>
              <w:rPr>
                <w:b w:val="0"/>
              </w:rPr>
              <w:fldChar w:fldCharType="end"/>
            </w:r>
            <w:r>
              <w:tab/>
              <w:t>Key to changes in the height of the EMTR schedules in figure</w:t>
            </w:r>
            <w:r w:rsidR="002C2883">
              <w:t> </w:t>
            </w:r>
            <w:r>
              <w:t>C.3</w:t>
            </w:r>
          </w:p>
        </w:tc>
      </w:tr>
      <w:tr w:rsidR="00E01BFB" w:rsidTr="000E052B">
        <w:trPr>
          <w:cantSplit/>
          <w:trHeight w:val="3615"/>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45"/>
              <w:gridCol w:w="7942"/>
            </w:tblGrid>
            <w:tr w:rsidR="00E01BFB" w:rsidTr="00443D1E">
              <w:tc>
                <w:tcPr>
                  <w:tcW w:w="321" w:type="pct"/>
                  <w:tcBorders>
                    <w:top w:val="single" w:sz="6" w:space="0" w:color="BFBFBF"/>
                    <w:bottom w:val="single" w:sz="6" w:space="0" w:color="BFBFBF"/>
                  </w:tcBorders>
                  <w:shd w:val="clear" w:color="auto" w:fill="auto"/>
                  <w:tcMar>
                    <w:top w:w="28" w:type="dxa"/>
                  </w:tcMar>
                </w:tcPr>
                <w:p w:rsidR="00E01BFB" w:rsidRDefault="00E01BFB" w:rsidP="00443D1E">
                  <w:pPr>
                    <w:pStyle w:val="TableColumnHeading"/>
                    <w:jc w:val="left"/>
                  </w:pPr>
                  <w:r>
                    <w:t>No.</w:t>
                  </w:r>
                </w:p>
              </w:tc>
              <w:tc>
                <w:tcPr>
                  <w:tcW w:w="4679" w:type="pct"/>
                  <w:tcBorders>
                    <w:top w:val="single" w:sz="6" w:space="0" w:color="BFBFBF"/>
                    <w:bottom w:val="single" w:sz="6" w:space="0" w:color="BFBFBF"/>
                  </w:tcBorders>
                  <w:shd w:val="clear" w:color="auto" w:fill="auto"/>
                  <w:tcMar>
                    <w:top w:w="28" w:type="dxa"/>
                  </w:tcMar>
                </w:tcPr>
                <w:p w:rsidR="00E01BFB" w:rsidRDefault="00E01BFB" w:rsidP="00443D1E">
                  <w:pPr>
                    <w:pStyle w:val="TableColumnHeading"/>
                    <w:ind w:right="28"/>
                    <w:jc w:val="left"/>
                  </w:pPr>
                  <w:r>
                    <w:t>Cause of change in the height of the EMTR schedule</w:t>
                  </w:r>
                </w:p>
              </w:tc>
            </w:tr>
            <w:tr w:rsidR="006632A2" w:rsidTr="00443D1E">
              <w:tc>
                <w:tcPr>
                  <w:tcW w:w="321" w:type="pct"/>
                </w:tcPr>
                <w:p w:rsidR="006632A2" w:rsidRDefault="006632A2" w:rsidP="00443D1E">
                  <w:pPr>
                    <w:pStyle w:val="TableBodyText"/>
                    <w:jc w:val="left"/>
                  </w:pPr>
                  <w:r>
                    <w:t>1</w:t>
                  </w:r>
                </w:p>
              </w:tc>
              <w:tc>
                <w:tcPr>
                  <w:tcW w:w="4679" w:type="pct"/>
                </w:tcPr>
                <w:p w:rsidR="006632A2" w:rsidRDefault="006632A2" w:rsidP="00443D1E">
                  <w:pPr>
                    <w:pStyle w:val="TableBodyText"/>
                    <w:ind w:right="28"/>
                    <w:jc w:val="left"/>
                  </w:pPr>
                  <w:r>
                    <w:t>ISP withdrawal starts at a rate of 40 cents in the dollar</w:t>
                  </w:r>
                </w:p>
              </w:tc>
            </w:tr>
            <w:tr w:rsidR="006632A2" w:rsidTr="00443D1E">
              <w:tc>
                <w:tcPr>
                  <w:tcW w:w="321" w:type="pct"/>
                </w:tcPr>
                <w:p w:rsidR="006632A2" w:rsidRDefault="006632A2" w:rsidP="00443D1E">
                  <w:pPr>
                    <w:pStyle w:val="TableBodyText"/>
                    <w:jc w:val="left"/>
                  </w:pPr>
                  <w:r>
                    <w:t>2</w:t>
                  </w:r>
                </w:p>
              </w:tc>
              <w:tc>
                <w:tcPr>
                  <w:tcW w:w="4679" w:type="pct"/>
                </w:tcPr>
                <w:p w:rsidR="006632A2" w:rsidRDefault="006632A2" w:rsidP="00443D1E">
                  <w:pPr>
                    <w:pStyle w:val="TableBodyText"/>
                    <w:ind w:right="28"/>
                    <w:jc w:val="left"/>
                  </w:pPr>
                  <w:r>
                    <w:t>Low income tax offset reaches its maximum level. Income tax and reductions in the beneficiary tax offset now affect take home pay</w:t>
                  </w:r>
                </w:p>
              </w:tc>
            </w:tr>
            <w:tr w:rsidR="006632A2" w:rsidTr="00443D1E">
              <w:tc>
                <w:tcPr>
                  <w:tcW w:w="321" w:type="pct"/>
                </w:tcPr>
                <w:p w:rsidR="006632A2" w:rsidRDefault="006632A2" w:rsidP="00443D1E">
                  <w:pPr>
                    <w:pStyle w:val="TableBodyText"/>
                    <w:jc w:val="left"/>
                  </w:pPr>
                  <w:r>
                    <w:t>3</w:t>
                  </w:r>
                </w:p>
              </w:tc>
              <w:tc>
                <w:tcPr>
                  <w:tcW w:w="4679" w:type="pct"/>
                </w:tcPr>
                <w:p w:rsidR="006632A2" w:rsidRDefault="006632A2" w:rsidP="00813274">
                  <w:pPr>
                    <w:pStyle w:val="TableBodyText"/>
                    <w:ind w:right="28"/>
                    <w:jc w:val="left"/>
                  </w:pPr>
                  <w:r>
                    <w:t>Beneficiary tax offset reduces to zero</w:t>
                  </w:r>
                </w:p>
              </w:tc>
            </w:tr>
            <w:tr w:rsidR="006632A2" w:rsidTr="00443D1E">
              <w:tc>
                <w:tcPr>
                  <w:tcW w:w="321" w:type="pct"/>
                </w:tcPr>
                <w:p w:rsidR="006632A2" w:rsidRDefault="006632A2" w:rsidP="00443D1E">
                  <w:pPr>
                    <w:pStyle w:val="TableBodyText"/>
                    <w:jc w:val="left"/>
                  </w:pPr>
                  <w:r>
                    <w:t>4</w:t>
                  </w:r>
                </w:p>
              </w:tc>
              <w:tc>
                <w:tcPr>
                  <w:tcW w:w="4679" w:type="pct"/>
                </w:tcPr>
                <w:p w:rsidR="006632A2" w:rsidRDefault="006632A2" w:rsidP="00443D1E">
                  <w:pPr>
                    <w:pStyle w:val="TableBodyText"/>
                    <w:ind w:right="28"/>
                    <w:jc w:val="left"/>
                  </w:pPr>
                  <w:r>
                    <w:t>Marginal tax rate increases to 32.5 cents in the dollar and reduction of the low income tax offset starts at a rate of 1.5 per cent of taxable income</w:t>
                  </w:r>
                </w:p>
              </w:tc>
            </w:tr>
            <w:tr w:rsidR="006632A2" w:rsidTr="00443D1E">
              <w:tc>
                <w:tcPr>
                  <w:tcW w:w="321" w:type="pct"/>
                </w:tcPr>
                <w:p w:rsidR="006632A2" w:rsidRDefault="006632A2" w:rsidP="00443D1E">
                  <w:pPr>
                    <w:pStyle w:val="TableBodyText"/>
                    <w:jc w:val="left"/>
                  </w:pPr>
                  <w:r>
                    <w:t>5</w:t>
                  </w:r>
                </w:p>
              </w:tc>
              <w:tc>
                <w:tcPr>
                  <w:tcW w:w="4679" w:type="pct"/>
                </w:tcPr>
                <w:p w:rsidR="006632A2" w:rsidRDefault="006632A2" w:rsidP="000D31D2">
                  <w:pPr>
                    <w:pStyle w:val="TableBodyText"/>
                    <w:ind w:right="28"/>
                    <w:jc w:val="left"/>
                  </w:pPr>
                  <w:r>
                    <w:t xml:space="preserve">Medicare levy starts at a rate of 10 per cent of taxable income </w:t>
                  </w:r>
                  <w:r w:rsidR="00945375">
                    <w:t xml:space="preserve">(market income less ISP withdrawn) in excess of the </w:t>
                  </w:r>
                  <w:r w:rsidR="000D31D2">
                    <w:t>M</w:t>
                  </w:r>
                  <w:r w:rsidR="00945375">
                    <w:t xml:space="preserve">edicare levy low income threshold </w:t>
                  </w:r>
                  <w:r w:rsidR="00742A37">
                    <w:t xml:space="preserve">for this ISP recipient </w:t>
                  </w:r>
                  <w:r w:rsidR="00945375">
                    <w:t>of $37 523</w:t>
                  </w:r>
                </w:p>
              </w:tc>
            </w:tr>
            <w:tr w:rsidR="006632A2" w:rsidTr="00443D1E">
              <w:tc>
                <w:tcPr>
                  <w:tcW w:w="321" w:type="pct"/>
                </w:tcPr>
                <w:p w:rsidR="006632A2" w:rsidRDefault="006632A2" w:rsidP="00443D1E">
                  <w:pPr>
                    <w:pStyle w:val="TableBodyText"/>
                    <w:jc w:val="left"/>
                  </w:pPr>
                  <w:r>
                    <w:t>6</w:t>
                  </w:r>
                </w:p>
              </w:tc>
              <w:tc>
                <w:tcPr>
                  <w:tcW w:w="4679" w:type="pct"/>
                </w:tcPr>
                <w:p w:rsidR="006632A2" w:rsidRDefault="006632A2" w:rsidP="00443D1E">
                  <w:pPr>
                    <w:pStyle w:val="TableBodyText"/>
                    <w:ind w:right="28"/>
                    <w:jc w:val="left"/>
                  </w:pPr>
                  <w:r>
                    <w:t>ISP withdrawal ends</w:t>
                  </w:r>
                </w:p>
              </w:tc>
            </w:tr>
            <w:tr w:rsidR="006632A2" w:rsidTr="00443D1E">
              <w:tc>
                <w:tcPr>
                  <w:tcW w:w="321" w:type="pct"/>
                </w:tcPr>
                <w:p w:rsidR="006632A2" w:rsidRDefault="006632A2" w:rsidP="00443D1E">
                  <w:pPr>
                    <w:pStyle w:val="TableBodyText"/>
                    <w:jc w:val="left"/>
                  </w:pPr>
                  <w:r>
                    <w:t>7</w:t>
                  </w:r>
                </w:p>
              </w:tc>
              <w:tc>
                <w:tcPr>
                  <w:tcW w:w="4679" w:type="pct"/>
                </w:tcPr>
                <w:p w:rsidR="006632A2" w:rsidRDefault="006632A2" w:rsidP="00443D1E">
                  <w:pPr>
                    <w:pStyle w:val="TableBodyText"/>
                    <w:ind w:right="28"/>
                    <w:jc w:val="left"/>
                  </w:pPr>
                  <w:r>
                    <w:t>Medicare levy drops to 1.5 per cent of taxable income</w:t>
                  </w:r>
                </w:p>
              </w:tc>
            </w:tr>
            <w:tr w:rsidR="006632A2" w:rsidTr="00443D1E">
              <w:tc>
                <w:tcPr>
                  <w:tcW w:w="321" w:type="pct"/>
                </w:tcPr>
                <w:p w:rsidR="006632A2" w:rsidRDefault="006632A2" w:rsidP="00443D1E">
                  <w:pPr>
                    <w:pStyle w:val="TableBodyText"/>
                    <w:jc w:val="left"/>
                  </w:pPr>
                  <w:r>
                    <w:t>8</w:t>
                  </w:r>
                </w:p>
              </w:tc>
              <w:tc>
                <w:tcPr>
                  <w:tcW w:w="4679" w:type="pct"/>
                </w:tcPr>
                <w:p w:rsidR="006632A2" w:rsidRDefault="009D34DB" w:rsidP="009D34DB">
                  <w:pPr>
                    <w:pStyle w:val="TableBodyText"/>
                    <w:ind w:right="28"/>
                    <w:jc w:val="left"/>
                  </w:pPr>
                  <w:r>
                    <w:t>Family T</w:t>
                  </w:r>
                  <w:r w:rsidR="006632A2">
                    <w:t xml:space="preserve">ax </w:t>
                  </w:r>
                  <w:r>
                    <w:t>B</w:t>
                  </w:r>
                  <w:r w:rsidR="006632A2">
                    <w:t>enefit part A withdrawal starts</w:t>
                  </w:r>
                </w:p>
              </w:tc>
            </w:tr>
            <w:tr w:rsidR="006632A2" w:rsidTr="00793510">
              <w:tc>
                <w:tcPr>
                  <w:tcW w:w="321" w:type="pct"/>
                </w:tcPr>
                <w:p w:rsidR="006632A2" w:rsidRDefault="006632A2" w:rsidP="00443D1E">
                  <w:pPr>
                    <w:pStyle w:val="TableBodyText"/>
                    <w:jc w:val="left"/>
                  </w:pPr>
                  <w:r>
                    <w:t>9</w:t>
                  </w:r>
                </w:p>
              </w:tc>
              <w:tc>
                <w:tcPr>
                  <w:tcW w:w="4679" w:type="pct"/>
                </w:tcPr>
                <w:p w:rsidR="006632A2" w:rsidRDefault="000E052B" w:rsidP="009D34DB">
                  <w:pPr>
                    <w:pStyle w:val="TableBodyText"/>
                    <w:ind w:right="28"/>
                    <w:jc w:val="left"/>
                  </w:pPr>
                  <w:r>
                    <w:t xml:space="preserve">Family </w:t>
                  </w:r>
                  <w:r w:rsidR="009D34DB">
                    <w:t>T</w:t>
                  </w:r>
                  <w:r>
                    <w:t xml:space="preserve">ax </w:t>
                  </w:r>
                  <w:r w:rsidR="009D34DB">
                    <w:t>B</w:t>
                  </w:r>
                  <w:r>
                    <w:t>enefit part A withdrawal ends</w:t>
                  </w:r>
                </w:p>
              </w:tc>
            </w:tr>
            <w:tr w:rsidR="006632A2" w:rsidTr="00793510">
              <w:tc>
                <w:tcPr>
                  <w:tcW w:w="321" w:type="pct"/>
                  <w:tcBorders>
                    <w:bottom w:val="single" w:sz="4" w:space="0" w:color="BFBFBF" w:themeColor="background2"/>
                  </w:tcBorders>
                </w:tcPr>
                <w:p w:rsidR="006632A2" w:rsidRDefault="006632A2" w:rsidP="00443D1E">
                  <w:pPr>
                    <w:pStyle w:val="TableBodyText"/>
                    <w:jc w:val="left"/>
                  </w:pPr>
                  <w:r>
                    <w:t>10</w:t>
                  </w:r>
                </w:p>
              </w:tc>
              <w:tc>
                <w:tcPr>
                  <w:tcW w:w="4679" w:type="pct"/>
                  <w:tcBorders>
                    <w:bottom w:val="single" w:sz="4" w:space="0" w:color="BFBFBF" w:themeColor="background2"/>
                  </w:tcBorders>
                </w:tcPr>
                <w:p w:rsidR="006632A2" w:rsidRDefault="000E052B" w:rsidP="00443D1E">
                  <w:pPr>
                    <w:pStyle w:val="TableBodyText"/>
                    <w:ind w:right="28"/>
                    <w:jc w:val="left"/>
                  </w:pPr>
                  <w:r>
                    <w:t>Low income tax offset reduces to zero</w:t>
                  </w:r>
                </w:p>
              </w:tc>
            </w:tr>
          </w:tbl>
          <w:p w:rsidR="00E01BFB" w:rsidRDefault="00E01BFB" w:rsidP="00443D1E">
            <w:pPr>
              <w:pStyle w:val="Box"/>
            </w:pPr>
          </w:p>
        </w:tc>
      </w:tr>
      <w:tr w:rsidR="00E01BFB" w:rsidTr="00443D1E">
        <w:trPr>
          <w:cantSplit/>
        </w:trPr>
        <w:tc>
          <w:tcPr>
            <w:tcW w:w="8771" w:type="dxa"/>
            <w:tcBorders>
              <w:top w:val="nil"/>
              <w:left w:val="nil"/>
              <w:bottom w:val="single" w:sz="6" w:space="0" w:color="78A22F"/>
              <w:right w:val="nil"/>
            </w:tcBorders>
            <w:shd w:val="clear" w:color="auto" w:fill="auto"/>
          </w:tcPr>
          <w:p w:rsidR="00E01BFB" w:rsidRDefault="00E01BFB" w:rsidP="00443D1E">
            <w:pPr>
              <w:pStyle w:val="Box"/>
              <w:spacing w:before="0" w:line="120" w:lineRule="exact"/>
            </w:pPr>
          </w:p>
        </w:tc>
      </w:tr>
      <w:tr w:rsidR="00E01BFB" w:rsidRPr="000863A5" w:rsidTr="00443D1E">
        <w:tc>
          <w:tcPr>
            <w:tcW w:w="8771" w:type="dxa"/>
            <w:tcBorders>
              <w:top w:val="single" w:sz="6" w:space="0" w:color="78A22F"/>
              <w:left w:val="nil"/>
              <w:bottom w:val="nil"/>
              <w:right w:val="nil"/>
            </w:tcBorders>
          </w:tcPr>
          <w:p w:rsidR="00E01BFB" w:rsidRPr="00626D32" w:rsidRDefault="00E01BFB" w:rsidP="00443D1E">
            <w:pPr>
              <w:pStyle w:val="BoxSpaceBelow"/>
            </w:pPr>
          </w:p>
        </w:tc>
      </w:tr>
    </w:tbl>
    <w:p w:rsidR="001568B2" w:rsidRDefault="001568B2" w:rsidP="005400C8"/>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B69FE" w:rsidTr="00D93058">
        <w:tc>
          <w:tcPr>
            <w:tcW w:w="8771" w:type="dxa"/>
            <w:tcBorders>
              <w:top w:val="single" w:sz="6" w:space="0" w:color="78A22F"/>
              <w:left w:val="nil"/>
              <w:bottom w:val="nil"/>
              <w:right w:val="nil"/>
            </w:tcBorders>
            <w:shd w:val="clear" w:color="auto" w:fill="auto"/>
          </w:tcPr>
          <w:p w:rsidR="00EB69FE" w:rsidRPr="00176D3F" w:rsidRDefault="00EB69FE" w:rsidP="00593FB1">
            <w:pPr>
              <w:pStyle w:val="FigureTitle"/>
            </w:pPr>
            <w:r w:rsidRPr="00784A05">
              <w:rPr>
                <w:b w:val="0"/>
              </w:rPr>
              <w:lastRenderedPageBreak/>
              <w:t xml:space="preserve">Figure </w:t>
            </w:r>
            <w:r w:rsidRPr="00784A05">
              <w:rPr>
                <w:b w:val="0"/>
              </w:rPr>
              <w:fldChar w:fldCharType="begin"/>
            </w:r>
            <w:r w:rsidRPr="00784A05">
              <w:rPr>
                <w:b w:val="0"/>
              </w:rPr>
              <w:instrText xml:space="preserve"> COMMENTS  \* MERGEFORMAT </w:instrText>
            </w:r>
            <w:r w:rsidRPr="00784A05">
              <w:rPr>
                <w:b w:val="0"/>
              </w:rPr>
              <w:fldChar w:fldCharType="separate"/>
            </w:r>
            <w:proofErr w:type="spellStart"/>
            <w:r w:rsidR="000F5E74">
              <w:rPr>
                <w:b w:val="0"/>
              </w:rPr>
              <w:t>C.</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AD11CD">
              <w:rPr>
                <w:b w:val="0"/>
                <w:noProof/>
              </w:rPr>
              <w:t>4</w:t>
            </w:r>
            <w:proofErr w:type="spellEnd"/>
            <w:r w:rsidRPr="00784A05">
              <w:rPr>
                <w:b w:val="0"/>
              </w:rPr>
              <w:fldChar w:fldCharType="end"/>
            </w:r>
            <w:r>
              <w:tab/>
              <w:t>Single Parenting Payment recipient with one dependent child</w:t>
            </w:r>
            <w:r w:rsidR="009E7ED2" w:rsidRPr="009E7ED2">
              <w:rPr>
                <w:rStyle w:val="NoteLabel"/>
                <w:b/>
              </w:rPr>
              <w:t>a</w:t>
            </w:r>
          </w:p>
        </w:tc>
      </w:tr>
      <w:tr w:rsidR="00EB69FE" w:rsidTr="00D9305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EB69FE" w:rsidTr="00320A29">
              <w:trPr>
                <w:trHeight w:val="11081"/>
                <w:jc w:val="center"/>
              </w:trPr>
              <w:tc>
                <w:tcPr>
                  <w:tcW w:w="8504" w:type="dxa"/>
                  <w:tcBorders>
                    <w:top w:val="nil"/>
                    <w:bottom w:val="nil"/>
                  </w:tcBorders>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EB69FE" w:rsidTr="00320A29">
                    <w:trPr>
                      <w:trHeight w:val="5255"/>
                      <w:jc w:val="center"/>
                    </w:trPr>
                    <w:tc>
                      <w:tcPr>
                        <w:tcW w:w="8504" w:type="dxa"/>
                        <w:tcBorders>
                          <w:top w:val="nil"/>
                          <w:bottom w:val="nil"/>
                        </w:tcBorders>
                      </w:tcPr>
                      <w:p w:rsidR="00EB69FE" w:rsidRDefault="00320A29" w:rsidP="00D93058">
                        <w:pPr>
                          <w:pStyle w:val="Figure"/>
                          <w:spacing w:before="60" w:after="60"/>
                        </w:pPr>
                        <w:r>
                          <w:rPr>
                            <w:noProof/>
                          </w:rPr>
                          <w:drawing>
                            <wp:inline distT="0" distB="0" distL="0" distR="0" wp14:anchorId="54631B9F" wp14:editId="792792C7">
                              <wp:extent cx="5257800" cy="3200400"/>
                              <wp:effectExtent l="0" t="0" r="0" b="0"/>
                              <wp:docPr id="310" name="Picture 310" descr="This chart displays the budget constraint for a single Parenting Payment recipient with one dependent child, illustrating their market income and disposable income post rent under different housing assistance scenarios, assuming market rent is $10 000 per annum." title="Single Parenting Payment recipient with one dependent ch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57800" cy="3200400"/>
                                      </a:xfrm>
                                      <a:prstGeom prst="rect">
                                        <a:avLst/>
                                      </a:prstGeom>
                                      <a:noFill/>
                                      <a:ln>
                                        <a:noFill/>
                                      </a:ln>
                                    </pic:spPr>
                                  </pic:pic>
                                </a:graphicData>
                              </a:graphic>
                            </wp:inline>
                          </w:drawing>
                        </w:r>
                      </w:p>
                    </w:tc>
                  </w:tr>
                  <w:tr w:rsidR="00EB69FE" w:rsidTr="00596397">
                    <w:trPr>
                      <w:jc w:val="center"/>
                    </w:trPr>
                    <w:tc>
                      <w:tcPr>
                        <w:tcW w:w="8504" w:type="dxa"/>
                        <w:tcBorders>
                          <w:top w:val="nil"/>
                          <w:bottom w:val="nil"/>
                        </w:tcBorders>
                      </w:tcPr>
                      <w:p w:rsidR="00EB69FE" w:rsidRDefault="00EB69FE" w:rsidP="00D93058">
                        <w:pPr>
                          <w:pStyle w:val="Figure"/>
                          <w:spacing w:before="60" w:after="60"/>
                          <w:rPr>
                            <w:noProof/>
                          </w:rPr>
                        </w:pPr>
                      </w:p>
                    </w:tc>
                  </w:tr>
                </w:tbl>
                <w:p w:rsidR="00EB69FE" w:rsidRDefault="00320A29" w:rsidP="00D93058">
                  <w:pPr>
                    <w:pStyle w:val="Figure"/>
                    <w:spacing w:before="60" w:after="60"/>
                  </w:pPr>
                  <w:r>
                    <w:rPr>
                      <w:noProof/>
                    </w:rPr>
                    <w:drawing>
                      <wp:inline distT="0" distB="0" distL="0" distR="0" wp14:anchorId="7E36CB55" wp14:editId="1723836D">
                        <wp:extent cx="5257800" cy="3305175"/>
                        <wp:effectExtent l="0" t="0" r="0" b="0"/>
                        <wp:docPr id="311" name="Picture 311" descr="This chart displays the effective marginal tax rates for a single Parenting Payment recipient with one dependent child, at different levels of market income and under different housing assistance scenarios." title="Single Parenting Payment recipient with one dependent ch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57800" cy="3305175"/>
                                </a:xfrm>
                                <a:prstGeom prst="rect">
                                  <a:avLst/>
                                </a:prstGeom>
                                <a:noFill/>
                                <a:ln>
                                  <a:noFill/>
                                </a:ln>
                              </pic:spPr>
                            </pic:pic>
                          </a:graphicData>
                        </a:graphic>
                      </wp:inline>
                    </w:drawing>
                  </w:r>
                </w:p>
              </w:tc>
            </w:tr>
          </w:tbl>
          <w:p w:rsidR="00EB69FE" w:rsidRDefault="00EB69FE" w:rsidP="00D93058">
            <w:pPr>
              <w:pStyle w:val="Figure"/>
            </w:pPr>
          </w:p>
        </w:tc>
      </w:tr>
      <w:tr w:rsidR="000E052B" w:rsidRPr="002E6028" w:rsidTr="00443D1E">
        <w:tc>
          <w:tcPr>
            <w:tcW w:w="8771" w:type="dxa"/>
            <w:tcBorders>
              <w:top w:val="nil"/>
              <w:left w:val="nil"/>
              <w:bottom w:val="nil"/>
              <w:right w:val="nil"/>
            </w:tcBorders>
            <w:shd w:val="clear" w:color="auto" w:fill="auto"/>
          </w:tcPr>
          <w:p w:rsidR="000E052B" w:rsidRPr="002E6028" w:rsidRDefault="000E052B" w:rsidP="00593FB1">
            <w:pPr>
              <w:pStyle w:val="Note"/>
              <w:rPr>
                <w:spacing w:val="-2"/>
              </w:rPr>
            </w:pPr>
            <w:proofErr w:type="spellStart"/>
            <w:r w:rsidRPr="002E6028">
              <w:rPr>
                <w:rStyle w:val="NoteLabel"/>
                <w:spacing w:val="-2"/>
              </w:rPr>
              <w:t>a</w:t>
            </w:r>
            <w:proofErr w:type="spellEnd"/>
            <w:r w:rsidRPr="002E6028">
              <w:rPr>
                <w:spacing w:val="-2"/>
              </w:rPr>
              <w:t xml:space="preserve"> </w:t>
            </w:r>
            <w:proofErr w:type="spellStart"/>
            <w:r w:rsidR="008436D7" w:rsidRPr="002E6028">
              <w:rPr>
                <w:spacing w:val="-2"/>
              </w:rPr>
              <w:t>A</w:t>
            </w:r>
            <w:proofErr w:type="spellEnd"/>
            <w:r w:rsidR="008436D7" w:rsidRPr="002E6028">
              <w:rPr>
                <w:spacing w:val="-2"/>
              </w:rPr>
              <w:t xml:space="preserve"> key to changes in the height of the EMTR schedule</w:t>
            </w:r>
            <w:r w:rsidR="008436D7">
              <w:rPr>
                <w:spacing w:val="-2"/>
              </w:rPr>
              <w:t> </w:t>
            </w:r>
            <w:r w:rsidR="008436D7" w:rsidRPr="002E6028">
              <w:rPr>
                <w:spacing w:val="-2"/>
              </w:rPr>
              <w:t>— indicated by number</w:t>
            </w:r>
            <w:r w:rsidR="008436D7">
              <w:rPr>
                <w:spacing w:val="-2"/>
              </w:rPr>
              <w:t>s</w:t>
            </w:r>
            <w:r w:rsidR="008436D7" w:rsidRPr="002E6028">
              <w:rPr>
                <w:spacing w:val="-2"/>
              </w:rPr>
              <w:t xml:space="preserve"> in the figure</w:t>
            </w:r>
            <w:r w:rsidR="008436D7">
              <w:rPr>
                <w:spacing w:val="-2"/>
              </w:rPr>
              <w:t xml:space="preserve"> above — </w:t>
            </w:r>
            <w:r w:rsidR="008436D7" w:rsidRPr="002E6028">
              <w:rPr>
                <w:spacing w:val="-2"/>
              </w:rPr>
              <w:t>for a welfare recipient who does not receive housing assistance</w:t>
            </w:r>
            <w:r w:rsidR="008436D7">
              <w:rPr>
                <w:spacing w:val="-2"/>
              </w:rPr>
              <w:t xml:space="preserve"> is presented in </w:t>
            </w:r>
            <w:r w:rsidR="00567380">
              <w:rPr>
                <w:spacing w:val="-2"/>
              </w:rPr>
              <w:t>table C.4</w:t>
            </w:r>
            <w:r w:rsidRPr="002E6028">
              <w:rPr>
                <w:spacing w:val="-2"/>
              </w:rPr>
              <w:t xml:space="preserve">. </w:t>
            </w:r>
            <w:r>
              <w:rPr>
                <w:spacing w:val="-2"/>
              </w:rPr>
              <w:t>The same changes affect the schedules for housing assistance recipients. Differences between the schedules for welfare recipients who do and do not receive housing assistance reflect the effects of that assistance on EMTR</w:t>
            </w:r>
            <w:r w:rsidR="009E7ED2">
              <w:rPr>
                <w:spacing w:val="-2"/>
              </w:rPr>
              <w:t>s</w:t>
            </w:r>
            <w:r>
              <w:rPr>
                <w:spacing w:val="-2"/>
              </w:rPr>
              <w:t>.</w:t>
            </w:r>
          </w:p>
        </w:tc>
      </w:tr>
      <w:tr w:rsidR="00EB69FE" w:rsidTr="00D93058">
        <w:tc>
          <w:tcPr>
            <w:tcW w:w="8771" w:type="dxa"/>
            <w:tcBorders>
              <w:top w:val="nil"/>
              <w:left w:val="nil"/>
              <w:bottom w:val="single" w:sz="6" w:space="0" w:color="78A22F"/>
              <w:right w:val="nil"/>
            </w:tcBorders>
            <w:shd w:val="clear" w:color="auto" w:fill="auto"/>
          </w:tcPr>
          <w:p w:rsidR="00EB69FE" w:rsidRDefault="00EB69FE" w:rsidP="00D93058">
            <w:pPr>
              <w:pStyle w:val="Figurespace"/>
            </w:pPr>
          </w:p>
        </w:tc>
      </w:tr>
      <w:tr w:rsidR="00EB69FE" w:rsidRPr="000863A5" w:rsidTr="00D93058">
        <w:tc>
          <w:tcPr>
            <w:tcW w:w="8771" w:type="dxa"/>
            <w:tcBorders>
              <w:top w:val="single" w:sz="6" w:space="0" w:color="78A22F"/>
              <w:left w:val="nil"/>
              <w:bottom w:val="nil"/>
              <w:right w:val="nil"/>
            </w:tcBorders>
          </w:tcPr>
          <w:p w:rsidR="00EB69FE" w:rsidRPr="00626D32" w:rsidRDefault="00EB69FE" w:rsidP="00D93058">
            <w:pPr>
              <w:pStyle w:val="BoxSpaceBelow"/>
            </w:pPr>
          </w:p>
        </w:tc>
      </w:tr>
    </w:tbl>
    <w:p w:rsidR="007F0D32" w:rsidRDefault="007F0D32" w:rsidP="007F0D3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F0D32" w:rsidTr="00443D1E">
        <w:tc>
          <w:tcPr>
            <w:tcW w:w="8771" w:type="dxa"/>
            <w:tcBorders>
              <w:top w:val="single" w:sz="6" w:space="0" w:color="78A22F"/>
              <w:left w:val="nil"/>
              <w:bottom w:val="nil"/>
              <w:right w:val="nil"/>
            </w:tcBorders>
            <w:shd w:val="clear" w:color="auto" w:fill="auto"/>
          </w:tcPr>
          <w:p w:rsidR="007F0D32" w:rsidRPr="00784A05" w:rsidRDefault="007F0D32" w:rsidP="00593FB1">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Pr>
                <w:b w:val="0"/>
              </w:rPr>
              <w:t>C.</w:t>
            </w:r>
            <w:r>
              <w:rPr>
                <w:b w:val="0"/>
              </w:rPr>
              <w:fldChar w:fldCharType="end"/>
            </w:r>
            <w:r>
              <w:rPr>
                <w:b w:val="0"/>
              </w:rPr>
              <w:fldChar w:fldCharType="begin"/>
            </w:r>
            <w:r>
              <w:rPr>
                <w:b w:val="0"/>
              </w:rPr>
              <w:instrText xml:space="preserve"> SEQ Table \* ARABIC </w:instrText>
            </w:r>
            <w:r>
              <w:rPr>
                <w:b w:val="0"/>
              </w:rPr>
              <w:fldChar w:fldCharType="separate"/>
            </w:r>
            <w:r w:rsidR="00AD11CD">
              <w:rPr>
                <w:b w:val="0"/>
                <w:noProof/>
              </w:rPr>
              <w:t>4</w:t>
            </w:r>
            <w:proofErr w:type="spellEnd"/>
            <w:r>
              <w:rPr>
                <w:b w:val="0"/>
              </w:rPr>
              <w:fldChar w:fldCharType="end"/>
            </w:r>
            <w:r>
              <w:tab/>
              <w:t>Key to changes in the height o</w:t>
            </w:r>
            <w:r w:rsidR="00593FB1">
              <w:t>f the EMTR schedules in figure </w:t>
            </w:r>
            <w:r>
              <w:t>C.4</w:t>
            </w:r>
          </w:p>
        </w:tc>
      </w:tr>
      <w:tr w:rsidR="007F0D32" w:rsidTr="00567380">
        <w:trPr>
          <w:cantSplit/>
          <w:trHeight w:val="2906"/>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45"/>
              <w:gridCol w:w="7942"/>
            </w:tblGrid>
            <w:tr w:rsidR="007F0D32" w:rsidTr="00443D1E">
              <w:tc>
                <w:tcPr>
                  <w:tcW w:w="321" w:type="pct"/>
                  <w:tcBorders>
                    <w:top w:val="single" w:sz="6" w:space="0" w:color="BFBFBF"/>
                    <w:bottom w:val="single" w:sz="6" w:space="0" w:color="BFBFBF"/>
                  </w:tcBorders>
                  <w:shd w:val="clear" w:color="auto" w:fill="auto"/>
                  <w:tcMar>
                    <w:top w:w="28" w:type="dxa"/>
                  </w:tcMar>
                </w:tcPr>
                <w:p w:rsidR="007F0D32" w:rsidRDefault="007F0D32" w:rsidP="00443D1E">
                  <w:pPr>
                    <w:pStyle w:val="TableColumnHeading"/>
                    <w:jc w:val="left"/>
                  </w:pPr>
                  <w:r>
                    <w:t>No.</w:t>
                  </w:r>
                </w:p>
              </w:tc>
              <w:tc>
                <w:tcPr>
                  <w:tcW w:w="4679" w:type="pct"/>
                  <w:tcBorders>
                    <w:top w:val="single" w:sz="6" w:space="0" w:color="BFBFBF"/>
                    <w:bottom w:val="single" w:sz="6" w:space="0" w:color="BFBFBF"/>
                  </w:tcBorders>
                  <w:shd w:val="clear" w:color="auto" w:fill="auto"/>
                  <w:tcMar>
                    <w:top w:w="28" w:type="dxa"/>
                  </w:tcMar>
                </w:tcPr>
                <w:p w:rsidR="007F0D32" w:rsidRDefault="007F0D32" w:rsidP="00443D1E">
                  <w:pPr>
                    <w:pStyle w:val="TableColumnHeading"/>
                    <w:ind w:right="28"/>
                    <w:jc w:val="left"/>
                  </w:pPr>
                  <w:r>
                    <w:t>Cause of change in the height of the EMTR schedule</w:t>
                  </w:r>
                </w:p>
              </w:tc>
            </w:tr>
            <w:tr w:rsidR="00C96BA5" w:rsidTr="00443D1E">
              <w:tc>
                <w:tcPr>
                  <w:tcW w:w="321" w:type="pct"/>
                </w:tcPr>
                <w:p w:rsidR="00C96BA5" w:rsidRDefault="00C96BA5" w:rsidP="00443D1E">
                  <w:pPr>
                    <w:pStyle w:val="TableBodyText"/>
                    <w:jc w:val="left"/>
                  </w:pPr>
                  <w:r>
                    <w:t>1</w:t>
                  </w:r>
                </w:p>
              </w:tc>
              <w:tc>
                <w:tcPr>
                  <w:tcW w:w="4679" w:type="pct"/>
                </w:tcPr>
                <w:p w:rsidR="00C96BA5" w:rsidRDefault="0026520D" w:rsidP="00443D1E">
                  <w:pPr>
                    <w:pStyle w:val="TableBodyText"/>
                    <w:ind w:right="28"/>
                    <w:jc w:val="left"/>
                  </w:pPr>
                  <w:r>
                    <w:t>ISP withdrawal starts at a rate of 40 cents in the dollar</w:t>
                  </w:r>
                </w:p>
              </w:tc>
            </w:tr>
            <w:tr w:rsidR="007F0D32" w:rsidTr="00443D1E">
              <w:tc>
                <w:tcPr>
                  <w:tcW w:w="321" w:type="pct"/>
                </w:tcPr>
                <w:p w:rsidR="007F0D32" w:rsidRDefault="00C96BA5" w:rsidP="00443D1E">
                  <w:pPr>
                    <w:pStyle w:val="TableBodyText"/>
                    <w:jc w:val="left"/>
                  </w:pPr>
                  <w:r>
                    <w:t>2</w:t>
                  </w:r>
                </w:p>
              </w:tc>
              <w:tc>
                <w:tcPr>
                  <w:tcW w:w="4679" w:type="pct"/>
                </w:tcPr>
                <w:p w:rsidR="007F0D32" w:rsidRDefault="0026520D" w:rsidP="00443D1E">
                  <w:pPr>
                    <w:pStyle w:val="TableBodyText"/>
                    <w:ind w:right="28"/>
                    <w:jc w:val="left"/>
                  </w:pPr>
                  <w:r>
                    <w:t>SAPTO withdrawal starts at a rate of 12.5 cents in the dollar. LITO reaches a maximum. Offsets no longer increase in step with income tax. Tax now paid at marginal tax rate of 19 cents in the dollar starts to affects take home pay</w:t>
                  </w:r>
                </w:p>
              </w:tc>
            </w:tr>
            <w:tr w:rsidR="00C96BA5" w:rsidTr="00443D1E">
              <w:tc>
                <w:tcPr>
                  <w:tcW w:w="321" w:type="pct"/>
                </w:tcPr>
                <w:p w:rsidR="00C96BA5" w:rsidRDefault="00C96BA5" w:rsidP="00443D1E">
                  <w:pPr>
                    <w:pStyle w:val="TableBodyText"/>
                    <w:jc w:val="left"/>
                  </w:pPr>
                  <w:r>
                    <w:t>3</w:t>
                  </w:r>
                </w:p>
              </w:tc>
              <w:tc>
                <w:tcPr>
                  <w:tcW w:w="4679" w:type="pct"/>
                </w:tcPr>
                <w:p w:rsidR="00C96BA5" w:rsidRDefault="00C96BA5" w:rsidP="00443D1E">
                  <w:pPr>
                    <w:pStyle w:val="TableBodyText"/>
                    <w:ind w:right="28"/>
                    <w:jc w:val="left"/>
                  </w:pPr>
                  <w:r>
                    <w:t>Marginal tax rate increases to 32.5 cents in the dollar and reduction of the low income tax offset starts at a rate of 1.5 per cent of taxable income</w:t>
                  </w:r>
                </w:p>
              </w:tc>
            </w:tr>
            <w:tr w:rsidR="007F0D32" w:rsidTr="00443D1E">
              <w:tc>
                <w:tcPr>
                  <w:tcW w:w="321" w:type="pct"/>
                </w:tcPr>
                <w:p w:rsidR="007F0D32" w:rsidRDefault="00C96BA5" w:rsidP="00443D1E">
                  <w:pPr>
                    <w:pStyle w:val="TableBodyText"/>
                    <w:jc w:val="left"/>
                  </w:pPr>
                  <w:r>
                    <w:t>4</w:t>
                  </w:r>
                </w:p>
              </w:tc>
              <w:tc>
                <w:tcPr>
                  <w:tcW w:w="4679" w:type="pct"/>
                </w:tcPr>
                <w:p w:rsidR="007F0D32" w:rsidRDefault="00742A37" w:rsidP="00742A37">
                  <w:pPr>
                    <w:pStyle w:val="TableBodyText"/>
                    <w:ind w:right="28"/>
                    <w:jc w:val="left"/>
                  </w:pPr>
                  <w:r>
                    <w:t>Medicare levy starts at a rate of 10 per cent of taxable income (market income less I</w:t>
                  </w:r>
                  <w:r w:rsidR="000D31D2">
                    <w:t>SP withdrawn) in excess of the M</w:t>
                  </w:r>
                  <w:r>
                    <w:t>edicare levy low income threshold for this ISP recipient of $49 156</w:t>
                  </w:r>
                </w:p>
              </w:tc>
            </w:tr>
            <w:tr w:rsidR="00256931" w:rsidTr="00443D1E">
              <w:tc>
                <w:tcPr>
                  <w:tcW w:w="321" w:type="pct"/>
                </w:tcPr>
                <w:p w:rsidR="00256931" w:rsidRDefault="00256931" w:rsidP="00443D1E">
                  <w:pPr>
                    <w:pStyle w:val="TableBodyText"/>
                    <w:jc w:val="left"/>
                  </w:pPr>
                  <w:r>
                    <w:t>5</w:t>
                  </w:r>
                </w:p>
              </w:tc>
              <w:tc>
                <w:tcPr>
                  <w:tcW w:w="4679" w:type="pct"/>
                </w:tcPr>
                <w:p w:rsidR="00256931" w:rsidRDefault="00256931" w:rsidP="009D387B">
                  <w:pPr>
                    <w:pStyle w:val="TableBodyText"/>
                    <w:ind w:right="28"/>
                    <w:jc w:val="left"/>
                  </w:pPr>
                  <w:r>
                    <w:t>SAPTO reduces to zero</w:t>
                  </w:r>
                </w:p>
              </w:tc>
            </w:tr>
            <w:tr w:rsidR="00256931" w:rsidTr="00443D1E">
              <w:tc>
                <w:tcPr>
                  <w:tcW w:w="321" w:type="pct"/>
                </w:tcPr>
                <w:p w:rsidR="00256931" w:rsidRDefault="00256931" w:rsidP="00443D1E">
                  <w:pPr>
                    <w:pStyle w:val="TableBodyText"/>
                    <w:jc w:val="left"/>
                  </w:pPr>
                  <w:r>
                    <w:t>6</w:t>
                  </w:r>
                </w:p>
              </w:tc>
              <w:tc>
                <w:tcPr>
                  <w:tcW w:w="4679" w:type="pct"/>
                </w:tcPr>
                <w:p w:rsidR="00256931" w:rsidRDefault="00256931" w:rsidP="00350C28">
                  <w:pPr>
                    <w:pStyle w:val="TableBodyText"/>
                    <w:ind w:right="28"/>
                    <w:jc w:val="left"/>
                  </w:pPr>
                  <w:r>
                    <w:t>ISP withdrawal ends, Family Tax Benefit part A withdrawal starts</w:t>
                  </w:r>
                  <w:r w:rsidR="00350C28">
                    <w:t>. [In this analysis, the ISP does not include the Clean Energy Supplement. If that were taken into account, ISP withdrawal would end, and FTB part A withdrawal would start, at a slightly higher level of income]</w:t>
                  </w:r>
                </w:p>
              </w:tc>
            </w:tr>
            <w:tr w:rsidR="00256931" w:rsidTr="00443D1E">
              <w:tc>
                <w:tcPr>
                  <w:tcW w:w="321" w:type="pct"/>
                </w:tcPr>
                <w:p w:rsidR="00256931" w:rsidRDefault="00256931" w:rsidP="00443D1E">
                  <w:pPr>
                    <w:pStyle w:val="TableBodyText"/>
                    <w:jc w:val="left"/>
                  </w:pPr>
                  <w:r>
                    <w:t>7</w:t>
                  </w:r>
                </w:p>
              </w:tc>
              <w:tc>
                <w:tcPr>
                  <w:tcW w:w="4679" w:type="pct"/>
                </w:tcPr>
                <w:p w:rsidR="00256931" w:rsidRDefault="00256931" w:rsidP="00443D1E">
                  <w:pPr>
                    <w:pStyle w:val="TableBodyText"/>
                    <w:ind w:right="28"/>
                    <w:jc w:val="left"/>
                  </w:pPr>
                  <w:r>
                    <w:t>Medicare levy drops to 1.5 per cent of taxable income</w:t>
                  </w:r>
                </w:p>
              </w:tc>
            </w:tr>
            <w:tr w:rsidR="00256931" w:rsidTr="00793510">
              <w:tc>
                <w:tcPr>
                  <w:tcW w:w="321" w:type="pct"/>
                </w:tcPr>
                <w:p w:rsidR="00256931" w:rsidRDefault="00256931" w:rsidP="00443D1E">
                  <w:pPr>
                    <w:pStyle w:val="TableBodyText"/>
                    <w:jc w:val="left"/>
                  </w:pPr>
                  <w:r>
                    <w:t>8</w:t>
                  </w:r>
                </w:p>
              </w:tc>
              <w:tc>
                <w:tcPr>
                  <w:tcW w:w="4679" w:type="pct"/>
                </w:tcPr>
                <w:p w:rsidR="00256931" w:rsidRDefault="00256931" w:rsidP="009D34DB">
                  <w:pPr>
                    <w:pStyle w:val="TableBodyText"/>
                    <w:ind w:right="28"/>
                    <w:jc w:val="left"/>
                  </w:pPr>
                  <w:r>
                    <w:t>Family Tax Benefit part A withdrawal ends, then the low income tax offset reduces to zero</w:t>
                  </w:r>
                </w:p>
              </w:tc>
            </w:tr>
          </w:tbl>
          <w:p w:rsidR="007F0D32" w:rsidRDefault="007F0D32" w:rsidP="00443D1E">
            <w:pPr>
              <w:pStyle w:val="Box"/>
            </w:pPr>
          </w:p>
        </w:tc>
      </w:tr>
      <w:tr w:rsidR="007F0D32" w:rsidTr="00443D1E">
        <w:trPr>
          <w:cantSplit/>
        </w:trPr>
        <w:tc>
          <w:tcPr>
            <w:tcW w:w="8771" w:type="dxa"/>
            <w:tcBorders>
              <w:top w:val="nil"/>
              <w:left w:val="nil"/>
              <w:bottom w:val="single" w:sz="6" w:space="0" w:color="78A22F"/>
              <w:right w:val="nil"/>
            </w:tcBorders>
            <w:shd w:val="clear" w:color="auto" w:fill="auto"/>
          </w:tcPr>
          <w:p w:rsidR="007F0D32" w:rsidRDefault="007F0D32" w:rsidP="00443D1E">
            <w:pPr>
              <w:pStyle w:val="Box"/>
              <w:spacing w:before="0" w:line="120" w:lineRule="exact"/>
            </w:pPr>
          </w:p>
        </w:tc>
      </w:tr>
      <w:tr w:rsidR="007F0D32" w:rsidRPr="000863A5" w:rsidTr="00443D1E">
        <w:tc>
          <w:tcPr>
            <w:tcW w:w="8771" w:type="dxa"/>
            <w:tcBorders>
              <w:top w:val="single" w:sz="6" w:space="0" w:color="78A22F"/>
              <w:left w:val="nil"/>
              <w:bottom w:val="nil"/>
              <w:right w:val="nil"/>
            </w:tcBorders>
          </w:tcPr>
          <w:p w:rsidR="007F0D32" w:rsidRPr="00626D32" w:rsidRDefault="007F0D32" w:rsidP="00443D1E">
            <w:pPr>
              <w:pStyle w:val="BoxSpaceBelow"/>
            </w:pPr>
          </w:p>
        </w:tc>
      </w:tr>
    </w:tbl>
    <w:p w:rsidR="000E052B" w:rsidRDefault="000E052B" w:rsidP="000E052B">
      <w:pPr>
        <w:pStyle w:val="BodyText"/>
      </w:pPr>
      <w:r>
        <w:br w:type="page"/>
      </w:r>
    </w:p>
    <w:p w:rsidR="00324F5E" w:rsidRDefault="00324F5E" w:rsidP="00324F5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24F5E" w:rsidTr="0045105E">
        <w:tc>
          <w:tcPr>
            <w:tcW w:w="8771" w:type="dxa"/>
            <w:tcBorders>
              <w:top w:val="single" w:sz="6" w:space="0" w:color="78A22F"/>
              <w:left w:val="nil"/>
              <w:bottom w:val="nil"/>
              <w:right w:val="nil"/>
            </w:tcBorders>
            <w:shd w:val="clear" w:color="auto" w:fill="auto"/>
          </w:tcPr>
          <w:p w:rsidR="00324F5E" w:rsidRPr="00176D3F" w:rsidRDefault="00324F5E" w:rsidP="00593FB1">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separate"/>
            </w:r>
            <w:proofErr w:type="spellStart"/>
            <w:r w:rsidR="000F5E74">
              <w:rPr>
                <w:b w:val="0"/>
              </w:rPr>
              <w:t>C.</w: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AD11CD">
              <w:rPr>
                <w:b w:val="0"/>
                <w:noProof/>
              </w:rPr>
              <w:t>5</w:t>
            </w:r>
            <w:proofErr w:type="spellEnd"/>
            <w:r w:rsidRPr="00784A05">
              <w:rPr>
                <w:b w:val="0"/>
              </w:rPr>
              <w:fldChar w:fldCharType="end"/>
            </w:r>
            <w:r>
              <w:tab/>
              <w:t>Single Parenting Payment recipient with two dependent children</w:t>
            </w:r>
            <w:r w:rsidR="008436D7" w:rsidRPr="008436D7">
              <w:rPr>
                <w:rStyle w:val="NoteLabel"/>
                <w:b/>
              </w:rPr>
              <w:t>a</w:t>
            </w:r>
          </w:p>
        </w:tc>
      </w:tr>
      <w:tr w:rsidR="00324F5E" w:rsidTr="0045105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24F5E" w:rsidTr="001C4C20">
              <w:trPr>
                <w:trHeight w:val="10660"/>
                <w:jc w:val="center"/>
              </w:trPr>
              <w:tc>
                <w:tcPr>
                  <w:tcW w:w="8504" w:type="dxa"/>
                  <w:tcBorders>
                    <w:top w:val="nil"/>
                    <w:bottom w:val="nil"/>
                  </w:tcBorders>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24F5E" w:rsidTr="001C4C20">
                    <w:trPr>
                      <w:trHeight w:val="5159"/>
                      <w:jc w:val="center"/>
                    </w:trPr>
                    <w:tc>
                      <w:tcPr>
                        <w:tcW w:w="8504" w:type="dxa"/>
                        <w:tcBorders>
                          <w:top w:val="nil"/>
                          <w:bottom w:val="nil"/>
                        </w:tcBorders>
                      </w:tcPr>
                      <w:p w:rsidR="00324F5E" w:rsidRDefault="00992E1C" w:rsidP="0045105E">
                        <w:pPr>
                          <w:pStyle w:val="Figure"/>
                          <w:spacing w:before="60" w:after="60"/>
                        </w:pPr>
                        <w:r>
                          <w:rPr>
                            <w:noProof/>
                          </w:rPr>
                          <w:drawing>
                            <wp:inline distT="0" distB="0" distL="0" distR="0" wp14:anchorId="4875B6B4" wp14:editId="66EEE384">
                              <wp:extent cx="5263515" cy="3164840"/>
                              <wp:effectExtent l="0" t="0" r="0" b="0"/>
                              <wp:docPr id="313" name="Picture 313" descr="This chart displays the budget constraint for a single Parenting Payment recipient with two dependent children, illustrating their market income and disposable income post rent under different housing assistance scenarios, assuming market rent is $10 000 per annum." title="Single Parenting Payment recipient with two dependent child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3515" cy="3164840"/>
                                      </a:xfrm>
                                      <a:prstGeom prst="rect">
                                        <a:avLst/>
                                      </a:prstGeom>
                                      <a:noFill/>
                                      <a:ln>
                                        <a:noFill/>
                                      </a:ln>
                                    </pic:spPr>
                                  </pic:pic>
                                </a:graphicData>
                              </a:graphic>
                            </wp:inline>
                          </w:drawing>
                        </w:r>
                      </w:p>
                    </w:tc>
                  </w:tr>
                  <w:tr w:rsidR="00324F5E" w:rsidTr="00567380">
                    <w:trPr>
                      <w:jc w:val="center"/>
                    </w:trPr>
                    <w:tc>
                      <w:tcPr>
                        <w:tcW w:w="8504" w:type="dxa"/>
                        <w:tcBorders>
                          <w:top w:val="nil"/>
                          <w:bottom w:val="nil"/>
                        </w:tcBorders>
                      </w:tcPr>
                      <w:p w:rsidR="00324F5E" w:rsidRDefault="00324F5E" w:rsidP="0045105E">
                        <w:pPr>
                          <w:pStyle w:val="Figure"/>
                          <w:spacing w:before="60" w:after="60"/>
                          <w:rPr>
                            <w:noProof/>
                          </w:rPr>
                        </w:pPr>
                      </w:p>
                    </w:tc>
                  </w:tr>
                </w:tbl>
                <w:p w:rsidR="00324F5E" w:rsidRDefault="00992E1C" w:rsidP="008639E7">
                  <w:pPr>
                    <w:pStyle w:val="Figure"/>
                    <w:spacing w:before="60" w:after="60"/>
                  </w:pPr>
                  <w:r>
                    <w:rPr>
                      <w:noProof/>
                    </w:rPr>
                    <w:drawing>
                      <wp:inline distT="0" distB="0" distL="0" distR="0" wp14:anchorId="759B2DC5" wp14:editId="5D37D135">
                        <wp:extent cx="5257800" cy="3248025"/>
                        <wp:effectExtent l="0" t="0" r="0" b="0"/>
                        <wp:docPr id="314" name="Picture 314" descr="This chart displays the effective marginal tax rates for a single Parenting Payment recipient with two dependent children, at different levels of market income and under different housing assistance scenarios." title="Single Parenting Payment recipient with two dependent child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57800" cy="3248025"/>
                                </a:xfrm>
                                <a:prstGeom prst="rect">
                                  <a:avLst/>
                                </a:prstGeom>
                                <a:noFill/>
                                <a:ln>
                                  <a:noFill/>
                                </a:ln>
                              </pic:spPr>
                            </pic:pic>
                          </a:graphicData>
                        </a:graphic>
                      </wp:inline>
                    </w:drawing>
                  </w:r>
                </w:p>
              </w:tc>
            </w:tr>
          </w:tbl>
          <w:p w:rsidR="00324F5E" w:rsidRDefault="00324F5E" w:rsidP="0045105E">
            <w:pPr>
              <w:pStyle w:val="Figure"/>
            </w:pPr>
          </w:p>
        </w:tc>
      </w:tr>
      <w:tr w:rsidR="00567380" w:rsidRPr="002E6028" w:rsidTr="003430A6">
        <w:tc>
          <w:tcPr>
            <w:tcW w:w="8771" w:type="dxa"/>
            <w:tcBorders>
              <w:top w:val="nil"/>
              <w:left w:val="nil"/>
              <w:bottom w:val="nil"/>
              <w:right w:val="nil"/>
            </w:tcBorders>
            <w:shd w:val="clear" w:color="auto" w:fill="auto"/>
          </w:tcPr>
          <w:p w:rsidR="00567380" w:rsidRPr="002E6028" w:rsidRDefault="00567380" w:rsidP="00593FB1">
            <w:pPr>
              <w:pStyle w:val="Note"/>
              <w:rPr>
                <w:spacing w:val="-2"/>
              </w:rPr>
            </w:pPr>
            <w:proofErr w:type="spellStart"/>
            <w:r w:rsidRPr="002E6028">
              <w:rPr>
                <w:rStyle w:val="NoteLabel"/>
                <w:spacing w:val="-2"/>
              </w:rPr>
              <w:t>a</w:t>
            </w:r>
            <w:proofErr w:type="spellEnd"/>
            <w:r w:rsidRPr="002E6028">
              <w:rPr>
                <w:spacing w:val="-2"/>
              </w:rPr>
              <w:t xml:space="preserve"> </w:t>
            </w:r>
            <w:proofErr w:type="spellStart"/>
            <w:r w:rsidR="008436D7" w:rsidRPr="002E6028">
              <w:rPr>
                <w:spacing w:val="-2"/>
              </w:rPr>
              <w:t>A</w:t>
            </w:r>
            <w:proofErr w:type="spellEnd"/>
            <w:r w:rsidR="008436D7" w:rsidRPr="002E6028">
              <w:rPr>
                <w:spacing w:val="-2"/>
              </w:rPr>
              <w:t xml:space="preserve"> key to changes in the height of the EMTR schedule</w:t>
            </w:r>
            <w:r w:rsidR="008436D7">
              <w:rPr>
                <w:spacing w:val="-2"/>
              </w:rPr>
              <w:t> </w:t>
            </w:r>
            <w:r w:rsidR="008436D7" w:rsidRPr="002E6028">
              <w:rPr>
                <w:spacing w:val="-2"/>
              </w:rPr>
              <w:t>— indicated by number</w:t>
            </w:r>
            <w:r w:rsidR="008436D7">
              <w:rPr>
                <w:spacing w:val="-2"/>
              </w:rPr>
              <w:t>s</w:t>
            </w:r>
            <w:r w:rsidR="008436D7" w:rsidRPr="002E6028">
              <w:rPr>
                <w:spacing w:val="-2"/>
              </w:rPr>
              <w:t xml:space="preserve"> in the figure</w:t>
            </w:r>
            <w:r w:rsidR="008436D7">
              <w:rPr>
                <w:spacing w:val="-2"/>
              </w:rPr>
              <w:t xml:space="preserve"> above — </w:t>
            </w:r>
            <w:r w:rsidR="008436D7" w:rsidRPr="002E6028">
              <w:rPr>
                <w:spacing w:val="-2"/>
              </w:rPr>
              <w:t>for a welfare recipient who does not receive housing assistance</w:t>
            </w:r>
            <w:r w:rsidR="008436D7">
              <w:rPr>
                <w:spacing w:val="-2"/>
              </w:rPr>
              <w:t xml:space="preserve"> is presented in </w:t>
            </w:r>
            <w:r>
              <w:rPr>
                <w:spacing w:val="-2"/>
              </w:rPr>
              <w:t>table C.5</w:t>
            </w:r>
            <w:r w:rsidRPr="002E6028">
              <w:rPr>
                <w:spacing w:val="-2"/>
              </w:rPr>
              <w:t xml:space="preserve">. </w:t>
            </w:r>
            <w:r>
              <w:rPr>
                <w:spacing w:val="-2"/>
              </w:rPr>
              <w:t>The same changes affect the schedules for housing assistance recipients. Differences between the schedules for welfare recipients who do and do not receive housing assistance reflect the effects of that assistance on EMTRs.</w:t>
            </w:r>
          </w:p>
        </w:tc>
      </w:tr>
      <w:tr w:rsidR="00324F5E" w:rsidTr="001568B2">
        <w:trPr>
          <w:trHeight w:val="80"/>
        </w:trPr>
        <w:tc>
          <w:tcPr>
            <w:tcW w:w="8771" w:type="dxa"/>
            <w:tcBorders>
              <w:top w:val="nil"/>
              <w:left w:val="nil"/>
              <w:bottom w:val="single" w:sz="6" w:space="0" w:color="78A22F"/>
              <w:right w:val="nil"/>
            </w:tcBorders>
            <w:shd w:val="clear" w:color="auto" w:fill="auto"/>
          </w:tcPr>
          <w:p w:rsidR="00324F5E" w:rsidRDefault="00324F5E" w:rsidP="0045105E">
            <w:pPr>
              <w:pStyle w:val="Figurespace"/>
            </w:pPr>
          </w:p>
        </w:tc>
      </w:tr>
      <w:tr w:rsidR="00324F5E" w:rsidRPr="000863A5" w:rsidTr="0045105E">
        <w:tc>
          <w:tcPr>
            <w:tcW w:w="8771" w:type="dxa"/>
            <w:tcBorders>
              <w:top w:val="single" w:sz="6" w:space="0" w:color="78A22F"/>
              <w:left w:val="nil"/>
              <w:bottom w:val="nil"/>
              <w:right w:val="nil"/>
            </w:tcBorders>
          </w:tcPr>
          <w:p w:rsidR="00324F5E" w:rsidRPr="00626D32" w:rsidRDefault="00324F5E" w:rsidP="0045105E">
            <w:pPr>
              <w:pStyle w:val="BoxSpaceBelow"/>
            </w:pPr>
          </w:p>
        </w:tc>
      </w:tr>
    </w:tbl>
    <w:p w:rsidR="00567380" w:rsidRDefault="00567380" w:rsidP="0056738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67380" w:rsidTr="003430A6">
        <w:tc>
          <w:tcPr>
            <w:tcW w:w="8771" w:type="dxa"/>
            <w:tcBorders>
              <w:top w:val="single" w:sz="6" w:space="0" w:color="78A22F"/>
              <w:left w:val="nil"/>
              <w:bottom w:val="nil"/>
              <w:right w:val="nil"/>
            </w:tcBorders>
            <w:shd w:val="clear" w:color="auto" w:fill="auto"/>
          </w:tcPr>
          <w:p w:rsidR="00567380" w:rsidRPr="00784A05" w:rsidRDefault="00567380" w:rsidP="00593FB1">
            <w:pPr>
              <w:pStyle w:val="TableTitle"/>
            </w:pPr>
            <w:r>
              <w:rPr>
                <w:b w:val="0"/>
              </w:rPr>
              <w:t xml:space="preserve">Table </w:t>
            </w:r>
            <w:r>
              <w:rPr>
                <w:b w:val="0"/>
              </w:rPr>
              <w:fldChar w:fldCharType="begin"/>
            </w:r>
            <w:r>
              <w:rPr>
                <w:b w:val="0"/>
              </w:rPr>
              <w:instrText xml:space="preserve"> COMMENTS  \* MERGEFORMAT </w:instrText>
            </w:r>
            <w:r>
              <w:rPr>
                <w:b w:val="0"/>
              </w:rPr>
              <w:fldChar w:fldCharType="separate"/>
            </w:r>
            <w:proofErr w:type="spellStart"/>
            <w:r>
              <w:rPr>
                <w:b w:val="0"/>
              </w:rPr>
              <w:t>C.</w:t>
            </w:r>
            <w:r>
              <w:rPr>
                <w:b w:val="0"/>
              </w:rPr>
              <w:fldChar w:fldCharType="end"/>
            </w:r>
            <w:r>
              <w:rPr>
                <w:b w:val="0"/>
              </w:rPr>
              <w:fldChar w:fldCharType="begin"/>
            </w:r>
            <w:r>
              <w:rPr>
                <w:b w:val="0"/>
              </w:rPr>
              <w:instrText xml:space="preserve"> SEQ Table \* ARABIC </w:instrText>
            </w:r>
            <w:r>
              <w:rPr>
                <w:b w:val="0"/>
              </w:rPr>
              <w:fldChar w:fldCharType="separate"/>
            </w:r>
            <w:r w:rsidR="00AD11CD">
              <w:rPr>
                <w:b w:val="0"/>
                <w:noProof/>
              </w:rPr>
              <w:t>5</w:t>
            </w:r>
            <w:proofErr w:type="spellEnd"/>
            <w:r>
              <w:rPr>
                <w:b w:val="0"/>
              </w:rPr>
              <w:fldChar w:fldCharType="end"/>
            </w:r>
            <w:r>
              <w:tab/>
              <w:t>Key to changes in the height o</w:t>
            </w:r>
            <w:r w:rsidR="00593FB1">
              <w:t>f the EMTR schedules in figure </w:t>
            </w:r>
            <w:r>
              <w:t>C.5</w:t>
            </w:r>
          </w:p>
        </w:tc>
      </w:tr>
      <w:tr w:rsidR="00567380" w:rsidTr="008213EE">
        <w:trPr>
          <w:cantSplit/>
          <w:trHeight w:val="2684"/>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545"/>
              <w:gridCol w:w="7942"/>
            </w:tblGrid>
            <w:tr w:rsidR="00567380" w:rsidTr="003430A6">
              <w:tc>
                <w:tcPr>
                  <w:tcW w:w="321" w:type="pct"/>
                  <w:tcBorders>
                    <w:top w:val="single" w:sz="6" w:space="0" w:color="BFBFBF"/>
                    <w:bottom w:val="single" w:sz="6" w:space="0" w:color="BFBFBF"/>
                  </w:tcBorders>
                  <w:shd w:val="clear" w:color="auto" w:fill="auto"/>
                  <w:tcMar>
                    <w:top w:w="28" w:type="dxa"/>
                  </w:tcMar>
                </w:tcPr>
                <w:p w:rsidR="00567380" w:rsidRDefault="00567380" w:rsidP="003430A6">
                  <w:pPr>
                    <w:pStyle w:val="TableColumnHeading"/>
                    <w:jc w:val="left"/>
                  </w:pPr>
                  <w:r>
                    <w:t>No.</w:t>
                  </w:r>
                </w:p>
              </w:tc>
              <w:tc>
                <w:tcPr>
                  <w:tcW w:w="4679" w:type="pct"/>
                  <w:tcBorders>
                    <w:top w:val="single" w:sz="6" w:space="0" w:color="BFBFBF"/>
                    <w:bottom w:val="single" w:sz="6" w:space="0" w:color="BFBFBF"/>
                  </w:tcBorders>
                  <w:shd w:val="clear" w:color="auto" w:fill="auto"/>
                  <w:tcMar>
                    <w:top w:w="28" w:type="dxa"/>
                  </w:tcMar>
                </w:tcPr>
                <w:p w:rsidR="00567380" w:rsidRDefault="00567380" w:rsidP="003430A6">
                  <w:pPr>
                    <w:pStyle w:val="TableColumnHeading"/>
                    <w:ind w:right="28"/>
                    <w:jc w:val="left"/>
                  </w:pPr>
                  <w:r>
                    <w:t>Cause of change in the height of the EMTR schedule</w:t>
                  </w:r>
                </w:p>
              </w:tc>
            </w:tr>
            <w:tr w:rsidR="00567380" w:rsidTr="003430A6">
              <w:tc>
                <w:tcPr>
                  <w:tcW w:w="321" w:type="pct"/>
                </w:tcPr>
                <w:p w:rsidR="00567380" w:rsidRDefault="00567380" w:rsidP="003430A6">
                  <w:pPr>
                    <w:pStyle w:val="TableBodyText"/>
                    <w:jc w:val="left"/>
                  </w:pPr>
                  <w:r>
                    <w:t>1</w:t>
                  </w:r>
                </w:p>
              </w:tc>
              <w:tc>
                <w:tcPr>
                  <w:tcW w:w="4679" w:type="pct"/>
                </w:tcPr>
                <w:p w:rsidR="00567380" w:rsidRDefault="00EC06F3" w:rsidP="003430A6">
                  <w:pPr>
                    <w:pStyle w:val="TableBodyText"/>
                    <w:ind w:right="28"/>
                    <w:jc w:val="left"/>
                  </w:pPr>
                  <w:r>
                    <w:t>ISP withdrawal starts at a rate of 40 cents in the dollar</w:t>
                  </w:r>
                </w:p>
              </w:tc>
            </w:tr>
            <w:tr w:rsidR="00567380" w:rsidTr="003430A6">
              <w:tc>
                <w:tcPr>
                  <w:tcW w:w="321" w:type="pct"/>
                </w:tcPr>
                <w:p w:rsidR="00567380" w:rsidRDefault="00567380" w:rsidP="003430A6">
                  <w:pPr>
                    <w:pStyle w:val="TableBodyText"/>
                    <w:jc w:val="left"/>
                  </w:pPr>
                  <w:r>
                    <w:t>2</w:t>
                  </w:r>
                </w:p>
              </w:tc>
              <w:tc>
                <w:tcPr>
                  <w:tcW w:w="4679" w:type="pct"/>
                </w:tcPr>
                <w:p w:rsidR="00567380" w:rsidRDefault="00D93F8B" w:rsidP="0026520D">
                  <w:pPr>
                    <w:pStyle w:val="TableBodyText"/>
                    <w:ind w:right="28"/>
                    <w:jc w:val="left"/>
                  </w:pPr>
                  <w:r>
                    <w:t xml:space="preserve">SAPTO withdrawal starts at a rate of 12.5 cents in the dollar. LITO reaches a maximum. </w:t>
                  </w:r>
                  <w:r w:rsidR="0026520D">
                    <w:t>Offsets no longer increase in step with income tax. Tax now paid at m</w:t>
                  </w:r>
                  <w:r>
                    <w:t>arginal tax</w:t>
                  </w:r>
                  <w:r w:rsidR="0026520D">
                    <w:t xml:space="preserve"> rate of 19 cents in the dollar starts to affects take home pay</w:t>
                  </w:r>
                </w:p>
              </w:tc>
            </w:tr>
            <w:tr w:rsidR="00567380" w:rsidTr="003430A6">
              <w:tc>
                <w:tcPr>
                  <w:tcW w:w="321" w:type="pct"/>
                </w:tcPr>
                <w:p w:rsidR="00567380" w:rsidRDefault="00567380" w:rsidP="003430A6">
                  <w:pPr>
                    <w:pStyle w:val="TableBodyText"/>
                    <w:jc w:val="left"/>
                  </w:pPr>
                  <w:r>
                    <w:t>3</w:t>
                  </w:r>
                </w:p>
              </w:tc>
              <w:tc>
                <w:tcPr>
                  <w:tcW w:w="4679" w:type="pct"/>
                </w:tcPr>
                <w:p w:rsidR="00567380" w:rsidRDefault="00567380" w:rsidP="003430A6">
                  <w:pPr>
                    <w:pStyle w:val="TableBodyText"/>
                    <w:ind w:right="28"/>
                    <w:jc w:val="left"/>
                  </w:pPr>
                  <w:r>
                    <w:t>Marginal tax rate increases to 32.5 cents in the dollar and reduction of the low income tax offset starts at a rate of 1.5 per cent of taxable income</w:t>
                  </w:r>
                </w:p>
              </w:tc>
            </w:tr>
            <w:tr w:rsidR="00EC06B2" w:rsidTr="003430A6">
              <w:tc>
                <w:tcPr>
                  <w:tcW w:w="321" w:type="pct"/>
                </w:tcPr>
                <w:p w:rsidR="00EC06B2" w:rsidRDefault="00EC06B2" w:rsidP="003430A6">
                  <w:pPr>
                    <w:pStyle w:val="TableBodyText"/>
                    <w:jc w:val="left"/>
                  </w:pPr>
                  <w:r>
                    <w:t>4</w:t>
                  </w:r>
                </w:p>
              </w:tc>
              <w:tc>
                <w:tcPr>
                  <w:tcW w:w="4679" w:type="pct"/>
                </w:tcPr>
                <w:p w:rsidR="00EC06B2" w:rsidRDefault="00EC06B2" w:rsidP="003430A6">
                  <w:pPr>
                    <w:pStyle w:val="TableBodyText"/>
                    <w:ind w:right="28"/>
                    <w:jc w:val="left"/>
                  </w:pPr>
                  <w:r>
                    <w:t>SAPTO reduces to zero</w:t>
                  </w:r>
                </w:p>
              </w:tc>
            </w:tr>
            <w:tr w:rsidR="00EC06B2" w:rsidTr="003430A6">
              <w:tc>
                <w:tcPr>
                  <w:tcW w:w="321" w:type="pct"/>
                </w:tcPr>
                <w:p w:rsidR="00EC06B2" w:rsidRDefault="00EC06B2" w:rsidP="003430A6">
                  <w:pPr>
                    <w:pStyle w:val="TableBodyText"/>
                    <w:jc w:val="left"/>
                  </w:pPr>
                  <w:r>
                    <w:t>5</w:t>
                  </w:r>
                </w:p>
              </w:tc>
              <w:tc>
                <w:tcPr>
                  <w:tcW w:w="4679" w:type="pct"/>
                </w:tcPr>
                <w:p w:rsidR="00EC06B2" w:rsidRDefault="00EC06B2" w:rsidP="0046324B">
                  <w:pPr>
                    <w:pStyle w:val="TableBodyText"/>
                    <w:ind w:right="28"/>
                    <w:jc w:val="left"/>
                  </w:pPr>
                  <w:r>
                    <w:t xml:space="preserve">ISP withdrawal ends, Family Tax Benefit part A withdrawal starts. </w:t>
                  </w:r>
                  <w:r w:rsidR="00350C28">
                    <w:t>[In this analysis, the ISP does not include the Clean Energy Supplement. If that were taken into account, ISP withdrawal would end, and FTB part A withdrawal would start, at a slightly higher level of income]</w:t>
                  </w:r>
                </w:p>
              </w:tc>
            </w:tr>
            <w:tr w:rsidR="00567380" w:rsidTr="003430A6">
              <w:tc>
                <w:tcPr>
                  <w:tcW w:w="321" w:type="pct"/>
                </w:tcPr>
                <w:p w:rsidR="00567380" w:rsidRDefault="0046324B" w:rsidP="003430A6">
                  <w:pPr>
                    <w:pStyle w:val="TableBodyText"/>
                    <w:jc w:val="left"/>
                  </w:pPr>
                  <w:r>
                    <w:t>6</w:t>
                  </w:r>
                </w:p>
              </w:tc>
              <w:tc>
                <w:tcPr>
                  <w:tcW w:w="4679" w:type="pct"/>
                </w:tcPr>
                <w:p w:rsidR="00567380" w:rsidRDefault="00742A37" w:rsidP="00742A37">
                  <w:pPr>
                    <w:pStyle w:val="TableBodyText"/>
                    <w:ind w:right="28"/>
                    <w:jc w:val="left"/>
                  </w:pPr>
                  <w:r>
                    <w:t>Medicare levy starts at a rate of 10 per cent of taxable income (market income less I</w:t>
                  </w:r>
                  <w:r w:rsidR="000D31D2">
                    <w:t>SP withdrawn) in excess of the M</w:t>
                  </w:r>
                  <w:r>
                    <w:t>edicare levy low income threshold for this ISP recipient of $52 312</w:t>
                  </w:r>
                </w:p>
              </w:tc>
            </w:tr>
            <w:tr w:rsidR="00567380" w:rsidTr="003430A6">
              <w:tc>
                <w:tcPr>
                  <w:tcW w:w="321" w:type="pct"/>
                </w:tcPr>
                <w:p w:rsidR="00567380" w:rsidRDefault="0046324B" w:rsidP="003430A6">
                  <w:pPr>
                    <w:pStyle w:val="TableBodyText"/>
                    <w:jc w:val="left"/>
                  </w:pPr>
                  <w:r>
                    <w:t>7</w:t>
                  </w:r>
                </w:p>
              </w:tc>
              <w:tc>
                <w:tcPr>
                  <w:tcW w:w="4679" w:type="pct"/>
                </w:tcPr>
                <w:p w:rsidR="00567380" w:rsidRDefault="00567380" w:rsidP="003430A6">
                  <w:pPr>
                    <w:pStyle w:val="TableBodyText"/>
                    <w:ind w:right="28"/>
                    <w:jc w:val="left"/>
                  </w:pPr>
                  <w:r>
                    <w:t>Medicare levy drops to 1.5 per cent of taxable income</w:t>
                  </w:r>
                </w:p>
              </w:tc>
            </w:tr>
            <w:tr w:rsidR="00567380" w:rsidTr="00793510">
              <w:tc>
                <w:tcPr>
                  <w:tcW w:w="321" w:type="pct"/>
                </w:tcPr>
                <w:p w:rsidR="00567380" w:rsidRDefault="0046324B" w:rsidP="003430A6">
                  <w:pPr>
                    <w:pStyle w:val="TableBodyText"/>
                    <w:jc w:val="left"/>
                  </w:pPr>
                  <w:r>
                    <w:t>8</w:t>
                  </w:r>
                </w:p>
              </w:tc>
              <w:tc>
                <w:tcPr>
                  <w:tcW w:w="4679" w:type="pct"/>
                </w:tcPr>
                <w:p w:rsidR="00567380" w:rsidRDefault="0046324B" w:rsidP="009D34DB">
                  <w:pPr>
                    <w:pStyle w:val="TableBodyText"/>
                    <w:ind w:right="28"/>
                    <w:jc w:val="left"/>
                  </w:pPr>
                  <w:r>
                    <w:t>Low income tax offset reduces to zero</w:t>
                  </w:r>
                </w:p>
              </w:tc>
            </w:tr>
          </w:tbl>
          <w:p w:rsidR="00567380" w:rsidRDefault="00567380" w:rsidP="003430A6">
            <w:pPr>
              <w:pStyle w:val="Box"/>
            </w:pPr>
          </w:p>
        </w:tc>
      </w:tr>
      <w:tr w:rsidR="00567380" w:rsidTr="003430A6">
        <w:trPr>
          <w:cantSplit/>
        </w:trPr>
        <w:tc>
          <w:tcPr>
            <w:tcW w:w="8771" w:type="dxa"/>
            <w:tcBorders>
              <w:top w:val="nil"/>
              <w:left w:val="nil"/>
              <w:bottom w:val="single" w:sz="6" w:space="0" w:color="78A22F"/>
              <w:right w:val="nil"/>
            </w:tcBorders>
            <w:shd w:val="clear" w:color="auto" w:fill="auto"/>
          </w:tcPr>
          <w:p w:rsidR="00567380" w:rsidRDefault="00567380" w:rsidP="003430A6">
            <w:pPr>
              <w:pStyle w:val="Box"/>
              <w:spacing w:before="0" w:line="120" w:lineRule="exact"/>
            </w:pPr>
          </w:p>
        </w:tc>
      </w:tr>
      <w:tr w:rsidR="00567380" w:rsidRPr="000863A5" w:rsidTr="003430A6">
        <w:tc>
          <w:tcPr>
            <w:tcW w:w="8771" w:type="dxa"/>
            <w:tcBorders>
              <w:top w:val="single" w:sz="6" w:space="0" w:color="78A22F"/>
              <w:left w:val="nil"/>
              <w:bottom w:val="nil"/>
              <w:right w:val="nil"/>
            </w:tcBorders>
          </w:tcPr>
          <w:p w:rsidR="00567380" w:rsidRPr="00626D32" w:rsidRDefault="00567380" w:rsidP="003430A6">
            <w:pPr>
              <w:pStyle w:val="BoxSpaceBelow"/>
            </w:pPr>
          </w:p>
        </w:tc>
      </w:tr>
    </w:tbl>
    <w:p w:rsidR="00E67DA8" w:rsidRPr="00567380" w:rsidRDefault="00E67DA8" w:rsidP="00846FEF">
      <w:pPr>
        <w:rPr>
          <w:szCs w:val="20"/>
        </w:rPr>
      </w:pPr>
    </w:p>
    <w:sectPr w:rsidR="00E67DA8" w:rsidRPr="00567380" w:rsidSect="005A7E64">
      <w:headerReference w:type="even" r:id="rId19"/>
      <w:headerReference w:type="default" r:id="rId20"/>
      <w:footerReference w:type="even" r:id="rId21"/>
      <w:footerReference w:type="default" r:id="rId22"/>
      <w:pgSz w:w="11907" w:h="16840" w:code="9"/>
      <w:pgMar w:top="1985" w:right="1304" w:bottom="1247" w:left="1814" w:header="1701" w:footer="397" w:gutter="0"/>
      <w:pgNumType w:start="83" w:chapStyle="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431" w:rsidRDefault="00486431">
      <w:r>
        <w:separator/>
      </w:r>
    </w:p>
  </w:endnote>
  <w:endnote w:type="continuationSeparator" w:id="0">
    <w:p w:rsidR="00486431" w:rsidRDefault="00486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241C3">
            <w:rPr>
              <w:rStyle w:val="PageNumber"/>
              <w:caps w:val="0"/>
              <w:noProof/>
            </w:rPr>
            <w:t>94</w:t>
          </w:r>
          <w:r w:rsidRPr="00A24443">
            <w:rPr>
              <w:rStyle w:val="PageNumber"/>
              <w:caps w:val="0"/>
            </w:rPr>
            <w:fldChar w:fldCharType="end"/>
          </w:r>
        </w:p>
      </w:tc>
      <w:tc>
        <w:tcPr>
          <w:tcW w:w="7767" w:type="dxa"/>
        </w:tcPr>
        <w:p w:rsidR="00772909" w:rsidRPr="0013739A" w:rsidRDefault="00AD11CD" w:rsidP="0013739A">
          <w:pPr>
            <w:pStyle w:val="Footer"/>
            <w:rPr>
              <w:rFonts w:cs="Arial"/>
            </w:rPr>
          </w:pPr>
          <w:r>
            <w:rPr>
              <w:rFonts w:cs="Arial"/>
            </w:rPr>
            <w:t>Housing assistance and employment</w:t>
          </w:r>
          <w:bookmarkStart w:id="4" w:name="DraftReportEven"/>
          <w:bookmarkEnd w:id="4"/>
          <w:r w:rsidR="00846FEF">
            <w:rPr>
              <w:rFonts w:cs="Arial"/>
            </w:rPr>
            <w:t xml:space="preserve"> in australia</w:t>
          </w:r>
        </w:p>
      </w:tc>
      <w:tc>
        <w:tcPr>
          <w:tcW w:w="510" w:type="dxa"/>
        </w:tcPr>
        <w:p w:rsidR="00772909" w:rsidRDefault="00772909" w:rsidP="0019293B">
          <w:pPr>
            <w:pStyle w:val="Footer"/>
          </w:pPr>
        </w:p>
      </w:tc>
    </w:tr>
  </w:tbl>
  <w:p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rsidTr="005F48ED">
      <w:trPr>
        <w:trHeight w:hRule="exact" w:val="567"/>
      </w:trPr>
      <w:tc>
        <w:tcPr>
          <w:tcW w:w="510" w:type="dxa"/>
        </w:tcPr>
        <w:p w:rsidR="00772909" w:rsidRDefault="00772909">
          <w:pPr>
            <w:pStyle w:val="Footer"/>
            <w:ind w:right="360" w:firstLine="360"/>
          </w:pPr>
        </w:p>
      </w:tc>
      <w:tc>
        <w:tcPr>
          <w:tcW w:w="7767" w:type="dxa"/>
        </w:tcPr>
        <w:p w:rsidR="00772909" w:rsidRPr="00BA5B14" w:rsidRDefault="00AD11CD" w:rsidP="0013739A">
          <w:pPr>
            <w:pStyle w:val="Footer"/>
            <w:jc w:val="right"/>
            <w:rPr>
              <w:rFonts w:cs="Arial"/>
            </w:rPr>
          </w:pPr>
          <w:r>
            <w:rPr>
              <w:rFonts w:cs="Arial"/>
            </w:rPr>
            <w:t xml:space="preserve">Budget constraints and </w:t>
          </w:r>
          <w:proofErr w:type="spellStart"/>
          <w:r>
            <w:rPr>
              <w:rFonts w:cs="Arial"/>
            </w:rPr>
            <w:t>EMTRs</w:t>
          </w:r>
          <w:bookmarkStart w:id="5" w:name="DraftReportOdd"/>
          <w:bookmarkEnd w:id="5"/>
          <w:proofErr w:type="spellEnd"/>
        </w:p>
      </w:tc>
      <w:tc>
        <w:tcPr>
          <w:tcW w:w="510" w:type="dxa"/>
        </w:tcPr>
        <w:p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241C3">
            <w:rPr>
              <w:rStyle w:val="PageNumber"/>
              <w:caps w:val="0"/>
              <w:noProof/>
            </w:rPr>
            <w:t>83</w:t>
          </w:r>
          <w:r w:rsidRPr="00A24443">
            <w:rPr>
              <w:rStyle w:val="PageNumber"/>
              <w:caps w:val="0"/>
            </w:rPr>
            <w:fldChar w:fldCharType="end"/>
          </w:r>
        </w:p>
      </w:tc>
    </w:tr>
  </w:tbl>
  <w:p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431" w:rsidRDefault="00486431">
      <w:r>
        <w:separator/>
      </w:r>
    </w:p>
  </w:footnote>
  <w:footnote w:type="continuationSeparator" w:id="0">
    <w:p w:rsidR="00486431" w:rsidRDefault="00486431">
      <w:r>
        <w:continuationSeparator/>
      </w:r>
    </w:p>
  </w:footnote>
  <w:footnote w:id="1">
    <w:p w:rsidR="00BF117B" w:rsidRDefault="00BF117B" w:rsidP="00BF117B">
      <w:pPr>
        <w:pStyle w:val="FootnoteText"/>
      </w:pPr>
      <w:r>
        <w:rPr>
          <w:rStyle w:val="FootnoteReference"/>
        </w:rPr>
        <w:footnoteRef/>
      </w:r>
      <w:r>
        <w:tab/>
        <w:t xml:space="preserve">Smaller payments received by many income support recipients, for example, the Pharmaceutical Allowance and Clean Energy Supplement are not included in </w:t>
      </w:r>
      <w:r w:rsidR="00384678">
        <w:t xml:space="preserve">ISPs </w:t>
      </w:r>
      <w:r w:rsidR="000D31D2">
        <w:t>used</w:t>
      </w:r>
      <w:r w:rsidR="00384678">
        <w:t xml:space="preserve"> in this </w:t>
      </w:r>
      <w:r>
        <w:t>analysis.</w:t>
      </w:r>
      <w:r w:rsidR="00384678">
        <w:t xml:space="preserve"> The Clean Energy Supplement is included in Family Tax Benefit part A payments.</w:t>
      </w:r>
    </w:p>
  </w:footnote>
  <w:footnote w:id="2">
    <w:p w:rsidR="00414329" w:rsidRDefault="00414329">
      <w:pPr>
        <w:pStyle w:val="FootnoteText"/>
      </w:pPr>
      <w:r>
        <w:rPr>
          <w:rStyle w:val="FootnoteReference"/>
        </w:rPr>
        <w:footnoteRef/>
      </w:r>
      <w:r>
        <w:tab/>
        <w:t>These assumptions reflect the fact that the receipt of Parenting Payment is dependent on the age of a recipient’s youngest child, and the fact that the level of FTB part B depends on whether a child is younger or older than 5 years.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tc>
        <w:tcPr>
          <w:tcW w:w="2155" w:type="dxa"/>
          <w:tcBorders>
            <w:top w:val="single" w:sz="24" w:space="0" w:color="auto"/>
          </w:tcBorders>
        </w:tcPr>
        <w:p w:rsidR="00772909" w:rsidRDefault="00772909" w:rsidP="0019293B">
          <w:pPr>
            <w:pStyle w:val="HeaderEven"/>
          </w:pPr>
        </w:p>
      </w:tc>
      <w:tc>
        <w:tcPr>
          <w:tcW w:w="6634" w:type="dxa"/>
          <w:tcBorders>
            <w:top w:val="single" w:sz="6" w:space="0" w:color="auto"/>
          </w:tcBorders>
        </w:tcPr>
        <w:p w:rsidR="00772909" w:rsidRDefault="00772909" w:rsidP="0019293B">
          <w:pPr>
            <w:pStyle w:val="HeaderEven"/>
          </w:pPr>
        </w:p>
      </w:tc>
    </w:tr>
  </w:tbl>
  <w:p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tc>
        <w:tcPr>
          <w:tcW w:w="6634" w:type="dxa"/>
          <w:tcBorders>
            <w:top w:val="single" w:sz="6" w:space="0" w:color="auto"/>
          </w:tcBorders>
        </w:tcPr>
        <w:p w:rsidR="00772909" w:rsidRDefault="00772909" w:rsidP="00E669E2">
          <w:pPr>
            <w:pStyle w:val="HeaderOdd"/>
          </w:pPr>
        </w:p>
      </w:tc>
      <w:tc>
        <w:tcPr>
          <w:tcW w:w="2155" w:type="dxa"/>
          <w:tcBorders>
            <w:top w:val="single" w:sz="24" w:space="0" w:color="auto"/>
          </w:tcBorders>
        </w:tcPr>
        <w:p w:rsidR="00772909" w:rsidRDefault="00772909" w:rsidP="00E669E2">
          <w:pPr>
            <w:pStyle w:val="HeaderOdd"/>
          </w:pPr>
        </w:p>
      </w:tc>
    </w:tr>
  </w:tbl>
  <w:p w:rsidR="001568B2" w:rsidRDefault="001568B2" w:rsidP="001568B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8F1CDE"/>
    <w:multiLevelType w:val="hybridMultilevel"/>
    <w:tmpl w:val="2DA0DF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3"/>
  </w:num>
  <w:num w:numId="3">
    <w:abstractNumId w:val="15"/>
  </w:num>
  <w:num w:numId="4">
    <w:abstractNumId w:val="4"/>
  </w:num>
  <w:num w:numId="5">
    <w:abstractNumId w:val="20"/>
  </w:num>
  <w:num w:numId="6">
    <w:abstractNumId w:val="17"/>
  </w:num>
  <w:num w:numId="7">
    <w:abstractNumId w:val="8"/>
  </w:num>
  <w:num w:numId="8">
    <w:abstractNumId w:val="16"/>
  </w:num>
  <w:num w:numId="9">
    <w:abstractNumId w:val="7"/>
  </w:num>
  <w:num w:numId="10">
    <w:abstractNumId w:val="6"/>
  </w:num>
  <w:num w:numId="11">
    <w:abstractNumId w:val="10"/>
  </w:num>
  <w:num w:numId="12">
    <w:abstractNumId w:val="11"/>
  </w:num>
  <w:num w:numId="13">
    <w:abstractNumId w:val="5"/>
  </w:num>
  <w:num w:numId="14">
    <w:abstractNumId w:val="18"/>
  </w:num>
  <w:num w:numId="15">
    <w:abstractNumId w:val="21"/>
  </w:num>
  <w:num w:numId="16">
    <w:abstractNumId w:val="14"/>
  </w:num>
  <w:num w:numId="17">
    <w:abstractNumId w:val="22"/>
  </w:num>
  <w:num w:numId="18">
    <w:abstractNumId w:val="0"/>
  </w:num>
  <w:num w:numId="19">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9"/>
  </w:num>
  <w:num w:numId="21">
    <w:abstractNumId w:val="9"/>
  </w:num>
  <w:num w:numId="22">
    <w:abstractNumId w:val="12"/>
  </w:num>
  <w:num w:numId="23">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ppendixNumber" w:val="C"/>
    <w:docVar w:name="FindingOptions" w:val="1"/>
    <w:docVar w:name="RecOptions" w:val="111"/>
    <w:docVar w:name="ShortChapterTitle" w:val="Budget constraints and EMTRs"/>
    <w:docVar w:name="ShortReportTitle" w:val="Housing assistance and employment"/>
  </w:docVars>
  <w:rsids>
    <w:rsidRoot w:val="00513294"/>
    <w:rsid w:val="000227D5"/>
    <w:rsid w:val="00022E4E"/>
    <w:rsid w:val="000245AA"/>
    <w:rsid w:val="0003664B"/>
    <w:rsid w:val="0004111F"/>
    <w:rsid w:val="000541B9"/>
    <w:rsid w:val="00055077"/>
    <w:rsid w:val="000565B3"/>
    <w:rsid w:val="00061898"/>
    <w:rsid w:val="00064C7E"/>
    <w:rsid w:val="0007150B"/>
    <w:rsid w:val="000768B6"/>
    <w:rsid w:val="00083E31"/>
    <w:rsid w:val="00086DE0"/>
    <w:rsid w:val="000938F5"/>
    <w:rsid w:val="00095663"/>
    <w:rsid w:val="00096E55"/>
    <w:rsid w:val="0009783E"/>
    <w:rsid w:val="000B1022"/>
    <w:rsid w:val="000B601B"/>
    <w:rsid w:val="000C207E"/>
    <w:rsid w:val="000D31D2"/>
    <w:rsid w:val="000D41E9"/>
    <w:rsid w:val="000E052B"/>
    <w:rsid w:val="000E3D8A"/>
    <w:rsid w:val="000F0035"/>
    <w:rsid w:val="000F04E7"/>
    <w:rsid w:val="000F060A"/>
    <w:rsid w:val="000F420B"/>
    <w:rsid w:val="000F5E74"/>
    <w:rsid w:val="00110116"/>
    <w:rsid w:val="00120072"/>
    <w:rsid w:val="00123A77"/>
    <w:rsid w:val="00125D99"/>
    <w:rsid w:val="00126EB8"/>
    <w:rsid w:val="001274D4"/>
    <w:rsid w:val="001363AA"/>
    <w:rsid w:val="0013739A"/>
    <w:rsid w:val="00142165"/>
    <w:rsid w:val="001568B2"/>
    <w:rsid w:val="00162434"/>
    <w:rsid w:val="00163582"/>
    <w:rsid w:val="00183E82"/>
    <w:rsid w:val="00184DB8"/>
    <w:rsid w:val="001878BB"/>
    <w:rsid w:val="00191AE0"/>
    <w:rsid w:val="0019293B"/>
    <w:rsid w:val="0019426B"/>
    <w:rsid w:val="001A22ED"/>
    <w:rsid w:val="001A6A4B"/>
    <w:rsid w:val="001C0865"/>
    <w:rsid w:val="001C0AED"/>
    <w:rsid w:val="001C333E"/>
    <w:rsid w:val="001C3ABA"/>
    <w:rsid w:val="001C4C20"/>
    <w:rsid w:val="001C5111"/>
    <w:rsid w:val="001C724C"/>
    <w:rsid w:val="001E2070"/>
    <w:rsid w:val="001E7BE8"/>
    <w:rsid w:val="001F0248"/>
    <w:rsid w:val="001F3EB3"/>
    <w:rsid w:val="001F4D66"/>
    <w:rsid w:val="001F4F86"/>
    <w:rsid w:val="00202C2C"/>
    <w:rsid w:val="00203050"/>
    <w:rsid w:val="002135AB"/>
    <w:rsid w:val="002144BE"/>
    <w:rsid w:val="002241C3"/>
    <w:rsid w:val="0022751D"/>
    <w:rsid w:val="00237894"/>
    <w:rsid w:val="00242279"/>
    <w:rsid w:val="00243997"/>
    <w:rsid w:val="0024516C"/>
    <w:rsid w:val="00245C82"/>
    <w:rsid w:val="00252709"/>
    <w:rsid w:val="00256931"/>
    <w:rsid w:val="00264E24"/>
    <w:rsid w:val="0026520D"/>
    <w:rsid w:val="00270FCB"/>
    <w:rsid w:val="002724BA"/>
    <w:rsid w:val="00273725"/>
    <w:rsid w:val="00291B40"/>
    <w:rsid w:val="00294068"/>
    <w:rsid w:val="0029795F"/>
    <w:rsid w:val="002B4008"/>
    <w:rsid w:val="002B4E75"/>
    <w:rsid w:val="002C2883"/>
    <w:rsid w:val="002C439F"/>
    <w:rsid w:val="002D0C42"/>
    <w:rsid w:val="002D0E8E"/>
    <w:rsid w:val="002E6028"/>
    <w:rsid w:val="002F64F4"/>
    <w:rsid w:val="00301189"/>
    <w:rsid w:val="00301E4A"/>
    <w:rsid w:val="00306545"/>
    <w:rsid w:val="00311243"/>
    <w:rsid w:val="003168B8"/>
    <w:rsid w:val="00320A29"/>
    <w:rsid w:val="00322D64"/>
    <w:rsid w:val="00323E09"/>
    <w:rsid w:val="00324F5E"/>
    <w:rsid w:val="00333932"/>
    <w:rsid w:val="00350C28"/>
    <w:rsid w:val="003518AA"/>
    <w:rsid w:val="00352165"/>
    <w:rsid w:val="00353182"/>
    <w:rsid w:val="00354988"/>
    <w:rsid w:val="003565D9"/>
    <w:rsid w:val="003602E1"/>
    <w:rsid w:val="0037026F"/>
    <w:rsid w:val="00371240"/>
    <w:rsid w:val="00374731"/>
    <w:rsid w:val="00376E59"/>
    <w:rsid w:val="00377EC1"/>
    <w:rsid w:val="00380340"/>
    <w:rsid w:val="00381FEF"/>
    <w:rsid w:val="00384678"/>
    <w:rsid w:val="003919F9"/>
    <w:rsid w:val="003920CF"/>
    <w:rsid w:val="003927AC"/>
    <w:rsid w:val="003A6D8B"/>
    <w:rsid w:val="003B23C2"/>
    <w:rsid w:val="003C38B5"/>
    <w:rsid w:val="003C5D99"/>
    <w:rsid w:val="003D1087"/>
    <w:rsid w:val="003D1DCF"/>
    <w:rsid w:val="003E2F59"/>
    <w:rsid w:val="003E746B"/>
    <w:rsid w:val="003F0789"/>
    <w:rsid w:val="003F690E"/>
    <w:rsid w:val="00401882"/>
    <w:rsid w:val="004100C8"/>
    <w:rsid w:val="00411DBD"/>
    <w:rsid w:val="00411E09"/>
    <w:rsid w:val="00412ACE"/>
    <w:rsid w:val="00414329"/>
    <w:rsid w:val="004145D2"/>
    <w:rsid w:val="00422265"/>
    <w:rsid w:val="00424F04"/>
    <w:rsid w:val="00426CB4"/>
    <w:rsid w:val="00431249"/>
    <w:rsid w:val="00434C19"/>
    <w:rsid w:val="0043704C"/>
    <w:rsid w:val="00450810"/>
    <w:rsid w:val="00462C59"/>
    <w:rsid w:val="0046324B"/>
    <w:rsid w:val="0046398A"/>
    <w:rsid w:val="00470318"/>
    <w:rsid w:val="00470737"/>
    <w:rsid w:val="00477144"/>
    <w:rsid w:val="00486431"/>
    <w:rsid w:val="00491380"/>
    <w:rsid w:val="00493CCA"/>
    <w:rsid w:val="0049459F"/>
    <w:rsid w:val="004A38DD"/>
    <w:rsid w:val="004B43AE"/>
    <w:rsid w:val="004C30ED"/>
    <w:rsid w:val="004D5675"/>
    <w:rsid w:val="004E20DB"/>
    <w:rsid w:val="00513294"/>
    <w:rsid w:val="005174E9"/>
    <w:rsid w:val="00517795"/>
    <w:rsid w:val="00523639"/>
    <w:rsid w:val="00531FE5"/>
    <w:rsid w:val="0053455B"/>
    <w:rsid w:val="005400C8"/>
    <w:rsid w:val="005402FA"/>
    <w:rsid w:val="00556180"/>
    <w:rsid w:val="00567380"/>
    <w:rsid w:val="00567FCB"/>
    <w:rsid w:val="00570CF7"/>
    <w:rsid w:val="005729BD"/>
    <w:rsid w:val="00580154"/>
    <w:rsid w:val="00583C39"/>
    <w:rsid w:val="00586A90"/>
    <w:rsid w:val="00587F28"/>
    <w:rsid w:val="005909CF"/>
    <w:rsid w:val="00591E71"/>
    <w:rsid w:val="00593FB1"/>
    <w:rsid w:val="00596397"/>
    <w:rsid w:val="005A0D41"/>
    <w:rsid w:val="005A7E64"/>
    <w:rsid w:val="005B4B37"/>
    <w:rsid w:val="005C5360"/>
    <w:rsid w:val="005D329F"/>
    <w:rsid w:val="005D4C04"/>
    <w:rsid w:val="005F48ED"/>
    <w:rsid w:val="00606E78"/>
    <w:rsid w:val="00607BF1"/>
    <w:rsid w:val="00630D4D"/>
    <w:rsid w:val="00632A74"/>
    <w:rsid w:val="00632A89"/>
    <w:rsid w:val="00637567"/>
    <w:rsid w:val="00650386"/>
    <w:rsid w:val="00654D42"/>
    <w:rsid w:val="006632A2"/>
    <w:rsid w:val="0066677C"/>
    <w:rsid w:val="00666E02"/>
    <w:rsid w:val="00670730"/>
    <w:rsid w:val="0068538A"/>
    <w:rsid w:val="0068780A"/>
    <w:rsid w:val="006A4655"/>
    <w:rsid w:val="006A4D8A"/>
    <w:rsid w:val="006B2B3C"/>
    <w:rsid w:val="006C1D81"/>
    <w:rsid w:val="006C7038"/>
    <w:rsid w:val="006E73EF"/>
    <w:rsid w:val="00702C0A"/>
    <w:rsid w:val="007079C9"/>
    <w:rsid w:val="00714D4D"/>
    <w:rsid w:val="007266D3"/>
    <w:rsid w:val="00732029"/>
    <w:rsid w:val="00733D2A"/>
    <w:rsid w:val="00742A37"/>
    <w:rsid w:val="007432BD"/>
    <w:rsid w:val="0074684A"/>
    <w:rsid w:val="0075052D"/>
    <w:rsid w:val="00753D11"/>
    <w:rsid w:val="007604BB"/>
    <w:rsid w:val="00772909"/>
    <w:rsid w:val="0077385D"/>
    <w:rsid w:val="00785232"/>
    <w:rsid w:val="00793510"/>
    <w:rsid w:val="00793CE8"/>
    <w:rsid w:val="0079701E"/>
    <w:rsid w:val="007A21EB"/>
    <w:rsid w:val="007B1A93"/>
    <w:rsid w:val="007C36C9"/>
    <w:rsid w:val="007D5299"/>
    <w:rsid w:val="007D6401"/>
    <w:rsid w:val="007E01E4"/>
    <w:rsid w:val="007E6366"/>
    <w:rsid w:val="007E7A12"/>
    <w:rsid w:val="007F0D32"/>
    <w:rsid w:val="007F7107"/>
    <w:rsid w:val="00800D4C"/>
    <w:rsid w:val="00802297"/>
    <w:rsid w:val="0081030F"/>
    <w:rsid w:val="00812F4A"/>
    <w:rsid w:val="00813274"/>
    <w:rsid w:val="008143A0"/>
    <w:rsid w:val="0082087D"/>
    <w:rsid w:val="008213EE"/>
    <w:rsid w:val="00830399"/>
    <w:rsid w:val="00835771"/>
    <w:rsid w:val="00842933"/>
    <w:rsid w:val="008436D7"/>
    <w:rsid w:val="00843D2F"/>
    <w:rsid w:val="00846FEF"/>
    <w:rsid w:val="008565E5"/>
    <w:rsid w:val="0086082C"/>
    <w:rsid w:val="008639E7"/>
    <w:rsid w:val="00864ADC"/>
    <w:rsid w:val="0087759C"/>
    <w:rsid w:val="00880153"/>
    <w:rsid w:val="00880F97"/>
    <w:rsid w:val="0088133A"/>
    <w:rsid w:val="0089285E"/>
    <w:rsid w:val="0089436C"/>
    <w:rsid w:val="008D365C"/>
    <w:rsid w:val="008D7622"/>
    <w:rsid w:val="008E5F5E"/>
    <w:rsid w:val="008F0EA7"/>
    <w:rsid w:val="008F66E5"/>
    <w:rsid w:val="009021A6"/>
    <w:rsid w:val="009030BF"/>
    <w:rsid w:val="00903B52"/>
    <w:rsid w:val="0090556E"/>
    <w:rsid w:val="0091032F"/>
    <w:rsid w:val="00914368"/>
    <w:rsid w:val="0092669B"/>
    <w:rsid w:val="00931076"/>
    <w:rsid w:val="009345D9"/>
    <w:rsid w:val="00934B15"/>
    <w:rsid w:val="009364B0"/>
    <w:rsid w:val="00940A2A"/>
    <w:rsid w:val="00940C87"/>
    <w:rsid w:val="00942B62"/>
    <w:rsid w:val="00945375"/>
    <w:rsid w:val="0095323B"/>
    <w:rsid w:val="00956A0C"/>
    <w:rsid w:val="00956BD9"/>
    <w:rsid w:val="00957425"/>
    <w:rsid w:val="00957DC4"/>
    <w:rsid w:val="00962489"/>
    <w:rsid w:val="00967CD3"/>
    <w:rsid w:val="00976274"/>
    <w:rsid w:val="00990C2C"/>
    <w:rsid w:val="00991249"/>
    <w:rsid w:val="00992E1C"/>
    <w:rsid w:val="009949AF"/>
    <w:rsid w:val="0099726C"/>
    <w:rsid w:val="009A5171"/>
    <w:rsid w:val="009C315F"/>
    <w:rsid w:val="009D34DB"/>
    <w:rsid w:val="009D574F"/>
    <w:rsid w:val="009E02D4"/>
    <w:rsid w:val="009E1844"/>
    <w:rsid w:val="009E7ED2"/>
    <w:rsid w:val="009F0D1B"/>
    <w:rsid w:val="009F12BC"/>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0D0A"/>
    <w:rsid w:val="00A451DC"/>
    <w:rsid w:val="00A554AB"/>
    <w:rsid w:val="00A57062"/>
    <w:rsid w:val="00A62CA1"/>
    <w:rsid w:val="00A63558"/>
    <w:rsid w:val="00A67781"/>
    <w:rsid w:val="00A761F9"/>
    <w:rsid w:val="00A92B53"/>
    <w:rsid w:val="00A94FA6"/>
    <w:rsid w:val="00A9759B"/>
    <w:rsid w:val="00AA49A0"/>
    <w:rsid w:val="00AA6710"/>
    <w:rsid w:val="00AB0375"/>
    <w:rsid w:val="00AB0681"/>
    <w:rsid w:val="00AC3733"/>
    <w:rsid w:val="00AC3A15"/>
    <w:rsid w:val="00AC67E2"/>
    <w:rsid w:val="00AC7D79"/>
    <w:rsid w:val="00AD0E7E"/>
    <w:rsid w:val="00AD11CD"/>
    <w:rsid w:val="00AD520B"/>
    <w:rsid w:val="00AE3BCC"/>
    <w:rsid w:val="00B126A8"/>
    <w:rsid w:val="00B31075"/>
    <w:rsid w:val="00B37590"/>
    <w:rsid w:val="00B425C3"/>
    <w:rsid w:val="00B438C0"/>
    <w:rsid w:val="00B440AD"/>
    <w:rsid w:val="00B479BB"/>
    <w:rsid w:val="00B53E7E"/>
    <w:rsid w:val="00B61F19"/>
    <w:rsid w:val="00B6342E"/>
    <w:rsid w:val="00B7113F"/>
    <w:rsid w:val="00BA2BCF"/>
    <w:rsid w:val="00BA5B14"/>
    <w:rsid w:val="00BA73B6"/>
    <w:rsid w:val="00BA7E27"/>
    <w:rsid w:val="00BB2603"/>
    <w:rsid w:val="00BB4FCD"/>
    <w:rsid w:val="00BC04E9"/>
    <w:rsid w:val="00BD13EA"/>
    <w:rsid w:val="00BE3808"/>
    <w:rsid w:val="00BF117B"/>
    <w:rsid w:val="00BF4100"/>
    <w:rsid w:val="00BF5B3E"/>
    <w:rsid w:val="00C0070E"/>
    <w:rsid w:val="00C03B88"/>
    <w:rsid w:val="00C062E9"/>
    <w:rsid w:val="00C07B64"/>
    <w:rsid w:val="00C13721"/>
    <w:rsid w:val="00C14FE4"/>
    <w:rsid w:val="00C15B9F"/>
    <w:rsid w:val="00C2282C"/>
    <w:rsid w:val="00C3066D"/>
    <w:rsid w:val="00C52416"/>
    <w:rsid w:val="00C54091"/>
    <w:rsid w:val="00C543F4"/>
    <w:rsid w:val="00C56DB9"/>
    <w:rsid w:val="00C6291C"/>
    <w:rsid w:val="00C633CB"/>
    <w:rsid w:val="00C664CD"/>
    <w:rsid w:val="00C66BAC"/>
    <w:rsid w:val="00C70B01"/>
    <w:rsid w:val="00C736B7"/>
    <w:rsid w:val="00C817E9"/>
    <w:rsid w:val="00C81D4A"/>
    <w:rsid w:val="00C8762C"/>
    <w:rsid w:val="00C92302"/>
    <w:rsid w:val="00C96BA5"/>
    <w:rsid w:val="00CA00F9"/>
    <w:rsid w:val="00CA2961"/>
    <w:rsid w:val="00CB50D7"/>
    <w:rsid w:val="00CB606B"/>
    <w:rsid w:val="00CB6976"/>
    <w:rsid w:val="00CB7177"/>
    <w:rsid w:val="00CB7CED"/>
    <w:rsid w:val="00CC070F"/>
    <w:rsid w:val="00CC1998"/>
    <w:rsid w:val="00CC4946"/>
    <w:rsid w:val="00CC583B"/>
    <w:rsid w:val="00CC64A1"/>
    <w:rsid w:val="00CF3B11"/>
    <w:rsid w:val="00CF5048"/>
    <w:rsid w:val="00D057E5"/>
    <w:rsid w:val="00D270A4"/>
    <w:rsid w:val="00D31FE9"/>
    <w:rsid w:val="00D34E1B"/>
    <w:rsid w:val="00D376BA"/>
    <w:rsid w:val="00D434A0"/>
    <w:rsid w:val="00D45634"/>
    <w:rsid w:val="00D5568A"/>
    <w:rsid w:val="00D63D73"/>
    <w:rsid w:val="00D64452"/>
    <w:rsid w:val="00D66E1E"/>
    <w:rsid w:val="00D70696"/>
    <w:rsid w:val="00D75722"/>
    <w:rsid w:val="00D80CF5"/>
    <w:rsid w:val="00D840C3"/>
    <w:rsid w:val="00D93F8B"/>
    <w:rsid w:val="00DA5BBA"/>
    <w:rsid w:val="00DB26D2"/>
    <w:rsid w:val="00DB67C9"/>
    <w:rsid w:val="00DC0C95"/>
    <w:rsid w:val="00DC349B"/>
    <w:rsid w:val="00DC4F0B"/>
    <w:rsid w:val="00DC5A40"/>
    <w:rsid w:val="00DC6936"/>
    <w:rsid w:val="00DD6580"/>
    <w:rsid w:val="00DE13D2"/>
    <w:rsid w:val="00DE5378"/>
    <w:rsid w:val="00E01BFB"/>
    <w:rsid w:val="00E01D7F"/>
    <w:rsid w:val="00E05C03"/>
    <w:rsid w:val="00E17687"/>
    <w:rsid w:val="00E17C72"/>
    <w:rsid w:val="00E20325"/>
    <w:rsid w:val="00E21FC6"/>
    <w:rsid w:val="00E431A9"/>
    <w:rsid w:val="00E669E2"/>
    <w:rsid w:val="00E67DA8"/>
    <w:rsid w:val="00E76135"/>
    <w:rsid w:val="00E80E2F"/>
    <w:rsid w:val="00E82F4F"/>
    <w:rsid w:val="00E864DF"/>
    <w:rsid w:val="00EB187D"/>
    <w:rsid w:val="00EB2CC3"/>
    <w:rsid w:val="00EB69FE"/>
    <w:rsid w:val="00EC06B2"/>
    <w:rsid w:val="00EC06F3"/>
    <w:rsid w:val="00EC2844"/>
    <w:rsid w:val="00EC5500"/>
    <w:rsid w:val="00ED18F8"/>
    <w:rsid w:val="00ED6C96"/>
    <w:rsid w:val="00EE5020"/>
    <w:rsid w:val="00EE6EDA"/>
    <w:rsid w:val="00EE778E"/>
    <w:rsid w:val="00EF3257"/>
    <w:rsid w:val="00EF5404"/>
    <w:rsid w:val="00EF6719"/>
    <w:rsid w:val="00EF6C6C"/>
    <w:rsid w:val="00F056FC"/>
    <w:rsid w:val="00F0632F"/>
    <w:rsid w:val="00F069AE"/>
    <w:rsid w:val="00F10476"/>
    <w:rsid w:val="00F135D8"/>
    <w:rsid w:val="00F1537A"/>
    <w:rsid w:val="00F23B21"/>
    <w:rsid w:val="00F31299"/>
    <w:rsid w:val="00F3534A"/>
    <w:rsid w:val="00F35BFB"/>
    <w:rsid w:val="00F36ACC"/>
    <w:rsid w:val="00F37FE1"/>
    <w:rsid w:val="00F51609"/>
    <w:rsid w:val="00F54773"/>
    <w:rsid w:val="00F55C25"/>
    <w:rsid w:val="00F73727"/>
    <w:rsid w:val="00F766A7"/>
    <w:rsid w:val="00F81006"/>
    <w:rsid w:val="00F85325"/>
    <w:rsid w:val="00FA0FFE"/>
    <w:rsid w:val="00FC0133"/>
    <w:rsid w:val="00FD22B1"/>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63558"/>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NormalWeb">
    <w:name w:val="Normal (Web)"/>
    <w:basedOn w:val="Normal"/>
    <w:uiPriority w:val="99"/>
    <w:unhideWhenUsed/>
    <w:rsid w:val="00C817E9"/>
    <w:pPr>
      <w:spacing w:before="100" w:beforeAutospacing="1" w:after="100" w:afterAutospacing="1"/>
    </w:pPr>
    <w:rPr>
      <w:rFonts w:eastAsiaTheme="minorEastAsia"/>
    </w:rPr>
  </w:style>
  <w:style w:type="paragraph" w:styleId="CommentSubject">
    <w:name w:val="annotation subject"/>
    <w:basedOn w:val="CommentText"/>
    <w:next w:val="CommentText"/>
    <w:link w:val="CommentSubjectChar"/>
    <w:rsid w:val="00BF5B3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F5B3E"/>
    <w:rPr>
      <w:szCs w:val="24"/>
    </w:rPr>
  </w:style>
  <w:style w:type="character" w:customStyle="1" w:styleId="CommentSubjectChar">
    <w:name w:val="Comment Subject Char"/>
    <w:basedOn w:val="CommentTextChar"/>
    <w:link w:val="CommentSubject"/>
    <w:rsid w:val="00BF5B3E"/>
    <w:rPr>
      <w:b/>
      <w:bCs/>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63558"/>
    <w:rPr>
      <w:sz w:val="24"/>
      <w:szCs w:val="24"/>
    </w:rPr>
  </w:style>
  <w:style w:type="paragraph" w:styleId="Heading1">
    <w:name w:val="heading 1"/>
    <w:basedOn w:val="Normal"/>
    <w:next w:val="BodyText"/>
    <w:rsid w:val="00FD22B1"/>
    <w:pPr>
      <w:keepNext/>
      <w:spacing w:before="160" w:after="1360" w:line="600" w:lineRule="exact"/>
      <w:ind w:left="907" w:hanging="907"/>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NormalWeb">
    <w:name w:val="Normal (Web)"/>
    <w:basedOn w:val="Normal"/>
    <w:uiPriority w:val="99"/>
    <w:unhideWhenUsed/>
    <w:rsid w:val="00C817E9"/>
    <w:pPr>
      <w:spacing w:before="100" w:beforeAutospacing="1" w:after="100" w:afterAutospacing="1"/>
    </w:pPr>
    <w:rPr>
      <w:rFonts w:eastAsiaTheme="minorEastAsia"/>
    </w:rPr>
  </w:style>
  <w:style w:type="paragraph" w:styleId="CommentSubject">
    <w:name w:val="annotation subject"/>
    <w:basedOn w:val="CommentText"/>
    <w:next w:val="CommentText"/>
    <w:link w:val="CommentSubjectChar"/>
    <w:rsid w:val="00BF5B3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BF5B3E"/>
    <w:rPr>
      <w:szCs w:val="24"/>
    </w:rPr>
  </w:style>
  <w:style w:type="character" w:customStyle="1" w:styleId="CommentSubjectChar">
    <w:name w:val="Comment Subject Char"/>
    <w:basedOn w:val="CommentTextChar"/>
    <w:link w:val="CommentSubject"/>
    <w:rsid w:val="00BF5B3E"/>
    <w:rPr>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fontTable" Target="fontTable.xml"/><Relationship Id="rId10" Type="http://schemas.openxmlformats.org/officeDocument/2006/relationships/image" Target="media/image2.e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BA268E-68DB-433A-B725-C0A55AA26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12</Pages>
  <Words>1679</Words>
  <Characters>9572</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Budget constraints and EMTRs</vt:lpstr>
    </vt:vector>
  </TitlesOfParts>
  <Company>Productivity Commission</Company>
  <LinksUpToDate>false</LinksUpToDate>
  <CharactersWithSpaces>11229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Budget constraints and EMTRs</dc:title>
  <dc:subject>Housing assistance and employment</dc:subject>
  <dc:creator>Productivity Commission</dc:creator>
  <dc:description>C.</dc:description>
  <cp:lastModifiedBy>Productivity Commission</cp:lastModifiedBy>
  <cp:revision>2</cp:revision>
  <cp:lastPrinted>2015-05-07T23:46:00Z</cp:lastPrinted>
  <dcterms:created xsi:type="dcterms:W3CDTF">2015-06-10T02:10:00Z</dcterms:created>
  <dcterms:modified xsi:type="dcterms:W3CDTF">2015-06-10T02:10:00Z</dcterms:modified>
</cp:coreProperties>
</file>