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theme/themeOverride5.xml" ContentType="application/vnd.openxmlformats-officedocument.themeOverride+xml"/>
  <Override PartName="/word/charts/chart7.xml" ContentType="application/vnd.openxmlformats-officedocument.drawingml.chart+xml"/>
  <Override PartName="/word/theme/themeOverride6.xml" ContentType="application/vnd.openxmlformats-officedocument.themeOverride+xml"/>
  <Override PartName="/word/charts/chart8.xml" ContentType="application/vnd.openxmlformats-officedocument.drawingml.chart+xml"/>
  <Override PartName="/word/theme/themeOverride7.xml" ContentType="application/vnd.openxmlformats-officedocument.themeOverride+xml"/>
  <Override PartName="/word/drawings/drawing2.xml" ContentType="application/vnd.openxmlformats-officedocument.drawingml.chartshapes+xml"/>
  <Override PartName="/word/charts/chart9.xml" ContentType="application/vnd.openxmlformats-officedocument.drawingml.chart+xml"/>
  <Override PartName="/word/theme/themeOverride8.xml" ContentType="application/vnd.openxmlformats-officedocument.themeOverride+xml"/>
  <Override PartName="/word/charts/chart10.xml" ContentType="application/vnd.openxmlformats-officedocument.drawingml.chart+xml"/>
  <Override PartName="/word/theme/themeOverride9.xml" ContentType="application/vnd.openxmlformats-officedocument.themeOverride+xml"/>
  <Override PartName="/word/charts/chart11.xml" ContentType="application/vnd.openxmlformats-officedocument.drawingml.chart+xml"/>
  <Override PartName="/word/theme/themeOverride10.xml" ContentType="application/vnd.openxmlformats-officedocument.themeOverride+xml"/>
  <Override PartName="/word/charts/chart12.xml" ContentType="application/vnd.openxmlformats-officedocument.drawingml.chart+xml"/>
  <Override PartName="/word/theme/themeOverride11.xml" ContentType="application/vnd.openxmlformats-officedocument.themeOverride+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theme/themeOverride12.xml" ContentType="application/vnd.openxmlformats-officedocument.themeOverride+xml"/>
  <Override PartName="/word/drawings/drawing3.xml" ContentType="application/vnd.openxmlformats-officedocument.drawingml.chartshapes+xml"/>
  <Override PartName="/word/charts/chart16.xml" ContentType="application/vnd.openxmlformats-officedocument.drawingml.chart+xml"/>
  <Override PartName="/word/theme/themeOverride13.xml" ContentType="application/vnd.openxmlformats-officedocument.themeOverride+xml"/>
  <Override PartName="/word/charts/chart17.xml" ContentType="application/vnd.openxmlformats-officedocument.drawingml.chart+xml"/>
  <Override PartName="/word/theme/themeOverride14.xml" ContentType="application/vnd.openxmlformats-officedocument.themeOverride+xml"/>
  <Override PartName="/word/charts/chart18.xml" ContentType="application/vnd.openxmlformats-officedocument.drawingml.chart+xml"/>
  <Override PartName="/word/theme/themeOverride15.xml" ContentType="application/vnd.openxmlformats-officedocument.themeOverride+xml"/>
  <Override PartName="/word/charts/chart19.xml" ContentType="application/vnd.openxmlformats-officedocument.drawingml.chart+xml"/>
  <Override PartName="/word/theme/themeOverride16.xml" ContentType="application/vnd.openxmlformats-officedocument.themeOverride+xml"/>
  <Override PartName="/word/charts/chart20.xml" ContentType="application/vnd.openxmlformats-officedocument.drawingml.chart+xml"/>
  <Override PartName="/word/theme/themeOverride17.xml" ContentType="application/vnd.openxmlformats-officedocument.themeOverride+xml"/>
  <Override PartName="/word/charts/chart21.xml" ContentType="application/vnd.openxmlformats-officedocument.drawingml.chart+xml"/>
  <Override PartName="/word/theme/themeOverride18.xml" ContentType="application/vnd.openxmlformats-officedocument.themeOverride+xml"/>
  <Override PartName="/word/charts/chart22.xml" ContentType="application/vnd.openxmlformats-officedocument.drawingml.chart+xml"/>
  <Override PartName="/word/theme/themeOverride19.xml" ContentType="application/vnd.openxmlformats-officedocument.themeOverride+xml"/>
  <Override PartName="/word/drawings/drawing4.xml" ContentType="application/vnd.openxmlformats-officedocument.drawingml.chartshapes+xml"/>
  <Override PartName="/word/charts/chart23.xml" ContentType="application/vnd.openxmlformats-officedocument.drawingml.chart+xml"/>
  <Override PartName="/word/theme/themeOverride20.xml" ContentType="application/vnd.openxmlformats-officedocument.themeOverride+xml"/>
  <Override PartName="/word/drawings/drawing5.xml" ContentType="application/vnd.openxmlformats-officedocument.drawingml.chartshapes+xml"/>
  <Override PartName="/word/charts/chart24.xml" ContentType="application/vnd.openxmlformats-officedocument.drawingml.chart+xml"/>
  <Override PartName="/word/theme/themeOverride21.xml" ContentType="application/vnd.openxmlformats-officedocument.themeOverride+xml"/>
  <Override PartName="/word/charts/chart25.xml" ContentType="application/vnd.openxmlformats-officedocument.drawingml.chart+xml"/>
  <Override PartName="/word/theme/themeOverride22.xml" ContentType="application/vnd.openxmlformats-officedocument.themeOverride+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theme/themeOverride23.xml" ContentType="application/vnd.openxmlformats-officedocument.themeOverride+xml"/>
  <Override PartName="/word/charts/chart29.xml" ContentType="application/vnd.openxmlformats-officedocument.drawingml.chart+xml"/>
  <Override PartName="/word/theme/themeOverride24.xml" ContentType="application/vnd.openxmlformats-officedocument.themeOverride+xml"/>
  <Override PartName="/word/charts/chart30.xml" ContentType="application/vnd.openxmlformats-officedocument.drawingml.chart+xml"/>
  <Override PartName="/word/theme/themeOverride25.xml" ContentType="application/vnd.openxmlformats-officedocument.themeOverride+xml"/>
  <Override PartName="/word/charts/chart31.xml" ContentType="application/vnd.openxmlformats-officedocument.drawingml.chart+xml"/>
  <Override PartName="/word/theme/themeOverride26.xml" ContentType="application/vnd.openxmlformats-officedocument.themeOverride+xml"/>
  <Override PartName="/word/charts/chart32.xml" ContentType="application/vnd.openxmlformats-officedocument.drawingml.chart+xml"/>
  <Override PartName="/word/theme/themeOverride27.xml" ContentType="application/vnd.openxmlformats-officedocument.themeOverride+xml"/>
  <Override PartName="/word/charts/chart33.xml" ContentType="application/vnd.openxmlformats-officedocument.drawingml.chart+xml"/>
  <Override PartName="/word/theme/themeOverride28.xml" ContentType="application/vnd.openxmlformats-officedocument.themeOverride+xml"/>
  <Override PartName="/word/charts/chart34.xml" ContentType="application/vnd.openxmlformats-officedocument.drawingml.chart+xml"/>
  <Override PartName="/word/theme/themeOverride29.xml" ContentType="application/vnd.openxmlformats-officedocument.themeOverride+xml"/>
  <Override PartName="/word/charts/chart35.xml" ContentType="application/vnd.openxmlformats-officedocument.drawingml.chart+xml"/>
  <Override PartName="/word/theme/themeOverride30.xml" ContentType="application/vnd.openxmlformats-officedocument.themeOverride+xml"/>
  <Override PartName="/word/drawings/drawing6.xml" ContentType="application/vnd.openxmlformats-officedocument.drawingml.chartshap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1978D30" w14:textId="023B25F4" w:rsidR="00A33DFF" w:rsidRDefault="006F0D97" w:rsidP="00D91344">
      <w:pPr>
        <w:pStyle w:val="Heading1"/>
        <w:spacing w:before="0" w:after="600"/>
        <w:ind w:left="0" w:firstLine="0"/>
      </w:pPr>
      <w:bookmarkStart w:id="0" w:name="ChapterTitle"/>
      <w:r>
        <w:t>Background paper 3</w:t>
      </w:r>
      <w:r w:rsidR="007353E0">
        <w:br/>
        <w:t>A profile of working</w:t>
      </w:r>
      <w:r w:rsidR="00E209F1">
        <w:noBreakHyphen/>
      </w:r>
      <w:r w:rsidR="007353E0">
        <w:t>age housing assistance recipients</w:t>
      </w:r>
      <w:bookmarkEnd w:id="0"/>
    </w:p>
    <w:p w14:paraId="5E1050DD" w14:textId="1B601CB1" w:rsidR="002124C7" w:rsidRDefault="002124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2124C7" w14:paraId="6533F11F" w14:textId="77777777" w:rsidTr="00C44B39">
        <w:tc>
          <w:tcPr>
            <w:tcW w:w="8771" w:type="dxa"/>
            <w:tcBorders>
              <w:top w:val="single" w:sz="6" w:space="0" w:color="78A22F"/>
              <w:left w:val="nil"/>
              <w:bottom w:val="nil"/>
              <w:right w:val="nil"/>
            </w:tcBorders>
            <w:shd w:val="clear" w:color="auto" w:fill="F2F2F2"/>
          </w:tcPr>
          <w:p w14:paraId="32FB13D0" w14:textId="77777777" w:rsidR="002124C7" w:rsidRDefault="002124C7">
            <w:pPr>
              <w:pStyle w:val="BoxTitle"/>
            </w:pPr>
            <w:r>
              <w:t>Key points</w:t>
            </w:r>
          </w:p>
        </w:tc>
      </w:tr>
      <w:tr w:rsidR="002124C7" w14:paraId="3AC4B3EA" w14:textId="77777777" w:rsidTr="00C44B39">
        <w:trPr>
          <w:cantSplit/>
        </w:trPr>
        <w:tc>
          <w:tcPr>
            <w:tcW w:w="8771" w:type="dxa"/>
            <w:tcBorders>
              <w:top w:val="nil"/>
              <w:left w:val="nil"/>
              <w:bottom w:val="nil"/>
              <w:right w:val="nil"/>
            </w:tcBorders>
            <w:shd w:val="clear" w:color="auto" w:fill="F2F2F2"/>
          </w:tcPr>
          <w:p w14:paraId="14B614F2" w14:textId="137502A0" w:rsidR="003C1C6E" w:rsidRPr="008F5E63" w:rsidRDefault="00C44B39" w:rsidP="00355CF1">
            <w:pPr>
              <w:pStyle w:val="BoxListBullet"/>
            </w:pPr>
            <w:r w:rsidRPr="008F5E63">
              <w:t xml:space="preserve">This paper profiles </w:t>
            </w:r>
            <w:r w:rsidR="002900AF">
              <w:t>working-age</w:t>
            </w:r>
            <w:r w:rsidR="008F5E63">
              <w:t xml:space="preserve"> </w:t>
            </w:r>
            <w:r w:rsidRPr="008F5E63">
              <w:t>income support payment (ISP) recipients who either live</w:t>
            </w:r>
            <w:r w:rsidR="002F38F1">
              <w:t>d</w:t>
            </w:r>
            <w:r w:rsidRPr="008F5E63">
              <w:t xml:space="preserve"> in public housing or receive</w:t>
            </w:r>
            <w:r w:rsidR="002F38F1">
              <w:t>d</w:t>
            </w:r>
            <w:r w:rsidRPr="008F5E63">
              <w:t xml:space="preserve"> Commonwealth Rent Assistance (</w:t>
            </w:r>
            <w:proofErr w:type="spellStart"/>
            <w:r w:rsidRPr="008F5E63">
              <w:t>CRA</w:t>
            </w:r>
            <w:proofErr w:type="spellEnd"/>
            <w:r w:rsidRPr="008F5E63">
              <w:t>)</w:t>
            </w:r>
            <w:r w:rsidR="002F38F1">
              <w:t xml:space="preserve"> in the years spanning 2003 </w:t>
            </w:r>
            <w:r w:rsidR="004D29B9">
              <w:t xml:space="preserve">to </w:t>
            </w:r>
            <w:r w:rsidR="002F38F1">
              <w:t>2013</w:t>
            </w:r>
            <w:r w:rsidRPr="008F5E63">
              <w:t>.</w:t>
            </w:r>
            <w:r w:rsidR="003C1C6E" w:rsidRPr="008F5E63">
              <w:t xml:space="preserve"> </w:t>
            </w:r>
            <w:r w:rsidRPr="008F5E63">
              <w:t xml:space="preserve">The profile is based on administrative data </w:t>
            </w:r>
            <w:r w:rsidR="00FD1F2F">
              <w:t>from the Department of Human Services (</w:t>
            </w:r>
            <w:proofErr w:type="spellStart"/>
            <w:r w:rsidR="00FD1F2F">
              <w:t>DHS</w:t>
            </w:r>
            <w:proofErr w:type="spellEnd"/>
            <w:r w:rsidR="00FD1F2F">
              <w:t xml:space="preserve">) </w:t>
            </w:r>
            <w:r w:rsidRPr="008F5E63">
              <w:t>about income support and housing assistance payme</w:t>
            </w:r>
            <w:r w:rsidR="008A7023" w:rsidRPr="008F5E63">
              <w:t>nts</w:t>
            </w:r>
            <w:r w:rsidR="000E6F54">
              <w:t xml:space="preserve"> — the ‘</w:t>
            </w:r>
            <w:proofErr w:type="spellStart"/>
            <w:r w:rsidR="000E6F54">
              <w:t>DHS</w:t>
            </w:r>
            <w:proofErr w:type="spellEnd"/>
            <w:r w:rsidR="000E6F54">
              <w:t xml:space="preserve"> data’</w:t>
            </w:r>
            <w:r w:rsidR="00992C57">
              <w:t>.</w:t>
            </w:r>
          </w:p>
          <w:p w14:paraId="284E43DC" w14:textId="6AE45FB7" w:rsidR="008A7023" w:rsidRDefault="008A7023" w:rsidP="00355CF1">
            <w:pPr>
              <w:pStyle w:val="BoxListBullet"/>
            </w:pPr>
            <w:r>
              <w:t xml:space="preserve">The </w:t>
            </w:r>
            <w:proofErr w:type="spellStart"/>
            <w:r w:rsidR="000E6F54">
              <w:t>DHS</w:t>
            </w:r>
            <w:proofErr w:type="spellEnd"/>
            <w:r w:rsidR="000E6F54">
              <w:t xml:space="preserve"> </w:t>
            </w:r>
            <w:r>
              <w:t xml:space="preserve">data do </w:t>
            </w:r>
            <w:r w:rsidR="003C1C6E">
              <w:t>not cover p</w:t>
            </w:r>
            <w:r>
              <w:t xml:space="preserve">eople </w:t>
            </w:r>
            <w:r w:rsidR="003C1C6E">
              <w:t>who received</w:t>
            </w:r>
            <w:r>
              <w:t xml:space="preserve"> </w:t>
            </w:r>
            <w:proofErr w:type="spellStart"/>
            <w:r>
              <w:t>CRA</w:t>
            </w:r>
            <w:proofErr w:type="spellEnd"/>
            <w:r>
              <w:t xml:space="preserve"> because they receive</w:t>
            </w:r>
            <w:r w:rsidR="003C1C6E">
              <w:t>d</w:t>
            </w:r>
            <w:r>
              <w:t xml:space="preserve"> </w:t>
            </w:r>
            <w:r w:rsidR="00FF2726">
              <w:t>Family Tax Benefit part A</w:t>
            </w:r>
            <w:r w:rsidR="003C1C6E">
              <w:t xml:space="preserve"> </w:t>
            </w:r>
            <w:r w:rsidR="000F3AE6">
              <w:t>but not</w:t>
            </w:r>
            <w:r w:rsidR="004D29B9">
              <w:t xml:space="preserve"> an</w:t>
            </w:r>
            <w:r w:rsidR="008F5E63">
              <w:t xml:space="preserve"> </w:t>
            </w:r>
            <w:r w:rsidR="003C1C6E">
              <w:t xml:space="preserve">ISP, </w:t>
            </w:r>
            <w:r w:rsidR="008F5E63">
              <w:t>Department of Veterans’ Affairs pensioners</w:t>
            </w:r>
            <w:r w:rsidR="00BE1548">
              <w:t>, Age Pension recipients</w:t>
            </w:r>
            <w:r w:rsidR="000F3AE6">
              <w:t>,</w:t>
            </w:r>
            <w:r w:rsidR="00BE1548">
              <w:t xml:space="preserve"> </w:t>
            </w:r>
            <w:r w:rsidR="000E6F54">
              <w:t>or</w:t>
            </w:r>
            <w:r w:rsidR="003C1C6E">
              <w:t xml:space="preserve"> </w:t>
            </w:r>
            <w:r w:rsidR="008F5E63">
              <w:t xml:space="preserve">people </w:t>
            </w:r>
            <w:r>
              <w:t xml:space="preserve">living in public housing </w:t>
            </w:r>
            <w:r w:rsidR="003C1C6E">
              <w:t xml:space="preserve">who did </w:t>
            </w:r>
            <w:r>
              <w:t>not receive an ISP.</w:t>
            </w:r>
          </w:p>
          <w:p w14:paraId="5D8E0E62" w14:textId="2C7822B3" w:rsidR="00B352FC" w:rsidRPr="007310DB" w:rsidRDefault="0086192B" w:rsidP="00355CF1">
            <w:pPr>
              <w:pStyle w:val="BoxListBullet"/>
            </w:pPr>
            <w:r w:rsidRPr="007310DB">
              <w:t>There were over 2.5 million ISP recipients aged between 15 and 65 in 2013</w:t>
            </w:r>
            <w:r w:rsidR="00C45079" w:rsidRPr="007310DB">
              <w:t xml:space="preserve"> covered by the </w:t>
            </w:r>
            <w:proofErr w:type="spellStart"/>
            <w:r w:rsidR="00C45079" w:rsidRPr="007310DB">
              <w:t>DHS</w:t>
            </w:r>
            <w:proofErr w:type="spellEnd"/>
            <w:r w:rsidR="00C45079" w:rsidRPr="007310DB">
              <w:t xml:space="preserve"> data</w:t>
            </w:r>
            <w:r w:rsidRPr="007310DB">
              <w:t>. A</w:t>
            </w:r>
            <w:r w:rsidR="008A7023" w:rsidRPr="007310DB">
              <w:t xml:space="preserve">round 44 per cent of </w:t>
            </w:r>
            <w:r w:rsidR="002900AF">
              <w:t>working-age</w:t>
            </w:r>
            <w:r w:rsidR="008A7023" w:rsidRPr="007310DB">
              <w:t xml:space="preserve"> ISP recipients </w:t>
            </w:r>
            <w:r w:rsidR="00A20B09" w:rsidRPr="007310DB">
              <w:t xml:space="preserve">and 8 per cent of the general </w:t>
            </w:r>
            <w:r w:rsidR="002900AF">
              <w:t>working-age</w:t>
            </w:r>
            <w:r w:rsidR="00505B69" w:rsidRPr="007310DB">
              <w:t xml:space="preserve"> </w:t>
            </w:r>
            <w:r w:rsidR="00A20B09" w:rsidRPr="007310DB">
              <w:t xml:space="preserve">population </w:t>
            </w:r>
            <w:r w:rsidR="003C1C6E" w:rsidRPr="007310DB">
              <w:t xml:space="preserve">either lived in public housing or received </w:t>
            </w:r>
            <w:proofErr w:type="spellStart"/>
            <w:r w:rsidR="003C1C6E" w:rsidRPr="007310DB">
              <w:t>CRA</w:t>
            </w:r>
            <w:proofErr w:type="spellEnd"/>
            <w:r w:rsidR="003C1C6E" w:rsidRPr="007310DB">
              <w:t xml:space="preserve"> </w:t>
            </w:r>
            <w:r w:rsidR="008A7023" w:rsidRPr="007310DB">
              <w:t>in 2011</w:t>
            </w:r>
            <w:r w:rsidR="00A20B09" w:rsidRPr="007310DB">
              <w:t>.</w:t>
            </w:r>
          </w:p>
          <w:p w14:paraId="2DCAC009" w14:textId="77777777" w:rsidR="003426D1" w:rsidRPr="0086192B" w:rsidRDefault="00A20B09" w:rsidP="00355CF1">
            <w:pPr>
              <w:pStyle w:val="BoxListBullet"/>
              <w:rPr>
                <w:szCs w:val="24"/>
              </w:rPr>
            </w:pPr>
            <w:r>
              <w:t>T</w:t>
            </w:r>
            <w:r w:rsidR="008A7023" w:rsidRPr="0086192B">
              <w:t>he rates of receipt of housing assistance</w:t>
            </w:r>
            <w:r w:rsidR="00B352FC">
              <w:t>,</w:t>
            </w:r>
            <w:r w:rsidR="008A7023" w:rsidRPr="0086192B">
              <w:t xml:space="preserve"> </w:t>
            </w:r>
            <w:r w:rsidR="0086192B">
              <w:t>and other characteristics</w:t>
            </w:r>
            <w:r w:rsidR="00B352FC">
              <w:t>,</w:t>
            </w:r>
            <w:r w:rsidR="0086192B">
              <w:t xml:space="preserve"> </w:t>
            </w:r>
            <w:r w:rsidR="008A7023" w:rsidRPr="0086192B">
              <w:t>differ considerably by ISP type.</w:t>
            </w:r>
            <w:r w:rsidR="00B352FC">
              <w:t xml:space="preserve"> </w:t>
            </w:r>
            <w:r w:rsidR="008A7023" w:rsidRPr="0086192B">
              <w:t xml:space="preserve">Most ISP recipients who also received housing assistance received either Disability Support Pension or </w:t>
            </w:r>
            <w:proofErr w:type="spellStart"/>
            <w:r w:rsidR="008A7023" w:rsidRPr="0086192B">
              <w:t>Newstart</w:t>
            </w:r>
            <w:proofErr w:type="spellEnd"/>
            <w:r w:rsidR="008A7023" w:rsidRPr="0086192B">
              <w:t xml:space="preserve"> Allowance payments.</w:t>
            </w:r>
          </w:p>
          <w:p w14:paraId="5635EB77" w14:textId="77777777" w:rsidR="003426D1" w:rsidRPr="0086192B" w:rsidRDefault="003426D1" w:rsidP="00355CF1">
            <w:pPr>
              <w:pStyle w:val="BoxListBullet"/>
              <w:rPr>
                <w:i/>
                <w:szCs w:val="24"/>
              </w:rPr>
            </w:pPr>
            <w:r w:rsidRPr="0086192B">
              <w:t xml:space="preserve">The number of people </w:t>
            </w:r>
            <w:r w:rsidR="00C965E3">
              <w:t>receiving</w:t>
            </w:r>
            <w:r w:rsidRPr="0086192B">
              <w:t xml:space="preserve"> </w:t>
            </w:r>
            <w:proofErr w:type="spellStart"/>
            <w:r w:rsidR="00992C57">
              <w:t>CRA</w:t>
            </w:r>
            <w:proofErr w:type="spellEnd"/>
            <w:r w:rsidR="00992C57">
              <w:t xml:space="preserve"> </w:t>
            </w:r>
            <w:r w:rsidRPr="0086192B">
              <w:t>increased</w:t>
            </w:r>
            <w:r w:rsidR="000E6F54">
              <w:t xml:space="preserve"> in</w:t>
            </w:r>
            <w:r w:rsidRPr="0086192B">
              <w:t xml:space="preserve"> recent years, while the number of public housing residents remained relatively constant.</w:t>
            </w:r>
          </w:p>
          <w:p w14:paraId="6D971808" w14:textId="77777777" w:rsidR="003426D1" w:rsidRPr="0086192B" w:rsidRDefault="00A20B09" w:rsidP="00355CF1">
            <w:pPr>
              <w:pStyle w:val="BoxListBullet"/>
            </w:pPr>
            <w:r>
              <w:t>Public housing tenants had</w:t>
            </w:r>
            <w:r w:rsidR="003426D1" w:rsidRPr="0086192B">
              <w:t xml:space="preserve"> typically received ISPs for a longer period than </w:t>
            </w:r>
            <w:proofErr w:type="spellStart"/>
            <w:r w:rsidR="003426D1" w:rsidRPr="0086192B">
              <w:t>CRA</w:t>
            </w:r>
            <w:proofErr w:type="spellEnd"/>
            <w:r w:rsidR="003426D1" w:rsidRPr="0086192B">
              <w:t xml:space="preserve"> recipients on similar payment types.</w:t>
            </w:r>
          </w:p>
          <w:p w14:paraId="5881E902" w14:textId="36BD86A8" w:rsidR="003426D1" w:rsidRPr="0086192B" w:rsidRDefault="00A20B09" w:rsidP="00355CF1">
            <w:pPr>
              <w:pStyle w:val="BoxListBullet"/>
            </w:pPr>
            <w:r>
              <w:t>In 2013, m</w:t>
            </w:r>
            <w:r w:rsidR="003426D1" w:rsidRPr="0086192B">
              <w:t xml:space="preserve">ore women </w:t>
            </w:r>
            <w:r>
              <w:t>received</w:t>
            </w:r>
            <w:r w:rsidR="003426D1" w:rsidRPr="0086192B">
              <w:t xml:space="preserve"> </w:t>
            </w:r>
            <w:r w:rsidR="00EE34C5">
              <w:t>ISPs</w:t>
            </w:r>
            <w:r w:rsidR="003426D1" w:rsidRPr="0086192B">
              <w:t>, and housing assistance, than men</w:t>
            </w:r>
            <w:r w:rsidR="00FD1F2F">
              <w:t>.</w:t>
            </w:r>
            <w:r w:rsidR="00C45079" w:rsidRPr="0086192B">
              <w:rPr>
                <w:spacing w:val="-2"/>
              </w:rPr>
              <w:t xml:space="preserve"> </w:t>
            </w:r>
            <w:r w:rsidR="00FD1F2F">
              <w:rPr>
                <w:spacing w:val="-2"/>
              </w:rPr>
              <w:t>O</w:t>
            </w:r>
            <w:r w:rsidR="00C45079" w:rsidRPr="0086192B">
              <w:rPr>
                <w:spacing w:val="-2"/>
              </w:rPr>
              <w:t xml:space="preserve">ver half of all housing assistance recipients </w:t>
            </w:r>
            <w:r w:rsidR="00C45079">
              <w:rPr>
                <w:spacing w:val="-2"/>
              </w:rPr>
              <w:t xml:space="preserve">were </w:t>
            </w:r>
            <w:r w:rsidR="00C45079" w:rsidRPr="0086192B">
              <w:rPr>
                <w:spacing w:val="-2"/>
              </w:rPr>
              <w:t>single, with no dependent children</w:t>
            </w:r>
            <w:r w:rsidR="003426D1" w:rsidRPr="0086192B">
              <w:t>.</w:t>
            </w:r>
            <w:r w:rsidR="0086192B">
              <w:t xml:space="preserve"> </w:t>
            </w:r>
            <w:r w:rsidR="00DC58C6">
              <w:t xml:space="preserve">Compared with </w:t>
            </w:r>
            <w:proofErr w:type="spellStart"/>
            <w:r w:rsidR="00DC58C6">
              <w:t>CRA</w:t>
            </w:r>
            <w:proofErr w:type="spellEnd"/>
            <w:r w:rsidR="00DC58C6">
              <w:t xml:space="preserve"> recipients, r</w:t>
            </w:r>
            <w:r w:rsidR="003426D1" w:rsidRPr="0086192B">
              <w:t xml:space="preserve">esidents of public housing </w:t>
            </w:r>
            <w:r>
              <w:t xml:space="preserve">tended to be </w:t>
            </w:r>
            <w:r w:rsidR="00DC58C6" w:rsidRPr="0086192B">
              <w:t>older</w:t>
            </w:r>
            <w:r w:rsidR="00DC58C6">
              <w:t xml:space="preserve">, </w:t>
            </w:r>
            <w:r w:rsidR="003426D1" w:rsidRPr="00A20B09">
              <w:rPr>
                <w:spacing w:val="-2"/>
              </w:rPr>
              <w:t>more likely to self</w:t>
            </w:r>
            <w:r w:rsidR="00935A28">
              <w:rPr>
                <w:spacing w:val="-2"/>
              </w:rPr>
              <w:noBreakHyphen/>
            </w:r>
            <w:r w:rsidR="003426D1" w:rsidRPr="00A20B09">
              <w:rPr>
                <w:spacing w:val="-2"/>
              </w:rPr>
              <w:t>report as being Indigenous</w:t>
            </w:r>
            <w:r w:rsidR="00DC58C6">
              <w:rPr>
                <w:spacing w:val="-2"/>
              </w:rPr>
              <w:t>, and have</w:t>
            </w:r>
            <w:r w:rsidR="003426D1" w:rsidRPr="00A20B09">
              <w:rPr>
                <w:spacing w:val="-2"/>
              </w:rPr>
              <w:t xml:space="preserve"> a preferred language other than English.</w:t>
            </w:r>
          </w:p>
          <w:p w14:paraId="0AD4E68B" w14:textId="52833A3F" w:rsidR="0086192B" w:rsidRDefault="006039F3" w:rsidP="00355CF1">
            <w:pPr>
              <w:pStyle w:val="BoxListBullet"/>
            </w:pPr>
            <w:r>
              <w:t>About</w:t>
            </w:r>
            <w:r w:rsidRPr="0086192B">
              <w:t xml:space="preserve"> </w:t>
            </w:r>
            <w:r w:rsidR="003426D1" w:rsidRPr="0086192B">
              <w:t xml:space="preserve">one in five </w:t>
            </w:r>
            <w:proofErr w:type="spellStart"/>
            <w:r w:rsidR="003426D1" w:rsidRPr="0086192B">
              <w:t>CRA</w:t>
            </w:r>
            <w:proofErr w:type="spellEnd"/>
            <w:r w:rsidR="003426D1" w:rsidRPr="0086192B">
              <w:t xml:space="preserve"> recipients and one in ten public housing residents reported earnings from work </w:t>
            </w:r>
            <w:r w:rsidR="00935A28">
              <w:t xml:space="preserve">at 30 June </w:t>
            </w:r>
            <w:r w:rsidR="003426D1" w:rsidRPr="0086192B">
              <w:t>2013.</w:t>
            </w:r>
            <w:r w:rsidR="000C4E38" w:rsidDel="000C4E38">
              <w:t xml:space="preserve"> </w:t>
            </w:r>
          </w:p>
          <w:p w14:paraId="249D1CCB" w14:textId="77777777" w:rsidR="00355CF1" w:rsidRDefault="00355CF1" w:rsidP="00355CF1">
            <w:pPr>
              <w:pStyle w:val="BoxListBullet"/>
              <w:rPr>
                <w:rFonts w:ascii="Book Antiqua" w:hAnsi="Book Antiqua"/>
                <w:sz w:val="24"/>
                <w:szCs w:val="24"/>
              </w:rPr>
            </w:pPr>
            <w:r>
              <w:t xml:space="preserve">Job seekers in public housing are more likely to face high barriers to employment than those living in private rentals. About 75 per cent of public housing tenants who receive </w:t>
            </w:r>
            <w:proofErr w:type="spellStart"/>
            <w:r>
              <w:t>Newstart</w:t>
            </w:r>
            <w:proofErr w:type="spellEnd"/>
            <w:r>
              <w:t xml:space="preserve"> Allowance or Youth Allowance (Job Seeker) have severe or significant barriers to employment. In comparison, 45 per cent of </w:t>
            </w:r>
            <w:proofErr w:type="spellStart"/>
            <w:r>
              <w:t>CRA</w:t>
            </w:r>
            <w:proofErr w:type="spellEnd"/>
            <w:r>
              <w:t xml:space="preserve"> recipients have similar barriers. </w:t>
            </w:r>
          </w:p>
          <w:p w14:paraId="3A66575C" w14:textId="50C3BB6A" w:rsidR="000E346C" w:rsidRPr="00D91344" w:rsidRDefault="002900AF" w:rsidP="00355CF1">
            <w:pPr>
              <w:pStyle w:val="BoxListBullet"/>
              <w:rPr>
                <w:szCs w:val="24"/>
              </w:rPr>
            </w:pPr>
            <w:r>
              <w:t>Working-age</w:t>
            </w:r>
            <w:r w:rsidR="003C1C6E" w:rsidRPr="00BA75CB">
              <w:t xml:space="preserve"> </w:t>
            </w:r>
            <w:r w:rsidR="00E0339E">
              <w:t>ISP</w:t>
            </w:r>
            <w:r w:rsidR="003C1C6E" w:rsidRPr="00BA75CB">
              <w:t xml:space="preserve"> recipients </w:t>
            </w:r>
            <w:r w:rsidR="00992C57">
              <w:t>were</w:t>
            </w:r>
            <w:r w:rsidR="00992C57" w:rsidRPr="00BA75CB">
              <w:t xml:space="preserve"> </w:t>
            </w:r>
            <w:r w:rsidR="003C1C6E" w:rsidRPr="00BA75CB">
              <w:t>more likely than other Australians to live in areas of higher socioeconomic disadvantage.</w:t>
            </w:r>
            <w:r w:rsidR="00B67D5E">
              <w:t xml:space="preserve"> In 2013, l</w:t>
            </w:r>
            <w:r w:rsidR="00B67D5E" w:rsidRPr="001D0700">
              <w:t>ow</w:t>
            </w:r>
            <w:r w:rsidR="00B67D5E">
              <w:t xml:space="preserve">er </w:t>
            </w:r>
            <w:r w:rsidR="00B67D5E" w:rsidRPr="001D0700">
              <w:t xml:space="preserve">skill employment opportunities </w:t>
            </w:r>
            <w:r w:rsidR="00B67D5E">
              <w:t xml:space="preserve">and </w:t>
            </w:r>
            <w:proofErr w:type="spellStart"/>
            <w:r w:rsidR="00B67D5E">
              <w:t>CRA</w:t>
            </w:r>
            <w:proofErr w:type="spellEnd"/>
            <w:r w:rsidR="00B67D5E">
              <w:t xml:space="preserve"> recipients</w:t>
            </w:r>
            <w:r w:rsidR="00B67D5E" w:rsidRPr="001D0700">
              <w:t xml:space="preserve"> </w:t>
            </w:r>
            <w:r w:rsidR="00B67D5E">
              <w:t>we</w:t>
            </w:r>
            <w:r w:rsidR="00B67D5E" w:rsidRPr="001D0700">
              <w:t xml:space="preserve">re </w:t>
            </w:r>
            <w:r w:rsidR="00B67D5E">
              <w:t xml:space="preserve">typically </w:t>
            </w:r>
            <w:r w:rsidR="00B67D5E" w:rsidRPr="001D0700">
              <w:t>concentrated in s</w:t>
            </w:r>
            <w:r w:rsidR="00B67D5E">
              <w:t>imilar areas.</w:t>
            </w:r>
          </w:p>
          <w:p w14:paraId="0332466F" w14:textId="26BF578F" w:rsidR="00D91344" w:rsidRPr="0086192B" w:rsidRDefault="00D91344" w:rsidP="00355CF1">
            <w:pPr>
              <w:pStyle w:val="BoxListBullet"/>
              <w:rPr>
                <w:szCs w:val="24"/>
              </w:rPr>
            </w:pPr>
            <w:r>
              <w:t>H</w:t>
            </w:r>
            <w:r w:rsidRPr="003C1878">
              <w:t>ousing assistance recipients are concentrated in major cities and inner regional areas</w:t>
            </w:r>
            <w:r>
              <w:t xml:space="preserve">, </w:t>
            </w:r>
            <w:r w:rsidR="00D67AF3">
              <w:t>although</w:t>
            </w:r>
            <w:r>
              <w:t xml:space="preserve"> the spatial distribution of housing assistance varies considerably across capital cities. </w:t>
            </w:r>
            <w:r w:rsidR="002900AF">
              <w:t>Working-age</w:t>
            </w:r>
            <w:r w:rsidRPr="00293203">
              <w:t xml:space="preserve"> ISP recipients in all jurisdictions </w:t>
            </w:r>
            <w:r>
              <w:t xml:space="preserve">— </w:t>
            </w:r>
            <w:r w:rsidRPr="00293203">
              <w:t xml:space="preserve">other than </w:t>
            </w:r>
            <w:r>
              <w:t xml:space="preserve">the </w:t>
            </w:r>
            <w:r w:rsidRPr="00293203">
              <w:t xml:space="preserve">Australian Capital Territory and </w:t>
            </w:r>
            <w:r>
              <w:t xml:space="preserve">the </w:t>
            </w:r>
            <w:r w:rsidRPr="00293203">
              <w:t xml:space="preserve">Northern Territory </w:t>
            </w:r>
            <w:r>
              <w:t xml:space="preserve">— are </w:t>
            </w:r>
            <w:r w:rsidRPr="00293203">
              <w:t xml:space="preserve">far more likely to receive </w:t>
            </w:r>
            <w:proofErr w:type="spellStart"/>
            <w:r w:rsidRPr="00293203">
              <w:t>CRA</w:t>
            </w:r>
            <w:proofErr w:type="spellEnd"/>
            <w:r w:rsidRPr="00293203">
              <w:t xml:space="preserve"> tha</w:t>
            </w:r>
            <w:r>
              <w:t>n to reside in public housing.</w:t>
            </w:r>
          </w:p>
        </w:tc>
      </w:tr>
      <w:tr w:rsidR="002124C7" w14:paraId="03840804" w14:textId="77777777" w:rsidTr="00C44B39">
        <w:trPr>
          <w:cantSplit/>
        </w:trPr>
        <w:tc>
          <w:tcPr>
            <w:tcW w:w="8771" w:type="dxa"/>
            <w:tcBorders>
              <w:top w:val="nil"/>
              <w:left w:val="nil"/>
              <w:bottom w:val="single" w:sz="6" w:space="0" w:color="78A22F"/>
              <w:right w:val="nil"/>
            </w:tcBorders>
            <w:shd w:val="clear" w:color="auto" w:fill="F2F2F2"/>
          </w:tcPr>
          <w:p w14:paraId="2736FC91" w14:textId="77777777" w:rsidR="002124C7" w:rsidRDefault="002124C7">
            <w:pPr>
              <w:pStyle w:val="Box"/>
              <w:spacing w:before="0" w:line="120" w:lineRule="exact"/>
            </w:pPr>
          </w:p>
        </w:tc>
      </w:tr>
      <w:tr w:rsidR="002124C7" w:rsidRPr="000863A5" w14:paraId="1F1E4645" w14:textId="77777777" w:rsidTr="00C44B39">
        <w:tc>
          <w:tcPr>
            <w:tcW w:w="8771" w:type="dxa"/>
            <w:tcBorders>
              <w:top w:val="single" w:sz="6" w:space="0" w:color="78A22F"/>
              <w:left w:val="nil"/>
              <w:bottom w:val="nil"/>
              <w:right w:val="nil"/>
            </w:tcBorders>
          </w:tcPr>
          <w:p w14:paraId="7B3443E9" w14:textId="5139621B" w:rsidR="002124C7" w:rsidRPr="00626D32" w:rsidRDefault="002124C7" w:rsidP="00C44B39">
            <w:pPr>
              <w:pStyle w:val="BoxSpaceBelow"/>
            </w:pPr>
          </w:p>
        </w:tc>
      </w:tr>
    </w:tbl>
    <w:p w14:paraId="677A8C05" w14:textId="77777777" w:rsidR="00666E02" w:rsidRDefault="00BC2316" w:rsidP="00D91344">
      <w:pPr>
        <w:pStyle w:val="Heading2"/>
      </w:pPr>
      <w:fldSimple w:instr=" SEQ Heading2 ">
        <w:r w:rsidR="00B5435E">
          <w:rPr>
            <w:noProof/>
          </w:rPr>
          <w:t>1</w:t>
        </w:r>
      </w:fldSimple>
      <w:r w:rsidR="00502B34">
        <w:tab/>
        <w:t>Introduction</w:t>
      </w:r>
    </w:p>
    <w:p w14:paraId="635A9C8B" w14:textId="3CFFD18F" w:rsidR="00771312" w:rsidRDefault="00771312" w:rsidP="00771312">
      <w:pPr>
        <w:pStyle w:val="BodyText"/>
        <w:rPr>
          <w:spacing w:val="-2"/>
        </w:rPr>
      </w:pPr>
      <w:r>
        <w:t xml:space="preserve">This </w:t>
      </w:r>
      <w:r w:rsidR="004C3970">
        <w:t>b</w:t>
      </w:r>
      <w:r>
        <w:t xml:space="preserve">ackground </w:t>
      </w:r>
      <w:r w:rsidR="004C3970">
        <w:t xml:space="preserve">paper </w:t>
      </w:r>
      <w:r>
        <w:t xml:space="preserve">presents a </w:t>
      </w:r>
      <w:r w:rsidR="00212A77">
        <w:t>profile</w:t>
      </w:r>
      <w:r>
        <w:t xml:space="preserve"> of income support and housing assistance recipients at 30 June for each of the eleven years spanning 2003–2013. </w:t>
      </w:r>
      <w:r w:rsidRPr="00322693">
        <w:rPr>
          <w:spacing w:val="-2"/>
        </w:rPr>
        <w:t>Th</w:t>
      </w:r>
      <w:r w:rsidR="00694009">
        <w:rPr>
          <w:spacing w:val="-2"/>
        </w:rPr>
        <w:t>e</w:t>
      </w:r>
      <w:r w:rsidRPr="00322693">
        <w:rPr>
          <w:spacing w:val="-2"/>
        </w:rPr>
        <w:t xml:space="preserve"> profile is based on a </w:t>
      </w:r>
      <w:r w:rsidR="00DC0948">
        <w:rPr>
          <w:spacing w:val="-2"/>
        </w:rPr>
        <w:t xml:space="preserve">unique </w:t>
      </w:r>
      <w:r w:rsidRPr="00322693">
        <w:rPr>
          <w:spacing w:val="-2"/>
        </w:rPr>
        <w:t>dataset built from administrative records from the</w:t>
      </w:r>
      <w:r w:rsidR="00694009">
        <w:rPr>
          <w:spacing w:val="-2"/>
        </w:rPr>
        <w:t xml:space="preserve"> Centrelink payments database managed by the</w:t>
      </w:r>
      <w:r w:rsidRPr="00322693">
        <w:rPr>
          <w:spacing w:val="-2"/>
        </w:rPr>
        <w:t xml:space="preserve"> Dep</w:t>
      </w:r>
      <w:r w:rsidR="00E30E6E">
        <w:rPr>
          <w:spacing w:val="-2"/>
        </w:rPr>
        <w:t>artment of Human Services (</w:t>
      </w:r>
      <w:proofErr w:type="spellStart"/>
      <w:r w:rsidR="00E30E6E">
        <w:rPr>
          <w:spacing w:val="-2"/>
        </w:rPr>
        <w:t>DHS</w:t>
      </w:r>
      <w:proofErr w:type="spellEnd"/>
      <w:r w:rsidR="00E30E6E">
        <w:rPr>
          <w:spacing w:val="-2"/>
        </w:rPr>
        <w:t>)</w:t>
      </w:r>
      <w:r w:rsidR="00694009">
        <w:rPr>
          <w:spacing w:val="-2"/>
        </w:rPr>
        <w:t>,</w:t>
      </w:r>
      <w:r w:rsidR="00E30E6E">
        <w:rPr>
          <w:spacing w:val="-2"/>
        </w:rPr>
        <w:t xml:space="preserve"> and is</w:t>
      </w:r>
      <w:r w:rsidR="00E30E6E" w:rsidRPr="00322693">
        <w:rPr>
          <w:spacing w:val="-2"/>
        </w:rPr>
        <w:t xml:space="preserve"> </w:t>
      </w:r>
      <w:r w:rsidRPr="00322693">
        <w:rPr>
          <w:spacing w:val="-2"/>
        </w:rPr>
        <w:t xml:space="preserve">the result of </w:t>
      </w:r>
      <w:r w:rsidR="00D67AF3" w:rsidRPr="00322693">
        <w:rPr>
          <w:spacing w:val="-2"/>
        </w:rPr>
        <w:t>collaboration</w:t>
      </w:r>
      <w:r w:rsidRPr="00322693">
        <w:rPr>
          <w:spacing w:val="-2"/>
        </w:rPr>
        <w:t xml:space="preserve"> between the </w:t>
      </w:r>
      <w:proofErr w:type="spellStart"/>
      <w:r w:rsidRPr="00322693">
        <w:rPr>
          <w:spacing w:val="-2"/>
        </w:rPr>
        <w:t>DHS</w:t>
      </w:r>
      <w:proofErr w:type="spellEnd"/>
      <w:r w:rsidRPr="00322693">
        <w:rPr>
          <w:spacing w:val="-2"/>
        </w:rPr>
        <w:t xml:space="preserve"> and the Productivity Commission.</w:t>
      </w:r>
      <w:r w:rsidR="00FE663B">
        <w:rPr>
          <w:spacing w:val="-2"/>
        </w:rPr>
        <w:t xml:space="preserve"> The dataset is referred to </w:t>
      </w:r>
      <w:r w:rsidR="00376D9A">
        <w:rPr>
          <w:spacing w:val="-2"/>
        </w:rPr>
        <w:t xml:space="preserve">throughout the paper as </w:t>
      </w:r>
      <w:r w:rsidR="00FE663B">
        <w:rPr>
          <w:spacing w:val="-2"/>
        </w:rPr>
        <w:t>the ‘</w:t>
      </w:r>
      <w:proofErr w:type="spellStart"/>
      <w:r w:rsidR="00FE663B">
        <w:rPr>
          <w:spacing w:val="-2"/>
        </w:rPr>
        <w:t>DHS</w:t>
      </w:r>
      <w:proofErr w:type="spellEnd"/>
      <w:r w:rsidR="00FE663B">
        <w:rPr>
          <w:spacing w:val="-2"/>
        </w:rPr>
        <w:t xml:space="preserve"> data’.</w:t>
      </w:r>
    </w:p>
    <w:p w14:paraId="26345C96" w14:textId="0DB17E61" w:rsidR="00502B34" w:rsidRDefault="00771312" w:rsidP="00771312">
      <w:pPr>
        <w:pStyle w:val="BodyText"/>
        <w:rPr>
          <w:spacing w:val="-2"/>
        </w:rPr>
      </w:pPr>
      <w:r>
        <w:rPr>
          <w:spacing w:val="-2"/>
        </w:rPr>
        <w:t xml:space="preserve">The profile presents detailed information on </w:t>
      </w:r>
      <w:r w:rsidR="002900AF">
        <w:rPr>
          <w:spacing w:val="-2"/>
        </w:rPr>
        <w:t>working-age</w:t>
      </w:r>
      <w:r>
        <w:rPr>
          <w:spacing w:val="-2"/>
        </w:rPr>
        <w:t xml:space="preserve"> housing assistance recipients who receive income support payments</w:t>
      </w:r>
      <w:r w:rsidR="008C0BF2">
        <w:rPr>
          <w:spacing w:val="-2"/>
        </w:rPr>
        <w:t xml:space="preserve"> (ISPs)</w:t>
      </w:r>
      <w:r>
        <w:rPr>
          <w:spacing w:val="-2"/>
        </w:rPr>
        <w:t xml:space="preserve">. </w:t>
      </w:r>
      <w:r w:rsidR="00DC0948">
        <w:rPr>
          <w:spacing w:val="-2"/>
        </w:rPr>
        <w:t xml:space="preserve">This departs from existing approaches to reporting on housing assistance, which </w:t>
      </w:r>
      <w:r w:rsidR="00D67AF3">
        <w:rPr>
          <w:spacing w:val="-2"/>
        </w:rPr>
        <w:t>focus</w:t>
      </w:r>
      <w:r w:rsidR="00DC0948">
        <w:rPr>
          <w:spacing w:val="-2"/>
        </w:rPr>
        <w:t xml:space="preserve"> on either households or </w:t>
      </w:r>
      <w:r w:rsidR="008E332C">
        <w:rPr>
          <w:spacing w:val="-2"/>
        </w:rPr>
        <w:t xml:space="preserve">the </w:t>
      </w:r>
      <w:r w:rsidR="00DC0948">
        <w:rPr>
          <w:spacing w:val="-2"/>
        </w:rPr>
        <w:t xml:space="preserve">income units of </w:t>
      </w:r>
      <w:r w:rsidR="008E332C">
        <w:rPr>
          <w:spacing w:val="-2"/>
        </w:rPr>
        <w:t>which</w:t>
      </w:r>
      <w:r w:rsidR="00DC0948">
        <w:rPr>
          <w:spacing w:val="-2"/>
        </w:rPr>
        <w:t xml:space="preserve"> individual</w:t>
      </w:r>
      <w:r w:rsidR="008E332C">
        <w:rPr>
          <w:spacing w:val="-2"/>
        </w:rPr>
        <w:t>s</w:t>
      </w:r>
      <w:r w:rsidR="00DC0948">
        <w:rPr>
          <w:spacing w:val="-2"/>
        </w:rPr>
        <w:t xml:space="preserve"> </w:t>
      </w:r>
      <w:r w:rsidR="008E332C">
        <w:rPr>
          <w:spacing w:val="-2"/>
        </w:rPr>
        <w:t>are</w:t>
      </w:r>
      <w:r w:rsidR="00DC0948">
        <w:rPr>
          <w:spacing w:val="-2"/>
        </w:rPr>
        <w:t xml:space="preserve"> a part. </w:t>
      </w:r>
      <w:r>
        <w:rPr>
          <w:spacing w:val="-2"/>
        </w:rPr>
        <w:t xml:space="preserve">A focus on </w:t>
      </w:r>
      <w:r w:rsidR="00DC0948">
        <w:rPr>
          <w:spacing w:val="-2"/>
        </w:rPr>
        <w:t>individual recipients</w:t>
      </w:r>
      <w:r w:rsidR="00344283">
        <w:rPr>
          <w:spacing w:val="-2"/>
        </w:rPr>
        <w:t xml:space="preserve"> </w:t>
      </w:r>
      <w:r>
        <w:rPr>
          <w:spacing w:val="-2"/>
        </w:rPr>
        <w:t xml:space="preserve">allows a better understanding of </w:t>
      </w:r>
      <w:r w:rsidR="00344283">
        <w:rPr>
          <w:spacing w:val="-2"/>
        </w:rPr>
        <w:t xml:space="preserve">the </w:t>
      </w:r>
      <w:r w:rsidR="008C0BF2">
        <w:rPr>
          <w:spacing w:val="-2"/>
        </w:rPr>
        <w:t xml:space="preserve">individual </w:t>
      </w:r>
      <w:r w:rsidR="009817A9">
        <w:rPr>
          <w:spacing w:val="-2"/>
        </w:rPr>
        <w:t xml:space="preserve">characteristics </w:t>
      </w:r>
      <w:r>
        <w:rPr>
          <w:spacing w:val="-2"/>
        </w:rPr>
        <w:t xml:space="preserve">that </w:t>
      </w:r>
      <w:r w:rsidR="00344283">
        <w:rPr>
          <w:spacing w:val="-2"/>
        </w:rPr>
        <w:t>are likely to</w:t>
      </w:r>
      <w:r>
        <w:rPr>
          <w:spacing w:val="-2"/>
        </w:rPr>
        <w:t xml:space="preserve"> affect </w:t>
      </w:r>
      <w:r w:rsidR="00E30E6E">
        <w:rPr>
          <w:spacing w:val="-2"/>
        </w:rPr>
        <w:t>ISP recipients’</w:t>
      </w:r>
      <w:r>
        <w:rPr>
          <w:spacing w:val="-2"/>
        </w:rPr>
        <w:t xml:space="preserve"> likelihood of employment.</w:t>
      </w:r>
      <w:r w:rsidR="008C0BF2">
        <w:rPr>
          <w:spacing w:val="-2"/>
        </w:rPr>
        <w:t xml:space="preserve"> The use of administrative records </w:t>
      </w:r>
      <w:r w:rsidR="00546EC5">
        <w:rPr>
          <w:spacing w:val="-2"/>
        </w:rPr>
        <w:t>supports a detailed and</w:t>
      </w:r>
      <w:r w:rsidR="008C0BF2">
        <w:rPr>
          <w:spacing w:val="-2"/>
        </w:rPr>
        <w:t xml:space="preserve"> comprehensive description of the </w:t>
      </w:r>
      <w:r w:rsidR="002900AF">
        <w:rPr>
          <w:spacing w:val="-2"/>
        </w:rPr>
        <w:t>working-age</w:t>
      </w:r>
      <w:r w:rsidR="008C0BF2">
        <w:rPr>
          <w:spacing w:val="-2"/>
        </w:rPr>
        <w:t xml:space="preserve"> population of ISP recipients.</w:t>
      </w:r>
    </w:p>
    <w:p w14:paraId="41D0A309" w14:textId="48DFE235" w:rsidR="008C0BF2" w:rsidRDefault="008C0BF2" w:rsidP="008C0BF2">
      <w:pPr>
        <w:pStyle w:val="BodyText"/>
        <w:rPr>
          <w:spacing w:val="-2"/>
        </w:rPr>
      </w:pPr>
      <w:r>
        <w:rPr>
          <w:spacing w:val="-2"/>
        </w:rPr>
        <w:t xml:space="preserve">The profile provides a brief description of the </w:t>
      </w:r>
      <w:proofErr w:type="spellStart"/>
      <w:r w:rsidR="000E6F54">
        <w:rPr>
          <w:spacing w:val="-2"/>
        </w:rPr>
        <w:t>DHS</w:t>
      </w:r>
      <w:proofErr w:type="spellEnd"/>
      <w:r w:rsidR="000E6F54">
        <w:rPr>
          <w:spacing w:val="-2"/>
        </w:rPr>
        <w:t xml:space="preserve"> </w:t>
      </w:r>
      <w:r>
        <w:rPr>
          <w:spacing w:val="-2"/>
        </w:rPr>
        <w:t xml:space="preserve">data, followed by a series of figures that describe </w:t>
      </w:r>
      <w:r w:rsidR="0087224F">
        <w:rPr>
          <w:spacing w:val="-2"/>
        </w:rPr>
        <w:t xml:space="preserve">broad trends in housing assistance and the </w:t>
      </w:r>
      <w:r>
        <w:rPr>
          <w:spacing w:val="-2"/>
        </w:rPr>
        <w:t xml:space="preserve">diverse population of </w:t>
      </w:r>
      <w:r w:rsidR="002900AF">
        <w:rPr>
          <w:spacing w:val="-2"/>
        </w:rPr>
        <w:t>working-age</w:t>
      </w:r>
      <w:r>
        <w:rPr>
          <w:spacing w:val="-2"/>
        </w:rPr>
        <w:t xml:space="preserve"> people who receive both housing assistance and income support.</w:t>
      </w:r>
      <w:r w:rsidR="00C6295E">
        <w:rPr>
          <w:spacing w:val="-2"/>
        </w:rPr>
        <w:t xml:space="preserve"> An </w:t>
      </w:r>
      <w:r w:rsidR="002900AF">
        <w:rPr>
          <w:spacing w:val="-2"/>
        </w:rPr>
        <w:t>annex</w:t>
      </w:r>
      <w:r w:rsidR="00C6295E">
        <w:rPr>
          <w:spacing w:val="-2"/>
        </w:rPr>
        <w:t xml:space="preserve"> containing detailed tables drawn from the </w:t>
      </w:r>
      <w:proofErr w:type="spellStart"/>
      <w:r w:rsidR="00C6295E">
        <w:rPr>
          <w:spacing w:val="-2"/>
        </w:rPr>
        <w:t>DHS</w:t>
      </w:r>
      <w:proofErr w:type="spellEnd"/>
      <w:r w:rsidR="00C6295E">
        <w:rPr>
          <w:spacing w:val="-2"/>
        </w:rPr>
        <w:t xml:space="preserve"> data </w:t>
      </w:r>
      <w:r w:rsidR="00DF582F">
        <w:rPr>
          <w:spacing w:val="-2"/>
        </w:rPr>
        <w:t>supports</w:t>
      </w:r>
      <w:r w:rsidR="00C6295E">
        <w:rPr>
          <w:spacing w:val="-2"/>
        </w:rPr>
        <w:t xml:space="preserve"> this profile. Background </w:t>
      </w:r>
      <w:r w:rsidR="008E332C">
        <w:rPr>
          <w:spacing w:val="-2"/>
        </w:rPr>
        <w:t>p</w:t>
      </w:r>
      <w:r w:rsidR="00C6295E">
        <w:rPr>
          <w:spacing w:val="-2"/>
        </w:rPr>
        <w:t>aper 1 provides detail on the operation of different types of housing assistance.</w:t>
      </w:r>
    </w:p>
    <w:p w14:paraId="7C0B611D" w14:textId="77777777" w:rsidR="00837790" w:rsidRPr="00935A28" w:rsidRDefault="00BC2316" w:rsidP="00837790">
      <w:pPr>
        <w:pStyle w:val="Heading2"/>
      </w:pPr>
      <w:fldSimple w:instr=" SEQ Heading2 ">
        <w:r w:rsidR="00B5435E">
          <w:rPr>
            <w:noProof/>
          </w:rPr>
          <w:t>2</w:t>
        </w:r>
      </w:fldSimple>
      <w:r w:rsidR="00502B34">
        <w:tab/>
      </w:r>
      <w:r w:rsidR="00E30E6E" w:rsidRPr="00935A28">
        <w:t xml:space="preserve">The </w:t>
      </w:r>
      <w:r w:rsidR="00837790" w:rsidRPr="00935A28">
        <w:t xml:space="preserve">data used in </w:t>
      </w:r>
      <w:r w:rsidR="00DE6A0B" w:rsidRPr="00935A28">
        <w:t>this</w:t>
      </w:r>
      <w:r w:rsidR="00837790" w:rsidRPr="00935A28">
        <w:t xml:space="preserve"> </w:t>
      </w:r>
      <w:r w:rsidR="00DE6A0B" w:rsidRPr="00935A28">
        <w:t>profile</w:t>
      </w:r>
    </w:p>
    <w:p w14:paraId="5B99955D" w14:textId="7BAD570E" w:rsidR="007F0DA5" w:rsidRDefault="007F0DA5" w:rsidP="007F0DA5">
      <w:pPr>
        <w:pStyle w:val="BodyText"/>
      </w:pPr>
      <w:r>
        <w:t>The</w:t>
      </w:r>
      <w:r w:rsidR="000945B6">
        <w:t xml:space="preserve"> administrative</w:t>
      </w:r>
      <w:r>
        <w:t xml:space="preserve"> records </w:t>
      </w:r>
      <w:r w:rsidR="000E6F54">
        <w:t xml:space="preserve">underlying the </w:t>
      </w:r>
      <w:proofErr w:type="spellStart"/>
      <w:r w:rsidR="000E6F54">
        <w:t>DHS</w:t>
      </w:r>
      <w:proofErr w:type="spellEnd"/>
      <w:r w:rsidR="000E6F54">
        <w:t xml:space="preserve"> data</w:t>
      </w:r>
      <w:r w:rsidR="000945B6">
        <w:t xml:space="preserve"> </w:t>
      </w:r>
      <w:r>
        <w:t xml:space="preserve">contain information about people’s eligibility for ISPs, the types and levels of assistance they receive and </w:t>
      </w:r>
      <w:r w:rsidR="009917A3">
        <w:t xml:space="preserve">the </w:t>
      </w:r>
      <w:r w:rsidR="00657BD9">
        <w:t xml:space="preserve">demographic </w:t>
      </w:r>
      <w:r w:rsidR="000D37CB">
        <w:t>characteristics</w:t>
      </w:r>
      <w:r w:rsidR="00657BD9">
        <w:t xml:space="preserve"> necessary </w:t>
      </w:r>
      <w:r>
        <w:t xml:space="preserve">to identify </w:t>
      </w:r>
      <w:r w:rsidR="000D37CB">
        <w:t>them</w:t>
      </w:r>
      <w:r>
        <w:t xml:space="preserve"> and deliver payments.</w:t>
      </w:r>
      <w:r w:rsidR="00657BD9">
        <w:t xml:space="preserve"> </w:t>
      </w:r>
      <w:r>
        <w:t xml:space="preserve">The </w:t>
      </w:r>
      <w:r w:rsidR="00917578">
        <w:t xml:space="preserve">records were </w:t>
      </w:r>
      <w:r w:rsidR="00D261BF">
        <w:t>created when</w:t>
      </w:r>
      <w:r>
        <w:t xml:space="preserve"> ISP recipients</w:t>
      </w:r>
      <w:r w:rsidR="00D261BF">
        <w:t xml:space="preserve"> and</w:t>
      </w:r>
      <w:r>
        <w:t xml:space="preserve"> Centrelink customer support o</w:t>
      </w:r>
      <w:r w:rsidR="00657BD9">
        <w:t xml:space="preserve">fficers </w:t>
      </w:r>
      <w:r w:rsidR="00D261BF">
        <w:t>fill</w:t>
      </w:r>
      <w:r w:rsidR="00917578">
        <w:t>ed</w:t>
      </w:r>
      <w:r w:rsidR="00D261BF">
        <w:t xml:space="preserve"> out relevant documentation, </w:t>
      </w:r>
      <w:r w:rsidR="00657BD9">
        <w:t xml:space="preserve">and </w:t>
      </w:r>
      <w:r w:rsidR="00D261BF">
        <w:t>when</w:t>
      </w:r>
      <w:r w:rsidR="009E7176">
        <w:t xml:space="preserve"> the</w:t>
      </w:r>
      <w:r w:rsidR="00D261BF">
        <w:t xml:space="preserve"> </w:t>
      </w:r>
      <w:proofErr w:type="spellStart"/>
      <w:r w:rsidR="00657BD9">
        <w:t>DHS</w:t>
      </w:r>
      <w:proofErr w:type="spellEnd"/>
      <w:r w:rsidR="00657BD9">
        <w:t xml:space="preserve"> </w:t>
      </w:r>
      <w:r w:rsidR="00917578">
        <w:t>made</w:t>
      </w:r>
      <w:r w:rsidR="00D261BF">
        <w:t xml:space="preserve"> </w:t>
      </w:r>
      <w:r w:rsidR="00657BD9">
        <w:t>payment</w:t>
      </w:r>
      <w:r w:rsidR="00917578">
        <w:t>s</w:t>
      </w:r>
      <w:r w:rsidR="00D261BF">
        <w:t xml:space="preserve">. </w:t>
      </w:r>
      <w:r w:rsidR="000E6F54">
        <w:t>The dataset</w:t>
      </w:r>
      <w:r w:rsidR="00D261BF">
        <w:t xml:space="preserve"> built from these records</w:t>
      </w:r>
      <w:r w:rsidR="00657BD9">
        <w:t xml:space="preserve"> includes information for the fortnight preceding </w:t>
      </w:r>
      <w:r w:rsidR="00917578">
        <w:t xml:space="preserve">the </w:t>
      </w:r>
      <w:r w:rsidR="00657BD9">
        <w:t xml:space="preserve">30th </w:t>
      </w:r>
      <w:r w:rsidR="00917578">
        <w:t xml:space="preserve">of </w:t>
      </w:r>
      <w:r w:rsidR="00657BD9">
        <w:t>June of each year.</w:t>
      </w:r>
      <w:r w:rsidR="00D261BF">
        <w:t xml:space="preserve"> The data </w:t>
      </w:r>
      <w:r w:rsidR="008E332C">
        <w:t xml:space="preserve">underlying the profile </w:t>
      </w:r>
      <w:r w:rsidR="00D261BF">
        <w:t>are de</w:t>
      </w:r>
      <w:r w:rsidR="00935A28">
        <w:noBreakHyphen/>
      </w:r>
      <w:r w:rsidR="00D261BF">
        <w:t xml:space="preserve">identified, that is, information that could be used to identify an individual, like their name and address, </w:t>
      </w:r>
      <w:r w:rsidR="00917578">
        <w:t>has</w:t>
      </w:r>
      <w:r w:rsidR="00D261BF">
        <w:t xml:space="preserve"> been removed.</w:t>
      </w:r>
    </w:p>
    <w:p w14:paraId="2E03E621" w14:textId="2B709A48" w:rsidR="0044634C" w:rsidRDefault="007F0DA5" w:rsidP="007F0DA5">
      <w:pPr>
        <w:pStyle w:val="BodyText"/>
      </w:pPr>
      <w:r>
        <w:t xml:space="preserve">While the </w:t>
      </w:r>
      <w:proofErr w:type="spellStart"/>
      <w:r w:rsidR="000E6F54">
        <w:t>DHS</w:t>
      </w:r>
      <w:proofErr w:type="spellEnd"/>
      <w:r w:rsidR="000E6F54">
        <w:t xml:space="preserve"> </w:t>
      </w:r>
      <w:r>
        <w:t xml:space="preserve">data cover all </w:t>
      </w:r>
      <w:r w:rsidR="00237FEA">
        <w:t xml:space="preserve">people </w:t>
      </w:r>
      <w:r>
        <w:t xml:space="preserve">receiving an </w:t>
      </w:r>
      <w:r w:rsidR="00142D35">
        <w:t>ISP</w:t>
      </w:r>
      <w:r>
        <w:t xml:space="preserve"> at the end of each financial year, people who were aged less than 15, or more than 65, or who were receiving the Age Pension were excluded, to focus on </w:t>
      </w:r>
      <w:r w:rsidR="002900AF">
        <w:t>working-age</w:t>
      </w:r>
      <w:r>
        <w:t xml:space="preserve"> people</w:t>
      </w:r>
      <w:r w:rsidR="00CB4233">
        <w:t>.</w:t>
      </w:r>
      <w:r w:rsidR="009817A9" w:rsidRPr="00627E7B">
        <w:rPr>
          <w:rStyle w:val="FootnoteReference"/>
        </w:rPr>
        <w:footnoteReference w:id="1"/>
      </w:r>
      <w:r>
        <w:t xml:space="preserve"> Variables were included in the database to provide information about the relationship between </w:t>
      </w:r>
      <w:r w:rsidR="008C24E3">
        <w:t xml:space="preserve">income support, </w:t>
      </w:r>
      <w:r>
        <w:t>housing assistance and employment</w:t>
      </w:r>
      <w:r w:rsidR="008C24E3">
        <w:t xml:space="preserve">. They include information about </w:t>
      </w:r>
      <w:r w:rsidR="0044634C">
        <w:t xml:space="preserve">recipients’ </w:t>
      </w:r>
      <w:r w:rsidR="008C24E3">
        <w:t>ISP</w:t>
      </w:r>
      <w:r w:rsidR="0044634C">
        <w:t xml:space="preserve"> type</w:t>
      </w:r>
      <w:r w:rsidR="008C24E3">
        <w:t xml:space="preserve">s, demographic </w:t>
      </w:r>
      <w:r w:rsidR="0044634C">
        <w:t>characteristics</w:t>
      </w:r>
      <w:r w:rsidR="008C24E3">
        <w:t xml:space="preserve">, </w:t>
      </w:r>
      <w:r w:rsidR="0044634C">
        <w:t xml:space="preserve">location, </w:t>
      </w:r>
      <w:r w:rsidR="008C24E3">
        <w:t>income and employment</w:t>
      </w:r>
      <w:r w:rsidR="00142D35">
        <w:t>,</w:t>
      </w:r>
      <w:r w:rsidR="008C24E3">
        <w:t xml:space="preserve"> and time spent on income support.</w:t>
      </w:r>
    </w:p>
    <w:p w14:paraId="66A0558E" w14:textId="747C048B" w:rsidR="00657BD9" w:rsidRDefault="00657BD9" w:rsidP="007F0DA5">
      <w:pPr>
        <w:pStyle w:val="BodyText"/>
      </w:pPr>
      <w:r>
        <w:lastRenderedPageBreak/>
        <w:t xml:space="preserve">Where </w:t>
      </w:r>
      <w:r w:rsidR="0044634C">
        <w:t xml:space="preserve">information about </w:t>
      </w:r>
      <w:r>
        <w:t xml:space="preserve">a continuous variable — such as earned income — is </w:t>
      </w:r>
      <w:r w:rsidR="0044634C">
        <w:t>presented in the profile</w:t>
      </w:r>
      <w:r>
        <w:t xml:space="preserve">, </w:t>
      </w:r>
      <w:r w:rsidR="00E4740E">
        <w:t>‘</w:t>
      </w:r>
      <w:r>
        <w:t xml:space="preserve">box </w:t>
      </w:r>
      <w:r w:rsidR="00E4740E">
        <w:t xml:space="preserve">and whisker’ </w:t>
      </w:r>
      <w:r>
        <w:t xml:space="preserve">plots </w:t>
      </w:r>
      <w:r w:rsidR="007B7DCE">
        <w:t>are</w:t>
      </w:r>
      <w:r>
        <w:t xml:space="preserve"> used to summarise the distribution of that variable over a group of people (box</w:t>
      </w:r>
      <w:r w:rsidR="00935A28">
        <w:t> </w:t>
      </w:r>
      <w:r w:rsidR="00610074">
        <w:t>1</w:t>
      </w:r>
      <w:r>
        <w:t>).</w:t>
      </w:r>
    </w:p>
    <w:p w14:paraId="2FFF130F" w14:textId="21757B4E" w:rsidR="0088609E" w:rsidRDefault="0088609E" w:rsidP="0088609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4798"/>
        <w:gridCol w:w="3973"/>
      </w:tblGrid>
      <w:tr w:rsidR="0088609E" w14:paraId="5B3AC12F" w14:textId="77777777" w:rsidTr="00F0048A">
        <w:tc>
          <w:tcPr>
            <w:tcW w:w="8771" w:type="dxa"/>
            <w:gridSpan w:val="2"/>
            <w:tcBorders>
              <w:top w:val="single" w:sz="6" w:space="0" w:color="78A22F"/>
              <w:left w:val="nil"/>
              <w:bottom w:val="nil"/>
              <w:right w:val="nil"/>
            </w:tcBorders>
            <w:shd w:val="clear" w:color="auto" w:fill="F2F2F2"/>
          </w:tcPr>
          <w:p w14:paraId="678B048F" w14:textId="77777777" w:rsidR="0088609E" w:rsidRDefault="0088609E" w:rsidP="00F0048A">
            <w:pPr>
              <w:pStyle w:val="BoxTitle"/>
            </w:pPr>
            <w:r>
              <w:rPr>
                <w:b w:val="0"/>
              </w:rPr>
              <w:t xml:space="preserve">Box </w:t>
            </w:r>
            <w:r>
              <w:rPr>
                <w:b w:val="0"/>
              </w:rPr>
              <w:fldChar w:fldCharType="begin"/>
            </w:r>
            <w:r>
              <w:rPr>
                <w:b w:val="0"/>
              </w:rPr>
              <w:instrText xml:space="preserve"> SEQ Box \* ARABIC </w:instrText>
            </w:r>
            <w:r>
              <w:rPr>
                <w:b w:val="0"/>
              </w:rPr>
              <w:fldChar w:fldCharType="separate"/>
            </w:r>
            <w:r w:rsidR="00B5435E">
              <w:rPr>
                <w:b w:val="0"/>
                <w:noProof/>
              </w:rPr>
              <w:t>1</w:t>
            </w:r>
            <w:r>
              <w:rPr>
                <w:b w:val="0"/>
              </w:rPr>
              <w:fldChar w:fldCharType="end"/>
            </w:r>
            <w:r>
              <w:tab/>
              <w:t>Interpreting ‘box and whisker’ plots</w:t>
            </w:r>
          </w:p>
        </w:tc>
      </w:tr>
      <w:tr w:rsidR="0088609E" w14:paraId="2CF9622B" w14:textId="77777777" w:rsidTr="00F0048A">
        <w:tblPrEx>
          <w:tblCellMar>
            <w:left w:w="108" w:type="dxa"/>
            <w:right w:w="108" w:type="dxa"/>
          </w:tblCellMar>
        </w:tblPrEx>
        <w:trPr>
          <w:cantSplit/>
        </w:trPr>
        <w:tc>
          <w:tcPr>
            <w:tcW w:w="4798" w:type="dxa"/>
            <w:tcBorders>
              <w:top w:val="nil"/>
              <w:left w:val="nil"/>
              <w:bottom w:val="nil"/>
              <w:right w:val="nil"/>
            </w:tcBorders>
            <w:shd w:val="clear" w:color="auto" w:fill="F2F2F2"/>
          </w:tcPr>
          <w:p w14:paraId="7811FCBD" w14:textId="6E74C8CB" w:rsidR="0088609E" w:rsidRDefault="0088609E" w:rsidP="00F0048A">
            <w:pPr>
              <w:pStyle w:val="Box"/>
            </w:pPr>
            <w:r>
              <w:t xml:space="preserve">‘Box and whisker’ plots can be used to summarize the distribution of an indicator over a particular group of housing assistance </w:t>
            </w:r>
            <w:r w:rsidR="00D67AF3">
              <w:t>recipients;</w:t>
            </w:r>
            <w:r>
              <w:t xml:space="preserve"> such as the time they have spent receiving income support.</w:t>
            </w:r>
          </w:p>
          <w:p w14:paraId="6519E89A" w14:textId="77777777" w:rsidR="0088609E" w:rsidRPr="002B34F3" w:rsidRDefault="0088609E" w:rsidP="00F0048A">
            <w:pPr>
              <w:pStyle w:val="Box"/>
              <w:rPr>
                <w:spacing w:val="-2"/>
              </w:rPr>
            </w:pPr>
            <w:r>
              <w:rPr>
                <w:spacing w:val="-2"/>
              </w:rPr>
              <w:t>The line in the middle of the box to the right represents the median value of the indicator, while the diamond shows the mean value. The outer edges of the box represent the interquartile range — the gap between the 25</w:t>
            </w:r>
            <w:r w:rsidRPr="002B34F3">
              <w:rPr>
                <w:spacing w:val="-2"/>
                <w:vertAlign w:val="superscript"/>
              </w:rPr>
              <w:t>th</w:t>
            </w:r>
            <w:r>
              <w:rPr>
                <w:spacing w:val="-2"/>
              </w:rPr>
              <w:t xml:space="preserve"> and 75</w:t>
            </w:r>
            <w:r w:rsidRPr="002B34F3">
              <w:rPr>
                <w:spacing w:val="-2"/>
                <w:vertAlign w:val="superscript"/>
              </w:rPr>
              <w:t>th</w:t>
            </w:r>
            <w:r>
              <w:rPr>
                <w:spacing w:val="-2"/>
              </w:rPr>
              <w:t xml:space="preserve"> percentiles — so 50 per cent of observations fall within the box. The whiskers extending out from the box show values of the indicator at the 10</w:t>
            </w:r>
            <w:r w:rsidRPr="002B34F3">
              <w:rPr>
                <w:spacing w:val="-2"/>
                <w:vertAlign w:val="superscript"/>
              </w:rPr>
              <w:t>th</w:t>
            </w:r>
            <w:r>
              <w:rPr>
                <w:spacing w:val="-2"/>
              </w:rPr>
              <w:t xml:space="preserve"> and 90</w:t>
            </w:r>
            <w:r w:rsidRPr="002B34F3">
              <w:rPr>
                <w:spacing w:val="-2"/>
                <w:vertAlign w:val="superscript"/>
              </w:rPr>
              <w:t>th</w:t>
            </w:r>
            <w:r>
              <w:rPr>
                <w:spacing w:val="-2"/>
              </w:rPr>
              <w:t xml:space="preserve"> percentiles.</w:t>
            </w:r>
          </w:p>
        </w:tc>
        <w:tc>
          <w:tcPr>
            <w:tcW w:w="3973" w:type="dxa"/>
            <w:tcBorders>
              <w:top w:val="nil"/>
              <w:left w:val="nil"/>
              <w:bottom w:val="nil"/>
              <w:right w:val="nil"/>
            </w:tcBorders>
            <w:shd w:val="clear" w:color="auto" w:fill="F2F2F2"/>
          </w:tcPr>
          <w:p w14:paraId="2DFD4539" w14:textId="77777777" w:rsidR="0088609E" w:rsidRDefault="0088609E" w:rsidP="00F0048A">
            <w:pPr>
              <w:pStyle w:val="Box"/>
              <w:jc w:val="right"/>
            </w:pPr>
            <w:r>
              <w:rPr>
                <w:noProof/>
                <w:spacing w:val="-2"/>
              </w:rPr>
              <mc:AlternateContent>
                <mc:Choice Requires="wps">
                  <w:drawing>
                    <wp:anchor distT="0" distB="0" distL="114300" distR="114300" simplePos="0" relativeHeight="251760640" behindDoc="0" locked="0" layoutInCell="1" allowOverlap="1" wp14:anchorId="5789A57C" wp14:editId="569E740A">
                      <wp:simplePos x="0" y="0"/>
                      <wp:positionH relativeFrom="column">
                        <wp:posOffset>-67368</wp:posOffset>
                      </wp:positionH>
                      <wp:positionV relativeFrom="paragraph">
                        <wp:posOffset>1617980</wp:posOffset>
                      </wp:positionV>
                      <wp:extent cx="1257300" cy="244475"/>
                      <wp:effectExtent l="0" t="0" r="0" b="3175"/>
                      <wp:wrapNone/>
                      <wp:docPr id="5" name="Text Box 5"/>
                      <wp:cNvGraphicFramePr/>
                      <a:graphic xmlns:a="http://schemas.openxmlformats.org/drawingml/2006/main">
                        <a:graphicData uri="http://schemas.microsoft.com/office/word/2010/wordprocessingShape">
                          <wps:wsp>
                            <wps:cNvSpPr txBox="1"/>
                            <wps:spPr>
                              <a:xfrm>
                                <a:off x="0" y="0"/>
                                <a:ext cx="1257300" cy="244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52AB63" w14:textId="77777777" w:rsidR="009A5CAA" w:rsidRPr="00700390" w:rsidRDefault="009A5CAA" w:rsidP="0088609E">
                                  <w:pPr>
                                    <w:rPr>
                                      <w:rFonts w:ascii="Arial" w:hAnsi="Arial" w:cs="Arial"/>
                                      <w:sz w:val="18"/>
                                      <w:szCs w:val="18"/>
                                    </w:rPr>
                                  </w:pPr>
                                  <w:r w:rsidRPr="00700390">
                                    <w:rPr>
                                      <w:rFonts w:ascii="Arial" w:hAnsi="Arial" w:cs="Arial"/>
                                      <w:sz w:val="18"/>
                                      <w:szCs w:val="18"/>
                                    </w:rPr>
                                    <w:t>10</w:t>
                                  </w:r>
                                  <w:r w:rsidRPr="00700390">
                                    <w:rPr>
                                      <w:rFonts w:ascii="Arial" w:hAnsi="Arial" w:cs="Arial"/>
                                      <w:sz w:val="18"/>
                                      <w:szCs w:val="18"/>
                                      <w:vertAlign w:val="superscript"/>
                                    </w:rPr>
                                    <w:t>th</w:t>
                                  </w:r>
                                  <w:r w:rsidRPr="00700390">
                                    <w:rPr>
                                      <w:rFonts w:ascii="Arial" w:hAnsi="Arial" w:cs="Arial"/>
                                      <w:sz w:val="18"/>
                                      <w:szCs w:val="18"/>
                                    </w:rPr>
                                    <w:t xml:space="preserve"> percentile</w:t>
                                  </w:r>
                                  <w:r>
                                    <w:rPr>
                                      <w:rFonts w:ascii="Arial" w:hAnsi="Arial" w:cs="Arial"/>
                                      <w:sz w:val="18"/>
                                      <w:szCs w:val="18"/>
                                    </w:rPr>
                                    <w:t xml:space="preserve"> (</w:t>
                                  </w:r>
                                  <w:proofErr w:type="spellStart"/>
                                  <w:r>
                                    <w:rPr>
                                      <w:rFonts w:ascii="Arial" w:hAnsi="Arial" w:cs="Arial"/>
                                      <w:sz w:val="18"/>
                                      <w:szCs w:val="18"/>
                                    </w:rPr>
                                    <w:t>p10</w:t>
                                  </w:r>
                                  <w:proofErr w:type="spellEnd"/>
                                  <w:r>
                                    <w:rPr>
                                      <w:rFonts w:ascii="Arial" w:hAnsi="Arial" w:cs="Arial"/>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5.3pt;margin-top:127.4pt;width:99pt;height:19.25pt;z-index:2517606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" filled="f" stroked="f" strokeweight=".5pt">
                      <v:textbox>
                        <w:txbxContent>
                          <w:p w14:paraId="2452AB63" w14:textId="77777777" w:rsidR="009A5CAA" w:rsidRPr="00700390" w:rsidRDefault="009A5CAA" w:rsidP="0088609E">
                            <w:pPr>
                              <w:rPr>
                                <w:rFonts w:ascii="Arial" w:hAnsi="Arial" w:cs="Arial"/>
                                <w:sz w:val="18"/>
                                <w:szCs w:val="18"/>
                              </w:rPr>
                            </w:pPr>
                            <w:r w:rsidRPr="00700390">
                              <w:rPr>
                                <w:rFonts w:ascii="Arial" w:hAnsi="Arial" w:cs="Arial"/>
                                <w:sz w:val="18"/>
                                <w:szCs w:val="18"/>
                              </w:rPr>
                              <w:t>10</w:t>
                            </w:r>
                            <w:r w:rsidRPr="00700390">
                              <w:rPr>
                                <w:rFonts w:ascii="Arial" w:hAnsi="Arial" w:cs="Arial"/>
                                <w:sz w:val="18"/>
                                <w:szCs w:val="18"/>
                                <w:vertAlign w:val="superscript"/>
                              </w:rPr>
                              <w:t>th</w:t>
                            </w:r>
                            <w:r w:rsidRPr="00700390">
                              <w:rPr>
                                <w:rFonts w:ascii="Arial" w:hAnsi="Arial" w:cs="Arial"/>
                                <w:sz w:val="18"/>
                                <w:szCs w:val="18"/>
                              </w:rPr>
                              <w:t xml:space="preserve"> percentile</w:t>
                            </w:r>
                            <w:r>
                              <w:rPr>
                                <w:rFonts w:ascii="Arial" w:hAnsi="Arial" w:cs="Arial"/>
                                <w:sz w:val="18"/>
                                <w:szCs w:val="18"/>
                              </w:rPr>
                              <w:t xml:space="preserve"> (</w:t>
                            </w:r>
                            <w:proofErr w:type="spellStart"/>
                            <w:r>
                              <w:rPr>
                                <w:rFonts w:ascii="Arial" w:hAnsi="Arial" w:cs="Arial"/>
                                <w:sz w:val="18"/>
                                <w:szCs w:val="18"/>
                              </w:rPr>
                              <w:t>p10</w:t>
                            </w:r>
                            <w:proofErr w:type="spellEnd"/>
                            <w:r>
                              <w:rPr>
                                <w:rFonts w:ascii="Arial" w:hAnsi="Arial" w:cs="Arial"/>
                                <w:sz w:val="18"/>
                                <w:szCs w:val="18"/>
                              </w:rPr>
                              <w:t>)</w:t>
                            </w:r>
                          </w:p>
                        </w:txbxContent>
                      </v:textbox>
                    </v:shape>
                  </w:pict>
                </mc:Fallback>
              </mc:AlternateContent>
            </w:r>
            <w:r>
              <w:rPr>
                <w:noProof/>
                <w:spacing w:val="-2"/>
              </w:rPr>
              <mc:AlternateContent>
                <mc:Choice Requires="wps">
                  <w:drawing>
                    <wp:anchor distT="0" distB="0" distL="114300" distR="114300" simplePos="0" relativeHeight="251758592" behindDoc="0" locked="0" layoutInCell="1" allowOverlap="1" wp14:anchorId="17D6965A" wp14:editId="1E52B1B2">
                      <wp:simplePos x="0" y="0"/>
                      <wp:positionH relativeFrom="column">
                        <wp:posOffset>-50800</wp:posOffset>
                      </wp:positionH>
                      <wp:positionV relativeFrom="paragraph">
                        <wp:posOffset>1261745</wp:posOffset>
                      </wp:positionV>
                      <wp:extent cx="1249045" cy="244475"/>
                      <wp:effectExtent l="0" t="0" r="0" b="3175"/>
                      <wp:wrapNone/>
                      <wp:docPr id="17" name="Text Box 17"/>
                      <wp:cNvGraphicFramePr/>
                      <a:graphic xmlns:a="http://schemas.openxmlformats.org/drawingml/2006/main">
                        <a:graphicData uri="http://schemas.microsoft.com/office/word/2010/wordprocessingShape">
                          <wps:wsp>
                            <wps:cNvSpPr txBox="1"/>
                            <wps:spPr>
                              <a:xfrm>
                                <a:off x="0" y="0"/>
                                <a:ext cx="1249045" cy="244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0C358E0" w14:textId="77777777" w:rsidR="009A5CAA" w:rsidRPr="00700390" w:rsidRDefault="009A5CAA" w:rsidP="0088609E">
                                  <w:pPr>
                                    <w:rPr>
                                      <w:rFonts w:ascii="Arial" w:hAnsi="Arial" w:cs="Arial"/>
                                      <w:sz w:val="18"/>
                                      <w:szCs w:val="18"/>
                                    </w:rPr>
                                  </w:pPr>
                                  <w:r w:rsidRPr="00700390">
                                    <w:rPr>
                                      <w:rFonts w:ascii="Arial" w:hAnsi="Arial" w:cs="Arial"/>
                                      <w:sz w:val="18"/>
                                      <w:szCs w:val="18"/>
                                    </w:rPr>
                                    <w:t>25</w:t>
                                  </w:r>
                                  <w:r w:rsidRPr="00700390">
                                    <w:rPr>
                                      <w:rFonts w:ascii="Arial" w:hAnsi="Arial" w:cs="Arial"/>
                                      <w:sz w:val="18"/>
                                      <w:szCs w:val="18"/>
                                      <w:vertAlign w:val="superscript"/>
                                    </w:rPr>
                                    <w:t>th</w:t>
                                  </w:r>
                                  <w:r w:rsidRPr="00700390">
                                    <w:rPr>
                                      <w:rFonts w:ascii="Arial" w:hAnsi="Arial" w:cs="Arial"/>
                                      <w:sz w:val="18"/>
                                      <w:szCs w:val="18"/>
                                    </w:rPr>
                                    <w:t xml:space="preserve"> percentile</w:t>
                                  </w:r>
                                  <w:r>
                                    <w:rPr>
                                      <w:rFonts w:ascii="Arial" w:hAnsi="Arial" w:cs="Arial"/>
                                      <w:sz w:val="18"/>
                                      <w:szCs w:val="18"/>
                                    </w:rPr>
                                    <w:t xml:space="preserve"> (</w:t>
                                  </w:r>
                                  <w:proofErr w:type="spellStart"/>
                                  <w:r>
                                    <w:rPr>
                                      <w:rFonts w:ascii="Arial" w:hAnsi="Arial" w:cs="Arial"/>
                                      <w:sz w:val="18"/>
                                      <w:szCs w:val="18"/>
                                    </w:rPr>
                                    <w:t>p25</w:t>
                                  </w:r>
                                  <w:proofErr w:type="spellEnd"/>
                                  <w:r>
                                    <w:rPr>
                                      <w:rFonts w:ascii="Arial" w:hAnsi="Arial" w:cs="Arial"/>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27" type="#_x0000_t202" style="position:absolute;left:0;text-align:left;margin-left:-4pt;margin-top:99.35pt;width:98.35pt;height:19.25pt;z-index:251758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" filled="f" stroked="f" strokeweight=".5pt">
                      <v:textbox>
                        <w:txbxContent>
                          <w:p w14:paraId="30C358E0" w14:textId="77777777" w:rsidR="009A5CAA" w:rsidRPr="00700390" w:rsidRDefault="009A5CAA" w:rsidP="0088609E">
                            <w:pPr>
                              <w:rPr>
                                <w:rFonts w:ascii="Arial" w:hAnsi="Arial" w:cs="Arial"/>
                                <w:sz w:val="18"/>
                                <w:szCs w:val="18"/>
                              </w:rPr>
                            </w:pPr>
                            <w:r w:rsidRPr="00700390">
                              <w:rPr>
                                <w:rFonts w:ascii="Arial" w:hAnsi="Arial" w:cs="Arial"/>
                                <w:sz w:val="18"/>
                                <w:szCs w:val="18"/>
                              </w:rPr>
                              <w:t>25</w:t>
                            </w:r>
                            <w:r w:rsidRPr="00700390">
                              <w:rPr>
                                <w:rFonts w:ascii="Arial" w:hAnsi="Arial" w:cs="Arial"/>
                                <w:sz w:val="18"/>
                                <w:szCs w:val="18"/>
                                <w:vertAlign w:val="superscript"/>
                              </w:rPr>
                              <w:t>th</w:t>
                            </w:r>
                            <w:r w:rsidRPr="00700390">
                              <w:rPr>
                                <w:rFonts w:ascii="Arial" w:hAnsi="Arial" w:cs="Arial"/>
                                <w:sz w:val="18"/>
                                <w:szCs w:val="18"/>
                              </w:rPr>
                              <w:t xml:space="preserve"> percentile</w:t>
                            </w:r>
                            <w:r>
                              <w:rPr>
                                <w:rFonts w:ascii="Arial" w:hAnsi="Arial" w:cs="Arial"/>
                                <w:sz w:val="18"/>
                                <w:szCs w:val="18"/>
                              </w:rPr>
                              <w:t xml:space="preserve"> (</w:t>
                            </w:r>
                            <w:proofErr w:type="spellStart"/>
                            <w:r>
                              <w:rPr>
                                <w:rFonts w:ascii="Arial" w:hAnsi="Arial" w:cs="Arial"/>
                                <w:sz w:val="18"/>
                                <w:szCs w:val="18"/>
                              </w:rPr>
                              <w:t>p25</w:t>
                            </w:r>
                            <w:proofErr w:type="spellEnd"/>
                            <w:r>
                              <w:rPr>
                                <w:rFonts w:ascii="Arial" w:hAnsi="Arial" w:cs="Arial"/>
                                <w:sz w:val="18"/>
                                <w:szCs w:val="18"/>
                              </w:rPr>
                              <w:t>)</w:t>
                            </w:r>
                          </w:p>
                        </w:txbxContent>
                      </v:textbox>
                    </v:shape>
                  </w:pict>
                </mc:Fallback>
              </mc:AlternateContent>
            </w:r>
            <w:r>
              <w:rPr>
                <w:noProof/>
                <w:spacing w:val="-2"/>
              </w:rPr>
              <mc:AlternateContent>
                <mc:Choice Requires="wps">
                  <w:drawing>
                    <wp:anchor distT="0" distB="0" distL="114300" distR="114300" simplePos="0" relativeHeight="251763712" behindDoc="0" locked="0" layoutInCell="1" allowOverlap="1" wp14:anchorId="6577B993" wp14:editId="3D173A48">
                      <wp:simplePos x="0" y="0"/>
                      <wp:positionH relativeFrom="column">
                        <wp:posOffset>1736725</wp:posOffset>
                      </wp:positionH>
                      <wp:positionV relativeFrom="paragraph">
                        <wp:posOffset>929005</wp:posOffset>
                      </wp:positionV>
                      <wp:extent cx="356870" cy="0"/>
                      <wp:effectExtent l="38100" t="76200" r="0" b="114300"/>
                      <wp:wrapNone/>
                      <wp:docPr id="18" name="Straight Arrow Connector 18"/>
                      <wp:cNvGraphicFramePr/>
                      <a:graphic xmlns:a="http://schemas.openxmlformats.org/drawingml/2006/main">
                        <a:graphicData uri="http://schemas.microsoft.com/office/word/2010/wordprocessingShape">
                          <wps:wsp>
                            <wps:cNvCnPr/>
                            <wps:spPr>
                              <a:xfrm flipH="1">
                                <a:off x="0" y="0"/>
                                <a:ext cx="356870" cy="0"/>
                              </a:xfrm>
                              <a:prstGeom prst="straightConnector1">
                                <a:avLst/>
                              </a:prstGeom>
                              <a:ln w="12700">
                                <a:solidFill>
                                  <a:schemeClr val="tx2"/>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shapetype id="_x0000_t32" coordsize="21600,21600" o:spt="32" o:oned="t" path="m,l21600,21600e" filled="f">
                      <v:path arrowok="t" fillok="f" o:connecttype="none"/>
                      <o:lock v:ext="edit" shapetype="t"/>
                    </v:shapetype>
                    <v:shape id="Straight Arrow Connector 18" o:spid="_x0000_s1026" type="#_x0000_t32" style="position:absolute;margin-left:136.75pt;margin-top:73.15pt;width:28.1pt;height:0;flip:x;z-index:2517637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" strokecolor="black [3215]" strokeweight="1pt">
                      <v:stroke endarrow="open"/>
                    </v:shape>
                  </w:pict>
                </mc:Fallback>
              </mc:AlternateContent>
            </w:r>
            <w:r>
              <w:rPr>
                <w:noProof/>
                <w:spacing w:val="-2"/>
              </w:rPr>
              <mc:AlternateContent>
                <mc:Choice Requires="wps">
                  <w:drawing>
                    <wp:anchor distT="0" distB="0" distL="114300" distR="114300" simplePos="0" relativeHeight="251756544" behindDoc="0" locked="0" layoutInCell="1" allowOverlap="1" wp14:anchorId="3F23BBFD" wp14:editId="58EFBEF6">
                      <wp:simplePos x="0" y="0"/>
                      <wp:positionH relativeFrom="column">
                        <wp:posOffset>-52070</wp:posOffset>
                      </wp:positionH>
                      <wp:positionV relativeFrom="paragraph">
                        <wp:posOffset>884555</wp:posOffset>
                      </wp:positionV>
                      <wp:extent cx="998220" cy="244475"/>
                      <wp:effectExtent l="0" t="0" r="0" b="3175"/>
                      <wp:wrapNone/>
                      <wp:docPr id="24" name="Text Box 24"/>
                      <wp:cNvGraphicFramePr/>
                      <a:graphic xmlns:a="http://schemas.openxmlformats.org/drawingml/2006/main">
                        <a:graphicData uri="http://schemas.microsoft.com/office/word/2010/wordprocessingShape">
                          <wps:wsp>
                            <wps:cNvSpPr txBox="1"/>
                            <wps:spPr>
                              <a:xfrm>
                                <a:off x="0" y="0"/>
                                <a:ext cx="998220" cy="244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3D0B8D6" w14:textId="77777777" w:rsidR="009A5CAA" w:rsidRPr="00700390" w:rsidRDefault="009A5CAA" w:rsidP="0088609E">
                                  <w:pPr>
                                    <w:rPr>
                                      <w:rFonts w:ascii="Arial" w:hAnsi="Arial" w:cs="Arial"/>
                                      <w:sz w:val="18"/>
                                      <w:szCs w:val="18"/>
                                    </w:rPr>
                                  </w:pPr>
                                  <w:r w:rsidRPr="00700390">
                                    <w:rPr>
                                      <w:rFonts w:ascii="Arial" w:hAnsi="Arial" w:cs="Arial"/>
                                      <w:sz w:val="18"/>
                                      <w:szCs w:val="18"/>
                                    </w:rPr>
                                    <w:t>Median</w:t>
                                  </w:r>
                                  <w:r>
                                    <w:rPr>
                                      <w:rFonts w:ascii="Arial" w:hAnsi="Arial" w:cs="Arial"/>
                                      <w:sz w:val="18"/>
                                      <w:szCs w:val="18"/>
                                    </w:rPr>
                                    <w:t xml:space="preserve"> (</w:t>
                                  </w:r>
                                  <w:proofErr w:type="spellStart"/>
                                  <w:r>
                                    <w:rPr>
                                      <w:rFonts w:ascii="Arial" w:hAnsi="Arial" w:cs="Arial"/>
                                      <w:sz w:val="18"/>
                                      <w:szCs w:val="18"/>
                                    </w:rPr>
                                    <w:t>p50</w:t>
                                  </w:r>
                                  <w:proofErr w:type="spellEnd"/>
                                  <w:r>
                                    <w:rPr>
                                      <w:rFonts w:ascii="Arial" w:hAnsi="Arial" w:cs="Arial"/>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ext Box 24" o:spid="_x0000_s1028" type="#_x0000_t202" style="position:absolute;left:0;text-align:left;margin-left:-4.1pt;margin-top:69.65pt;width:78.6pt;height:19.25pt;z-index:2517565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" filled="f" stroked="f" strokeweight=".5pt">
                      <v:textbox>
                        <w:txbxContent>
                          <w:p w14:paraId="03D0B8D6" w14:textId="77777777" w:rsidR="009A5CAA" w:rsidRPr="00700390" w:rsidRDefault="009A5CAA" w:rsidP="0088609E">
                            <w:pPr>
                              <w:rPr>
                                <w:rFonts w:ascii="Arial" w:hAnsi="Arial" w:cs="Arial"/>
                                <w:sz w:val="18"/>
                                <w:szCs w:val="18"/>
                              </w:rPr>
                            </w:pPr>
                            <w:r w:rsidRPr="00700390">
                              <w:rPr>
                                <w:rFonts w:ascii="Arial" w:hAnsi="Arial" w:cs="Arial"/>
                                <w:sz w:val="18"/>
                                <w:szCs w:val="18"/>
                              </w:rPr>
                              <w:t>Median</w:t>
                            </w:r>
                            <w:r>
                              <w:rPr>
                                <w:rFonts w:ascii="Arial" w:hAnsi="Arial" w:cs="Arial"/>
                                <w:sz w:val="18"/>
                                <w:szCs w:val="18"/>
                              </w:rPr>
                              <w:t xml:space="preserve"> (</w:t>
                            </w:r>
                            <w:proofErr w:type="spellStart"/>
                            <w:r>
                              <w:rPr>
                                <w:rFonts w:ascii="Arial" w:hAnsi="Arial" w:cs="Arial"/>
                                <w:sz w:val="18"/>
                                <w:szCs w:val="18"/>
                              </w:rPr>
                              <w:t>p50</w:t>
                            </w:r>
                            <w:proofErr w:type="spellEnd"/>
                            <w:r>
                              <w:rPr>
                                <w:rFonts w:ascii="Arial" w:hAnsi="Arial" w:cs="Arial"/>
                                <w:sz w:val="18"/>
                                <w:szCs w:val="18"/>
                              </w:rPr>
                              <w:t>)</w:t>
                            </w:r>
                          </w:p>
                        </w:txbxContent>
                      </v:textbox>
                    </v:shape>
                  </w:pict>
                </mc:Fallback>
              </mc:AlternateContent>
            </w:r>
            <w:r>
              <w:rPr>
                <w:noProof/>
                <w:spacing w:val="-2"/>
              </w:rPr>
              <mc:AlternateContent>
                <mc:Choice Requires="wps">
                  <w:drawing>
                    <wp:anchor distT="0" distB="0" distL="114300" distR="114300" simplePos="0" relativeHeight="251754496" behindDoc="0" locked="0" layoutInCell="1" allowOverlap="1" wp14:anchorId="007DCC59" wp14:editId="751511CD">
                      <wp:simplePos x="0" y="0"/>
                      <wp:positionH relativeFrom="column">
                        <wp:posOffset>-50800</wp:posOffset>
                      </wp:positionH>
                      <wp:positionV relativeFrom="paragraph">
                        <wp:posOffset>521335</wp:posOffset>
                      </wp:positionV>
                      <wp:extent cx="1337945" cy="244475"/>
                      <wp:effectExtent l="0" t="0" r="0" b="3175"/>
                      <wp:wrapNone/>
                      <wp:docPr id="30" name="Text Box 30"/>
                      <wp:cNvGraphicFramePr/>
                      <a:graphic xmlns:a="http://schemas.openxmlformats.org/drawingml/2006/main">
                        <a:graphicData uri="http://schemas.microsoft.com/office/word/2010/wordprocessingShape">
                          <wps:wsp>
                            <wps:cNvSpPr txBox="1"/>
                            <wps:spPr>
                              <a:xfrm>
                                <a:off x="0" y="0"/>
                                <a:ext cx="1337945" cy="244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6694FF" w14:textId="77777777" w:rsidR="009A5CAA" w:rsidRPr="00700390" w:rsidRDefault="009A5CAA" w:rsidP="0088609E">
                                  <w:pPr>
                                    <w:rPr>
                                      <w:rFonts w:ascii="Arial" w:hAnsi="Arial" w:cs="Arial"/>
                                      <w:sz w:val="18"/>
                                      <w:szCs w:val="18"/>
                                    </w:rPr>
                                  </w:pPr>
                                  <w:r w:rsidRPr="00700390">
                                    <w:rPr>
                                      <w:rFonts w:ascii="Arial" w:hAnsi="Arial" w:cs="Arial"/>
                                      <w:sz w:val="18"/>
                                      <w:szCs w:val="18"/>
                                    </w:rPr>
                                    <w:t>75</w:t>
                                  </w:r>
                                  <w:r w:rsidRPr="00700390">
                                    <w:rPr>
                                      <w:rFonts w:ascii="Arial" w:hAnsi="Arial" w:cs="Arial"/>
                                      <w:sz w:val="18"/>
                                      <w:szCs w:val="18"/>
                                      <w:vertAlign w:val="superscript"/>
                                    </w:rPr>
                                    <w:t>th</w:t>
                                  </w:r>
                                  <w:r w:rsidRPr="00700390">
                                    <w:rPr>
                                      <w:rFonts w:ascii="Arial" w:hAnsi="Arial" w:cs="Arial"/>
                                      <w:sz w:val="18"/>
                                      <w:szCs w:val="18"/>
                                    </w:rPr>
                                    <w:t xml:space="preserve"> percentile</w:t>
                                  </w:r>
                                  <w:r>
                                    <w:rPr>
                                      <w:rFonts w:ascii="Arial" w:hAnsi="Arial" w:cs="Arial"/>
                                      <w:sz w:val="18"/>
                                      <w:szCs w:val="18"/>
                                    </w:rPr>
                                    <w:t xml:space="preserve"> (</w:t>
                                  </w:r>
                                  <w:proofErr w:type="spellStart"/>
                                  <w:r>
                                    <w:rPr>
                                      <w:rFonts w:ascii="Arial" w:hAnsi="Arial" w:cs="Arial"/>
                                      <w:sz w:val="18"/>
                                      <w:szCs w:val="18"/>
                                    </w:rPr>
                                    <w:t>p75</w:t>
                                  </w:r>
                                  <w:proofErr w:type="spellEnd"/>
                                  <w:r>
                                    <w:rPr>
                                      <w:rFonts w:ascii="Arial" w:hAnsi="Arial" w:cs="Arial"/>
                                      <w:sz w:val="18"/>
                                      <w:szCs w:val="18"/>
                                    </w:rPr>
                                    <w:t>) (</w:t>
                                  </w:r>
                                  <w:proofErr w:type="spellStart"/>
                                  <w:r>
                                    <w:rPr>
                                      <w:rFonts w:ascii="Arial" w:hAnsi="Arial" w:cs="Arial"/>
                                      <w:sz w:val="18"/>
                                      <w:szCs w:val="18"/>
                                    </w:rPr>
                                    <w:t>p75</w:t>
                                  </w:r>
                                  <w:proofErr w:type="spellEnd"/>
                                  <w:r>
                                    <w:rPr>
                                      <w:rFonts w:ascii="Arial" w:hAnsi="Arial" w:cs="Arial"/>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Text Box 30" o:spid="_x0000_s1029" type="#_x0000_t202" style="position:absolute;left:0;text-align:left;margin-left:-4pt;margin-top:41.05pt;width:105.35pt;height:19.25pt;z-index:2517544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" filled="f" stroked="f" strokeweight=".5pt">
                      <v:textbox>
                        <w:txbxContent>
                          <w:p w14:paraId="7C6694FF" w14:textId="77777777" w:rsidR="009A5CAA" w:rsidRPr="00700390" w:rsidRDefault="009A5CAA" w:rsidP="0088609E">
                            <w:pPr>
                              <w:rPr>
                                <w:rFonts w:ascii="Arial" w:hAnsi="Arial" w:cs="Arial"/>
                                <w:sz w:val="18"/>
                                <w:szCs w:val="18"/>
                              </w:rPr>
                            </w:pPr>
                            <w:r w:rsidRPr="00700390">
                              <w:rPr>
                                <w:rFonts w:ascii="Arial" w:hAnsi="Arial" w:cs="Arial"/>
                                <w:sz w:val="18"/>
                                <w:szCs w:val="18"/>
                              </w:rPr>
                              <w:t>75</w:t>
                            </w:r>
                            <w:r w:rsidRPr="00700390">
                              <w:rPr>
                                <w:rFonts w:ascii="Arial" w:hAnsi="Arial" w:cs="Arial"/>
                                <w:sz w:val="18"/>
                                <w:szCs w:val="18"/>
                                <w:vertAlign w:val="superscript"/>
                              </w:rPr>
                              <w:t>th</w:t>
                            </w:r>
                            <w:r w:rsidRPr="00700390">
                              <w:rPr>
                                <w:rFonts w:ascii="Arial" w:hAnsi="Arial" w:cs="Arial"/>
                                <w:sz w:val="18"/>
                                <w:szCs w:val="18"/>
                              </w:rPr>
                              <w:t xml:space="preserve"> percentile</w:t>
                            </w:r>
                            <w:r>
                              <w:rPr>
                                <w:rFonts w:ascii="Arial" w:hAnsi="Arial" w:cs="Arial"/>
                                <w:sz w:val="18"/>
                                <w:szCs w:val="18"/>
                              </w:rPr>
                              <w:t xml:space="preserve"> (</w:t>
                            </w:r>
                            <w:proofErr w:type="spellStart"/>
                            <w:r>
                              <w:rPr>
                                <w:rFonts w:ascii="Arial" w:hAnsi="Arial" w:cs="Arial"/>
                                <w:sz w:val="18"/>
                                <w:szCs w:val="18"/>
                              </w:rPr>
                              <w:t>p75</w:t>
                            </w:r>
                            <w:proofErr w:type="spellEnd"/>
                            <w:r>
                              <w:rPr>
                                <w:rFonts w:ascii="Arial" w:hAnsi="Arial" w:cs="Arial"/>
                                <w:sz w:val="18"/>
                                <w:szCs w:val="18"/>
                              </w:rPr>
                              <w:t>) (</w:t>
                            </w:r>
                            <w:proofErr w:type="spellStart"/>
                            <w:r>
                              <w:rPr>
                                <w:rFonts w:ascii="Arial" w:hAnsi="Arial" w:cs="Arial"/>
                                <w:sz w:val="18"/>
                                <w:szCs w:val="18"/>
                              </w:rPr>
                              <w:t>p75</w:t>
                            </w:r>
                            <w:proofErr w:type="spellEnd"/>
                            <w:r>
                              <w:rPr>
                                <w:rFonts w:ascii="Arial" w:hAnsi="Arial" w:cs="Arial"/>
                                <w:sz w:val="18"/>
                                <w:szCs w:val="18"/>
                              </w:rPr>
                              <w:t>(</w:t>
                            </w:r>
                          </w:p>
                        </w:txbxContent>
                      </v:textbox>
                    </v:shape>
                  </w:pict>
                </mc:Fallback>
              </mc:AlternateContent>
            </w:r>
            <w:r>
              <w:rPr>
                <w:noProof/>
                <w:spacing w:val="-2"/>
              </w:rPr>
              <mc:AlternateContent>
                <mc:Choice Requires="wps">
                  <w:drawing>
                    <wp:anchor distT="0" distB="0" distL="114300" distR="114300" simplePos="0" relativeHeight="251752448" behindDoc="0" locked="0" layoutInCell="1" allowOverlap="1" wp14:anchorId="4458CA67" wp14:editId="1D59AA36">
                      <wp:simplePos x="0" y="0"/>
                      <wp:positionH relativeFrom="column">
                        <wp:posOffset>-50800</wp:posOffset>
                      </wp:positionH>
                      <wp:positionV relativeFrom="paragraph">
                        <wp:posOffset>137795</wp:posOffset>
                      </wp:positionV>
                      <wp:extent cx="1257935" cy="244475"/>
                      <wp:effectExtent l="0" t="0" r="0" b="3175"/>
                      <wp:wrapNone/>
                      <wp:docPr id="61" name="Text Box 61"/>
                      <wp:cNvGraphicFramePr/>
                      <a:graphic xmlns:a="http://schemas.openxmlformats.org/drawingml/2006/main">
                        <a:graphicData uri="http://schemas.microsoft.com/office/word/2010/wordprocessingShape">
                          <wps:wsp>
                            <wps:cNvSpPr txBox="1"/>
                            <wps:spPr>
                              <a:xfrm>
                                <a:off x="0" y="0"/>
                                <a:ext cx="1257935" cy="244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C09CB4C" w14:textId="77777777" w:rsidR="009A5CAA" w:rsidRPr="00700390" w:rsidRDefault="009A5CAA" w:rsidP="0088609E">
                                  <w:pPr>
                                    <w:rPr>
                                      <w:rFonts w:ascii="Arial" w:hAnsi="Arial" w:cs="Arial"/>
                                      <w:sz w:val="18"/>
                                      <w:szCs w:val="18"/>
                                    </w:rPr>
                                  </w:pPr>
                                  <w:r w:rsidRPr="00700390">
                                    <w:rPr>
                                      <w:rFonts w:ascii="Arial" w:hAnsi="Arial" w:cs="Arial"/>
                                      <w:sz w:val="18"/>
                                      <w:szCs w:val="18"/>
                                    </w:rPr>
                                    <w:t>90</w:t>
                                  </w:r>
                                  <w:r w:rsidRPr="00700390">
                                    <w:rPr>
                                      <w:rFonts w:ascii="Arial" w:hAnsi="Arial" w:cs="Arial"/>
                                      <w:sz w:val="18"/>
                                      <w:szCs w:val="18"/>
                                      <w:vertAlign w:val="superscript"/>
                                    </w:rPr>
                                    <w:t>th</w:t>
                                  </w:r>
                                  <w:r w:rsidRPr="00700390">
                                    <w:rPr>
                                      <w:rFonts w:ascii="Arial" w:hAnsi="Arial" w:cs="Arial"/>
                                      <w:sz w:val="18"/>
                                      <w:szCs w:val="18"/>
                                    </w:rPr>
                                    <w:t xml:space="preserve"> percentile</w:t>
                                  </w:r>
                                  <w:r>
                                    <w:rPr>
                                      <w:rFonts w:ascii="Arial" w:hAnsi="Arial" w:cs="Arial"/>
                                      <w:sz w:val="18"/>
                                      <w:szCs w:val="18"/>
                                    </w:rPr>
                                    <w:t xml:space="preserve"> (</w:t>
                                  </w:r>
                                  <w:proofErr w:type="spellStart"/>
                                  <w:r>
                                    <w:rPr>
                                      <w:rFonts w:ascii="Arial" w:hAnsi="Arial" w:cs="Arial"/>
                                      <w:sz w:val="18"/>
                                      <w:szCs w:val="18"/>
                                    </w:rPr>
                                    <w:t>p90</w:t>
                                  </w:r>
                                  <w:proofErr w:type="spellEnd"/>
                                  <w:r>
                                    <w:rPr>
                                      <w:rFonts w:ascii="Arial" w:hAnsi="Arial" w:cs="Arial"/>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Text Box 61" o:spid="_x0000_s1030" type="#_x0000_t202" style="position:absolute;left:0;text-align:left;margin-left:-4pt;margin-top:10.85pt;width:99.05pt;height:19.25pt;z-index:2517524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" filled="f" stroked="f" strokeweight=".5pt">
                      <v:textbox>
                        <w:txbxContent>
                          <w:p w14:paraId="6C09CB4C" w14:textId="77777777" w:rsidR="009A5CAA" w:rsidRPr="00700390" w:rsidRDefault="009A5CAA" w:rsidP="0088609E">
                            <w:pPr>
                              <w:rPr>
                                <w:rFonts w:ascii="Arial" w:hAnsi="Arial" w:cs="Arial"/>
                                <w:sz w:val="18"/>
                                <w:szCs w:val="18"/>
                              </w:rPr>
                            </w:pPr>
                            <w:r w:rsidRPr="00700390">
                              <w:rPr>
                                <w:rFonts w:ascii="Arial" w:hAnsi="Arial" w:cs="Arial"/>
                                <w:sz w:val="18"/>
                                <w:szCs w:val="18"/>
                              </w:rPr>
                              <w:t>90</w:t>
                            </w:r>
                            <w:r w:rsidRPr="00700390">
                              <w:rPr>
                                <w:rFonts w:ascii="Arial" w:hAnsi="Arial" w:cs="Arial"/>
                                <w:sz w:val="18"/>
                                <w:szCs w:val="18"/>
                                <w:vertAlign w:val="superscript"/>
                              </w:rPr>
                              <w:t>th</w:t>
                            </w:r>
                            <w:r w:rsidRPr="00700390">
                              <w:rPr>
                                <w:rFonts w:ascii="Arial" w:hAnsi="Arial" w:cs="Arial"/>
                                <w:sz w:val="18"/>
                                <w:szCs w:val="18"/>
                              </w:rPr>
                              <w:t xml:space="preserve"> percentile</w:t>
                            </w:r>
                            <w:r>
                              <w:rPr>
                                <w:rFonts w:ascii="Arial" w:hAnsi="Arial" w:cs="Arial"/>
                                <w:sz w:val="18"/>
                                <w:szCs w:val="18"/>
                              </w:rPr>
                              <w:t xml:space="preserve"> (</w:t>
                            </w:r>
                            <w:proofErr w:type="spellStart"/>
                            <w:r>
                              <w:rPr>
                                <w:rFonts w:ascii="Arial" w:hAnsi="Arial" w:cs="Arial"/>
                                <w:sz w:val="18"/>
                                <w:szCs w:val="18"/>
                              </w:rPr>
                              <w:t>p90</w:t>
                            </w:r>
                            <w:proofErr w:type="spellEnd"/>
                            <w:r>
                              <w:rPr>
                                <w:rFonts w:ascii="Arial" w:hAnsi="Arial" w:cs="Arial"/>
                                <w:sz w:val="18"/>
                                <w:szCs w:val="18"/>
                              </w:rPr>
                              <w:t>)</w:t>
                            </w:r>
                          </w:p>
                        </w:txbxContent>
                      </v:textbox>
                    </v:shape>
                  </w:pict>
                </mc:Fallback>
              </mc:AlternateContent>
            </w:r>
            <w:r>
              <w:rPr>
                <w:noProof/>
                <w:spacing w:val="-2"/>
              </w:rPr>
              <mc:AlternateContent>
                <mc:Choice Requires="wps">
                  <w:drawing>
                    <wp:anchor distT="0" distB="0" distL="114300" distR="114300" simplePos="0" relativeHeight="251761664" behindDoc="0" locked="0" layoutInCell="1" allowOverlap="1" wp14:anchorId="13E39676" wp14:editId="1D0FF33A">
                      <wp:simplePos x="0" y="0"/>
                      <wp:positionH relativeFrom="column">
                        <wp:posOffset>1136015</wp:posOffset>
                      </wp:positionH>
                      <wp:positionV relativeFrom="paragraph">
                        <wp:posOffset>1753812</wp:posOffset>
                      </wp:positionV>
                      <wp:extent cx="435610" cy="0"/>
                      <wp:effectExtent l="0" t="76200" r="21590" b="114300"/>
                      <wp:wrapNone/>
                      <wp:docPr id="62" name="Straight Arrow Connector 62"/>
                      <wp:cNvGraphicFramePr/>
                      <a:graphic xmlns:a="http://schemas.openxmlformats.org/drawingml/2006/main">
                        <a:graphicData uri="http://schemas.microsoft.com/office/word/2010/wordprocessingShape">
                          <wps:wsp>
                            <wps:cNvCnPr/>
                            <wps:spPr>
                              <a:xfrm>
                                <a:off x="0" y="0"/>
                                <a:ext cx="435610" cy="0"/>
                              </a:xfrm>
                              <a:prstGeom prst="straightConnector1">
                                <a:avLst/>
                              </a:prstGeom>
                              <a:ln w="12700">
                                <a:solidFill>
                                  <a:schemeClr val="tx2"/>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 id="Straight Arrow Connector 62" o:spid="_x0000_s1026" type="#_x0000_t32" style="position:absolute;margin-left:89.45pt;margin-top:138.1pt;width:34.3pt;height:0;z-index:2517616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" strokecolor="black [3215]" strokeweight="1pt">
                      <v:stroke endarrow="open"/>
                    </v:shape>
                  </w:pict>
                </mc:Fallback>
              </mc:AlternateContent>
            </w:r>
            <w:r>
              <w:rPr>
                <w:noProof/>
                <w:spacing w:val="-2"/>
              </w:rPr>
              <mc:AlternateContent>
                <mc:Choice Requires="wps">
                  <w:drawing>
                    <wp:anchor distT="0" distB="0" distL="114300" distR="114300" simplePos="0" relativeHeight="251759616" behindDoc="0" locked="0" layoutInCell="1" allowOverlap="1" wp14:anchorId="07F2C10E" wp14:editId="06E4E66B">
                      <wp:simplePos x="0" y="0"/>
                      <wp:positionH relativeFrom="column">
                        <wp:posOffset>1127760</wp:posOffset>
                      </wp:positionH>
                      <wp:positionV relativeFrom="paragraph">
                        <wp:posOffset>1382395</wp:posOffset>
                      </wp:positionV>
                      <wp:extent cx="265430" cy="0"/>
                      <wp:effectExtent l="0" t="76200" r="20320" b="114300"/>
                      <wp:wrapNone/>
                      <wp:docPr id="63" name="Straight Arrow Connector 63"/>
                      <wp:cNvGraphicFramePr/>
                      <a:graphic xmlns:a="http://schemas.openxmlformats.org/drawingml/2006/main">
                        <a:graphicData uri="http://schemas.microsoft.com/office/word/2010/wordprocessingShape">
                          <wps:wsp>
                            <wps:cNvCnPr/>
                            <wps:spPr>
                              <a:xfrm>
                                <a:off x="0" y="0"/>
                                <a:ext cx="265430" cy="0"/>
                              </a:xfrm>
                              <a:prstGeom prst="straightConnector1">
                                <a:avLst/>
                              </a:prstGeom>
                              <a:ln w="12700">
                                <a:solidFill>
                                  <a:schemeClr val="tx2"/>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 id="Straight Arrow Connector 63" o:spid="_x0000_s1026" type="#_x0000_t32" style="position:absolute;margin-left:88.8pt;margin-top:108.85pt;width:20.9pt;height:0;z-index:2517596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" strokecolor="black [3215]" strokeweight="1pt">
                      <v:stroke endarrow="open"/>
                    </v:shape>
                  </w:pict>
                </mc:Fallback>
              </mc:AlternateContent>
            </w:r>
            <w:r>
              <w:rPr>
                <w:noProof/>
                <w:spacing w:val="-2"/>
              </w:rPr>
              <mc:AlternateContent>
                <mc:Choice Requires="wps">
                  <w:drawing>
                    <wp:anchor distT="0" distB="0" distL="114300" distR="114300" simplePos="0" relativeHeight="251757568" behindDoc="0" locked="0" layoutInCell="1" allowOverlap="1" wp14:anchorId="1668506B" wp14:editId="3AE1DF87">
                      <wp:simplePos x="0" y="0"/>
                      <wp:positionH relativeFrom="column">
                        <wp:posOffset>767138</wp:posOffset>
                      </wp:positionH>
                      <wp:positionV relativeFrom="paragraph">
                        <wp:posOffset>1019810</wp:posOffset>
                      </wp:positionV>
                      <wp:extent cx="626745" cy="0"/>
                      <wp:effectExtent l="0" t="76200" r="20955" b="114300"/>
                      <wp:wrapNone/>
                      <wp:docPr id="68" name="Straight Arrow Connector 68"/>
                      <wp:cNvGraphicFramePr/>
                      <a:graphic xmlns:a="http://schemas.openxmlformats.org/drawingml/2006/main">
                        <a:graphicData uri="http://schemas.microsoft.com/office/word/2010/wordprocessingShape">
                          <wps:wsp>
                            <wps:cNvCnPr/>
                            <wps:spPr>
                              <a:xfrm>
                                <a:off x="0" y="0"/>
                                <a:ext cx="626745" cy="0"/>
                              </a:xfrm>
                              <a:prstGeom prst="straightConnector1">
                                <a:avLst/>
                              </a:prstGeom>
                              <a:ln w="12700">
                                <a:solidFill>
                                  <a:schemeClr val="tx2"/>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 id="Straight Arrow Connector 68" o:spid="_x0000_s1026" type="#_x0000_t32" style="position:absolute;margin-left:60.4pt;margin-top:80.3pt;width:49.35pt;height:0;z-index:2517575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" strokecolor="black [3215]" strokeweight="1pt">
                      <v:stroke endarrow="open"/>
                    </v:shape>
                  </w:pict>
                </mc:Fallback>
              </mc:AlternateContent>
            </w:r>
            <w:r>
              <w:rPr>
                <w:noProof/>
                <w:spacing w:val="-2"/>
              </w:rPr>
              <mc:AlternateContent>
                <mc:Choice Requires="wps">
                  <w:drawing>
                    <wp:anchor distT="0" distB="0" distL="114300" distR="114300" simplePos="0" relativeHeight="251755520" behindDoc="0" locked="0" layoutInCell="1" allowOverlap="1" wp14:anchorId="064922E6" wp14:editId="3ECC97C3">
                      <wp:simplePos x="0" y="0"/>
                      <wp:positionH relativeFrom="column">
                        <wp:posOffset>1126548</wp:posOffset>
                      </wp:positionH>
                      <wp:positionV relativeFrom="paragraph">
                        <wp:posOffset>657225</wp:posOffset>
                      </wp:positionV>
                      <wp:extent cx="265430" cy="0"/>
                      <wp:effectExtent l="0" t="76200" r="20320" b="114300"/>
                      <wp:wrapNone/>
                      <wp:docPr id="69" name="Straight Arrow Connector 69"/>
                      <wp:cNvGraphicFramePr/>
                      <a:graphic xmlns:a="http://schemas.openxmlformats.org/drawingml/2006/main">
                        <a:graphicData uri="http://schemas.microsoft.com/office/word/2010/wordprocessingShape">
                          <wps:wsp>
                            <wps:cNvCnPr/>
                            <wps:spPr>
                              <a:xfrm>
                                <a:off x="0" y="0"/>
                                <a:ext cx="265430" cy="0"/>
                              </a:xfrm>
                              <a:prstGeom prst="straightConnector1">
                                <a:avLst/>
                              </a:prstGeom>
                              <a:ln w="12700">
                                <a:solidFill>
                                  <a:schemeClr val="tx2"/>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 id="Straight Arrow Connector 69" o:spid="_x0000_s1026" type="#_x0000_t32" style="position:absolute;margin-left:88.7pt;margin-top:51.75pt;width:20.9pt;height:0;z-index:2517555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" strokecolor="black [3215]" strokeweight="1pt">
                      <v:stroke endarrow="open"/>
                    </v:shape>
                  </w:pict>
                </mc:Fallback>
              </mc:AlternateContent>
            </w:r>
            <w:r>
              <w:rPr>
                <w:noProof/>
                <w:spacing w:val="-2"/>
              </w:rPr>
              <mc:AlternateContent>
                <mc:Choice Requires="wps">
                  <w:drawing>
                    <wp:anchor distT="0" distB="0" distL="114300" distR="114300" simplePos="0" relativeHeight="251753472" behindDoc="0" locked="0" layoutInCell="1" allowOverlap="1" wp14:anchorId="49E6F53F" wp14:editId="3C5B50D2">
                      <wp:simplePos x="0" y="0"/>
                      <wp:positionH relativeFrom="column">
                        <wp:posOffset>1146695</wp:posOffset>
                      </wp:positionH>
                      <wp:positionV relativeFrom="paragraph">
                        <wp:posOffset>281016</wp:posOffset>
                      </wp:positionV>
                      <wp:extent cx="399010" cy="0"/>
                      <wp:effectExtent l="0" t="76200" r="20320" b="114300"/>
                      <wp:wrapNone/>
                      <wp:docPr id="70" name="Straight Arrow Connector 70"/>
                      <wp:cNvGraphicFramePr/>
                      <a:graphic xmlns:a="http://schemas.openxmlformats.org/drawingml/2006/main">
                        <a:graphicData uri="http://schemas.microsoft.com/office/word/2010/wordprocessingShape">
                          <wps:wsp>
                            <wps:cNvCnPr/>
                            <wps:spPr>
                              <a:xfrm>
                                <a:off x="0" y="0"/>
                                <a:ext cx="399010" cy="0"/>
                              </a:xfrm>
                              <a:prstGeom prst="straightConnector1">
                                <a:avLst/>
                              </a:prstGeom>
                              <a:ln w="12700">
                                <a:solidFill>
                                  <a:schemeClr val="tx2"/>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Straight Arrow Connector 70" o:spid="_x0000_s1026" type="#_x0000_t32" style="position:absolute;margin-left:90.3pt;margin-top:22.15pt;width:31.4pt;height: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" strokecolor="black [3215]" strokeweight="1pt">
                      <v:stroke endarrow="open"/>
                    </v:shape>
                  </w:pict>
                </mc:Fallback>
              </mc:AlternateContent>
            </w:r>
            <w:r>
              <w:rPr>
                <w:noProof/>
                <w:spacing w:val="-2"/>
              </w:rPr>
              <mc:AlternateContent>
                <mc:Choice Requires="wps">
                  <w:drawing>
                    <wp:anchor distT="0" distB="0" distL="114300" distR="114300" simplePos="0" relativeHeight="251762688" behindDoc="0" locked="0" layoutInCell="1" allowOverlap="1" wp14:anchorId="16386773" wp14:editId="0CE5747B">
                      <wp:simplePos x="0" y="0"/>
                      <wp:positionH relativeFrom="column">
                        <wp:posOffset>2045393</wp:posOffset>
                      </wp:positionH>
                      <wp:positionV relativeFrom="paragraph">
                        <wp:posOffset>817880</wp:posOffset>
                      </wp:positionV>
                      <wp:extent cx="998220" cy="244475"/>
                      <wp:effectExtent l="0" t="0" r="0" b="3175"/>
                      <wp:wrapNone/>
                      <wp:docPr id="73" name="Text Box 73"/>
                      <wp:cNvGraphicFramePr/>
                      <a:graphic xmlns:a="http://schemas.openxmlformats.org/drawingml/2006/main">
                        <a:graphicData uri="http://schemas.microsoft.com/office/word/2010/wordprocessingShape">
                          <wps:wsp>
                            <wps:cNvSpPr txBox="1"/>
                            <wps:spPr>
                              <a:xfrm>
                                <a:off x="0" y="0"/>
                                <a:ext cx="998220" cy="244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1F39DCC" w14:textId="77777777" w:rsidR="009A5CAA" w:rsidRPr="00700390" w:rsidRDefault="009A5CAA" w:rsidP="0088609E">
                                  <w:pPr>
                                    <w:rPr>
                                      <w:rFonts w:ascii="Arial" w:hAnsi="Arial" w:cs="Arial"/>
                                      <w:sz w:val="18"/>
                                      <w:szCs w:val="18"/>
                                    </w:rPr>
                                  </w:pPr>
                                  <w:r w:rsidRPr="00700390">
                                    <w:rPr>
                                      <w:rFonts w:ascii="Arial" w:hAnsi="Arial" w:cs="Arial"/>
                                      <w:sz w:val="18"/>
                                      <w:szCs w:val="18"/>
                                    </w:rPr>
                                    <w:t>Mean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73" o:spid="_x0000_s1031" type="#_x0000_t202" style="position:absolute;left:0;text-align:left;margin-left:161.05pt;margin-top:64.4pt;width:78.6pt;height:19.25pt;z-index:251762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" filled="f" stroked="f" strokeweight=".5pt">
                      <v:textbox>
                        <w:txbxContent>
                          <w:p w14:paraId="11F39DCC" w14:textId="77777777" w:rsidR="009A5CAA" w:rsidRPr="00700390" w:rsidRDefault="009A5CAA" w:rsidP="0088609E">
                            <w:pPr>
                              <w:rPr>
                                <w:rFonts w:ascii="Arial" w:hAnsi="Arial" w:cs="Arial"/>
                                <w:sz w:val="18"/>
                                <w:szCs w:val="18"/>
                              </w:rPr>
                            </w:pPr>
                            <w:r w:rsidRPr="00700390">
                              <w:rPr>
                                <w:rFonts w:ascii="Arial" w:hAnsi="Arial" w:cs="Arial"/>
                                <w:sz w:val="18"/>
                                <w:szCs w:val="18"/>
                              </w:rPr>
                              <w:t>Mean</w:t>
                            </w:r>
                          </w:p>
                        </w:txbxContent>
                      </v:textbox>
                    </v:shape>
                  </w:pict>
                </mc:Fallback>
              </mc:AlternateContent>
            </w:r>
            <w:r>
              <w:rPr>
                <w:noProof/>
              </w:rPr>
              <w:drawing>
                <wp:inline distT="0" distB="0" distL="0" distR="0" wp14:anchorId="59B25405" wp14:editId="3054AB6D">
                  <wp:extent cx="1438275" cy="1714500"/>
                  <wp:effectExtent l="0" t="0" r="0" b="0"/>
                  <wp:docPr id="75" name="Chart 75" descr="This figure is an example of a ‘box and whisker plot’. A description of the figure is found in this box.&#10;" title="Box 1 – ­Box and whisker plot"/>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6855570C" w14:textId="77777777" w:rsidR="0088609E" w:rsidRPr="00344283" w:rsidRDefault="0088609E" w:rsidP="00F0048A">
            <w:pPr>
              <w:pStyle w:val="BodyText"/>
            </w:pPr>
          </w:p>
        </w:tc>
      </w:tr>
      <w:tr w:rsidR="0088609E" w14:paraId="57BE64CF" w14:textId="77777777" w:rsidTr="00F0048A">
        <w:trPr>
          <w:cantSplit/>
        </w:trPr>
        <w:tc>
          <w:tcPr>
            <w:tcW w:w="8771" w:type="dxa"/>
            <w:gridSpan w:val="2"/>
            <w:tcBorders>
              <w:top w:val="nil"/>
              <w:left w:val="nil"/>
              <w:bottom w:val="nil"/>
              <w:right w:val="nil"/>
            </w:tcBorders>
            <w:shd w:val="clear" w:color="auto" w:fill="F2F2F2"/>
          </w:tcPr>
          <w:p w14:paraId="7637DA4B" w14:textId="04462788" w:rsidR="0088609E" w:rsidRDefault="0088609E" w:rsidP="00F0048A">
            <w:pPr>
              <w:pStyle w:val="BoxSource"/>
              <w:tabs>
                <w:tab w:val="left" w:pos="5325"/>
              </w:tabs>
            </w:pPr>
            <w:r>
              <w:rPr>
                <w:i/>
              </w:rPr>
              <w:t>Source</w:t>
            </w:r>
            <w:r w:rsidRPr="00167F06">
              <w:t>:</w:t>
            </w:r>
            <w:r>
              <w:t xml:space="preserve"> Williamson et al. </w:t>
            </w:r>
            <w:r w:rsidRPr="005B4290">
              <w:rPr>
                <w:rFonts w:cs="Arial"/>
              </w:rPr>
              <w:t>(1989)</w:t>
            </w:r>
            <w:r>
              <w:t>.</w:t>
            </w:r>
          </w:p>
        </w:tc>
      </w:tr>
      <w:tr w:rsidR="0088609E" w14:paraId="0D631891" w14:textId="77777777" w:rsidTr="00F0048A">
        <w:trPr>
          <w:cantSplit/>
        </w:trPr>
        <w:tc>
          <w:tcPr>
            <w:tcW w:w="8771" w:type="dxa"/>
            <w:gridSpan w:val="2"/>
            <w:tcBorders>
              <w:top w:val="nil"/>
              <w:left w:val="nil"/>
              <w:bottom w:val="single" w:sz="6" w:space="0" w:color="78A22F"/>
              <w:right w:val="nil"/>
            </w:tcBorders>
            <w:shd w:val="clear" w:color="auto" w:fill="F2F2F2"/>
          </w:tcPr>
          <w:p w14:paraId="3E2E32E4" w14:textId="77777777" w:rsidR="0088609E" w:rsidRDefault="0088609E" w:rsidP="00F0048A">
            <w:pPr>
              <w:pStyle w:val="Box"/>
              <w:spacing w:before="0" w:line="120" w:lineRule="exact"/>
            </w:pPr>
          </w:p>
        </w:tc>
      </w:tr>
      <w:tr w:rsidR="0088609E" w:rsidRPr="000863A5" w14:paraId="27996A64" w14:textId="77777777" w:rsidTr="00F0048A">
        <w:tc>
          <w:tcPr>
            <w:tcW w:w="8771" w:type="dxa"/>
            <w:gridSpan w:val="2"/>
            <w:tcBorders>
              <w:top w:val="single" w:sz="6" w:space="0" w:color="78A22F"/>
              <w:left w:val="nil"/>
              <w:bottom w:val="nil"/>
              <w:right w:val="nil"/>
            </w:tcBorders>
          </w:tcPr>
          <w:p w14:paraId="2DB22DF2" w14:textId="33081C7B" w:rsidR="0088609E" w:rsidRPr="00626D32" w:rsidRDefault="0088609E" w:rsidP="00F0048A">
            <w:pPr>
              <w:pStyle w:val="BoxSpaceBelow"/>
            </w:pPr>
          </w:p>
        </w:tc>
      </w:tr>
    </w:tbl>
    <w:p w14:paraId="43935120" w14:textId="77777777" w:rsidR="00237FEA" w:rsidRDefault="00315C94" w:rsidP="00237FEA">
      <w:pPr>
        <w:pStyle w:val="Heading3"/>
      </w:pPr>
      <w:r>
        <w:t>Counting recipients of housing assistance</w:t>
      </w:r>
    </w:p>
    <w:p w14:paraId="059C0774" w14:textId="1DB866F6" w:rsidR="00DE6A0B" w:rsidRDefault="00DE6A0B" w:rsidP="00DE6A0B">
      <w:pPr>
        <w:pStyle w:val="BodyText"/>
      </w:pPr>
      <w:r>
        <w:t xml:space="preserve">The </w:t>
      </w:r>
      <w:proofErr w:type="spellStart"/>
      <w:r>
        <w:t>DHS</w:t>
      </w:r>
      <w:proofErr w:type="spellEnd"/>
      <w:r>
        <w:t xml:space="preserve"> data represent a subset of all Australians who receive housing assistance</w:t>
      </w:r>
      <w:r w:rsidR="001D0700">
        <w:t xml:space="preserve"> (figure</w:t>
      </w:r>
      <w:r w:rsidR="00CB4233">
        <w:t> </w:t>
      </w:r>
      <w:r w:rsidR="00610074">
        <w:t>1</w:t>
      </w:r>
      <w:r w:rsidR="00675687">
        <w:t>)</w:t>
      </w:r>
      <w:r>
        <w:t xml:space="preserve">. It is not possible to report the exact number of Australians </w:t>
      </w:r>
      <w:r w:rsidR="00A307C5">
        <w:t xml:space="preserve">who </w:t>
      </w:r>
      <w:r>
        <w:t>receive housing assistance, due to differences in units of measurements (persons, income units, households) used in the reporting on different types of assistance (</w:t>
      </w:r>
      <w:proofErr w:type="spellStart"/>
      <w:r>
        <w:t>AIHW</w:t>
      </w:r>
      <w:proofErr w:type="spellEnd"/>
      <w:r>
        <w:t xml:space="preserve"> 2014)</w:t>
      </w:r>
      <w:r w:rsidR="00675687">
        <w:t>.</w:t>
      </w:r>
      <w:r>
        <w:t xml:space="preserve"> Information about people receiving multiple forms of assistance, such as those simultaneously receiving Commonwealth Rent Assistance </w:t>
      </w:r>
      <w:r w:rsidR="004D29B9">
        <w:t>(</w:t>
      </w:r>
      <w:proofErr w:type="spellStart"/>
      <w:r w:rsidR="004D29B9">
        <w:t>CRA</w:t>
      </w:r>
      <w:proofErr w:type="spellEnd"/>
      <w:r w:rsidR="004D29B9">
        <w:t xml:space="preserve">) </w:t>
      </w:r>
      <w:r>
        <w:t>and living in community housing, is also limited.</w:t>
      </w:r>
    </w:p>
    <w:p w14:paraId="4DD6A3EA" w14:textId="77777777" w:rsidR="00675687" w:rsidRDefault="00675687" w:rsidP="00FB734C">
      <w:pPr>
        <w:pStyle w:val="ListBullet"/>
      </w:pPr>
      <w:r>
        <w:t>Public housing is typically counted in terms of numbers of households — a</w:t>
      </w:r>
      <w:r w:rsidRPr="00395C51">
        <w:t xml:space="preserve"> household is considered to be a person living alone, or a group of people who usually live in the same dwelling.</w:t>
      </w:r>
      <w:r>
        <w:t xml:space="preserve"> </w:t>
      </w:r>
    </w:p>
    <w:p w14:paraId="3E5B1961" w14:textId="281D938E" w:rsidR="00675687" w:rsidRDefault="00B222FF" w:rsidP="00FB734C">
      <w:pPr>
        <w:pStyle w:val="ListBullet"/>
      </w:pPr>
      <w:proofErr w:type="spellStart"/>
      <w:r>
        <w:t>CRA</w:t>
      </w:r>
      <w:proofErr w:type="spellEnd"/>
      <w:r>
        <w:t xml:space="preserve"> </w:t>
      </w:r>
      <w:r w:rsidR="005B5819">
        <w:t xml:space="preserve">statistics are typically presented </w:t>
      </w:r>
      <w:r>
        <w:t xml:space="preserve">for ‘income units’, where an income unit consists of a person, their partner (if they have one), and any dependent children for whom they (or their partner) receive </w:t>
      </w:r>
      <w:r w:rsidR="00FF2726">
        <w:t>Family Tax Benefit part A</w:t>
      </w:r>
      <w:r w:rsidR="006E091E">
        <w:t xml:space="preserve"> (</w:t>
      </w:r>
      <w:proofErr w:type="spellStart"/>
      <w:r w:rsidR="00D67AF3">
        <w:t>FTB</w:t>
      </w:r>
      <w:proofErr w:type="spellEnd"/>
      <w:r w:rsidR="00D67AF3">
        <w:t xml:space="preserve"> </w:t>
      </w:r>
      <w:r>
        <w:t>A</w:t>
      </w:r>
      <w:r w:rsidR="006E091E">
        <w:t>)</w:t>
      </w:r>
      <w:r>
        <w:t xml:space="preserve"> </w:t>
      </w:r>
      <w:r w:rsidRPr="005B4290">
        <w:rPr>
          <w:rFonts w:cs="Arial"/>
          <w:szCs w:val="24"/>
        </w:rPr>
        <w:t>(</w:t>
      </w:r>
      <w:proofErr w:type="spellStart"/>
      <w:r w:rsidRPr="005B4290">
        <w:rPr>
          <w:rFonts w:cs="Arial"/>
          <w:szCs w:val="24"/>
        </w:rPr>
        <w:t>AIHW</w:t>
      </w:r>
      <w:proofErr w:type="spellEnd"/>
      <w:r w:rsidRPr="005B4290">
        <w:rPr>
          <w:rFonts w:cs="Arial"/>
          <w:szCs w:val="24"/>
        </w:rPr>
        <w:t> 2014)</w:t>
      </w:r>
      <w:r>
        <w:t>.</w:t>
      </w:r>
      <w:r w:rsidR="00675687">
        <w:t xml:space="preserve"> A non</w:t>
      </w:r>
      <w:r w:rsidR="00935A28">
        <w:noBreakHyphen/>
      </w:r>
      <w:r w:rsidR="00675687">
        <w:t xml:space="preserve">dependent child living at home, including one who is receiving an </w:t>
      </w:r>
      <w:r w:rsidR="006E091E">
        <w:t>ISP</w:t>
      </w:r>
      <w:r w:rsidR="00675687">
        <w:t xml:space="preserve"> in their own </w:t>
      </w:r>
      <w:r w:rsidR="00D67AF3">
        <w:t>right</w:t>
      </w:r>
      <w:r w:rsidR="004D29B9">
        <w:t>,</w:t>
      </w:r>
      <w:r w:rsidR="00675687">
        <w:t xml:space="preserve"> is regarded as a separate income unit. Similarly, non</w:t>
      </w:r>
      <w:r w:rsidR="00935A28">
        <w:noBreakHyphen/>
      </w:r>
      <w:r w:rsidR="00675687">
        <w:t>related adults sharing accommodation are counted as separate income units.</w:t>
      </w:r>
    </w:p>
    <w:p w14:paraId="47E9821E" w14:textId="77777777" w:rsidR="00675687" w:rsidRDefault="00675687" w:rsidP="00675687">
      <w:pPr>
        <w:pStyle w:val="BodyText"/>
      </w:pPr>
      <w:r>
        <w:t xml:space="preserve">Where an ISP recipient does not receive </w:t>
      </w:r>
      <w:proofErr w:type="spellStart"/>
      <w:r>
        <w:t>CRA</w:t>
      </w:r>
      <w:proofErr w:type="spellEnd"/>
      <w:r>
        <w:t xml:space="preserve">, but is the partner of an ISP recipient who </w:t>
      </w:r>
      <w:r w:rsidR="00AC1E85">
        <w:t>does</w:t>
      </w:r>
      <w:r>
        <w:t xml:space="preserve">, both are </w:t>
      </w:r>
      <w:r w:rsidR="003B794D">
        <w:t xml:space="preserve">identified </w:t>
      </w:r>
      <w:r>
        <w:t xml:space="preserve">as recipients of </w:t>
      </w:r>
      <w:proofErr w:type="spellStart"/>
      <w:r>
        <w:t>CRA</w:t>
      </w:r>
      <w:proofErr w:type="spellEnd"/>
      <w:r>
        <w:t xml:space="preserve"> in the </w:t>
      </w:r>
      <w:proofErr w:type="spellStart"/>
      <w:r>
        <w:t>DHS</w:t>
      </w:r>
      <w:proofErr w:type="spellEnd"/>
      <w:r>
        <w:t xml:space="preserve"> data. Any children aged between </w:t>
      </w:r>
      <w:r>
        <w:lastRenderedPageBreak/>
        <w:t>15 and 19</w:t>
      </w:r>
      <w:r w:rsidR="003B794D">
        <w:t>,</w:t>
      </w:r>
      <w:r>
        <w:t xml:space="preserve"> and who are part of an income unit that receives </w:t>
      </w:r>
      <w:proofErr w:type="spellStart"/>
      <w:r>
        <w:t>CRA</w:t>
      </w:r>
      <w:proofErr w:type="spellEnd"/>
      <w:r w:rsidR="003B794D">
        <w:t>,</w:t>
      </w:r>
      <w:r>
        <w:t xml:space="preserve"> </w:t>
      </w:r>
      <w:r w:rsidR="00CB4233">
        <w:t>are</w:t>
      </w:r>
      <w:r>
        <w:t xml:space="preserve"> </w:t>
      </w:r>
      <w:r w:rsidR="003B794D">
        <w:t xml:space="preserve">identified </w:t>
      </w:r>
      <w:r>
        <w:t xml:space="preserve">as not paying rent (and included in </w:t>
      </w:r>
      <w:r w:rsidR="003B794D">
        <w:t>an</w:t>
      </w:r>
      <w:r>
        <w:t xml:space="preserve"> ‘other’ tenure category).</w:t>
      </w:r>
      <w:r w:rsidR="003B794D" w:rsidRPr="00627E7B">
        <w:rPr>
          <w:rStyle w:val="FootnoteReference"/>
        </w:rPr>
        <w:footnoteReference w:id="2"/>
      </w:r>
    </w:p>
    <w:p w14:paraId="6431979B" w14:textId="60D723C0" w:rsidR="00675687" w:rsidRDefault="00CB4233" w:rsidP="00DE6A0B">
      <w:pPr>
        <w:pStyle w:val="BodyText"/>
      </w:pPr>
      <w:r>
        <w:t>If</w:t>
      </w:r>
      <w:r w:rsidR="00675687">
        <w:t xml:space="preserve"> an ISP recipient’s partner does not receive an ISP, but receives </w:t>
      </w:r>
      <w:proofErr w:type="spellStart"/>
      <w:r w:rsidR="00675687">
        <w:t>CRA</w:t>
      </w:r>
      <w:proofErr w:type="spellEnd"/>
      <w:r w:rsidR="00675687">
        <w:t xml:space="preserve"> by virtue of their receipt of </w:t>
      </w:r>
      <w:proofErr w:type="spellStart"/>
      <w:r w:rsidR="00FF2726">
        <w:t>FTB</w:t>
      </w:r>
      <w:proofErr w:type="spellEnd"/>
      <w:r w:rsidR="00FF2726">
        <w:t xml:space="preserve"> A</w:t>
      </w:r>
      <w:r w:rsidR="00675687">
        <w:t xml:space="preserve">, the ISP recipient is not recognised as receiving </w:t>
      </w:r>
      <w:proofErr w:type="spellStart"/>
      <w:r w:rsidR="00675687">
        <w:t>CRA</w:t>
      </w:r>
      <w:proofErr w:type="spellEnd"/>
      <w:r w:rsidR="00675687">
        <w:t xml:space="preserve"> in the </w:t>
      </w:r>
      <w:proofErr w:type="spellStart"/>
      <w:r w:rsidR="000D4300">
        <w:t>DHS</w:t>
      </w:r>
      <w:proofErr w:type="spellEnd"/>
      <w:r w:rsidR="000D4300">
        <w:t xml:space="preserve"> </w:t>
      </w:r>
      <w:r w:rsidR="00675687">
        <w:t>data.</w:t>
      </w:r>
      <w:r w:rsidR="00405324" w:rsidRPr="00627E7B">
        <w:rPr>
          <w:rStyle w:val="FootnoteReference"/>
        </w:rPr>
        <w:footnoteReference w:id="3"/>
      </w:r>
      <w:r w:rsidR="00675687">
        <w:t xml:space="preserve"> This is because the </w:t>
      </w:r>
      <w:proofErr w:type="spellStart"/>
      <w:r w:rsidR="00675687">
        <w:t>DHS</w:t>
      </w:r>
      <w:proofErr w:type="spellEnd"/>
      <w:r w:rsidR="00675687">
        <w:t xml:space="preserve"> data does not include the information that their partner receives </w:t>
      </w:r>
      <w:proofErr w:type="spellStart"/>
      <w:r w:rsidR="00FF2726">
        <w:t>FTB</w:t>
      </w:r>
      <w:proofErr w:type="spellEnd"/>
      <w:r w:rsidR="00FF2726">
        <w:t xml:space="preserve"> A</w:t>
      </w:r>
      <w:r w:rsidR="00675687">
        <w:t xml:space="preserve">, and therefore </w:t>
      </w:r>
      <w:proofErr w:type="spellStart"/>
      <w:r w:rsidR="00675687">
        <w:t>CRA</w:t>
      </w:r>
      <w:proofErr w:type="spellEnd"/>
      <w:r w:rsidR="00675687">
        <w:t xml:space="preserve">. This </w:t>
      </w:r>
      <w:r w:rsidR="00306514">
        <w:t xml:space="preserve">is estimated to have </w:t>
      </w:r>
      <w:r w:rsidR="00675687">
        <w:t>affected less than 11</w:t>
      </w:r>
      <w:r w:rsidR="00935A28">
        <w:t> </w:t>
      </w:r>
      <w:r w:rsidR="00675687">
        <w:t xml:space="preserve">500 ISP recipients </w:t>
      </w:r>
      <w:r w:rsidR="000C4E38">
        <w:t xml:space="preserve">(around 1.2 per cent of all recipients of </w:t>
      </w:r>
      <w:proofErr w:type="spellStart"/>
      <w:r w:rsidR="000C4E38">
        <w:t>CRA</w:t>
      </w:r>
      <w:proofErr w:type="spellEnd"/>
      <w:r w:rsidR="000C4E38">
        <w:t xml:space="preserve">) </w:t>
      </w:r>
      <w:r w:rsidR="00675687">
        <w:t>in 2013.</w:t>
      </w:r>
    </w:p>
    <w:p w14:paraId="5D9205ED" w14:textId="5939568D" w:rsidR="00DE6A0B" w:rsidRDefault="00DE6A0B" w:rsidP="00DE6A0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E6A0B" w14:paraId="7BCDD4FB" w14:textId="77777777" w:rsidTr="00464790">
        <w:tc>
          <w:tcPr>
            <w:tcW w:w="8771" w:type="dxa"/>
            <w:tcBorders>
              <w:top w:val="single" w:sz="6" w:space="0" w:color="78A22F"/>
              <w:left w:val="nil"/>
              <w:bottom w:val="nil"/>
              <w:right w:val="nil"/>
            </w:tcBorders>
            <w:shd w:val="clear" w:color="auto" w:fill="auto"/>
          </w:tcPr>
          <w:p w14:paraId="45FA2F29" w14:textId="77777777" w:rsidR="00DE6A0B" w:rsidRDefault="00DE6A0B" w:rsidP="00675687">
            <w:pPr>
              <w:pStyle w:val="FigureTitle"/>
              <w:rPr>
                <w:rStyle w:val="NoteLabel"/>
                <w:b/>
              </w:rPr>
            </w:pPr>
            <w:r w:rsidRPr="00784A05">
              <w:rPr>
                <w:b w:val="0"/>
              </w:rPr>
              <w:t xml:space="preserve">Figure </w:t>
            </w:r>
            <w:bookmarkStart w:id="1" w:name="OLE_LINK1"/>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1</w:t>
            </w:r>
            <w:r w:rsidRPr="00784A05">
              <w:rPr>
                <w:b w:val="0"/>
              </w:rPr>
              <w:fldChar w:fldCharType="end"/>
            </w:r>
            <w:bookmarkEnd w:id="1"/>
            <w:r>
              <w:tab/>
              <w:t>Recipients of housing assistance in Australia, 2013</w:t>
            </w:r>
            <w:proofErr w:type="spellStart"/>
            <w:r w:rsidRPr="00DE6A0B">
              <w:rPr>
                <w:rStyle w:val="NoteLabel"/>
                <w:b/>
              </w:rPr>
              <w:t>a,b,c,d</w:t>
            </w:r>
            <w:r w:rsidR="00FB26E8">
              <w:rPr>
                <w:rStyle w:val="NoteLabel"/>
                <w:b/>
              </w:rPr>
              <w:t>,e</w:t>
            </w:r>
            <w:proofErr w:type="spellEnd"/>
          </w:p>
          <w:p w14:paraId="29F01E79" w14:textId="77777777" w:rsidR="00FB26E8" w:rsidRPr="00FB26E8" w:rsidRDefault="00FB26E8" w:rsidP="0096361E">
            <w:pPr>
              <w:pStyle w:val="Subtitle"/>
            </w:pPr>
            <w:r w:rsidRPr="00FB26E8">
              <w:t>Analysis in this paper covers the population in the grey box</w:t>
            </w:r>
          </w:p>
        </w:tc>
      </w:tr>
      <w:tr w:rsidR="00DE6A0B" w14:paraId="5459B6D1" w14:textId="77777777" w:rsidTr="00464790">
        <w:tc>
          <w:tcPr>
            <w:tcW w:w="8771" w:type="dxa"/>
            <w:tcBorders>
              <w:top w:val="nil"/>
              <w:left w:val="nil"/>
              <w:bottom w:val="nil"/>
              <w:right w:val="nil"/>
            </w:tcBorders>
            <w:shd w:val="clear" w:color="auto" w:fill="auto"/>
            <w:tcMar>
              <w:top w:w="28" w:type="dxa"/>
              <w:bottom w:w="28" w:type="dxa"/>
            </w:tcMar>
          </w:tcPr>
          <w:p w14:paraId="227096E6" w14:textId="41E11854" w:rsidR="00DE6A0B" w:rsidRDefault="00F4715F" w:rsidP="00464790">
            <w:pPr>
              <w:pStyle w:val="Figure"/>
            </w:pPr>
            <w:r>
              <w:rPr>
                <w:noProof/>
              </w:rPr>
              <w:drawing>
                <wp:inline distT="0" distB="0" distL="0" distR="0" wp14:anchorId="091A6A8A" wp14:editId="7209D4C4">
                  <wp:extent cx="5381625" cy="3114675"/>
                  <wp:effectExtent l="0" t="0" r="9525" b="9525"/>
                  <wp:docPr id="83" name="Picture 83" descr="This figure shows the various categories of housing assistance recipients, and specifies those who are included in the analysis – public housing residents (255 667 individuals) and Commonwealth Rent Assistance recipients (942 116 individuals)." title="Figure 1 –  Recipients of housing assistance in Australia,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81625" cy="3114675"/>
                          </a:xfrm>
                          <a:prstGeom prst="rect">
                            <a:avLst/>
                          </a:prstGeom>
                          <a:noFill/>
                          <a:ln>
                            <a:noFill/>
                          </a:ln>
                        </pic:spPr>
                      </pic:pic>
                    </a:graphicData>
                  </a:graphic>
                </wp:inline>
              </w:drawing>
            </w:r>
          </w:p>
        </w:tc>
      </w:tr>
      <w:tr w:rsidR="00DE6A0B" w:rsidRPr="00176D3F" w14:paraId="49994809" w14:textId="77777777" w:rsidTr="00464790">
        <w:tc>
          <w:tcPr>
            <w:tcW w:w="8771" w:type="dxa"/>
            <w:tcBorders>
              <w:top w:val="nil"/>
              <w:left w:val="nil"/>
              <w:bottom w:val="nil"/>
              <w:right w:val="nil"/>
            </w:tcBorders>
            <w:shd w:val="clear" w:color="auto" w:fill="auto"/>
          </w:tcPr>
          <w:p w14:paraId="10C751C9" w14:textId="16ABF99B" w:rsidR="00DE6A0B" w:rsidRPr="00176D3F" w:rsidRDefault="00DE6A0B" w:rsidP="00FB26E8">
            <w:pPr>
              <w:pStyle w:val="Note"/>
            </w:pPr>
            <w:r>
              <w:rPr>
                <w:rStyle w:val="NoteLabel"/>
              </w:rPr>
              <w:t>a</w:t>
            </w:r>
            <w:r>
              <w:t xml:space="preserve"> Boxes with dashed edges represent </w:t>
            </w:r>
            <w:r w:rsidR="00FC4778">
              <w:t>knowledge gaps</w:t>
            </w:r>
            <w:r>
              <w:t xml:space="preserve">, where a precise number of housing assistance recipients is not </w:t>
            </w:r>
            <w:r w:rsidR="00675687">
              <w:t>known</w:t>
            </w:r>
            <w:r>
              <w:t xml:space="preserve">. </w:t>
            </w:r>
            <w:r>
              <w:rPr>
                <w:rStyle w:val="NoteLabel"/>
              </w:rPr>
              <w:t>b</w:t>
            </w:r>
            <w:r>
              <w:t xml:space="preserve"> The total </w:t>
            </w:r>
            <w:r w:rsidR="00D67AF3">
              <w:t>numbers of people living in households receiving housing assistance are</w:t>
            </w:r>
            <w:r>
              <w:t xml:space="preserve"> estimates </w:t>
            </w:r>
            <w:r w:rsidR="00675687">
              <w:t>based on assumed</w:t>
            </w:r>
            <w:r>
              <w:t xml:space="preserve"> numbers of people living in households receiving different types of assistance.</w:t>
            </w:r>
            <w:r w:rsidR="008E332C">
              <w:t xml:space="preserve"> </w:t>
            </w:r>
            <w:r>
              <w:rPr>
                <w:rStyle w:val="NoteLabel"/>
              </w:rPr>
              <w:t>c</w:t>
            </w:r>
            <w:r>
              <w:t> Residents of State</w:t>
            </w:r>
            <w:r w:rsidR="00935A28">
              <w:noBreakHyphen/>
            </w:r>
            <w:r>
              <w:t xml:space="preserve">owned and managed Indigenous housing are not separately identified in the </w:t>
            </w:r>
            <w:proofErr w:type="spellStart"/>
            <w:r>
              <w:t>DHS</w:t>
            </w:r>
            <w:proofErr w:type="spellEnd"/>
            <w:r>
              <w:t xml:space="preserve"> data. </w:t>
            </w:r>
            <w:r>
              <w:rPr>
                <w:rStyle w:val="NoteLabel"/>
              </w:rPr>
              <w:t xml:space="preserve">d </w:t>
            </w:r>
            <w:r>
              <w:t>Housing assistance measures such as one</w:t>
            </w:r>
            <w:r w:rsidR="00935A28">
              <w:noBreakHyphen/>
            </w:r>
            <w:r>
              <w:t>off bond payments are not included.</w:t>
            </w:r>
            <w:r w:rsidR="00FB26E8">
              <w:t xml:space="preserve"> </w:t>
            </w:r>
            <w:r w:rsidR="00FB26E8">
              <w:rPr>
                <w:rStyle w:val="NoteLabel"/>
              </w:rPr>
              <w:t>e</w:t>
            </w:r>
            <w:r w:rsidR="00FB26E8">
              <w:rPr>
                <w:spacing w:val="-2"/>
              </w:rPr>
              <w:t xml:space="preserve"> Comparisons of administrative and Census data for South Australia and Western Australia suggest that between 5 and 10 per cent of </w:t>
            </w:r>
            <w:r w:rsidR="002900AF">
              <w:rPr>
                <w:spacing w:val="-2"/>
              </w:rPr>
              <w:t>working-age</w:t>
            </w:r>
            <w:r w:rsidR="00FB26E8">
              <w:rPr>
                <w:spacing w:val="-2"/>
              </w:rPr>
              <w:t xml:space="preserve"> public housing residents are not reported to state housing authorities. The majority of under</w:t>
            </w:r>
            <w:r w:rsidR="00935A28">
              <w:rPr>
                <w:spacing w:val="-2"/>
              </w:rPr>
              <w:noBreakHyphen/>
            </w:r>
            <w:r w:rsidR="00FB26E8">
              <w:rPr>
                <w:spacing w:val="-2"/>
              </w:rPr>
              <w:t>reporting appear to be people who are not income support recipients.</w:t>
            </w:r>
          </w:p>
        </w:tc>
      </w:tr>
      <w:tr w:rsidR="00DE6A0B" w:rsidRPr="00176D3F" w14:paraId="39245220" w14:textId="77777777" w:rsidTr="00BB3F86">
        <w:tc>
          <w:tcPr>
            <w:tcW w:w="8771" w:type="dxa"/>
            <w:tcBorders>
              <w:top w:val="nil"/>
              <w:left w:val="nil"/>
              <w:bottom w:val="nil"/>
              <w:right w:val="nil"/>
            </w:tcBorders>
            <w:shd w:val="clear" w:color="auto" w:fill="auto"/>
          </w:tcPr>
          <w:p w14:paraId="186D6E11" w14:textId="3424771C" w:rsidR="00DE6A0B" w:rsidRPr="00176D3F" w:rsidRDefault="007353E0" w:rsidP="00464790">
            <w:pPr>
              <w:pStyle w:val="Source"/>
            </w:pPr>
            <w:r w:rsidRPr="007353E0">
              <w:rPr>
                <w:i/>
              </w:rPr>
              <w:t>S</w:t>
            </w:r>
            <w:r w:rsidR="00DE6A0B" w:rsidRPr="007353E0">
              <w:rPr>
                <w:i/>
              </w:rPr>
              <w:t>o</w:t>
            </w:r>
            <w:r w:rsidR="00DE6A0B" w:rsidRPr="00784A05">
              <w:rPr>
                <w:i/>
              </w:rPr>
              <w:t>urce</w:t>
            </w:r>
            <w:r w:rsidR="00B66C82">
              <w:rPr>
                <w:i/>
              </w:rPr>
              <w:t>s</w:t>
            </w:r>
            <w:r w:rsidR="00DE6A0B" w:rsidRPr="00176D3F">
              <w:t xml:space="preserve">: </w:t>
            </w:r>
            <w:proofErr w:type="spellStart"/>
            <w:r w:rsidR="00DE6A0B">
              <w:t>AIHW</w:t>
            </w:r>
            <w:proofErr w:type="spellEnd"/>
            <w:r w:rsidR="002900AF">
              <w:t xml:space="preserve"> </w:t>
            </w:r>
            <w:r w:rsidR="00DE6A0B">
              <w:t xml:space="preserve">(2014); </w:t>
            </w:r>
            <w:proofErr w:type="spellStart"/>
            <w:r w:rsidR="00DE6A0B">
              <w:t>SCRGSP</w:t>
            </w:r>
            <w:proofErr w:type="spellEnd"/>
            <w:r w:rsidR="00DE6A0B">
              <w:t xml:space="preserve"> (2014); ABS (</w:t>
            </w:r>
            <w:proofErr w:type="spellStart"/>
            <w:r w:rsidR="009602BA" w:rsidRPr="00905139">
              <w:rPr>
                <w:i/>
              </w:rPr>
              <w:t>TableBuilder</w:t>
            </w:r>
            <w:proofErr w:type="spellEnd"/>
            <w:r w:rsidR="009602BA" w:rsidRPr="00905139">
              <w:rPr>
                <w:i/>
              </w:rPr>
              <w:t xml:space="preserve"> Pro, 2011</w:t>
            </w:r>
            <w:r w:rsidR="009602BA">
              <w:t>, Cat. no. 2073.0</w:t>
            </w:r>
            <w:r w:rsidR="00DE6A0B">
              <w:t xml:space="preserve">); </w:t>
            </w:r>
            <w:proofErr w:type="spellStart"/>
            <w:r w:rsidR="00DE6A0B">
              <w:t>DHS</w:t>
            </w:r>
            <w:proofErr w:type="spellEnd"/>
            <w:r w:rsidR="00DE6A0B">
              <w:t xml:space="preserve"> (unpublished).</w:t>
            </w:r>
          </w:p>
        </w:tc>
      </w:tr>
      <w:tr w:rsidR="00DE6A0B" w14:paraId="69FD2672" w14:textId="77777777" w:rsidTr="00464790">
        <w:tc>
          <w:tcPr>
            <w:tcW w:w="8771" w:type="dxa"/>
            <w:tcBorders>
              <w:top w:val="nil"/>
              <w:left w:val="nil"/>
              <w:bottom w:val="single" w:sz="6" w:space="0" w:color="78A22F"/>
              <w:right w:val="nil"/>
            </w:tcBorders>
            <w:shd w:val="clear" w:color="auto" w:fill="auto"/>
          </w:tcPr>
          <w:p w14:paraId="416F6832" w14:textId="77777777" w:rsidR="00DE6A0B" w:rsidRDefault="00DE6A0B" w:rsidP="00464790">
            <w:pPr>
              <w:pStyle w:val="Figurespace"/>
            </w:pPr>
          </w:p>
        </w:tc>
      </w:tr>
      <w:tr w:rsidR="00DE6A0B" w:rsidRPr="000863A5" w14:paraId="5F99FD41" w14:textId="77777777" w:rsidTr="00464790">
        <w:tc>
          <w:tcPr>
            <w:tcW w:w="8771" w:type="dxa"/>
            <w:tcBorders>
              <w:top w:val="single" w:sz="6" w:space="0" w:color="78A22F"/>
              <w:left w:val="nil"/>
              <w:bottom w:val="nil"/>
              <w:right w:val="nil"/>
            </w:tcBorders>
          </w:tcPr>
          <w:p w14:paraId="2FB8CCEA" w14:textId="07BA3E16" w:rsidR="00DE6A0B" w:rsidRPr="00626D32" w:rsidRDefault="00DE6A0B" w:rsidP="00464790">
            <w:pPr>
              <w:pStyle w:val="BoxSpaceBelow"/>
            </w:pPr>
          </w:p>
        </w:tc>
      </w:tr>
    </w:tbl>
    <w:p w14:paraId="3195950F" w14:textId="77777777" w:rsidR="007F0DA5" w:rsidRPr="007F0DA5" w:rsidRDefault="00FE3BEC" w:rsidP="007F0DA5">
      <w:pPr>
        <w:pStyle w:val="Heading3"/>
      </w:pPr>
      <w:r>
        <w:lastRenderedPageBreak/>
        <w:t>L</w:t>
      </w:r>
      <w:r w:rsidR="007F0DA5" w:rsidRPr="007F0DA5">
        <w:t xml:space="preserve">imitations </w:t>
      </w:r>
      <w:r>
        <w:t xml:space="preserve">of </w:t>
      </w:r>
      <w:r w:rsidR="007F0DA5">
        <w:t xml:space="preserve">the </w:t>
      </w:r>
      <w:proofErr w:type="spellStart"/>
      <w:r w:rsidR="007F0DA5">
        <w:t>DHS</w:t>
      </w:r>
      <w:proofErr w:type="spellEnd"/>
      <w:r w:rsidR="007F0DA5">
        <w:t xml:space="preserve"> </w:t>
      </w:r>
      <w:r w:rsidR="007F0DA5" w:rsidRPr="007F0DA5">
        <w:t>data</w:t>
      </w:r>
    </w:p>
    <w:p w14:paraId="5284303F" w14:textId="7F0E2C2F" w:rsidR="00C35830" w:rsidRDefault="00816F37" w:rsidP="005B6B02">
      <w:pPr>
        <w:pStyle w:val="BodyText"/>
        <w:rPr>
          <w:rFonts w:ascii="Arial" w:hAnsi="Arial"/>
          <w:b/>
          <w:sz w:val="32"/>
        </w:rPr>
      </w:pPr>
      <w:r w:rsidRPr="00405324">
        <w:rPr>
          <w:spacing w:val="-2"/>
        </w:rPr>
        <w:t xml:space="preserve">The administrative records are a rich source of information about housing assistance recipients because </w:t>
      </w:r>
      <w:r w:rsidR="00B10DD1" w:rsidRPr="00405324">
        <w:rPr>
          <w:spacing w:val="-2"/>
        </w:rPr>
        <w:t xml:space="preserve">many </w:t>
      </w:r>
      <w:r w:rsidRPr="00405324">
        <w:rPr>
          <w:spacing w:val="-2"/>
        </w:rPr>
        <w:t xml:space="preserve">also receive ISPs administered by </w:t>
      </w:r>
      <w:proofErr w:type="spellStart"/>
      <w:r w:rsidRPr="00405324">
        <w:rPr>
          <w:spacing w:val="-2"/>
        </w:rPr>
        <w:t>DHS</w:t>
      </w:r>
      <w:proofErr w:type="spellEnd"/>
      <w:r w:rsidRPr="00405324">
        <w:rPr>
          <w:spacing w:val="-2"/>
        </w:rPr>
        <w:t xml:space="preserve">. </w:t>
      </w:r>
      <w:r w:rsidR="0034356F" w:rsidRPr="00405324">
        <w:rPr>
          <w:spacing w:val="-2"/>
        </w:rPr>
        <w:t xml:space="preserve">However, the </w:t>
      </w:r>
      <w:proofErr w:type="spellStart"/>
      <w:r w:rsidR="00405324" w:rsidRPr="00405324">
        <w:rPr>
          <w:spacing w:val="-2"/>
        </w:rPr>
        <w:t>DHS</w:t>
      </w:r>
      <w:proofErr w:type="spellEnd"/>
      <w:r w:rsidR="00405324" w:rsidRPr="00405324">
        <w:rPr>
          <w:spacing w:val="-2"/>
        </w:rPr>
        <w:t xml:space="preserve"> </w:t>
      </w:r>
      <w:r w:rsidR="0034356F" w:rsidRPr="00405324">
        <w:rPr>
          <w:spacing w:val="-2"/>
        </w:rPr>
        <w:t xml:space="preserve">data have </w:t>
      </w:r>
      <w:r w:rsidR="00625E10">
        <w:rPr>
          <w:spacing w:val="-2"/>
        </w:rPr>
        <w:t xml:space="preserve">some </w:t>
      </w:r>
      <w:r w:rsidR="0034356F" w:rsidRPr="00405324">
        <w:rPr>
          <w:spacing w:val="-2"/>
        </w:rPr>
        <w:t>limitations.</w:t>
      </w:r>
      <w:r w:rsidR="00405324" w:rsidRPr="00405324">
        <w:rPr>
          <w:spacing w:val="-2"/>
        </w:rPr>
        <w:t xml:space="preserve"> Most importantly, because they</w:t>
      </w:r>
      <w:r w:rsidR="00111410" w:rsidRPr="00405324">
        <w:rPr>
          <w:spacing w:val="-2"/>
        </w:rPr>
        <w:t xml:space="preserve"> do not include all housing assistance recipients (figure</w:t>
      </w:r>
      <w:r w:rsidR="00935A28">
        <w:rPr>
          <w:spacing w:val="-2"/>
        </w:rPr>
        <w:t> </w:t>
      </w:r>
      <w:r w:rsidR="00111410" w:rsidRPr="00405324">
        <w:rPr>
          <w:spacing w:val="-2"/>
        </w:rPr>
        <w:t>1)</w:t>
      </w:r>
      <w:r w:rsidR="007855F0">
        <w:rPr>
          <w:spacing w:val="-2"/>
        </w:rPr>
        <w:t>,</w:t>
      </w:r>
      <w:r w:rsidR="00111410" w:rsidRPr="00405324">
        <w:rPr>
          <w:spacing w:val="-2"/>
        </w:rPr>
        <w:t xml:space="preserve"> </w:t>
      </w:r>
      <w:r w:rsidR="0034356F" w:rsidRPr="00405324">
        <w:rPr>
          <w:spacing w:val="-2"/>
        </w:rPr>
        <w:t xml:space="preserve">inferences </w:t>
      </w:r>
      <w:r w:rsidR="00111410" w:rsidRPr="00405324">
        <w:rPr>
          <w:spacing w:val="-2"/>
        </w:rPr>
        <w:t>are</w:t>
      </w:r>
      <w:r w:rsidR="0034356F" w:rsidRPr="00405324">
        <w:rPr>
          <w:spacing w:val="-2"/>
        </w:rPr>
        <w:t xml:space="preserve"> limited to those in receipt of an ISP.</w:t>
      </w:r>
      <w:r w:rsidR="0034356F" w:rsidRPr="00A616C5">
        <w:rPr>
          <w:spacing w:val="-2"/>
        </w:rPr>
        <w:t xml:space="preserve"> </w:t>
      </w:r>
      <w:r w:rsidR="00713F26">
        <w:rPr>
          <w:spacing w:val="-2"/>
        </w:rPr>
        <w:t>In particular</w:t>
      </w:r>
      <w:r w:rsidR="00405324" w:rsidRPr="00A616C5">
        <w:rPr>
          <w:spacing w:val="-2"/>
        </w:rPr>
        <w:t xml:space="preserve">, </w:t>
      </w:r>
      <w:r w:rsidR="007855F0" w:rsidRPr="00A616C5">
        <w:rPr>
          <w:spacing w:val="-2"/>
        </w:rPr>
        <w:t>employment rates among housing assistance recipients</w:t>
      </w:r>
      <w:r w:rsidR="007855F0">
        <w:rPr>
          <w:spacing w:val="-2"/>
        </w:rPr>
        <w:t xml:space="preserve"> are likely to be underestimated</w:t>
      </w:r>
      <w:r w:rsidR="007855F0" w:rsidRPr="00A616C5">
        <w:rPr>
          <w:spacing w:val="-2"/>
        </w:rPr>
        <w:t xml:space="preserve"> </w:t>
      </w:r>
      <w:r w:rsidR="00405324" w:rsidRPr="00A616C5">
        <w:rPr>
          <w:spacing w:val="-2"/>
        </w:rPr>
        <w:t>because</w:t>
      </w:r>
      <w:r w:rsidRPr="00A616C5">
        <w:rPr>
          <w:spacing w:val="-2"/>
        </w:rPr>
        <w:t xml:space="preserve"> </w:t>
      </w:r>
      <w:r w:rsidR="00405324" w:rsidRPr="00A616C5">
        <w:rPr>
          <w:spacing w:val="-2"/>
        </w:rPr>
        <w:t>some</w:t>
      </w:r>
      <w:r w:rsidRPr="00A616C5">
        <w:rPr>
          <w:spacing w:val="-2"/>
        </w:rPr>
        <w:t xml:space="preserve"> </w:t>
      </w:r>
      <w:proofErr w:type="spellStart"/>
      <w:r w:rsidRPr="00A616C5">
        <w:rPr>
          <w:spacing w:val="-2"/>
        </w:rPr>
        <w:t>CRA</w:t>
      </w:r>
      <w:proofErr w:type="spellEnd"/>
      <w:r w:rsidRPr="00A616C5">
        <w:rPr>
          <w:spacing w:val="-2"/>
        </w:rPr>
        <w:t xml:space="preserve"> recipients and public housing residents who may be employed are not included in this data</w:t>
      </w:r>
      <w:r w:rsidR="00A616C5">
        <w:rPr>
          <w:spacing w:val="-2"/>
        </w:rPr>
        <w:t xml:space="preserve"> — </w:t>
      </w:r>
      <w:r w:rsidR="007855F0">
        <w:rPr>
          <w:spacing w:val="-2"/>
        </w:rPr>
        <w:t>as</w:t>
      </w:r>
      <w:r w:rsidR="00A616C5">
        <w:rPr>
          <w:spacing w:val="-2"/>
        </w:rPr>
        <w:t xml:space="preserve"> their earnings preclude their receipt of an ISP</w:t>
      </w:r>
      <w:r w:rsidR="0088609E">
        <w:rPr>
          <w:spacing w:val="-2"/>
        </w:rPr>
        <w:t>.</w:t>
      </w:r>
    </w:p>
    <w:p w14:paraId="343BCBE3" w14:textId="77777777" w:rsidR="00502B34" w:rsidRDefault="00BC2316" w:rsidP="00502B34">
      <w:pPr>
        <w:pStyle w:val="Heading2"/>
      </w:pPr>
      <w:fldSimple w:instr=" SEQ Heading2 ">
        <w:r w:rsidR="00B5435E">
          <w:rPr>
            <w:noProof/>
          </w:rPr>
          <w:t>3</w:t>
        </w:r>
      </w:fldSimple>
      <w:r w:rsidR="00502B34">
        <w:tab/>
        <w:t xml:space="preserve">What </w:t>
      </w:r>
      <w:r w:rsidR="00836A8E">
        <w:t xml:space="preserve">are </w:t>
      </w:r>
      <w:r w:rsidR="00502B34">
        <w:t>the dimensions of housing assistance?</w:t>
      </w:r>
    </w:p>
    <w:p w14:paraId="750985A0" w14:textId="5A43E808" w:rsidR="00C35830" w:rsidRPr="00C35830" w:rsidRDefault="00C35830" w:rsidP="00C35830">
      <w:pPr>
        <w:pStyle w:val="BodyText"/>
        <w:rPr>
          <w:i/>
        </w:rPr>
      </w:pPr>
      <w:r>
        <w:rPr>
          <w:i/>
        </w:rPr>
        <w:t>A</w:t>
      </w:r>
      <w:r w:rsidRPr="001D1B58">
        <w:rPr>
          <w:i/>
        </w:rPr>
        <w:t xml:space="preserve">round </w:t>
      </w:r>
      <w:r>
        <w:rPr>
          <w:i/>
        </w:rPr>
        <w:t>44</w:t>
      </w:r>
      <w:r w:rsidRPr="001D1B58">
        <w:rPr>
          <w:i/>
        </w:rPr>
        <w:t xml:space="preserve"> per</w:t>
      </w:r>
      <w:r w:rsidR="00B61650">
        <w:rPr>
          <w:i/>
        </w:rPr>
        <w:t> </w:t>
      </w:r>
      <w:r w:rsidRPr="001D1B58">
        <w:rPr>
          <w:i/>
        </w:rPr>
        <w:t xml:space="preserve">cent of </w:t>
      </w:r>
      <w:r w:rsidR="002900AF">
        <w:rPr>
          <w:i/>
        </w:rPr>
        <w:t>working-age</w:t>
      </w:r>
      <w:r>
        <w:rPr>
          <w:i/>
        </w:rPr>
        <w:t xml:space="preserve"> ISP recipients</w:t>
      </w:r>
      <w:r w:rsidRPr="001D1B58">
        <w:rPr>
          <w:i/>
        </w:rPr>
        <w:t xml:space="preserve"> </w:t>
      </w:r>
      <w:r w:rsidR="00B61650">
        <w:rPr>
          <w:i/>
        </w:rPr>
        <w:t xml:space="preserve">received </w:t>
      </w:r>
      <w:r w:rsidRPr="001D1B58">
        <w:rPr>
          <w:i/>
        </w:rPr>
        <w:t>housing assistance</w:t>
      </w:r>
      <w:r w:rsidR="00B61650">
        <w:rPr>
          <w:i/>
        </w:rPr>
        <w:t xml:space="preserve"> in 2011 …</w:t>
      </w:r>
    </w:p>
    <w:p w14:paraId="095833E1" w14:textId="0EEC83D3" w:rsidR="003B0F45" w:rsidRDefault="003B0F45" w:rsidP="002F6E69">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3239"/>
        <w:gridCol w:w="3339"/>
        <w:gridCol w:w="2193"/>
      </w:tblGrid>
      <w:tr w:rsidR="003B0F45" w14:paraId="5F5EFDCA" w14:textId="77777777" w:rsidTr="00464790">
        <w:tc>
          <w:tcPr>
            <w:tcW w:w="8771" w:type="dxa"/>
            <w:gridSpan w:val="3"/>
            <w:tcBorders>
              <w:top w:val="single" w:sz="6" w:space="0" w:color="78A22F"/>
              <w:left w:val="nil"/>
              <w:bottom w:val="nil"/>
              <w:right w:val="nil"/>
            </w:tcBorders>
            <w:shd w:val="clear" w:color="auto" w:fill="auto"/>
          </w:tcPr>
          <w:p w14:paraId="17CAEFD2" w14:textId="1FCA27DF" w:rsidR="003B0F45" w:rsidRPr="00176D3F" w:rsidRDefault="003B0F45" w:rsidP="00991F37">
            <w:pPr>
              <w:pStyle w:val="FigureTitle"/>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2</w:t>
            </w:r>
            <w:r w:rsidRPr="00784A05">
              <w:rPr>
                <w:b w:val="0"/>
              </w:rPr>
              <w:fldChar w:fldCharType="end"/>
            </w:r>
            <w:r>
              <w:tab/>
            </w:r>
            <w:r w:rsidR="007B5D8D">
              <w:t xml:space="preserve">Housing tenures </w:t>
            </w:r>
            <w:r>
              <w:t xml:space="preserve">among </w:t>
            </w:r>
            <w:r w:rsidR="002900AF">
              <w:t>working-age</w:t>
            </w:r>
            <w:r>
              <w:t xml:space="preserve"> people by </w:t>
            </w:r>
            <w:r w:rsidR="007B5D8D">
              <w:t xml:space="preserve">ISP </w:t>
            </w:r>
            <w:r>
              <w:t>status</w:t>
            </w:r>
            <w:r w:rsidR="00610074">
              <w:t>, 2011</w:t>
            </w:r>
            <w:r w:rsidR="00935A28">
              <w:noBreakHyphen/>
            </w:r>
            <w:r w:rsidR="00610074">
              <w:t>12</w:t>
            </w:r>
            <w:r w:rsidRPr="00CD3EB5">
              <w:rPr>
                <w:rStyle w:val="NoteLabel"/>
                <w:b/>
              </w:rPr>
              <w:t>a</w:t>
            </w:r>
          </w:p>
        </w:tc>
      </w:tr>
      <w:tr w:rsidR="003B0F45" w14:paraId="79B838EA" w14:textId="77777777" w:rsidTr="003B0F45">
        <w:tblPrEx>
          <w:tblCellMar>
            <w:left w:w="108" w:type="dxa"/>
            <w:right w:w="108" w:type="dxa"/>
          </w:tblCellMar>
        </w:tblPrEx>
        <w:tc>
          <w:tcPr>
            <w:tcW w:w="3239" w:type="dxa"/>
            <w:tcBorders>
              <w:top w:val="nil"/>
              <w:left w:val="nil"/>
              <w:bottom w:val="nil"/>
              <w:right w:val="nil"/>
            </w:tcBorders>
            <w:shd w:val="clear" w:color="auto" w:fill="auto"/>
          </w:tcPr>
          <w:p w14:paraId="5A3B188E" w14:textId="77777777" w:rsidR="003B0F45" w:rsidRPr="003B0F45" w:rsidRDefault="003B0F45" w:rsidP="003B0F45">
            <w:pPr>
              <w:pStyle w:val="TableColumnHeading"/>
              <w:jc w:val="center"/>
              <w:rPr>
                <w:b/>
                <w:i w:val="0"/>
              </w:rPr>
            </w:pPr>
            <w:r w:rsidRPr="003B0F45">
              <w:rPr>
                <w:b/>
                <w:i w:val="0"/>
              </w:rPr>
              <w:t>All people</w:t>
            </w:r>
          </w:p>
        </w:tc>
        <w:tc>
          <w:tcPr>
            <w:tcW w:w="3339" w:type="dxa"/>
            <w:tcBorders>
              <w:top w:val="nil"/>
              <w:left w:val="nil"/>
              <w:right w:val="nil"/>
            </w:tcBorders>
            <w:shd w:val="clear" w:color="auto" w:fill="auto"/>
          </w:tcPr>
          <w:p w14:paraId="2829E830" w14:textId="77777777" w:rsidR="003B0F45" w:rsidRPr="003B0F45" w:rsidRDefault="003B0F45" w:rsidP="003B0F45">
            <w:pPr>
              <w:pStyle w:val="TableColumnHeading"/>
              <w:jc w:val="center"/>
              <w:rPr>
                <w:b/>
                <w:i w:val="0"/>
              </w:rPr>
            </w:pPr>
            <w:r>
              <w:rPr>
                <w:b/>
                <w:i w:val="0"/>
              </w:rPr>
              <w:t>ISP</w:t>
            </w:r>
            <w:r w:rsidRPr="003B0F45">
              <w:rPr>
                <w:b/>
                <w:i w:val="0"/>
              </w:rPr>
              <w:t xml:space="preserve"> recipients</w:t>
            </w:r>
          </w:p>
        </w:tc>
        <w:tc>
          <w:tcPr>
            <w:tcW w:w="2193" w:type="dxa"/>
            <w:vMerge w:val="restart"/>
            <w:tcBorders>
              <w:top w:val="nil"/>
              <w:left w:val="nil"/>
              <w:right w:val="nil"/>
            </w:tcBorders>
            <w:shd w:val="clear" w:color="auto" w:fill="auto"/>
          </w:tcPr>
          <w:p w14:paraId="6ABD42CA" w14:textId="77777777" w:rsidR="003B0F45" w:rsidRPr="003B0F45" w:rsidRDefault="003B0F45" w:rsidP="003B0F45">
            <w:pPr>
              <w:pStyle w:val="TableColumnHeading"/>
              <w:jc w:val="center"/>
              <w:rPr>
                <w:b/>
                <w:i w:val="0"/>
              </w:rPr>
            </w:pPr>
            <w:r>
              <w:rPr>
                <w:noProof/>
              </w:rPr>
              <w:drawing>
                <wp:inline distT="0" distB="0" distL="0" distR="0" wp14:anchorId="10F5B870" wp14:editId="4616F5DF">
                  <wp:extent cx="1302588" cy="2104846"/>
                  <wp:effectExtent l="0" t="0" r="0" b="0"/>
                  <wp:docPr id="22" name="Chart 22" descr="This panel is part of figure 2. Please refer to the description of figure 2 found in the first panel of figure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r>
      <w:tr w:rsidR="003B0F45" w14:paraId="0F711C36" w14:textId="77777777" w:rsidTr="00DD6058">
        <w:tblPrEx>
          <w:tblCellMar>
            <w:left w:w="108" w:type="dxa"/>
            <w:right w:w="108" w:type="dxa"/>
          </w:tblCellMar>
        </w:tblPrEx>
        <w:tc>
          <w:tcPr>
            <w:tcW w:w="3239" w:type="dxa"/>
            <w:tcBorders>
              <w:top w:val="nil"/>
              <w:left w:val="nil"/>
              <w:bottom w:val="nil"/>
              <w:right w:val="nil"/>
            </w:tcBorders>
            <w:shd w:val="clear" w:color="auto" w:fill="auto"/>
          </w:tcPr>
          <w:p w14:paraId="2B6C5AAD" w14:textId="77777777" w:rsidR="003B0F45" w:rsidRDefault="00DD6058" w:rsidP="003B0F45">
            <w:pPr>
              <w:pStyle w:val="Figure"/>
              <w:ind w:left="-130"/>
            </w:pPr>
            <w:r>
              <w:rPr>
                <w:noProof/>
              </w:rPr>
              <w:drawing>
                <wp:inline distT="0" distB="0" distL="0" distR="0" wp14:anchorId="58890ED3" wp14:editId="0993F3B1">
                  <wp:extent cx="1980000" cy="1800000"/>
                  <wp:effectExtent l="0" t="0" r="1270" b="0"/>
                  <wp:docPr id="20" name="Chart 20" descr="This figure compares tenure types across all people and the population of working-age ISP recipients. Of the total population, 6 per cent are private renters receiving rent assistance, 2 per cent are public housing residents, 49 per cent are homeowners, 24 per cent are private renters receiving no housing assistance, and 19 per cent reside in other tenure types. Of the population of ISP recipients, 34 per cent are private renters receiving rent assistance, 10 per cent are public housing residents, 22 per cent are homeowners, 10 per cent are private renters receiving no housing assistance, and 24 per cent reside in other tenure types.&#10;" title="Figure 2 – Housing tenures among working age people by ISP status, 2011-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c>
          <w:tcPr>
            <w:tcW w:w="3339" w:type="dxa"/>
            <w:tcBorders>
              <w:left w:val="nil"/>
              <w:bottom w:val="nil"/>
              <w:right w:val="nil"/>
            </w:tcBorders>
            <w:shd w:val="clear" w:color="auto" w:fill="auto"/>
          </w:tcPr>
          <w:p w14:paraId="76DF6773" w14:textId="77777777" w:rsidR="003B0F45" w:rsidRDefault="00DD6058" w:rsidP="00464790">
            <w:pPr>
              <w:pStyle w:val="Figure"/>
            </w:pPr>
            <w:r>
              <w:rPr>
                <w:noProof/>
              </w:rPr>
              <w:drawing>
                <wp:inline distT="0" distB="0" distL="0" distR="0" wp14:anchorId="38BE8CCF" wp14:editId="57432608">
                  <wp:extent cx="1980000" cy="1800000"/>
                  <wp:effectExtent l="0" t="0" r="1270" b="0"/>
                  <wp:docPr id="23" name="Chart 23" descr="This panel is part of figure 2. Please refer to the description of figure 2 found in the first panel of figure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c>
          <w:tcPr>
            <w:tcW w:w="2193" w:type="dxa"/>
            <w:vMerge/>
            <w:tcBorders>
              <w:left w:val="nil"/>
              <w:bottom w:val="nil"/>
              <w:right w:val="nil"/>
            </w:tcBorders>
            <w:shd w:val="clear" w:color="auto" w:fill="auto"/>
          </w:tcPr>
          <w:p w14:paraId="7390A75A" w14:textId="77777777" w:rsidR="003B0F45" w:rsidRDefault="003B0F45" w:rsidP="00464790">
            <w:pPr>
              <w:pStyle w:val="Figure"/>
            </w:pPr>
          </w:p>
        </w:tc>
      </w:tr>
      <w:tr w:rsidR="003B0F45" w:rsidRPr="00176D3F" w14:paraId="0FD60764" w14:textId="77777777" w:rsidTr="00464790">
        <w:tc>
          <w:tcPr>
            <w:tcW w:w="8771" w:type="dxa"/>
            <w:gridSpan w:val="3"/>
            <w:tcBorders>
              <w:top w:val="nil"/>
              <w:left w:val="nil"/>
              <w:bottom w:val="nil"/>
              <w:right w:val="nil"/>
            </w:tcBorders>
            <w:shd w:val="clear" w:color="auto" w:fill="auto"/>
          </w:tcPr>
          <w:p w14:paraId="0154087B" w14:textId="21061004" w:rsidR="003B0F45" w:rsidRPr="002F6ABB" w:rsidRDefault="003B0F45" w:rsidP="00A616C5">
            <w:pPr>
              <w:pStyle w:val="Note"/>
              <w:rPr>
                <w:spacing w:val="-2"/>
                <w:szCs w:val="18"/>
              </w:rPr>
            </w:pPr>
            <w:r w:rsidRPr="002F6ABB">
              <w:rPr>
                <w:rStyle w:val="NoteLabel"/>
                <w:spacing w:val="-2"/>
                <w:szCs w:val="18"/>
              </w:rPr>
              <w:t xml:space="preserve">a </w:t>
            </w:r>
            <w:r w:rsidRPr="002F6ABB">
              <w:rPr>
                <w:spacing w:val="-2"/>
                <w:szCs w:val="18"/>
              </w:rPr>
              <w:t>Data for ‘</w:t>
            </w:r>
            <w:r w:rsidR="00C35830" w:rsidRPr="002F6ABB">
              <w:rPr>
                <w:spacing w:val="-2"/>
                <w:szCs w:val="18"/>
              </w:rPr>
              <w:t>A</w:t>
            </w:r>
            <w:r w:rsidRPr="002F6ABB">
              <w:rPr>
                <w:spacing w:val="-2"/>
                <w:szCs w:val="18"/>
              </w:rPr>
              <w:t>ll people’ are from the ABS Survey of Income and Housing 2011</w:t>
            </w:r>
            <w:r w:rsidR="00935A28">
              <w:rPr>
                <w:spacing w:val="-2"/>
                <w:szCs w:val="18"/>
              </w:rPr>
              <w:noBreakHyphen/>
            </w:r>
            <w:r w:rsidRPr="002F6ABB">
              <w:rPr>
                <w:spacing w:val="-2"/>
                <w:szCs w:val="18"/>
              </w:rPr>
              <w:t xml:space="preserve">12, and include people aged 15 to 64. Data for </w:t>
            </w:r>
            <w:r w:rsidR="00C35830" w:rsidRPr="002F6ABB">
              <w:rPr>
                <w:spacing w:val="-2"/>
                <w:szCs w:val="18"/>
              </w:rPr>
              <w:t>ISP</w:t>
            </w:r>
            <w:r w:rsidRPr="002F6ABB">
              <w:rPr>
                <w:spacing w:val="-2"/>
                <w:szCs w:val="18"/>
              </w:rPr>
              <w:t xml:space="preserve"> recipients are from </w:t>
            </w:r>
            <w:r w:rsidR="002F6ABB" w:rsidRPr="002F6ABB">
              <w:rPr>
                <w:spacing w:val="-2"/>
                <w:szCs w:val="18"/>
              </w:rPr>
              <w:t xml:space="preserve">the </w:t>
            </w:r>
            <w:proofErr w:type="spellStart"/>
            <w:r w:rsidRPr="002F6ABB">
              <w:rPr>
                <w:spacing w:val="-2"/>
                <w:szCs w:val="18"/>
              </w:rPr>
              <w:t>DHS</w:t>
            </w:r>
            <w:proofErr w:type="spellEnd"/>
            <w:r w:rsidRPr="002F6ABB">
              <w:rPr>
                <w:spacing w:val="-2"/>
                <w:szCs w:val="18"/>
              </w:rPr>
              <w:t xml:space="preserve"> data, and include all ISP recipients aged 15–65</w:t>
            </w:r>
            <w:r w:rsidR="0042570F" w:rsidRPr="002F6ABB">
              <w:rPr>
                <w:spacing w:val="-2"/>
                <w:szCs w:val="18"/>
              </w:rPr>
              <w:t xml:space="preserve">, but exclude </w:t>
            </w:r>
            <w:proofErr w:type="spellStart"/>
            <w:r w:rsidR="00FF2726">
              <w:rPr>
                <w:spacing w:val="-2"/>
                <w:szCs w:val="18"/>
              </w:rPr>
              <w:t>FTB</w:t>
            </w:r>
            <w:proofErr w:type="spellEnd"/>
            <w:r w:rsidR="00FF2726">
              <w:rPr>
                <w:spacing w:val="-2"/>
                <w:szCs w:val="18"/>
              </w:rPr>
              <w:t xml:space="preserve"> A</w:t>
            </w:r>
            <w:r w:rsidR="00935A28">
              <w:rPr>
                <w:spacing w:val="-2"/>
                <w:szCs w:val="18"/>
              </w:rPr>
              <w:noBreakHyphen/>
            </w:r>
            <w:r w:rsidR="0042570F" w:rsidRPr="002F6ABB">
              <w:rPr>
                <w:spacing w:val="-2"/>
                <w:szCs w:val="18"/>
              </w:rPr>
              <w:t xml:space="preserve">only recipients of </w:t>
            </w:r>
            <w:proofErr w:type="spellStart"/>
            <w:r w:rsidR="0042570F" w:rsidRPr="002F6ABB">
              <w:rPr>
                <w:spacing w:val="-2"/>
                <w:szCs w:val="18"/>
              </w:rPr>
              <w:t>CRA</w:t>
            </w:r>
            <w:proofErr w:type="spellEnd"/>
            <w:r w:rsidR="0042570F" w:rsidRPr="002F6ABB">
              <w:rPr>
                <w:spacing w:val="-2"/>
                <w:szCs w:val="18"/>
              </w:rPr>
              <w:t>.</w:t>
            </w:r>
            <w:r w:rsidRPr="002F6ABB">
              <w:rPr>
                <w:spacing w:val="-2"/>
                <w:szCs w:val="18"/>
              </w:rPr>
              <w:t xml:space="preserve"> Residents of public housing are people who rent from a State or Territory Housing Authority. People who neither rent nor own their own home are classified as ‘Other’. This includes people living rent</w:t>
            </w:r>
            <w:r w:rsidR="002F6ABB">
              <w:rPr>
                <w:spacing w:val="-2"/>
                <w:szCs w:val="18"/>
              </w:rPr>
              <w:t xml:space="preserve"> </w:t>
            </w:r>
            <w:r w:rsidRPr="002F6ABB">
              <w:rPr>
                <w:spacing w:val="-2"/>
                <w:szCs w:val="18"/>
              </w:rPr>
              <w:t>free</w:t>
            </w:r>
            <w:r w:rsidR="002F6ABB" w:rsidRPr="002F6ABB">
              <w:rPr>
                <w:spacing w:val="-2"/>
                <w:szCs w:val="18"/>
              </w:rPr>
              <w:t xml:space="preserve">, some of </w:t>
            </w:r>
            <w:r w:rsidR="00D67AF3">
              <w:rPr>
                <w:spacing w:val="-2"/>
                <w:szCs w:val="18"/>
              </w:rPr>
              <w:t>who</w:t>
            </w:r>
            <w:r w:rsidR="004D29B9">
              <w:rPr>
                <w:spacing w:val="-2"/>
                <w:szCs w:val="18"/>
              </w:rPr>
              <w:t>m</w:t>
            </w:r>
            <w:r w:rsidR="002F6ABB" w:rsidRPr="002F6ABB">
              <w:rPr>
                <w:spacing w:val="-2"/>
                <w:szCs w:val="18"/>
              </w:rPr>
              <w:t xml:space="preserve"> are the </w:t>
            </w:r>
            <w:r w:rsidR="002900AF">
              <w:rPr>
                <w:spacing w:val="-2"/>
                <w:szCs w:val="18"/>
              </w:rPr>
              <w:t>working-age</w:t>
            </w:r>
            <w:r w:rsidR="002F6ABB" w:rsidRPr="002F6ABB">
              <w:rPr>
                <w:spacing w:val="-2"/>
                <w:szCs w:val="18"/>
              </w:rPr>
              <w:t xml:space="preserve"> children of ISP recipients in other tenures</w:t>
            </w:r>
            <w:r w:rsidRPr="002F6ABB">
              <w:rPr>
                <w:spacing w:val="-2"/>
                <w:szCs w:val="18"/>
              </w:rPr>
              <w:t>.</w:t>
            </w:r>
            <w:r w:rsidR="00C35830" w:rsidRPr="002F6ABB">
              <w:rPr>
                <w:spacing w:val="-2"/>
                <w:szCs w:val="18"/>
              </w:rPr>
              <w:t xml:space="preserve"> </w:t>
            </w:r>
          </w:p>
        </w:tc>
      </w:tr>
      <w:tr w:rsidR="003B0F45" w:rsidRPr="00176D3F" w14:paraId="3BCC899D" w14:textId="77777777" w:rsidTr="00464790">
        <w:tc>
          <w:tcPr>
            <w:tcW w:w="8771" w:type="dxa"/>
            <w:gridSpan w:val="3"/>
            <w:tcBorders>
              <w:top w:val="nil"/>
              <w:left w:val="nil"/>
              <w:bottom w:val="nil"/>
              <w:right w:val="nil"/>
            </w:tcBorders>
            <w:shd w:val="clear" w:color="auto" w:fill="auto"/>
          </w:tcPr>
          <w:p w14:paraId="20E63D5B" w14:textId="274C233F" w:rsidR="003B0F45" w:rsidRPr="003B0F45" w:rsidRDefault="00306456" w:rsidP="00EC607B">
            <w:pPr>
              <w:pStyle w:val="Source"/>
            </w:pPr>
            <w:r>
              <w:rPr>
                <w:i/>
              </w:rPr>
              <w:t>Source</w:t>
            </w:r>
            <w:r w:rsidR="003B0F45" w:rsidRPr="003B0F45">
              <w:rPr>
                <w:i/>
              </w:rPr>
              <w:t>s</w:t>
            </w:r>
            <w:r w:rsidR="003B0F45" w:rsidRPr="003B0F45">
              <w:t>: ABS (Survey of Income and Housing, 2011</w:t>
            </w:r>
            <w:r w:rsidR="00935A28">
              <w:noBreakHyphen/>
            </w:r>
            <w:r w:rsidR="003B0F45" w:rsidRPr="003B0F45">
              <w:t>12, Cat no. 4130.0); Department of Human Services, administrative data (unpublished).</w:t>
            </w:r>
          </w:p>
        </w:tc>
      </w:tr>
      <w:tr w:rsidR="003B0F45" w14:paraId="07C276C7" w14:textId="77777777" w:rsidTr="00464790">
        <w:tc>
          <w:tcPr>
            <w:tcW w:w="8771" w:type="dxa"/>
            <w:gridSpan w:val="3"/>
            <w:tcBorders>
              <w:top w:val="nil"/>
              <w:left w:val="nil"/>
              <w:bottom w:val="single" w:sz="6" w:space="0" w:color="78A22F"/>
              <w:right w:val="nil"/>
            </w:tcBorders>
            <w:shd w:val="clear" w:color="auto" w:fill="auto"/>
          </w:tcPr>
          <w:p w14:paraId="30C81B0C" w14:textId="77777777" w:rsidR="003B0F45" w:rsidRDefault="003B0F45" w:rsidP="00464790">
            <w:pPr>
              <w:pStyle w:val="Figurespace"/>
            </w:pPr>
          </w:p>
        </w:tc>
      </w:tr>
      <w:tr w:rsidR="003B0F45" w:rsidRPr="000863A5" w14:paraId="79DCE89E" w14:textId="77777777" w:rsidTr="00464790">
        <w:tc>
          <w:tcPr>
            <w:tcW w:w="8771" w:type="dxa"/>
            <w:gridSpan w:val="3"/>
            <w:tcBorders>
              <w:top w:val="single" w:sz="6" w:space="0" w:color="78A22F"/>
              <w:left w:val="nil"/>
              <w:bottom w:val="nil"/>
              <w:right w:val="nil"/>
            </w:tcBorders>
          </w:tcPr>
          <w:p w14:paraId="4A53547C" w14:textId="2289E11D" w:rsidR="003B0F45" w:rsidRPr="00626D32" w:rsidRDefault="003B0F45" w:rsidP="00464790">
            <w:pPr>
              <w:pStyle w:val="BoxSpaceBelow"/>
            </w:pPr>
          </w:p>
        </w:tc>
      </w:tr>
    </w:tbl>
    <w:p w14:paraId="04722EA1" w14:textId="77777777" w:rsidR="00894FC0" w:rsidRDefault="00894FC0" w:rsidP="00B61650">
      <w:pPr>
        <w:pStyle w:val="BodyText"/>
        <w:rPr>
          <w:i/>
        </w:rPr>
      </w:pPr>
    </w:p>
    <w:p w14:paraId="088C70E9" w14:textId="77777777" w:rsidR="00894FC0" w:rsidRDefault="00894FC0">
      <w:pPr>
        <w:rPr>
          <w:i/>
          <w:szCs w:val="20"/>
        </w:rPr>
      </w:pPr>
      <w:r>
        <w:rPr>
          <w:i/>
        </w:rPr>
        <w:br w:type="page"/>
      </w:r>
    </w:p>
    <w:p w14:paraId="2AD4F1DB" w14:textId="2B737CEE" w:rsidR="00B61650" w:rsidRPr="00B61650" w:rsidRDefault="00B61650" w:rsidP="00B61650">
      <w:pPr>
        <w:pStyle w:val="BodyText"/>
        <w:rPr>
          <w:i/>
        </w:rPr>
      </w:pPr>
      <w:r>
        <w:rPr>
          <w:i/>
        </w:rPr>
        <w:lastRenderedPageBreak/>
        <w:t>… although the rate</w:t>
      </w:r>
      <w:r w:rsidR="00632DC1">
        <w:rPr>
          <w:i/>
        </w:rPr>
        <w:t>s</w:t>
      </w:r>
      <w:r>
        <w:rPr>
          <w:i/>
        </w:rPr>
        <w:t xml:space="preserve"> of receipt of housing assistance </w:t>
      </w:r>
      <w:r w:rsidR="0088577F">
        <w:rPr>
          <w:i/>
        </w:rPr>
        <w:t>differed</w:t>
      </w:r>
      <w:r>
        <w:rPr>
          <w:i/>
        </w:rPr>
        <w:t xml:space="preserve"> considerably by ISP type.</w:t>
      </w:r>
    </w:p>
    <w:p w14:paraId="464F2D29" w14:textId="1E8DD680" w:rsidR="007C41A1" w:rsidRDefault="007C41A1" w:rsidP="002F6E69">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41A1" w14:paraId="6F24072D" w14:textId="77777777" w:rsidTr="00464790">
        <w:tc>
          <w:tcPr>
            <w:tcW w:w="8771" w:type="dxa"/>
            <w:tcBorders>
              <w:top w:val="single" w:sz="6" w:space="0" w:color="78A22F"/>
              <w:left w:val="nil"/>
              <w:bottom w:val="nil"/>
              <w:right w:val="nil"/>
            </w:tcBorders>
            <w:shd w:val="clear" w:color="auto" w:fill="auto"/>
          </w:tcPr>
          <w:p w14:paraId="66844620" w14:textId="77777777" w:rsidR="007C41A1" w:rsidRDefault="007C41A1" w:rsidP="00464790">
            <w:pPr>
              <w:pStyle w:val="FigureTitle"/>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3</w:t>
            </w:r>
            <w:r w:rsidRPr="00784A05">
              <w:rPr>
                <w:b w:val="0"/>
              </w:rPr>
              <w:fldChar w:fldCharType="end"/>
            </w:r>
            <w:r>
              <w:tab/>
              <w:t>Housing assistance by ISP</w:t>
            </w:r>
            <w:r w:rsidR="007B5D8D">
              <w:t xml:space="preserve"> type</w:t>
            </w:r>
            <w:r w:rsidR="00610074">
              <w:t>, 2013</w:t>
            </w:r>
            <w:r w:rsidR="002A0C01" w:rsidRPr="00F35E94">
              <w:rPr>
                <w:rStyle w:val="NoteLabel"/>
                <w:b/>
              </w:rPr>
              <w:t>a</w:t>
            </w:r>
          </w:p>
          <w:p w14:paraId="7B83175B" w14:textId="77777777" w:rsidR="007C41A1" w:rsidRPr="00176D3F" w:rsidRDefault="007C41A1" w:rsidP="00610074">
            <w:pPr>
              <w:pStyle w:val="Subtitle"/>
            </w:pPr>
            <w:r>
              <w:t xml:space="preserve">ISP recipients </w:t>
            </w:r>
            <w:r w:rsidR="002E5C40">
              <w:t xml:space="preserve">within a payment type </w:t>
            </w:r>
            <w:r w:rsidR="007B5D8D">
              <w:t>receiving housing assistance</w:t>
            </w:r>
          </w:p>
        </w:tc>
      </w:tr>
      <w:tr w:rsidR="007C41A1" w14:paraId="718C9F48" w14:textId="77777777" w:rsidTr="005913E9">
        <w:tblPrEx>
          <w:tblCellMar>
            <w:left w:w="108" w:type="dxa"/>
            <w:right w:w="108" w:type="dxa"/>
          </w:tblCellMar>
        </w:tblPrEx>
        <w:tc>
          <w:tcPr>
            <w:tcW w:w="8771" w:type="dxa"/>
            <w:tcBorders>
              <w:top w:val="nil"/>
              <w:left w:val="nil"/>
              <w:bottom w:val="nil"/>
              <w:right w:val="nil"/>
            </w:tcBorders>
            <w:shd w:val="clear" w:color="auto" w:fill="auto"/>
          </w:tcPr>
          <w:p w14:paraId="543432C5" w14:textId="6CBBC595" w:rsidR="007C41A1" w:rsidRDefault="005913E9" w:rsidP="00464790">
            <w:pPr>
              <w:pStyle w:val="Figure"/>
            </w:pPr>
            <w:r>
              <w:rPr>
                <w:noProof/>
              </w:rPr>
              <w:drawing>
                <wp:inline distT="0" distB="0" distL="0" distR="0" wp14:anchorId="7A97E0AF" wp14:editId="134D4AAE">
                  <wp:extent cx="5328000" cy="2160000"/>
                  <wp:effectExtent l="0" t="0" r="6350" b="0"/>
                  <wp:docPr id="1" name="Chart 1" descr="This figure shows the proportion of people receiving different income support payments who are receiving either Commonwealth Rent Assistance or residing in public housing. More ISP recipients receive CRA (around 37 per cent overall), compared to public housing (10 per cent).&#10;" title="Figure 3 – Housing assistance by ISP type,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r>
      <w:tr w:rsidR="007C41A1" w:rsidRPr="00176D3F" w14:paraId="1386FFC2" w14:textId="77777777" w:rsidTr="00464790">
        <w:tc>
          <w:tcPr>
            <w:tcW w:w="8771" w:type="dxa"/>
            <w:tcBorders>
              <w:top w:val="nil"/>
              <w:left w:val="nil"/>
              <w:bottom w:val="nil"/>
              <w:right w:val="nil"/>
            </w:tcBorders>
            <w:shd w:val="clear" w:color="auto" w:fill="auto"/>
          </w:tcPr>
          <w:p w14:paraId="3AC786B1" w14:textId="416C5649" w:rsidR="007C41A1" w:rsidRPr="00176D3F" w:rsidRDefault="007C41A1" w:rsidP="00F05EE6">
            <w:pPr>
              <w:pStyle w:val="Note"/>
            </w:pPr>
            <w:r>
              <w:rPr>
                <w:rStyle w:val="NoteLabel"/>
              </w:rPr>
              <w:t>a</w:t>
            </w:r>
            <w:r>
              <w:t xml:space="preserve"> ISP recipients aged 15–65 at 30</w:t>
            </w:r>
            <w:r w:rsidR="00935A28">
              <w:t> </w:t>
            </w:r>
            <w:r>
              <w:t xml:space="preserve">June </w:t>
            </w:r>
            <w:r w:rsidR="007B5D8D">
              <w:t>2013</w:t>
            </w:r>
            <w:r>
              <w:t>.</w:t>
            </w:r>
            <w:r w:rsidR="0042570F">
              <w:t xml:space="preserve"> This figure does not includ</w:t>
            </w:r>
            <w:r w:rsidR="00F05EE6">
              <w:t xml:space="preserve">e </w:t>
            </w:r>
            <w:proofErr w:type="spellStart"/>
            <w:r w:rsidR="00FF2726">
              <w:t>FTB</w:t>
            </w:r>
            <w:proofErr w:type="spellEnd"/>
            <w:r w:rsidR="00FF2726">
              <w:t xml:space="preserve"> A</w:t>
            </w:r>
            <w:r w:rsidR="00935A28">
              <w:noBreakHyphen/>
            </w:r>
            <w:r w:rsidR="00F05EE6">
              <w:t xml:space="preserve">only recipients of </w:t>
            </w:r>
            <w:proofErr w:type="spellStart"/>
            <w:r w:rsidR="00F05EE6">
              <w:t>CRA</w:t>
            </w:r>
            <w:proofErr w:type="spellEnd"/>
            <w:r w:rsidR="00F05EE6">
              <w:t xml:space="preserve">, or </w:t>
            </w:r>
            <w:r w:rsidR="002900AF">
              <w:t>working-age</w:t>
            </w:r>
            <w:r w:rsidR="00EC6686">
              <w:t xml:space="preserve"> </w:t>
            </w:r>
            <w:r w:rsidR="00F05EE6">
              <w:t>children living at home who are not specifically identified as receiving housing assistance.</w:t>
            </w:r>
          </w:p>
        </w:tc>
      </w:tr>
      <w:tr w:rsidR="007C41A1" w:rsidRPr="00176D3F" w14:paraId="6C5BD021" w14:textId="77777777" w:rsidTr="00464790">
        <w:tc>
          <w:tcPr>
            <w:tcW w:w="8771" w:type="dxa"/>
            <w:tcBorders>
              <w:top w:val="nil"/>
              <w:left w:val="nil"/>
              <w:bottom w:val="nil"/>
              <w:right w:val="nil"/>
            </w:tcBorders>
            <w:shd w:val="clear" w:color="auto" w:fill="auto"/>
          </w:tcPr>
          <w:p w14:paraId="3D0E6595" w14:textId="6B7DB50A" w:rsidR="007C41A1" w:rsidRPr="00176D3F" w:rsidRDefault="00306456" w:rsidP="00464790">
            <w:pPr>
              <w:pStyle w:val="Source"/>
            </w:pPr>
            <w:r>
              <w:rPr>
                <w:i/>
              </w:rPr>
              <w:t>Source</w:t>
            </w:r>
            <w:r w:rsidR="007C41A1">
              <w:t>: Department of Human Services, administrative data (unpublished).</w:t>
            </w:r>
          </w:p>
        </w:tc>
      </w:tr>
      <w:tr w:rsidR="007C41A1" w14:paraId="2625CF3E" w14:textId="77777777" w:rsidTr="00464790">
        <w:tc>
          <w:tcPr>
            <w:tcW w:w="8771" w:type="dxa"/>
            <w:tcBorders>
              <w:top w:val="nil"/>
              <w:left w:val="nil"/>
              <w:bottom w:val="single" w:sz="6" w:space="0" w:color="78A22F"/>
              <w:right w:val="nil"/>
            </w:tcBorders>
            <w:shd w:val="clear" w:color="auto" w:fill="auto"/>
          </w:tcPr>
          <w:p w14:paraId="194C7B60" w14:textId="77777777" w:rsidR="007C41A1" w:rsidRDefault="007C41A1" w:rsidP="00464790">
            <w:pPr>
              <w:pStyle w:val="Figurespace"/>
            </w:pPr>
          </w:p>
        </w:tc>
      </w:tr>
      <w:tr w:rsidR="007C41A1" w:rsidRPr="000863A5" w14:paraId="08A48C1C" w14:textId="77777777" w:rsidTr="00464790">
        <w:tc>
          <w:tcPr>
            <w:tcW w:w="8771" w:type="dxa"/>
            <w:tcBorders>
              <w:top w:val="single" w:sz="6" w:space="0" w:color="78A22F"/>
              <w:left w:val="nil"/>
              <w:bottom w:val="nil"/>
              <w:right w:val="nil"/>
            </w:tcBorders>
          </w:tcPr>
          <w:p w14:paraId="138C4E4D" w14:textId="426AB27C" w:rsidR="007C41A1" w:rsidRPr="00626D32" w:rsidRDefault="007C41A1" w:rsidP="00464790">
            <w:pPr>
              <w:pStyle w:val="BoxSpaceBelow"/>
            </w:pPr>
          </w:p>
        </w:tc>
      </w:tr>
    </w:tbl>
    <w:p w14:paraId="2B9FC120" w14:textId="7F3A03B1" w:rsidR="002F1D3A" w:rsidRPr="002F1D3A" w:rsidRDefault="002F1D3A" w:rsidP="002F1D3A">
      <w:pPr>
        <w:pStyle w:val="BodyText"/>
        <w:rPr>
          <w:i/>
        </w:rPr>
      </w:pPr>
      <w:r w:rsidRPr="002F1D3A">
        <w:rPr>
          <w:i/>
        </w:rPr>
        <w:t xml:space="preserve">The number of </w:t>
      </w:r>
      <w:r w:rsidR="002900AF">
        <w:rPr>
          <w:i/>
        </w:rPr>
        <w:t>working-age</w:t>
      </w:r>
      <w:r w:rsidR="0035109A">
        <w:rPr>
          <w:i/>
        </w:rPr>
        <w:t xml:space="preserve"> ISP recipients </w:t>
      </w:r>
      <w:r w:rsidRPr="002F1D3A">
        <w:rPr>
          <w:i/>
        </w:rPr>
        <w:t xml:space="preserve">receiving </w:t>
      </w:r>
      <w:proofErr w:type="spellStart"/>
      <w:r w:rsidR="0035109A">
        <w:rPr>
          <w:i/>
        </w:rPr>
        <w:t>CRA</w:t>
      </w:r>
      <w:proofErr w:type="spellEnd"/>
      <w:r w:rsidRPr="002F1D3A">
        <w:rPr>
          <w:i/>
        </w:rPr>
        <w:t xml:space="preserve"> has increased over recent years, while the number of public housing residents has remained relatively constant.</w:t>
      </w:r>
    </w:p>
    <w:p w14:paraId="2AC0AFE2" w14:textId="124E0B8D" w:rsidR="002F1D3A" w:rsidRDefault="002F1D3A" w:rsidP="002F1D3A">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2F1D3A" w14:paraId="4C51826C" w14:textId="77777777" w:rsidTr="00464790">
        <w:tc>
          <w:tcPr>
            <w:tcW w:w="8771" w:type="dxa"/>
            <w:tcBorders>
              <w:top w:val="single" w:sz="6" w:space="0" w:color="78A22F"/>
              <w:left w:val="nil"/>
              <w:bottom w:val="nil"/>
              <w:right w:val="nil"/>
            </w:tcBorders>
            <w:shd w:val="clear" w:color="auto" w:fill="auto"/>
          </w:tcPr>
          <w:p w14:paraId="3D2840FA" w14:textId="4ABEBFA5" w:rsidR="002F1D3A" w:rsidRPr="00176D3F" w:rsidRDefault="002F1D3A" w:rsidP="005347F3">
            <w:pPr>
              <w:pStyle w:val="FigureTitle"/>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4</w:t>
            </w:r>
            <w:r w:rsidRPr="00784A05">
              <w:rPr>
                <w:b w:val="0"/>
              </w:rPr>
              <w:fldChar w:fldCharType="end"/>
            </w:r>
            <w:r>
              <w:tab/>
            </w:r>
            <w:r w:rsidR="00F42F0B">
              <w:t xml:space="preserve">Number of </w:t>
            </w:r>
            <w:r w:rsidR="002900AF">
              <w:t>working-age</w:t>
            </w:r>
            <w:r w:rsidR="00F42F0B">
              <w:t xml:space="preserve"> housing assistance recipients</w:t>
            </w:r>
            <w:r w:rsidR="00610074">
              <w:t>, 2003 to 2013</w:t>
            </w:r>
            <w:r w:rsidR="00F42F0B" w:rsidRPr="00F35E94">
              <w:rPr>
                <w:rStyle w:val="NoteLabel"/>
                <w:b/>
              </w:rPr>
              <w:t>a</w:t>
            </w:r>
          </w:p>
        </w:tc>
      </w:tr>
      <w:tr w:rsidR="002F1D3A" w14:paraId="5C804F56" w14:textId="77777777" w:rsidTr="00A616C5">
        <w:tblPrEx>
          <w:tblCellMar>
            <w:left w:w="108" w:type="dxa"/>
            <w:right w:w="108" w:type="dxa"/>
          </w:tblCellMar>
        </w:tblPrEx>
        <w:tc>
          <w:tcPr>
            <w:tcW w:w="8771" w:type="dxa"/>
            <w:tcBorders>
              <w:top w:val="nil"/>
              <w:left w:val="nil"/>
              <w:bottom w:val="nil"/>
              <w:right w:val="nil"/>
            </w:tcBorders>
            <w:shd w:val="clear" w:color="auto" w:fill="auto"/>
          </w:tcPr>
          <w:p w14:paraId="6E054DA3" w14:textId="77777777" w:rsidR="002F1D3A" w:rsidRDefault="00A616C5" w:rsidP="00464790">
            <w:pPr>
              <w:pStyle w:val="Figure"/>
            </w:pPr>
            <w:r>
              <w:rPr>
                <w:noProof/>
              </w:rPr>
              <w:drawing>
                <wp:inline distT="0" distB="0" distL="0" distR="0" wp14:anchorId="7E07A795" wp14:editId="2D72B130">
                  <wp:extent cx="5324475" cy="2162175"/>
                  <wp:effectExtent l="0" t="0" r="0" b="0"/>
                  <wp:docPr id="14" name="Chart 14" descr="This figure shows the number of people receiving either CRA or public housing between 2003 and 2013. The number of CRA recipients is relatively constant between 2003 and 2008 before gradually increasing from around 700,000 in 2008 to 942,000 in 2013. The number of public housing residents is relatively constant over this period, at about 255,000.&#10;" title="Figure 4 – Number of working age housing assistance recipients, 2003 to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r w:rsidR="00F42F0B" w:rsidRPr="00176D3F" w14:paraId="16626F6F" w14:textId="77777777" w:rsidTr="00464790">
        <w:tc>
          <w:tcPr>
            <w:tcW w:w="8771" w:type="dxa"/>
            <w:tcBorders>
              <w:top w:val="nil"/>
              <w:left w:val="nil"/>
              <w:bottom w:val="nil"/>
              <w:right w:val="nil"/>
            </w:tcBorders>
            <w:shd w:val="clear" w:color="auto" w:fill="auto"/>
          </w:tcPr>
          <w:p w14:paraId="41709073" w14:textId="748F170E" w:rsidR="00F42F0B" w:rsidRDefault="00F42F0B" w:rsidP="00464790">
            <w:pPr>
              <w:pStyle w:val="Note"/>
            </w:pPr>
            <w:r>
              <w:rPr>
                <w:rStyle w:val="NoteLabel"/>
              </w:rPr>
              <w:t>a</w:t>
            </w:r>
            <w:r>
              <w:t xml:space="preserve"> ISP recipients aged 15–65 at 30 June of each year.</w:t>
            </w:r>
            <w:r w:rsidR="0042570F">
              <w:t xml:space="preserve"> This figure does not include </w:t>
            </w:r>
            <w:proofErr w:type="spellStart"/>
            <w:r w:rsidR="00FF2726">
              <w:t>FTB</w:t>
            </w:r>
            <w:proofErr w:type="spellEnd"/>
            <w:r w:rsidR="00FF2726">
              <w:t xml:space="preserve"> A</w:t>
            </w:r>
            <w:r w:rsidR="00935A28">
              <w:noBreakHyphen/>
            </w:r>
            <w:r w:rsidR="0042570F">
              <w:t xml:space="preserve">only recipients of </w:t>
            </w:r>
            <w:proofErr w:type="spellStart"/>
            <w:r w:rsidR="0042570F">
              <w:t>CRA</w:t>
            </w:r>
            <w:proofErr w:type="spellEnd"/>
            <w:r w:rsidR="0042570F">
              <w:t>.</w:t>
            </w:r>
          </w:p>
        </w:tc>
      </w:tr>
      <w:tr w:rsidR="00F42F0B" w:rsidRPr="00176D3F" w14:paraId="63062B9B" w14:textId="77777777" w:rsidTr="002F1D3A">
        <w:tc>
          <w:tcPr>
            <w:tcW w:w="8771" w:type="dxa"/>
            <w:tcBorders>
              <w:top w:val="nil"/>
              <w:left w:val="nil"/>
              <w:bottom w:val="nil"/>
              <w:right w:val="nil"/>
            </w:tcBorders>
            <w:shd w:val="clear" w:color="auto" w:fill="auto"/>
          </w:tcPr>
          <w:p w14:paraId="5959BF21" w14:textId="511B977A" w:rsidR="00F42F0B" w:rsidRDefault="00306456" w:rsidP="00464790">
            <w:pPr>
              <w:pStyle w:val="Source"/>
            </w:pPr>
            <w:r>
              <w:rPr>
                <w:i/>
              </w:rPr>
              <w:t>Source</w:t>
            </w:r>
            <w:r w:rsidR="00F42F0B">
              <w:t>: Department of Human Services, administrative data (unpublished).</w:t>
            </w:r>
          </w:p>
        </w:tc>
      </w:tr>
      <w:tr w:rsidR="002F1D3A" w:rsidRPr="00176D3F" w14:paraId="349A0C08" w14:textId="77777777" w:rsidTr="002F1D3A">
        <w:trPr>
          <w:trHeight w:val="101"/>
        </w:trPr>
        <w:tc>
          <w:tcPr>
            <w:tcW w:w="8771" w:type="dxa"/>
            <w:tcBorders>
              <w:top w:val="nil"/>
              <w:left w:val="nil"/>
              <w:bottom w:val="single" w:sz="4" w:space="0" w:color="78A22F"/>
              <w:right w:val="nil"/>
            </w:tcBorders>
            <w:shd w:val="clear" w:color="auto" w:fill="auto"/>
          </w:tcPr>
          <w:p w14:paraId="7EC3B23F" w14:textId="77777777" w:rsidR="002F1D3A" w:rsidRDefault="002F1D3A" w:rsidP="00464790">
            <w:pPr>
              <w:pStyle w:val="Figurespace"/>
            </w:pPr>
          </w:p>
        </w:tc>
      </w:tr>
      <w:tr w:rsidR="002F1D3A" w:rsidRPr="00176D3F" w14:paraId="7CB968A6" w14:textId="77777777" w:rsidTr="002F1D3A">
        <w:trPr>
          <w:trHeight w:val="101"/>
        </w:trPr>
        <w:tc>
          <w:tcPr>
            <w:tcW w:w="8771" w:type="dxa"/>
            <w:tcBorders>
              <w:top w:val="single" w:sz="4" w:space="0" w:color="78A22F"/>
              <w:left w:val="nil"/>
              <w:bottom w:val="nil"/>
              <w:right w:val="nil"/>
            </w:tcBorders>
            <w:shd w:val="clear" w:color="auto" w:fill="auto"/>
          </w:tcPr>
          <w:p w14:paraId="14CC4D2D" w14:textId="571DE528" w:rsidR="002F1D3A" w:rsidRPr="00626D32" w:rsidRDefault="002F1D3A" w:rsidP="00464790">
            <w:pPr>
              <w:pStyle w:val="BoxSpaceBelow"/>
            </w:pPr>
          </w:p>
        </w:tc>
      </w:tr>
    </w:tbl>
    <w:p w14:paraId="6FF09612" w14:textId="77777777" w:rsidR="00E23419" w:rsidRDefault="00E23419">
      <w:pPr>
        <w:rPr>
          <w:rFonts w:ascii="Arial" w:hAnsi="Arial"/>
          <w:b/>
          <w:sz w:val="26"/>
          <w:szCs w:val="20"/>
        </w:rPr>
      </w:pPr>
      <w:r>
        <w:br w:type="page"/>
      </w:r>
    </w:p>
    <w:p w14:paraId="7BBA34C9" w14:textId="77777777" w:rsidR="002213D3" w:rsidRDefault="002213D3" w:rsidP="00E23419">
      <w:pPr>
        <w:pStyle w:val="Heading3"/>
        <w:spacing w:before="360"/>
      </w:pPr>
      <w:r>
        <w:lastRenderedPageBreak/>
        <w:t>H</w:t>
      </w:r>
      <w:r w:rsidR="004C30FC">
        <w:t>ow h</w:t>
      </w:r>
      <w:r>
        <w:t>as the demand for assistance</w:t>
      </w:r>
      <w:r w:rsidR="003F5263">
        <w:t xml:space="preserve"> changed</w:t>
      </w:r>
      <w:r>
        <w:t>?</w:t>
      </w:r>
    </w:p>
    <w:p w14:paraId="0ADBDF0B" w14:textId="30086FBB" w:rsidR="00F56B85" w:rsidRDefault="00D24B80" w:rsidP="00D24B80">
      <w:pPr>
        <w:pStyle w:val="BodyText"/>
        <w:rPr>
          <w:i/>
        </w:rPr>
      </w:pPr>
      <w:r w:rsidRPr="00D24B80">
        <w:rPr>
          <w:i/>
        </w:rPr>
        <w:t xml:space="preserve">The share of income units eligible for the maximum amount of </w:t>
      </w:r>
      <w:proofErr w:type="spellStart"/>
      <w:r w:rsidRPr="00D24B80">
        <w:rPr>
          <w:i/>
        </w:rPr>
        <w:t>CRA</w:t>
      </w:r>
      <w:proofErr w:type="spellEnd"/>
      <w:r w:rsidRPr="00D24B80">
        <w:rPr>
          <w:i/>
        </w:rPr>
        <w:t xml:space="preserve"> has </w:t>
      </w:r>
      <w:r w:rsidR="00E23419">
        <w:rPr>
          <w:i/>
        </w:rPr>
        <w:t>been increasing</w:t>
      </w:r>
      <w:r w:rsidRPr="00D24B80">
        <w:rPr>
          <w:i/>
        </w:rPr>
        <w:t xml:space="preserve"> …</w:t>
      </w:r>
    </w:p>
    <w:p w14:paraId="5AD2B577" w14:textId="4879D28D" w:rsidR="00867759" w:rsidRPr="00867759" w:rsidRDefault="00867759" w:rsidP="00867759">
      <w:pPr>
        <w:pStyle w:val="BoxSpaceAbove"/>
        <w:spacing w:before="120"/>
      </w:pPr>
    </w:p>
    <w:tbl>
      <w:tblPr>
        <w:tblW w:w="0" w:type="auto"/>
        <w:tblInd w:w="130" w:type="dxa"/>
        <w:tblBorders>
          <w:top w:val="single" w:sz="6" w:space="0" w:color="78A22F"/>
          <w:left w:val="single" w:sz="6" w:space="0" w:color="78A22F"/>
          <w:bottom w:val="single" w:sz="6" w:space="0" w:color="78A22F"/>
          <w:right w:val="single" w:sz="6" w:space="0" w:color="78A22F"/>
        </w:tblBorders>
        <w:tblLayout w:type="fixed"/>
        <w:tblLook w:val="0000" w:firstRow="0" w:lastRow="0" w:firstColumn="0" w:lastColumn="0" w:noHBand="0" w:noVBand="0"/>
      </w:tblPr>
      <w:tblGrid>
        <w:gridCol w:w="8771"/>
      </w:tblGrid>
      <w:tr w:rsidR="00867759" w14:paraId="05848BF3" w14:textId="77777777" w:rsidTr="00EC2864">
        <w:tc>
          <w:tcPr>
            <w:tcW w:w="8771" w:type="dxa"/>
            <w:tcBorders>
              <w:top w:val="single" w:sz="6" w:space="0" w:color="78A22F" w:themeColor="accent1"/>
              <w:left w:val="nil"/>
              <w:bottom w:val="nil"/>
              <w:right w:val="nil"/>
            </w:tcBorders>
            <w:shd w:val="clear" w:color="auto" w:fill="auto"/>
          </w:tcPr>
          <w:p w14:paraId="12FD1CB4" w14:textId="77777777" w:rsidR="00867759" w:rsidRDefault="00867759" w:rsidP="00867759">
            <w:pPr>
              <w:pStyle w:val="FigureTitle"/>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5</w:t>
            </w:r>
            <w:r w:rsidRPr="00784A05">
              <w:rPr>
                <w:b w:val="0"/>
              </w:rPr>
              <w:fldChar w:fldCharType="end"/>
            </w:r>
            <w:r>
              <w:tab/>
              <w:t xml:space="preserve">Income units receiving </w:t>
            </w:r>
            <w:proofErr w:type="spellStart"/>
            <w:r>
              <w:t>CRA</w:t>
            </w:r>
            <w:proofErr w:type="spellEnd"/>
            <w:r>
              <w:t xml:space="preserve"> who pay enough rent to be eligible for the maximum rate of </w:t>
            </w:r>
            <w:proofErr w:type="spellStart"/>
            <w:r>
              <w:t>CRA</w:t>
            </w:r>
            <w:proofErr w:type="spellEnd"/>
            <w:r>
              <w:t>, 2003 to 2013</w:t>
            </w:r>
            <w:proofErr w:type="spellStart"/>
            <w:r w:rsidRPr="00F35E94">
              <w:rPr>
                <w:rStyle w:val="NoteLabel"/>
                <w:b/>
              </w:rPr>
              <w:t>a</w:t>
            </w:r>
            <w:r>
              <w:rPr>
                <w:rStyle w:val="NoteLabel"/>
                <w:b/>
              </w:rPr>
              <w:t>,b,c</w:t>
            </w:r>
            <w:proofErr w:type="spellEnd"/>
          </w:p>
          <w:p w14:paraId="3395665B" w14:textId="1342DABE" w:rsidR="00867759" w:rsidRDefault="00867759" w:rsidP="00867759">
            <w:pPr>
              <w:pStyle w:val="Subtitle"/>
              <w:rPr>
                <w:noProof/>
              </w:rPr>
            </w:pPr>
            <w:r>
              <w:t>Per cent</w:t>
            </w:r>
          </w:p>
        </w:tc>
      </w:tr>
      <w:tr w:rsidR="00050440" w14:paraId="4950B5CA" w14:textId="77777777" w:rsidTr="00EC2864">
        <w:tc>
          <w:tcPr>
            <w:tcW w:w="8771" w:type="dxa"/>
            <w:tcBorders>
              <w:top w:val="nil"/>
              <w:left w:val="nil"/>
              <w:bottom w:val="nil"/>
              <w:right w:val="nil"/>
            </w:tcBorders>
            <w:shd w:val="clear" w:color="auto" w:fill="auto"/>
          </w:tcPr>
          <w:p w14:paraId="08BCAD4A" w14:textId="77777777" w:rsidR="00050440" w:rsidRDefault="00050440" w:rsidP="00464790">
            <w:pPr>
              <w:pStyle w:val="Figure"/>
            </w:pPr>
            <w:r>
              <w:rPr>
                <w:noProof/>
              </w:rPr>
              <w:drawing>
                <wp:inline distT="0" distB="0" distL="0" distR="0" wp14:anchorId="6A663E2C" wp14:editId="5EDC9176">
                  <wp:extent cx="5419725" cy="2162175"/>
                  <wp:effectExtent l="0" t="0" r="0" b="0"/>
                  <wp:docPr id="36" name="Chart 36" descr="This figure shows the percentage of income units in different states and territories who receive the maximum rate of CRA , between 2003 and 2013. Nationally, the proportion receiving the maximum rate increases from around 60 per cent of CRA recipients to around 76 per cent. While there are some differences at the state and territory level, the proportion receiving the maximum amount converges together over time." title="Figure 5 – Income units receiving CRA who pay enough rent to be eligible for the maximum rate of CRA, 2003 to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r>
      <w:tr w:rsidR="00867759" w:rsidRPr="00176D3F" w14:paraId="140D7D37" w14:textId="77777777" w:rsidTr="00E209F1">
        <w:tblPrEx>
          <w:tblCellMar>
            <w:left w:w="142" w:type="dxa"/>
            <w:right w:w="142" w:type="dxa"/>
          </w:tblCellMar>
        </w:tblPrEx>
        <w:tc>
          <w:tcPr>
            <w:tcW w:w="8771" w:type="dxa"/>
            <w:tcBorders>
              <w:top w:val="nil"/>
              <w:left w:val="nil"/>
              <w:bottom w:val="nil"/>
              <w:right w:val="nil"/>
            </w:tcBorders>
            <w:shd w:val="clear" w:color="auto" w:fill="auto"/>
          </w:tcPr>
          <w:p w14:paraId="385AF248" w14:textId="3791F362" w:rsidR="00867759" w:rsidRPr="00176D3F" w:rsidRDefault="00867759" w:rsidP="00624426">
            <w:pPr>
              <w:pStyle w:val="Note"/>
            </w:pPr>
            <w:proofErr w:type="spellStart"/>
            <w:r>
              <w:rPr>
                <w:rStyle w:val="NoteLabel"/>
              </w:rPr>
              <w:t>a</w:t>
            </w:r>
            <w:proofErr w:type="spellEnd"/>
            <w:r>
              <w:t xml:space="preserve"> </w:t>
            </w:r>
            <w:r w:rsidRPr="000026D2">
              <w:t>Income units are formed either by couple</w:t>
            </w:r>
            <w:r>
              <w:t>s</w:t>
            </w:r>
            <w:r w:rsidRPr="000026D2">
              <w:t xml:space="preserve"> or </w:t>
            </w:r>
            <w:r>
              <w:t xml:space="preserve">singles, with or without </w:t>
            </w:r>
            <w:r w:rsidRPr="000026D2">
              <w:t>dependent child</w:t>
            </w:r>
            <w:r>
              <w:t>ren,</w:t>
            </w:r>
            <w:r w:rsidRPr="000026D2">
              <w:t xml:space="preserve"> </w:t>
            </w:r>
            <w:r>
              <w:t xml:space="preserve">living </w:t>
            </w:r>
            <w:r w:rsidRPr="000026D2">
              <w:t>within a household. Income units differ from families in that related, non</w:t>
            </w:r>
            <w:r>
              <w:noBreakHyphen/>
            </w:r>
            <w:r w:rsidRPr="000026D2">
              <w:t>dependent individuals form separate income units</w:t>
            </w:r>
            <w:r>
              <w:t xml:space="preserve"> </w:t>
            </w:r>
            <w:r w:rsidRPr="00141EBE">
              <w:t>(ABS 2005)</w:t>
            </w:r>
            <w:r>
              <w:rPr>
                <w:rFonts w:cs="Arial"/>
                <w:color w:val="000000"/>
                <w:sz w:val="27"/>
                <w:szCs w:val="27"/>
                <w:shd w:val="clear" w:color="auto" w:fill="FFFFFF"/>
              </w:rPr>
              <w:t>.</w:t>
            </w:r>
            <w:r>
              <w:t xml:space="preserve"> </w:t>
            </w:r>
            <w:r w:rsidRPr="00A518BE">
              <w:rPr>
                <w:rStyle w:val="NoteLabel"/>
              </w:rPr>
              <w:t>b</w:t>
            </w:r>
            <w:r>
              <w:rPr>
                <w:rStyle w:val="NoteLabel"/>
              </w:rPr>
              <w:t xml:space="preserve"> </w:t>
            </w:r>
            <w:r>
              <w:t xml:space="preserve">This figure is not based on </w:t>
            </w:r>
            <w:proofErr w:type="spellStart"/>
            <w:r>
              <w:t>DHS</w:t>
            </w:r>
            <w:proofErr w:type="spellEnd"/>
            <w:r>
              <w:t xml:space="preserve"> data, and includes </w:t>
            </w:r>
            <w:proofErr w:type="spellStart"/>
            <w:r>
              <w:t>FTB</w:t>
            </w:r>
            <w:proofErr w:type="spellEnd"/>
            <w:r>
              <w:t xml:space="preserve"> A</w:t>
            </w:r>
            <w:r>
              <w:noBreakHyphen/>
              <w:t xml:space="preserve">only recipients. </w:t>
            </w:r>
            <w:r w:rsidRPr="005C796E">
              <w:rPr>
                <w:rStyle w:val="NoteLabel"/>
              </w:rPr>
              <w:t>c</w:t>
            </w:r>
            <w:r>
              <w:rPr>
                <w:rStyle w:val="NoteLabel"/>
              </w:rPr>
              <w:t> </w:t>
            </w:r>
            <w:r w:rsidRPr="005C796E">
              <w:t>Some income units paying enough rent to be entitled to the maximum rate only receive a partial rate of assistance because of the income/asset test applying to their main benefit.</w:t>
            </w:r>
          </w:p>
        </w:tc>
      </w:tr>
      <w:tr w:rsidR="00867759" w:rsidRPr="00176D3F" w14:paraId="04F2A596" w14:textId="77777777" w:rsidTr="00E209F1">
        <w:tblPrEx>
          <w:tblCellMar>
            <w:left w:w="142" w:type="dxa"/>
            <w:right w:w="142" w:type="dxa"/>
          </w:tblCellMar>
        </w:tblPrEx>
        <w:tc>
          <w:tcPr>
            <w:tcW w:w="8771" w:type="dxa"/>
            <w:tcBorders>
              <w:top w:val="nil"/>
              <w:left w:val="nil"/>
              <w:bottom w:val="nil"/>
              <w:right w:val="nil"/>
            </w:tcBorders>
            <w:shd w:val="clear" w:color="auto" w:fill="auto"/>
          </w:tcPr>
          <w:p w14:paraId="64895E47" w14:textId="7939EDB0" w:rsidR="00867759" w:rsidRPr="00176D3F" w:rsidRDefault="00306456" w:rsidP="00572C08">
            <w:pPr>
              <w:pStyle w:val="Source"/>
            </w:pPr>
            <w:r>
              <w:rPr>
                <w:i/>
              </w:rPr>
              <w:t>Source</w:t>
            </w:r>
            <w:r w:rsidR="00867759">
              <w:rPr>
                <w:i/>
              </w:rPr>
              <w:t>s</w:t>
            </w:r>
            <w:r w:rsidR="00867759" w:rsidRPr="00176D3F">
              <w:t>:</w:t>
            </w:r>
            <w:r w:rsidR="00867759">
              <w:t xml:space="preserve"> </w:t>
            </w:r>
            <w:proofErr w:type="spellStart"/>
            <w:r w:rsidR="00867759">
              <w:t>SCRGSP</w:t>
            </w:r>
            <w:proofErr w:type="spellEnd"/>
            <w:r w:rsidR="00867759">
              <w:t xml:space="preserve"> </w:t>
            </w:r>
            <w:r w:rsidR="00867759" w:rsidRPr="00572C08">
              <w:rPr>
                <w:rFonts w:cs="Arial"/>
              </w:rPr>
              <w:t>(2008, 2009, 2014)</w:t>
            </w:r>
            <w:r w:rsidR="00867759">
              <w:t>.</w:t>
            </w:r>
          </w:p>
        </w:tc>
      </w:tr>
      <w:tr w:rsidR="00050440" w14:paraId="4E2A623A" w14:textId="77777777" w:rsidTr="00E209F1">
        <w:tblPrEx>
          <w:tblCellMar>
            <w:left w:w="142" w:type="dxa"/>
            <w:right w:w="142" w:type="dxa"/>
          </w:tblCellMar>
        </w:tblPrEx>
        <w:tc>
          <w:tcPr>
            <w:tcW w:w="8771" w:type="dxa"/>
            <w:tcBorders>
              <w:top w:val="nil"/>
              <w:left w:val="nil"/>
              <w:bottom w:val="single" w:sz="6" w:space="0" w:color="78A22F"/>
              <w:right w:val="nil"/>
            </w:tcBorders>
            <w:shd w:val="clear" w:color="auto" w:fill="auto"/>
          </w:tcPr>
          <w:p w14:paraId="6BC70C29" w14:textId="77777777" w:rsidR="00050440" w:rsidRDefault="00050440" w:rsidP="00464790">
            <w:pPr>
              <w:pStyle w:val="Figurespace"/>
            </w:pPr>
          </w:p>
        </w:tc>
      </w:tr>
      <w:tr w:rsidR="00050440" w:rsidRPr="000863A5" w14:paraId="6BDAD36B" w14:textId="77777777" w:rsidTr="00E209F1">
        <w:tblPrEx>
          <w:tblCellMar>
            <w:left w:w="142" w:type="dxa"/>
            <w:right w:w="142" w:type="dxa"/>
          </w:tblCellMar>
        </w:tblPrEx>
        <w:tc>
          <w:tcPr>
            <w:tcW w:w="8771" w:type="dxa"/>
            <w:tcBorders>
              <w:top w:val="single" w:sz="6" w:space="0" w:color="78A22F"/>
              <w:left w:val="nil"/>
              <w:bottom w:val="nil"/>
              <w:right w:val="nil"/>
            </w:tcBorders>
          </w:tcPr>
          <w:p w14:paraId="4B07231C" w14:textId="272D4AEC" w:rsidR="00050440" w:rsidRPr="00626D32" w:rsidRDefault="00050440" w:rsidP="00464790">
            <w:pPr>
              <w:pStyle w:val="BoxSpaceBelow"/>
            </w:pPr>
          </w:p>
        </w:tc>
      </w:tr>
    </w:tbl>
    <w:p w14:paraId="44ED9F70" w14:textId="77777777" w:rsidR="00050440" w:rsidRPr="00050440" w:rsidRDefault="00050440" w:rsidP="002213D3">
      <w:pPr>
        <w:pStyle w:val="BodyText"/>
        <w:rPr>
          <w:i/>
        </w:rPr>
      </w:pPr>
      <w:r w:rsidRPr="00050440">
        <w:rPr>
          <w:i/>
        </w:rPr>
        <w:t>…</w:t>
      </w:r>
      <w:r w:rsidR="001A1F8D" w:rsidRPr="00050440">
        <w:rPr>
          <w:i/>
        </w:rPr>
        <w:t xml:space="preserve"> because private rents have increased faster </w:t>
      </w:r>
      <w:r w:rsidR="00F95F4B">
        <w:rPr>
          <w:i/>
        </w:rPr>
        <w:t xml:space="preserve">than the maximum </w:t>
      </w:r>
      <w:proofErr w:type="spellStart"/>
      <w:r w:rsidR="00F95F4B">
        <w:rPr>
          <w:i/>
        </w:rPr>
        <w:t>CRA</w:t>
      </w:r>
      <w:proofErr w:type="spellEnd"/>
      <w:r w:rsidR="00F95F4B">
        <w:rPr>
          <w:i/>
        </w:rPr>
        <w:t xml:space="preserve"> amoun</w:t>
      </w:r>
      <w:r w:rsidR="00D24B80">
        <w:rPr>
          <w:i/>
        </w:rPr>
        <w:t>t, which is indexed to the Consumer Price Index.</w:t>
      </w:r>
    </w:p>
    <w:p w14:paraId="6B0A775B" w14:textId="0FA008B8" w:rsidR="0042570F" w:rsidRPr="00E209F1" w:rsidRDefault="0042570F" w:rsidP="00624426">
      <w:pPr>
        <w:pStyle w:val="BoxSpaceAbove"/>
        <w:spacing w:before="120"/>
        <w:rPr>
          <w:b/>
          <w:color w:val="FF00FF"/>
          <w:sz w:val="14"/>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2570F" w14:paraId="762260D8" w14:textId="77777777" w:rsidTr="00464790">
        <w:tc>
          <w:tcPr>
            <w:tcW w:w="8771" w:type="dxa"/>
            <w:tcBorders>
              <w:top w:val="single" w:sz="6" w:space="0" w:color="78A22F"/>
              <w:left w:val="nil"/>
              <w:bottom w:val="nil"/>
              <w:right w:val="nil"/>
            </w:tcBorders>
            <w:shd w:val="clear" w:color="auto" w:fill="auto"/>
          </w:tcPr>
          <w:p w14:paraId="0B91DEF0" w14:textId="77777777" w:rsidR="003E657C" w:rsidRPr="003E657C" w:rsidRDefault="0042570F" w:rsidP="00991F37">
            <w:pPr>
              <w:pStyle w:val="FigureTitle"/>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6</w:t>
            </w:r>
            <w:r w:rsidRPr="00784A05">
              <w:rPr>
                <w:b w:val="0"/>
              </w:rPr>
              <w:fldChar w:fldCharType="end"/>
            </w:r>
            <w:r>
              <w:tab/>
            </w:r>
            <w:r w:rsidRPr="0042570F">
              <w:rPr>
                <w:lang w:eastAsia="en-US"/>
              </w:rPr>
              <w:t xml:space="preserve">Change in </w:t>
            </w:r>
            <w:r w:rsidR="00624426">
              <w:rPr>
                <w:lang w:eastAsia="en-US"/>
              </w:rPr>
              <w:t xml:space="preserve">private </w:t>
            </w:r>
            <w:r w:rsidRPr="0042570F">
              <w:rPr>
                <w:lang w:eastAsia="en-US"/>
              </w:rPr>
              <w:t xml:space="preserve">rents and </w:t>
            </w:r>
            <w:proofErr w:type="spellStart"/>
            <w:r w:rsidR="00DB4285">
              <w:rPr>
                <w:lang w:eastAsia="en-US"/>
              </w:rPr>
              <w:t>CRA</w:t>
            </w:r>
            <w:proofErr w:type="spellEnd"/>
            <w:r w:rsidR="00610074">
              <w:rPr>
                <w:lang w:eastAsia="en-US"/>
              </w:rPr>
              <w:t xml:space="preserve">, </w:t>
            </w:r>
            <w:r w:rsidR="00610074">
              <w:t>2003 to 2013</w:t>
            </w:r>
            <w:r w:rsidR="00C02414" w:rsidRPr="00F35E94">
              <w:rPr>
                <w:rStyle w:val="NoteLabel"/>
                <w:b/>
              </w:rPr>
              <w:t>a</w:t>
            </w:r>
          </w:p>
        </w:tc>
      </w:tr>
      <w:tr w:rsidR="0042570F" w14:paraId="7892BCE1" w14:textId="77777777" w:rsidTr="002345F0">
        <w:tblPrEx>
          <w:tblCellMar>
            <w:left w:w="108" w:type="dxa"/>
            <w:right w:w="108" w:type="dxa"/>
          </w:tblCellMar>
        </w:tblPrEx>
        <w:tc>
          <w:tcPr>
            <w:tcW w:w="8771" w:type="dxa"/>
            <w:tcBorders>
              <w:top w:val="nil"/>
              <w:left w:val="nil"/>
              <w:bottom w:val="nil"/>
              <w:right w:val="nil"/>
            </w:tcBorders>
            <w:shd w:val="clear" w:color="auto" w:fill="auto"/>
          </w:tcPr>
          <w:p w14:paraId="1FEA3F7F" w14:textId="1D3A637A" w:rsidR="0042570F" w:rsidRDefault="002345F0" w:rsidP="00464790">
            <w:pPr>
              <w:pStyle w:val="Figure"/>
            </w:pPr>
            <w:r>
              <w:rPr>
                <w:noProof/>
              </w:rPr>
              <w:drawing>
                <wp:inline distT="0" distB="0" distL="0" distR="0" wp14:anchorId="6406EFB9" wp14:editId="007C69E1">
                  <wp:extent cx="5220000" cy="1980000"/>
                  <wp:effectExtent l="0" t="0" r="0" b="1270"/>
                  <wp:docPr id="6" name="Chart 6" descr="This figure shows the change in private rents compared to the increase in CRA over time. They increase together from 2003 to around 2006, after which private rent increases at a faster rate than CRA. &#10;" title="Figure 6 – Change in private rents and CRA, 2003 to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r>
      <w:tr w:rsidR="0042570F" w:rsidRPr="00176D3F" w14:paraId="2F4F1B1F" w14:textId="77777777" w:rsidTr="00464790">
        <w:tc>
          <w:tcPr>
            <w:tcW w:w="8771" w:type="dxa"/>
            <w:tcBorders>
              <w:top w:val="nil"/>
              <w:left w:val="nil"/>
              <w:bottom w:val="nil"/>
              <w:right w:val="nil"/>
            </w:tcBorders>
            <w:shd w:val="clear" w:color="auto" w:fill="auto"/>
          </w:tcPr>
          <w:p w14:paraId="30650A76" w14:textId="03B0A203" w:rsidR="0042570F" w:rsidRPr="00176D3F" w:rsidRDefault="0042570F" w:rsidP="002345F0">
            <w:pPr>
              <w:pStyle w:val="Note"/>
            </w:pPr>
            <w:proofErr w:type="spellStart"/>
            <w:r>
              <w:rPr>
                <w:rStyle w:val="NoteLabel"/>
              </w:rPr>
              <w:t>a</w:t>
            </w:r>
            <w:proofErr w:type="spellEnd"/>
            <w:r>
              <w:t xml:space="preserve"> </w:t>
            </w:r>
            <w:r w:rsidR="00F95F4B">
              <w:t xml:space="preserve">The maximum </w:t>
            </w:r>
            <w:proofErr w:type="spellStart"/>
            <w:r w:rsidR="00F95F4B">
              <w:t>CRA</w:t>
            </w:r>
            <w:proofErr w:type="spellEnd"/>
            <w:r w:rsidR="00F95F4B">
              <w:t xml:space="preserve"> amount is indexed to </w:t>
            </w:r>
            <w:r w:rsidR="00624426">
              <w:t xml:space="preserve">the Consumer </w:t>
            </w:r>
            <w:r w:rsidR="00F95F4B">
              <w:t>Price Index.</w:t>
            </w:r>
          </w:p>
        </w:tc>
      </w:tr>
      <w:tr w:rsidR="0042570F" w:rsidRPr="00176D3F" w14:paraId="3A59ACBB" w14:textId="77777777" w:rsidTr="00464790">
        <w:tc>
          <w:tcPr>
            <w:tcW w:w="8771" w:type="dxa"/>
            <w:tcBorders>
              <w:top w:val="nil"/>
              <w:left w:val="nil"/>
              <w:bottom w:val="nil"/>
              <w:right w:val="nil"/>
            </w:tcBorders>
            <w:shd w:val="clear" w:color="auto" w:fill="auto"/>
          </w:tcPr>
          <w:p w14:paraId="08D04E54" w14:textId="22A4705F" w:rsidR="0042570F" w:rsidRPr="00176D3F" w:rsidRDefault="00306456" w:rsidP="00624426">
            <w:pPr>
              <w:pStyle w:val="Source"/>
            </w:pPr>
            <w:r>
              <w:rPr>
                <w:i/>
              </w:rPr>
              <w:t>Source</w:t>
            </w:r>
            <w:r w:rsidR="0042570F" w:rsidRPr="00176D3F">
              <w:t xml:space="preserve">: </w:t>
            </w:r>
            <w:r w:rsidR="0042570F">
              <w:t xml:space="preserve">ABS </w:t>
            </w:r>
            <w:r w:rsidR="00D9719B">
              <w:t>(</w:t>
            </w:r>
            <w:r w:rsidR="00D9719B" w:rsidRPr="00D9719B">
              <w:rPr>
                <w:i/>
              </w:rPr>
              <w:t>Consumer Price Index</w:t>
            </w:r>
            <w:r w:rsidR="00D9719B">
              <w:t xml:space="preserve">, </w:t>
            </w:r>
            <w:r w:rsidR="0042570F">
              <w:t>Cat no.</w:t>
            </w:r>
            <w:r w:rsidR="00624426">
              <w:t xml:space="preserve"> </w:t>
            </w:r>
            <w:r w:rsidR="0042570F">
              <w:t>6401.0</w:t>
            </w:r>
            <w:r w:rsidR="00D9719B">
              <w:t>)</w:t>
            </w:r>
            <w:r w:rsidR="0042570F">
              <w:t>.</w:t>
            </w:r>
          </w:p>
        </w:tc>
      </w:tr>
      <w:tr w:rsidR="0042570F" w14:paraId="609602B7" w14:textId="77777777" w:rsidTr="00464790">
        <w:tc>
          <w:tcPr>
            <w:tcW w:w="8771" w:type="dxa"/>
            <w:tcBorders>
              <w:top w:val="nil"/>
              <w:left w:val="nil"/>
              <w:bottom w:val="single" w:sz="6" w:space="0" w:color="78A22F"/>
              <w:right w:val="nil"/>
            </w:tcBorders>
            <w:shd w:val="clear" w:color="auto" w:fill="auto"/>
          </w:tcPr>
          <w:p w14:paraId="1D444EF6" w14:textId="77777777" w:rsidR="0042570F" w:rsidRDefault="0042570F" w:rsidP="00464790">
            <w:pPr>
              <w:pStyle w:val="Figurespace"/>
            </w:pPr>
          </w:p>
        </w:tc>
      </w:tr>
      <w:tr w:rsidR="0042570F" w:rsidRPr="000863A5" w14:paraId="086E23CC" w14:textId="77777777" w:rsidTr="00464790">
        <w:tc>
          <w:tcPr>
            <w:tcW w:w="8771" w:type="dxa"/>
            <w:tcBorders>
              <w:top w:val="single" w:sz="6" w:space="0" w:color="78A22F"/>
              <w:left w:val="nil"/>
              <w:bottom w:val="nil"/>
              <w:right w:val="nil"/>
            </w:tcBorders>
          </w:tcPr>
          <w:p w14:paraId="75F30E07" w14:textId="4A5F15D9" w:rsidR="0042570F" w:rsidRPr="00E209F1" w:rsidRDefault="0042570F" w:rsidP="00464790">
            <w:pPr>
              <w:pStyle w:val="BoxSpaceBelow"/>
            </w:pPr>
          </w:p>
        </w:tc>
      </w:tr>
    </w:tbl>
    <w:p w14:paraId="04600954" w14:textId="77777777" w:rsidR="00502B34" w:rsidRDefault="00BC2316" w:rsidP="00502B34">
      <w:pPr>
        <w:pStyle w:val="Heading2"/>
      </w:pPr>
      <w:fldSimple w:instr=" SEQ Heading2 ">
        <w:r w:rsidR="00B5435E">
          <w:rPr>
            <w:noProof/>
          </w:rPr>
          <w:t>4</w:t>
        </w:r>
      </w:fldSimple>
      <w:r w:rsidR="003F5263">
        <w:tab/>
        <w:t>Who receive</w:t>
      </w:r>
      <w:r w:rsidR="00CA6872">
        <w:t>s</w:t>
      </w:r>
      <w:r w:rsidR="00502B34">
        <w:t xml:space="preserve"> housing assistance?</w:t>
      </w:r>
    </w:p>
    <w:p w14:paraId="7352822D" w14:textId="77777777" w:rsidR="008C5EA2" w:rsidRPr="00894FC0" w:rsidRDefault="008C5EA2" w:rsidP="00894FC0">
      <w:pPr>
        <w:pStyle w:val="Heading3"/>
      </w:pPr>
      <w:r w:rsidRPr="00894FC0">
        <w:t xml:space="preserve">What </w:t>
      </w:r>
      <w:r w:rsidR="007530BD" w:rsidRPr="00894FC0">
        <w:t>ISPs</w:t>
      </w:r>
      <w:r w:rsidRPr="00894FC0">
        <w:t xml:space="preserve"> </w:t>
      </w:r>
      <w:r w:rsidR="003F5263" w:rsidRPr="00894FC0">
        <w:t>d</w:t>
      </w:r>
      <w:r w:rsidR="00CA6872" w:rsidRPr="00894FC0">
        <w:t>o</w:t>
      </w:r>
      <w:r w:rsidRPr="00894FC0">
        <w:t xml:space="preserve"> housing assistance recipients receive?</w:t>
      </w:r>
    </w:p>
    <w:p w14:paraId="3F58EE0F" w14:textId="116712CA" w:rsidR="00825E9F" w:rsidRPr="00894FC0" w:rsidRDefault="007855F0" w:rsidP="00894FC0">
      <w:pPr>
        <w:pStyle w:val="BodyText"/>
        <w:rPr>
          <w:i/>
        </w:rPr>
      </w:pPr>
      <w:r w:rsidRPr="00894FC0">
        <w:rPr>
          <w:i/>
        </w:rPr>
        <w:t>The share of each</w:t>
      </w:r>
      <w:r w:rsidR="00975DD0" w:rsidRPr="00894FC0">
        <w:rPr>
          <w:i/>
        </w:rPr>
        <w:t xml:space="preserve"> type of income support</w:t>
      </w:r>
      <w:r w:rsidRPr="00894FC0">
        <w:rPr>
          <w:i/>
        </w:rPr>
        <w:t xml:space="preserve"> differs between public housing residents and </w:t>
      </w:r>
      <w:proofErr w:type="spellStart"/>
      <w:r w:rsidRPr="00894FC0">
        <w:rPr>
          <w:i/>
        </w:rPr>
        <w:t>CRA</w:t>
      </w:r>
      <w:proofErr w:type="spellEnd"/>
      <w:r w:rsidRPr="00894FC0">
        <w:rPr>
          <w:i/>
        </w:rPr>
        <w:t xml:space="preserve"> recipients</w:t>
      </w:r>
      <w:r w:rsidR="00975DD0" w:rsidRPr="00894FC0">
        <w:rPr>
          <w:i/>
        </w:rPr>
        <w:t xml:space="preserve">, with over 50 per cent of </w:t>
      </w:r>
      <w:r w:rsidR="007B7832" w:rsidRPr="00894FC0">
        <w:rPr>
          <w:i/>
        </w:rPr>
        <w:t>working</w:t>
      </w:r>
      <w:r w:rsidR="00935A28" w:rsidRPr="00894FC0">
        <w:rPr>
          <w:i/>
        </w:rPr>
        <w:noBreakHyphen/>
      </w:r>
      <w:r w:rsidR="007B7832" w:rsidRPr="00894FC0">
        <w:rPr>
          <w:i/>
        </w:rPr>
        <w:t xml:space="preserve">age </w:t>
      </w:r>
      <w:r w:rsidR="00975DD0" w:rsidRPr="00894FC0">
        <w:rPr>
          <w:i/>
        </w:rPr>
        <w:t>public housing residents receiving the Disability Support Pension.</w:t>
      </w:r>
    </w:p>
    <w:p w14:paraId="51B19D13" w14:textId="58F278E0" w:rsidR="00D24B80" w:rsidRPr="00E209F1" w:rsidRDefault="00D24B80" w:rsidP="00894FC0">
      <w:pPr>
        <w:pStyle w:val="BoxSpaceAbove"/>
        <w:rPr>
          <w:b/>
          <w:color w:val="FF00FF"/>
          <w:sz w:val="14"/>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2923"/>
        <w:gridCol w:w="2924"/>
        <w:gridCol w:w="2924"/>
      </w:tblGrid>
      <w:tr w:rsidR="00D24B80" w:rsidRPr="00E209F1" w14:paraId="2DD9CBDC" w14:textId="77777777" w:rsidTr="00464790">
        <w:tc>
          <w:tcPr>
            <w:tcW w:w="8771" w:type="dxa"/>
            <w:gridSpan w:val="3"/>
            <w:tcBorders>
              <w:top w:val="single" w:sz="6" w:space="0" w:color="78A22F"/>
              <w:left w:val="nil"/>
              <w:bottom w:val="nil"/>
              <w:right w:val="nil"/>
            </w:tcBorders>
            <w:shd w:val="clear" w:color="auto" w:fill="auto"/>
          </w:tcPr>
          <w:p w14:paraId="25E3C3C3" w14:textId="4D14AF31" w:rsidR="00D24B80" w:rsidRPr="00E209F1" w:rsidRDefault="00D24B80" w:rsidP="002873C6">
            <w:pPr>
              <w:pStyle w:val="FigureTitle"/>
            </w:pPr>
            <w:r w:rsidRPr="00E209F1">
              <w:rPr>
                <w:b w:val="0"/>
              </w:rPr>
              <w:t xml:space="preserve">Figure </w:t>
            </w:r>
            <w:r w:rsidRPr="00E209F1">
              <w:rPr>
                <w:b w:val="0"/>
              </w:rPr>
              <w:fldChar w:fldCharType="begin"/>
            </w:r>
            <w:r w:rsidRPr="00E209F1">
              <w:rPr>
                <w:b w:val="0"/>
              </w:rPr>
              <w:instrText xml:space="preserve"> SEQ Figure \* ARABIC </w:instrText>
            </w:r>
            <w:r w:rsidRPr="00E209F1">
              <w:rPr>
                <w:b w:val="0"/>
              </w:rPr>
              <w:fldChar w:fldCharType="separate"/>
            </w:r>
            <w:r w:rsidR="00B5435E">
              <w:rPr>
                <w:b w:val="0"/>
                <w:noProof/>
              </w:rPr>
              <w:t>7</w:t>
            </w:r>
            <w:r w:rsidRPr="00E209F1">
              <w:rPr>
                <w:b w:val="0"/>
              </w:rPr>
              <w:fldChar w:fldCharType="end"/>
            </w:r>
            <w:r w:rsidRPr="00E209F1">
              <w:tab/>
              <w:t>I</w:t>
            </w:r>
            <w:r w:rsidR="00956CCF" w:rsidRPr="00E209F1">
              <w:t>SP</w:t>
            </w:r>
            <w:r w:rsidRPr="00E209F1">
              <w:t xml:space="preserve"> </w:t>
            </w:r>
            <w:r w:rsidR="002873C6" w:rsidRPr="00E209F1">
              <w:t>type</w:t>
            </w:r>
            <w:r w:rsidR="00771314" w:rsidRPr="00E209F1">
              <w:t>s</w:t>
            </w:r>
            <w:r w:rsidR="002873C6" w:rsidRPr="00E209F1">
              <w:t xml:space="preserve"> of</w:t>
            </w:r>
            <w:r w:rsidRPr="00E209F1">
              <w:t xml:space="preserve"> housing assistance </w:t>
            </w:r>
            <w:r w:rsidR="002873C6" w:rsidRPr="00E209F1">
              <w:t>recipients</w:t>
            </w:r>
            <w:r w:rsidRPr="00E209F1">
              <w:t>, 2013</w:t>
            </w:r>
            <w:proofErr w:type="spellStart"/>
            <w:r w:rsidRPr="00E209F1">
              <w:rPr>
                <w:rStyle w:val="NoteLabel"/>
                <w:b/>
              </w:rPr>
              <w:t>a</w:t>
            </w:r>
            <w:r w:rsidR="002345F0" w:rsidRPr="00E209F1">
              <w:rPr>
                <w:rStyle w:val="NoteLabel"/>
                <w:b/>
              </w:rPr>
              <w:t>,b</w:t>
            </w:r>
            <w:proofErr w:type="spellEnd"/>
          </w:p>
        </w:tc>
      </w:tr>
      <w:tr w:rsidR="00D24B80" w14:paraId="4AF242E4" w14:textId="77777777" w:rsidTr="00FB606D">
        <w:trPr>
          <w:trHeight w:val="340"/>
        </w:trPr>
        <w:tc>
          <w:tcPr>
            <w:tcW w:w="2923" w:type="dxa"/>
            <w:tcBorders>
              <w:top w:val="nil"/>
              <w:left w:val="nil"/>
              <w:bottom w:val="nil"/>
              <w:right w:val="nil"/>
            </w:tcBorders>
            <w:shd w:val="clear" w:color="auto" w:fill="auto"/>
            <w:tcMar>
              <w:top w:w="28" w:type="dxa"/>
              <w:bottom w:w="28" w:type="dxa"/>
            </w:tcMar>
          </w:tcPr>
          <w:p w14:paraId="176E7D5B" w14:textId="77777777" w:rsidR="00D24B80" w:rsidRPr="000F15C4" w:rsidRDefault="00825E9F" w:rsidP="00FB606D">
            <w:pPr>
              <w:pStyle w:val="TableColumnHeading"/>
              <w:spacing w:after="0"/>
              <w:jc w:val="center"/>
              <w:rPr>
                <w:b/>
                <w:i w:val="0"/>
              </w:rPr>
            </w:pPr>
            <w:r>
              <w:rPr>
                <w:b/>
                <w:i w:val="0"/>
              </w:rPr>
              <w:t>Com</w:t>
            </w:r>
            <w:r w:rsidR="00D24B80" w:rsidRPr="000F15C4">
              <w:rPr>
                <w:b/>
                <w:i w:val="0"/>
              </w:rPr>
              <w:t>monwealth Rent Assistance</w:t>
            </w:r>
          </w:p>
        </w:tc>
        <w:tc>
          <w:tcPr>
            <w:tcW w:w="2924" w:type="dxa"/>
            <w:tcBorders>
              <w:top w:val="nil"/>
              <w:left w:val="nil"/>
              <w:bottom w:val="nil"/>
              <w:right w:val="nil"/>
            </w:tcBorders>
            <w:shd w:val="clear" w:color="auto" w:fill="auto"/>
          </w:tcPr>
          <w:p w14:paraId="04CBDC03" w14:textId="77777777" w:rsidR="00D24B80" w:rsidRPr="000F15C4" w:rsidRDefault="00D24B80" w:rsidP="00FB606D">
            <w:pPr>
              <w:pStyle w:val="TableColumnHeading"/>
              <w:spacing w:after="0"/>
              <w:jc w:val="center"/>
              <w:rPr>
                <w:b/>
                <w:i w:val="0"/>
              </w:rPr>
            </w:pPr>
            <w:r w:rsidRPr="000F15C4">
              <w:rPr>
                <w:b/>
                <w:i w:val="0"/>
              </w:rPr>
              <w:t>Public housing</w:t>
            </w:r>
          </w:p>
        </w:tc>
        <w:tc>
          <w:tcPr>
            <w:tcW w:w="2924" w:type="dxa"/>
            <w:tcBorders>
              <w:top w:val="nil"/>
              <w:left w:val="nil"/>
              <w:bottom w:val="nil"/>
              <w:right w:val="nil"/>
            </w:tcBorders>
            <w:shd w:val="clear" w:color="auto" w:fill="auto"/>
          </w:tcPr>
          <w:p w14:paraId="1BC40B4D" w14:textId="77777777" w:rsidR="00D24B80" w:rsidRPr="000F15C4" w:rsidRDefault="00D24B80" w:rsidP="00FB606D">
            <w:pPr>
              <w:pStyle w:val="TableColumnHeading"/>
              <w:spacing w:after="0"/>
              <w:jc w:val="center"/>
              <w:rPr>
                <w:b/>
                <w:i w:val="0"/>
              </w:rPr>
            </w:pPr>
            <w:r w:rsidRPr="000F15C4">
              <w:rPr>
                <w:b/>
                <w:i w:val="0"/>
              </w:rPr>
              <w:t xml:space="preserve">All Income Support </w:t>
            </w:r>
            <w:r w:rsidR="000F15C4">
              <w:rPr>
                <w:b/>
                <w:i w:val="0"/>
              </w:rPr>
              <w:t>Payment r</w:t>
            </w:r>
            <w:r w:rsidRPr="000F15C4">
              <w:rPr>
                <w:b/>
                <w:i w:val="0"/>
              </w:rPr>
              <w:t>ecipients</w:t>
            </w:r>
          </w:p>
        </w:tc>
      </w:tr>
      <w:tr w:rsidR="00D24B80" w14:paraId="10524752" w14:textId="77777777" w:rsidTr="00825E9F">
        <w:tblPrEx>
          <w:tblCellMar>
            <w:left w:w="108" w:type="dxa"/>
            <w:right w:w="108" w:type="dxa"/>
          </w:tblCellMar>
        </w:tblPrEx>
        <w:trPr>
          <w:trHeight w:val="255"/>
        </w:trPr>
        <w:tc>
          <w:tcPr>
            <w:tcW w:w="2923" w:type="dxa"/>
            <w:tcBorders>
              <w:top w:val="nil"/>
              <w:left w:val="nil"/>
              <w:bottom w:val="nil"/>
              <w:right w:val="nil"/>
            </w:tcBorders>
            <w:shd w:val="clear" w:color="auto" w:fill="auto"/>
          </w:tcPr>
          <w:p w14:paraId="4AFD0E54" w14:textId="77777777" w:rsidR="00D24B80" w:rsidRDefault="00825E9F" w:rsidP="00464790">
            <w:pPr>
              <w:pStyle w:val="Figure"/>
            </w:pPr>
            <w:r>
              <w:rPr>
                <w:noProof/>
              </w:rPr>
              <w:drawing>
                <wp:inline distT="0" distB="0" distL="0" distR="0" wp14:anchorId="60CAC82D" wp14:editId="746BDA08">
                  <wp:extent cx="1728000" cy="1728000"/>
                  <wp:effectExtent l="0" t="0" r="5715" b="5715"/>
                  <wp:docPr id="29" name="Chart 29" descr="This figure shows the ISP types received by different housing assistance recipients. The share of each type of income support differs between public housing residents and CRA recipients, with over 50 per cent of working age public housing residents receiving the Disability Support Pension.&#10;" title="Figure 7 – ISP types of housing assistance recipients, 2013 (panel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c>
          <w:tcPr>
            <w:tcW w:w="2924" w:type="dxa"/>
            <w:tcBorders>
              <w:top w:val="nil"/>
              <w:left w:val="nil"/>
              <w:bottom w:val="nil"/>
              <w:right w:val="nil"/>
            </w:tcBorders>
            <w:shd w:val="clear" w:color="auto" w:fill="auto"/>
          </w:tcPr>
          <w:p w14:paraId="691B7CC3" w14:textId="77777777" w:rsidR="00D24B80" w:rsidRDefault="00825E9F" w:rsidP="00464790">
            <w:pPr>
              <w:pStyle w:val="Figure"/>
            </w:pPr>
            <w:r>
              <w:rPr>
                <w:noProof/>
              </w:rPr>
              <w:drawing>
                <wp:inline distT="0" distB="0" distL="0" distR="0" wp14:anchorId="48C92A47" wp14:editId="3CC33E83">
                  <wp:extent cx="1728000" cy="1728000"/>
                  <wp:effectExtent l="0" t="0" r="5715" b="5715"/>
                  <wp:docPr id="31" name="Chart 31" descr="This panel is part of figure 7. Please refer to the description of figure 7 found in the first panel of figure 7.&#10;" title="Figure 7 – ISP types of housing assistance recipients, 2013 (panel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c>
          <w:tcPr>
            <w:tcW w:w="2924" w:type="dxa"/>
            <w:tcBorders>
              <w:top w:val="nil"/>
              <w:left w:val="nil"/>
              <w:bottom w:val="nil"/>
              <w:right w:val="nil"/>
            </w:tcBorders>
            <w:shd w:val="clear" w:color="auto" w:fill="auto"/>
          </w:tcPr>
          <w:p w14:paraId="5E8E3348" w14:textId="77777777" w:rsidR="00D24B80" w:rsidRDefault="00825E9F" w:rsidP="00464790">
            <w:pPr>
              <w:pStyle w:val="Figure"/>
            </w:pPr>
            <w:r>
              <w:rPr>
                <w:noProof/>
              </w:rPr>
              <w:drawing>
                <wp:inline distT="0" distB="0" distL="0" distR="0" wp14:anchorId="71462377" wp14:editId="54D5EEE6">
                  <wp:extent cx="1728000" cy="1728000"/>
                  <wp:effectExtent l="0" t="0" r="5715" b="5715"/>
                  <wp:docPr id="32" name="Chart 32" descr="This panel is part of figure 7. Please refer to the description of figure 7 found in the first panel of figure 7." title="Figure 7 – ISP types of housing assistance recipients, 2013 (panel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r w:rsidR="000F15C4" w14:paraId="334FECC3" w14:textId="77777777" w:rsidTr="00BB20BA">
        <w:tblPrEx>
          <w:tblCellMar>
            <w:left w:w="108" w:type="dxa"/>
            <w:right w:w="108" w:type="dxa"/>
          </w:tblCellMar>
        </w:tblPrEx>
        <w:trPr>
          <w:trHeight w:val="255"/>
        </w:trPr>
        <w:tc>
          <w:tcPr>
            <w:tcW w:w="8771" w:type="dxa"/>
            <w:gridSpan w:val="3"/>
            <w:tcBorders>
              <w:top w:val="nil"/>
              <w:left w:val="nil"/>
              <w:bottom w:val="nil"/>
              <w:right w:val="nil"/>
            </w:tcBorders>
            <w:shd w:val="clear" w:color="auto" w:fill="auto"/>
          </w:tcPr>
          <w:p w14:paraId="3F86D96C" w14:textId="495F1E79" w:rsidR="000F15C4" w:rsidRDefault="00BB20BA" w:rsidP="00464790">
            <w:pPr>
              <w:pStyle w:val="Figure"/>
            </w:pPr>
            <w:r>
              <w:rPr>
                <w:noProof/>
              </w:rPr>
              <w:drawing>
                <wp:inline distT="0" distB="0" distL="0" distR="0" wp14:anchorId="345E773E" wp14:editId="180934EC">
                  <wp:extent cx="5429250" cy="809625"/>
                  <wp:effectExtent l="0" t="0" r="0" b="0"/>
                  <wp:docPr id="10" name="Chart 10" descr="This panel is part of figure 7. Please refer to the description of figure 7 found in the first panel of figure 7.&#10;" title="Figure 7 – ISP types of housing assistance recipients, 2013 (panel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r>
      <w:tr w:rsidR="00D24B80" w:rsidRPr="00176D3F" w14:paraId="1394035D" w14:textId="77777777" w:rsidTr="00464790">
        <w:tc>
          <w:tcPr>
            <w:tcW w:w="8771" w:type="dxa"/>
            <w:gridSpan w:val="3"/>
            <w:tcBorders>
              <w:top w:val="nil"/>
              <w:left w:val="nil"/>
              <w:bottom w:val="nil"/>
              <w:right w:val="nil"/>
            </w:tcBorders>
            <w:shd w:val="clear" w:color="auto" w:fill="auto"/>
          </w:tcPr>
          <w:p w14:paraId="1C3AB73B" w14:textId="6120E47E" w:rsidR="00D24B80" w:rsidRPr="00176D3F" w:rsidRDefault="000F15C4" w:rsidP="004C30FC">
            <w:pPr>
              <w:pStyle w:val="Note"/>
            </w:pPr>
            <w:r>
              <w:rPr>
                <w:rStyle w:val="NoteLabel"/>
              </w:rPr>
              <w:t>a</w:t>
            </w:r>
            <w:r>
              <w:t xml:space="preserve"> ISP recipients aged 15–65 at 30</w:t>
            </w:r>
            <w:r w:rsidR="00935A28">
              <w:t> </w:t>
            </w:r>
            <w:r>
              <w:t xml:space="preserve">June </w:t>
            </w:r>
            <w:r w:rsidR="008438D4">
              <w:t>2013</w:t>
            </w:r>
            <w:r>
              <w:t xml:space="preserve">. This figure does not include </w:t>
            </w:r>
            <w:proofErr w:type="spellStart"/>
            <w:r w:rsidR="00FF2726">
              <w:t>FTB</w:t>
            </w:r>
            <w:proofErr w:type="spellEnd"/>
            <w:r w:rsidR="00FF2726">
              <w:t xml:space="preserve"> A</w:t>
            </w:r>
            <w:r w:rsidR="00935A28">
              <w:noBreakHyphen/>
            </w:r>
            <w:r>
              <w:t xml:space="preserve">only recipients of </w:t>
            </w:r>
            <w:proofErr w:type="spellStart"/>
            <w:r>
              <w:t>CRA</w:t>
            </w:r>
            <w:proofErr w:type="spellEnd"/>
            <w:r>
              <w:t>.</w:t>
            </w:r>
            <w:r w:rsidR="00E14B89">
              <w:t xml:space="preserve"> Labels </w:t>
            </w:r>
            <w:r w:rsidR="002345F0">
              <w:t xml:space="preserve">are </w:t>
            </w:r>
            <w:r w:rsidR="00E14B89">
              <w:t>rounded.</w:t>
            </w:r>
            <w:r w:rsidR="002345F0">
              <w:t xml:space="preserve"> </w:t>
            </w:r>
            <w:r w:rsidR="002345F0">
              <w:rPr>
                <w:rStyle w:val="NoteLabel"/>
              </w:rPr>
              <w:t>b </w:t>
            </w:r>
            <w:r w:rsidR="002345F0">
              <w:t xml:space="preserve">Other payments include a range of less common ISPs, including Bereavement Allowance, Wife’s Pension, Wife’s Disability Support Pension, </w:t>
            </w:r>
            <w:proofErr w:type="spellStart"/>
            <w:r w:rsidR="002345F0">
              <w:t>Austudy</w:t>
            </w:r>
            <w:proofErr w:type="spellEnd"/>
            <w:r w:rsidR="002345F0">
              <w:t xml:space="preserve">, Partner Allowance, Sickness Allowance, Special Benefits, Widow Allowance and </w:t>
            </w:r>
            <w:proofErr w:type="spellStart"/>
            <w:r w:rsidR="002345F0">
              <w:t>Abstudy</w:t>
            </w:r>
            <w:proofErr w:type="spellEnd"/>
            <w:r w:rsidR="002345F0">
              <w:t>.</w:t>
            </w:r>
          </w:p>
        </w:tc>
      </w:tr>
      <w:tr w:rsidR="00D24B80" w:rsidRPr="00176D3F" w14:paraId="4DE72588" w14:textId="77777777" w:rsidTr="00464790">
        <w:tc>
          <w:tcPr>
            <w:tcW w:w="8771" w:type="dxa"/>
            <w:gridSpan w:val="3"/>
            <w:tcBorders>
              <w:top w:val="nil"/>
              <w:left w:val="nil"/>
              <w:bottom w:val="nil"/>
              <w:right w:val="nil"/>
            </w:tcBorders>
            <w:shd w:val="clear" w:color="auto" w:fill="auto"/>
          </w:tcPr>
          <w:p w14:paraId="3051D1B7" w14:textId="6BAA6C14" w:rsidR="00D24B80" w:rsidRPr="00176D3F" w:rsidRDefault="00306456" w:rsidP="00464790">
            <w:pPr>
              <w:pStyle w:val="Source"/>
            </w:pPr>
            <w:r>
              <w:rPr>
                <w:i/>
              </w:rPr>
              <w:t>Source</w:t>
            </w:r>
            <w:r w:rsidR="00D24B80">
              <w:t>: Department of Human Services, administrative data (unpublished).</w:t>
            </w:r>
          </w:p>
        </w:tc>
      </w:tr>
      <w:tr w:rsidR="00D24B80" w14:paraId="52D14660" w14:textId="77777777" w:rsidTr="00464790">
        <w:tc>
          <w:tcPr>
            <w:tcW w:w="8771" w:type="dxa"/>
            <w:gridSpan w:val="3"/>
            <w:tcBorders>
              <w:top w:val="nil"/>
              <w:left w:val="nil"/>
              <w:bottom w:val="single" w:sz="6" w:space="0" w:color="78A22F"/>
              <w:right w:val="nil"/>
            </w:tcBorders>
            <w:shd w:val="clear" w:color="auto" w:fill="auto"/>
          </w:tcPr>
          <w:p w14:paraId="3797BA42" w14:textId="77777777" w:rsidR="00D24B80" w:rsidRDefault="00D24B80" w:rsidP="00464790">
            <w:pPr>
              <w:pStyle w:val="Figurespace"/>
            </w:pPr>
          </w:p>
        </w:tc>
      </w:tr>
      <w:tr w:rsidR="00D24B80" w:rsidRPr="000863A5" w14:paraId="3F6066C0" w14:textId="77777777" w:rsidTr="00464790">
        <w:tc>
          <w:tcPr>
            <w:tcW w:w="8771" w:type="dxa"/>
            <w:gridSpan w:val="3"/>
            <w:tcBorders>
              <w:top w:val="single" w:sz="6" w:space="0" w:color="78A22F"/>
              <w:left w:val="nil"/>
              <w:bottom w:val="nil"/>
              <w:right w:val="nil"/>
            </w:tcBorders>
          </w:tcPr>
          <w:p w14:paraId="4185A6E5" w14:textId="6913FBCB" w:rsidR="00D24B80" w:rsidRPr="00E209F1" w:rsidRDefault="00D24B80" w:rsidP="00464790">
            <w:pPr>
              <w:pStyle w:val="BoxSpaceBelow"/>
            </w:pPr>
          </w:p>
        </w:tc>
      </w:tr>
    </w:tbl>
    <w:p w14:paraId="70529922" w14:textId="77777777" w:rsidR="00863FCA" w:rsidRDefault="00863FCA" w:rsidP="00863FCA">
      <w:pPr>
        <w:pStyle w:val="BodyText"/>
        <w:rPr>
          <w:rFonts w:ascii="Arial" w:hAnsi="Arial"/>
          <w:sz w:val="26"/>
        </w:rPr>
      </w:pPr>
      <w:r>
        <w:br w:type="page"/>
      </w:r>
    </w:p>
    <w:p w14:paraId="2BC98ED6" w14:textId="77777777" w:rsidR="000B2D3B" w:rsidRDefault="005A5FC5" w:rsidP="00572318">
      <w:pPr>
        <w:pStyle w:val="Heading3"/>
        <w:spacing w:before="240"/>
      </w:pPr>
      <w:r>
        <w:lastRenderedPageBreak/>
        <w:t xml:space="preserve">Are </w:t>
      </w:r>
      <w:proofErr w:type="spellStart"/>
      <w:r>
        <w:t>CRA</w:t>
      </w:r>
      <w:proofErr w:type="spellEnd"/>
      <w:r>
        <w:t xml:space="preserve"> receipt and public housing tenancy</w:t>
      </w:r>
      <w:r w:rsidR="00975DD0">
        <w:t xml:space="preserve"> associated with different lengths of time on income support?</w:t>
      </w:r>
    </w:p>
    <w:p w14:paraId="6E79675B" w14:textId="77777777" w:rsidR="00925A7D" w:rsidRDefault="00925A7D" w:rsidP="00925A7D">
      <w:pPr>
        <w:pStyle w:val="BodyText"/>
        <w:rPr>
          <w:i/>
        </w:rPr>
      </w:pPr>
      <w:r w:rsidRPr="00F64811">
        <w:rPr>
          <w:i/>
        </w:rPr>
        <w:t>Public housing tenants</w:t>
      </w:r>
      <w:r w:rsidR="005A5FC5">
        <w:rPr>
          <w:i/>
        </w:rPr>
        <w:t xml:space="preserve"> have</w:t>
      </w:r>
      <w:r w:rsidRPr="00F64811">
        <w:rPr>
          <w:i/>
        </w:rPr>
        <w:t xml:space="preserve"> typically </w:t>
      </w:r>
      <w:r w:rsidR="00F64811">
        <w:rPr>
          <w:i/>
        </w:rPr>
        <w:t>received</w:t>
      </w:r>
      <w:r w:rsidRPr="00F64811">
        <w:rPr>
          <w:i/>
        </w:rPr>
        <w:t xml:space="preserve"> </w:t>
      </w:r>
      <w:r w:rsidR="00F64811">
        <w:rPr>
          <w:i/>
        </w:rPr>
        <w:t xml:space="preserve">ISPs for a </w:t>
      </w:r>
      <w:r w:rsidRPr="00F64811">
        <w:rPr>
          <w:i/>
        </w:rPr>
        <w:t xml:space="preserve">longer </w:t>
      </w:r>
      <w:r w:rsidR="00F64811">
        <w:rPr>
          <w:i/>
        </w:rPr>
        <w:t xml:space="preserve">period of time </w:t>
      </w:r>
      <w:r w:rsidRPr="00F64811">
        <w:rPr>
          <w:i/>
        </w:rPr>
        <w:t xml:space="preserve">than </w:t>
      </w:r>
      <w:proofErr w:type="spellStart"/>
      <w:r w:rsidR="00F64811" w:rsidRPr="00F64811">
        <w:rPr>
          <w:i/>
        </w:rPr>
        <w:t>CRA</w:t>
      </w:r>
      <w:proofErr w:type="spellEnd"/>
      <w:r w:rsidR="00F64811" w:rsidRPr="00F64811">
        <w:rPr>
          <w:i/>
        </w:rPr>
        <w:t xml:space="preserve"> recipients </w:t>
      </w:r>
      <w:r w:rsidRPr="00F64811">
        <w:rPr>
          <w:i/>
        </w:rPr>
        <w:t xml:space="preserve">on similar </w:t>
      </w:r>
      <w:r w:rsidR="00F64811">
        <w:rPr>
          <w:i/>
        </w:rPr>
        <w:t>payment</w:t>
      </w:r>
      <w:r w:rsidR="001161DC">
        <w:rPr>
          <w:i/>
        </w:rPr>
        <w:t>s</w:t>
      </w:r>
      <w:r w:rsidRPr="00F64811">
        <w:rPr>
          <w:i/>
        </w:rPr>
        <w:t>.</w:t>
      </w:r>
    </w:p>
    <w:p w14:paraId="427EF011" w14:textId="3EAF9375" w:rsidR="00610074" w:rsidRPr="00E209F1" w:rsidRDefault="00610074" w:rsidP="00F648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610074" w14:paraId="19E39932" w14:textId="77777777" w:rsidTr="00F648AD">
        <w:tc>
          <w:tcPr>
            <w:tcW w:w="8771" w:type="dxa"/>
            <w:tcBorders>
              <w:top w:val="single" w:sz="6" w:space="0" w:color="78A22F"/>
              <w:left w:val="nil"/>
              <w:bottom w:val="nil"/>
              <w:right w:val="nil"/>
            </w:tcBorders>
            <w:shd w:val="clear" w:color="auto" w:fill="auto"/>
          </w:tcPr>
          <w:p w14:paraId="1ACC8622" w14:textId="77777777" w:rsidR="007D1228" w:rsidRDefault="00610074" w:rsidP="007D1228">
            <w:pPr>
              <w:pStyle w:val="FigureTitle"/>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8</w:t>
            </w:r>
            <w:r w:rsidRPr="00784A05">
              <w:rPr>
                <w:b w:val="0"/>
              </w:rPr>
              <w:fldChar w:fldCharType="end"/>
            </w:r>
            <w:r>
              <w:tab/>
            </w:r>
            <w:r w:rsidR="007D1228">
              <w:t>Duration of ISP receipt, by ISP and housing assistance, 2013</w:t>
            </w:r>
            <w:r w:rsidR="007D1228" w:rsidRPr="00F35E94">
              <w:rPr>
                <w:rStyle w:val="NoteLabel"/>
                <w:b/>
              </w:rPr>
              <w:t>a</w:t>
            </w:r>
          </w:p>
          <w:p w14:paraId="3342848B" w14:textId="77777777" w:rsidR="00610074" w:rsidRPr="00176D3F" w:rsidRDefault="007D1228" w:rsidP="007D1228">
            <w:pPr>
              <w:pStyle w:val="Subtitle"/>
            </w:pPr>
            <w:proofErr w:type="spellStart"/>
            <w:r>
              <w:t>P10</w:t>
            </w:r>
            <w:proofErr w:type="spellEnd"/>
            <w:r>
              <w:t xml:space="preserve">, </w:t>
            </w:r>
            <w:proofErr w:type="spellStart"/>
            <w:r>
              <w:t>P90</w:t>
            </w:r>
            <w:proofErr w:type="spellEnd"/>
            <w:r>
              <w:t>, interquartile range, median and mean</w:t>
            </w:r>
          </w:p>
        </w:tc>
      </w:tr>
      <w:tr w:rsidR="00610074" w14:paraId="3695CE0B" w14:textId="77777777" w:rsidTr="00BB20BA">
        <w:tblPrEx>
          <w:tblCellMar>
            <w:left w:w="108" w:type="dxa"/>
            <w:right w:w="108" w:type="dxa"/>
          </w:tblCellMar>
        </w:tblPrEx>
        <w:tc>
          <w:tcPr>
            <w:tcW w:w="8771" w:type="dxa"/>
            <w:tcBorders>
              <w:top w:val="nil"/>
              <w:left w:val="nil"/>
              <w:bottom w:val="nil"/>
              <w:right w:val="nil"/>
            </w:tcBorders>
            <w:shd w:val="clear" w:color="auto" w:fill="auto"/>
          </w:tcPr>
          <w:p w14:paraId="70F65E8A" w14:textId="76ADDFEA" w:rsidR="00610074" w:rsidRDefault="00BB20BA" w:rsidP="00F648AD">
            <w:pPr>
              <w:pStyle w:val="Figure"/>
            </w:pPr>
            <w:r>
              <w:rPr>
                <w:noProof/>
              </w:rPr>
              <w:drawing>
                <wp:inline distT="0" distB="0" distL="0" distR="0" wp14:anchorId="764D541E" wp14:editId="74DAF3EB">
                  <wp:extent cx="5220000" cy="2880000"/>
                  <wp:effectExtent l="0" t="0" r="0" b="0"/>
                  <wp:docPr id="13" name="Chart 13" descr="This figure shows the distribution of the time that housing assistance recipients have been receiving different ISPs. Public housing tenants have typically received ISPs for a longer period of time than CRA recipients on similar payments." title="Figure 8 – Duration of ISP receipt, by ISP and housing assistance,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r w:rsidR="00BB20BA" w:rsidRPr="00176D3F" w14:paraId="00A7A9F8" w14:textId="77777777" w:rsidTr="00F648AD">
        <w:tc>
          <w:tcPr>
            <w:tcW w:w="8771" w:type="dxa"/>
            <w:tcBorders>
              <w:top w:val="nil"/>
              <w:left w:val="nil"/>
              <w:bottom w:val="nil"/>
              <w:right w:val="nil"/>
            </w:tcBorders>
            <w:shd w:val="clear" w:color="auto" w:fill="auto"/>
          </w:tcPr>
          <w:p w14:paraId="5E97CD31" w14:textId="5A771A3D" w:rsidR="00BB20BA" w:rsidRDefault="00BB20BA" w:rsidP="00F648AD">
            <w:pPr>
              <w:pStyle w:val="Note"/>
              <w:rPr>
                <w:rStyle w:val="NoteLabel"/>
              </w:rPr>
            </w:pPr>
            <w:r>
              <w:rPr>
                <w:noProof/>
              </w:rPr>
              <w:drawing>
                <wp:inline distT="0" distB="0" distL="0" distR="0" wp14:anchorId="26367D1D" wp14:editId="34FADF8A">
                  <wp:extent cx="5220392" cy="174567"/>
                  <wp:effectExtent l="0" t="0" r="0" b="0"/>
                  <wp:docPr id="12" name="Chart 12" descr="This panel is a legend for figure 8. Please refer to the description of figure 8 found in the first panel of figure 8.&#10;" title="Figure 8 – ISP types of housing assistance recipients, 2013 (panel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r>
      <w:tr w:rsidR="007D1228" w:rsidRPr="00176D3F" w14:paraId="3A4DE374" w14:textId="77777777" w:rsidTr="00F648AD">
        <w:tc>
          <w:tcPr>
            <w:tcW w:w="8771" w:type="dxa"/>
            <w:tcBorders>
              <w:top w:val="nil"/>
              <w:left w:val="nil"/>
              <w:bottom w:val="nil"/>
              <w:right w:val="nil"/>
            </w:tcBorders>
            <w:shd w:val="clear" w:color="auto" w:fill="auto"/>
          </w:tcPr>
          <w:p w14:paraId="2C0E43DB" w14:textId="0B94BFB8" w:rsidR="007D1228" w:rsidRPr="00176D3F" w:rsidRDefault="007D1228" w:rsidP="00F648AD">
            <w:pPr>
              <w:pStyle w:val="Note"/>
            </w:pPr>
            <w:r>
              <w:rPr>
                <w:rStyle w:val="NoteLabel"/>
              </w:rPr>
              <w:t>a</w:t>
            </w:r>
            <w:r>
              <w:t xml:space="preserve"> ISP recipients aged 15–65 at 30</w:t>
            </w:r>
            <w:r w:rsidR="00935A28">
              <w:t> </w:t>
            </w:r>
            <w:r>
              <w:t xml:space="preserve">June 2013. This figure does not include </w:t>
            </w:r>
            <w:proofErr w:type="spellStart"/>
            <w:r w:rsidR="00FF2726">
              <w:t>FTB</w:t>
            </w:r>
            <w:proofErr w:type="spellEnd"/>
            <w:r w:rsidR="00FF2726">
              <w:t xml:space="preserve"> A</w:t>
            </w:r>
            <w:r w:rsidR="00935A28">
              <w:noBreakHyphen/>
            </w:r>
            <w:r>
              <w:t xml:space="preserve">only recipients of </w:t>
            </w:r>
            <w:proofErr w:type="spellStart"/>
            <w:r>
              <w:t>CRA</w:t>
            </w:r>
            <w:proofErr w:type="spellEnd"/>
            <w:r>
              <w:t>. Other payments have not been included in this figure.</w:t>
            </w:r>
          </w:p>
        </w:tc>
      </w:tr>
      <w:tr w:rsidR="007D1228" w:rsidRPr="00176D3F" w14:paraId="155AE81E" w14:textId="77777777" w:rsidTr="00F648AD">
        <w:tc>
          <w:tcPr>
            <w:tcW w:w="8771" w:type="dxa"/>
            <w:tcBorders>
              <w:top w:val="nil"/>
              <w:left w:val="nil"/>
              <w:bottom w:val="nil"/>
              <w:right w:val="nil"/>
            </w:tcBorders>
            <w:shd w:val="clear" w:color="auto" w:fill="auto"/>
          </w:tcPr>
          <w:p w14:paraId="591BAA23" w14:textId="3931975E" w:rsidR="007D1228" w:rsidRPr="00176D3F" w:rsidRDefault="00306456" w:rsidP="00F648AD">
            <w:pPr>
              <w:pStyle w:val="Source"/>
            </w:pPr>
            <w:r>
              <w:rPr>
                <w:i/>
              </w:rPr>
              <w:t>Source</w:t>
            </w:r>
            <w:r w:rsidR="007D1228">
              <w:t>: Department of Human Services, administrative data (unpublished).</w:t>
            </w:r>
          </w:p>
        </w:tc>
      </w:tr>
      <w:tr w:rsidR="00610074" w14:paraId="7B3FDA93" w14:textId="77777777" w:rsidTr="00F648AD">
        <w:tc>
          <w:tcPr>
            <w:tcW w:w="8771" w:type="dxa"/>
            <w:tcBorders>
              <w:top w:val="nil"/>
              <w:left w:val="nil"/>
              <w:bottom w:val="single" w:sz="6" w:space="0" w:color="78A22F"/>
              <w:right w:val="nil"/>
            </w:tcBorders>
            <w:shd w:val="clear" w:color="auto" w:fill="auto"/>
          </w:tcPr>
          <w:p w14:paraId="5B8793D9" w14:textId="77777777" w:rsidR="00610074" w:rsidRDefault="00610074" w:rsidP="00F648AD">
            <w:pPr>
              <w:pStyle w:val="Figurespace"/>
            </w:pPr>
          </w:p>
        </w:tc>
      </w:tr>
      <w:tr w:rsidR="00610074" w:rsidRPr="000863A5" w14:paraId="35E8247E" w14:textId="77777777" w:rsidTr="00F648AD">
        <w:tc>
          <w:tcPr>
            <w:tcW w:w="8771" w:type="dxa"/>
            <w:tcBorders>
              <w:top w:val="single" w:sz="6" w:space="0" w:color="78A22F"/>
              <w:left w:val="nil"/>
              <w:bottom w:val="nil"/>
              <w:right w:val="nil"/>
            </w:tcBorders>
          </w:tcPr>
          <w:p w14:paraId="5BB12513" w14:textId="70B8BAE1" w:rsidR="00610074" w:rsidRPr="00E209F1" w:rsidRDefault="00610074" w:rsidP="00F648AD">
            <w:pPr>
              <w:pStyle w:val="BoxSpaceBelow"/>
            </w:pPr>
          </w:p>
        </w:tc>
      </w:tr>
    </w:tbl>
    <w:p w14:paraId="25CCC067" w14:textId="77777777" w:rsidR="00E23419" w:rsidRDefault="00E23419">
      <w:pPr>
        <w:rPr>
          <w:rFonts w:ascii="Arial" w:hAnsi="Arial"/>
          <w:b/>
          <w:sz w:val="26"/>
          <w:szCs w:val="20"/>
        </w:rPr>
      </w:pPr>
      <w:r>
        <w:br w:type="page"/>
      </w:r>
    </w:p>
    <w:p w14:paraId="3AFE05F6" w14:textId="77777777" w:rsidR="002E52D4" w:rsidRDefault="002E52D4" w:rsidP="00572318">
      <w:pPr>
        <w:pStyle w:val="Heading3"/>
        <w:spacing w:before="240"/>
      </w:pPr>
      <w:r>
        <w:lastRenderedPageBreak/>
        <w:t xml:space="preserve">What </w:t>
      </w:r>
      <w:r w:rsidR="0078459D">
        <w:t xml:space="preserve">are </w:t>
      </w:r>
      <w:r>
        <w:t>the demographic characteristics of housing assistance recipients?</w:t>
      </w:r>
    </w:p>
    <w:p w14:paraId="3E378057" w14:textId="2DDD9E3E" w:rsidR="002E52D4" w:rsidRPr="003D4296" w:rsidRDefault="0078459D" w:rsidP="002E52D4">
      <w:pPr>
        <w:pStyle w:val="BodyText"/>
        <w:rPr>
          <w:i/>
        </w:rPr>
      </w:pPr>
      <w:r>
        <w:rPr>
          <w:i/>
        </w:rPr>
        <w:t>M</w:t>
      </w:r>
      <w:r w:rsidR="002E52D4" w:rsidRPr="003D4296">
        <w:rPr>
          <w:i/>
        </w:rPr>
        <w:t>ore women receiv</w:t>
      </w:r>
      <w:r>
        <w:rPr>
          <w:i/>
        </w:rPr>
        <w:t>e</w:t>
      </w:r>
      <w:r w:rsidR="002E52D4" w:rsidRPr="003D4296">
        <w:rPr>
          <w:i/>
        </w:rPr>
        <w:t xml:space="preserve"> </w:t>
      </w:r>
      <w:r>
        <w:rPr>
          <w:i/>
        </w:rPr>
        <w:t>ISPs</w:t>
      </w:r>
      <w:r w:rsidR="002E52D4" w:rsidRPr="003D4296">
        <w:rPr>
          <w:i/>
        </w:rPr>
        <w:t xml:space="preserve"> an</w:t>
      </w:r>
      <w:r w:rsidR="003D4296" w:rsidRPr="003D4296">
        <w:rPr>
          <w:i/>
        </w:rPr>
        <w:t>d housing assistance than men.</w:t>
      </w:r>
    </w:p>
    <w:p w14:paraId="72435881" w14:textId="79E63F99" w:rsidR="003D4296" w:rsidRPr="00E209F1" w:rsidRDefault="003D4296" w:rsidP="005C796E">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D4296" w14:paraId="550E6758" w14:textId="77777777" w:rsidTr="00464790">
        <w:tc>
          <w:tcPr>
            <w:tcW w:w="8771" w:type="dxa"/>
            <w:tcBorders>
              <w:top w:val="single" w:sz="6" w:space="0" w:color="78A22F"/>
              <w:left w:val="nil"/>
              <w:bottom w:val="nil"/>
              <w:right w:val="nil"/>
            </w:tcBorders>
            <w:shd w:val="clear" w:color="auto" w:fill="auto"/>
          </w:tcPr>
          <w:p w14:paraId="1CA730F8" w14:textId="77777777" w:rsidR="003D4296" w:rsidRPr="00176D3F" w:rsidRDefault="003D4296" w:rsidP="005C796E">
            <w:pPr>
              <w:pStyle w:val="FigureTitle"/>
            </w:pPr>
            <w:r w:rsidRPr="00784A05">
              <w:rPr>
                <w:b w:val="0"/>
              </w:rPr>
              <w:t xml:space="preserve">Figure </w:t>
            </w:r>
            <w:r w:rsidRPr="00784A05">
              <w:fldChar w:fldCharType="begin"/>
            </w:r>
            <w:r w:rsidRPr="00784A05">
              <w:rPr>
                <w:b w:val="0"/>
              </w:rPr>
              <w:instrText xml:space="preserve"> SEQ Figure \* ARABIC </w:instrText>
            </w:r>
            <w:r w:rsidRPr="00784A05">
              <w:fldChar w:fldCharType="separate"/>
            </w:r>
            <w:r w:rsidR="00B5435E">
              <w:rPr>
                <w:b w:val="0"/>
                <w:noProof/>
              </w:rPr>
              <w:t>9</w:t>
            </w:r>
            <w:r w:rsidRPr="00784A05">
              <w:fldChar w:fldCharType="end"/>
            </w:r>
            <w:r>
              <w:tab/>
              <w:t>Gender of housing assistance recipients, 2013</w:t>
            </w:r>
            <w:r w:rsidRPr="003E78E3">
              <w:rPr>
                <w:rStyle w:val="NoteLabel"/>
                <w:b/>
              </w:rPr>
              <w:t>a</w:t>
            </w:r>
          </w:p>
        </w:tc>
      </w:tr>
      <w:tr w:rsidR="003D4296" w14:paraId="15E088E6" w14:textId="77777777" w:rsidTr="003D4296">
        <w:tblPrEx>
          <w:tblCellMar>
            <w:left w:w="108" w:type="dxa"/>
            <w:right w:w="108" w:type="dxa"/>
          </w:tblCellMar>
        </w:tblPrEx>
        <w:tc>
          <w:tcPr>
            <w:tcW w:w="8771" w:type="dxa"/>
            <w:tcBorders>
              <w:top w:val="nil"/>
              <w:left w:val="nil"/>
              <w:bottom w:val="nil"/>
              <w:right w:val="nil"/>
            </w:tcBorders>
            <w:shd w:val="clear" w:color="auto" w:fill="auto"/>
          </w:tcPr>
          <w:p w14:paraId="249F7F3A" w14:textId="77777777" w:rsidR="003D4296" w:rsidRDefault="003D4296" w:rsidP="00464790">
            <w:pPr>
              <w:pStyle w:val="Figure"/>
            </w:pPr>
            <w:r>
              <w:rPr>
                <w:noProof/>
              </w:rPr>
              <w:drawing>
                <wp:inline distT="0" distB="0" distL="0" distR="0" wp14:anchorId="52CC675B" wp14:editId="4C9B2828">
                  <wp:extent cx="5400675" cy="2162175"/>
                  <wp:effectExtent l="0" t="0" r="0" b="0"/>
                  <wp:docPr id="42" name="Chart 42" descr="This figure shows the gender of income support recipients who receiving different forms of housing assistance. Of the 942,000 ISP recipients who receive CRA, 59 per cent are female and 41 per cent male. Of the 255,000 public housing residents, 62 per cent are female and 38 per cent are male. In all, there are 2.57 million ISP recipients, 57 per cent of whom are female, and 43 per cent are male. " title="Figure 9 – Gender of housing assistance recipients,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r>
      <w:tr w:rsidR="003D4296" w:rsidRPr="00176D3F" w14:paraId="6598C7D3" w14:textId="77777777" w:rsidTr="00464790">
        <w:tc>
          <w:tcPr>
            <w:tcW w:w="8771" w:type="dxa"/>
            <w:tcBorders>
              <w:top w:val="nil"/>
              <w:left w:val="nil"/>
              <w:bottom w:val="nil"/>
              <w:right w:val="nil"/>
            </w:tcBorders>
            <w:shd w:val="clear" w:color="auto" w:fill="auto"/>
          </w:tcPr>
          <w:p w14:paraId="61F09534" w14:textId="51B8986F" w:rsidR="003D4296" w:rsidRPr="00176D3F" w:rsidRDefault="003D4296" w:rsidP="00464790">
            <w:pPr>
              <w:pStyle w:val="Note"/>
            </w:pPr>
            <w:r>
              <w:rPr>
                <w:rStyle w:val="NoteLabel"/>
              </w:rPr>
              <w:t>a</w:t>
            </w:r>
            <w:r>
              <w:t xml:space="preserve"> ISP recipients aged 15–65 at 30</w:t>
            </w:r>
            <w:r w:rsidR="00935A28">
              <w:t> </w:t>
            </w:r>
            <w:r>
              <w:t xml:space="preserve">June 2013. This figure does not include </w:t>
            </w:r>
            <w:proofErr w:type="spellStart"/>
            <w:r w:rsidR="00FF2726">
              <w:t>FTB</w:t>
            </w:r>
            <w:proofErr w:type="spellEnd"/>
            <w:r w:rsidR="00FF2726">
              <w:t xml:space="preserve"> A</w:t>
            </w:r>
            <w:r w:rsidR="00935A28">
              <w:noBreakHyphen/>
            </w:r>
            <w:r>
              <w:t xml:space="preserve">only recipients of </w:t>
            </w:r>
            <w:proofErr w:type="spellStart"/>
            <w:r>
              <w:t>CRA</w:t>
            </w:r>
            <w:proofErr w:type="spellEnd"/>
            <w:r>
              <w:t>.</w:t>
            </w:r>
          </w:p>
        </w:tc>
      </w:tr>
      <w:tr w:rsidR="003D4296" w:rsidRPr="00176D3F" w14:paraId="21FB70A4" w14:textId="77777777" w:rsidTr="00464790">
        <w:tc>
          <w:tcPr>
            <w:tcW w:w="8771" w:type="dxa"/>
            <w:tcBorders>
              <w:top w:val="nil"/>
              <w:left w:val="nil"/>
              <w:bottom w:val="nil"/>
              <w:right w:val="nil"/>
            </w:tcBorders>
            <w:shd w:val="clear" w:color="auto" w:fill="auto"/>
          </w:tcPr>
          <w:p w14:paraId="3136E4FC" w14:textId="2155F848" w:rsidR="003D4296" w:rsidRPr="00176D3F" w:rsidRDefault="00306456" w:rsidP="00464790">
            <w:pPr>
              <w:pStyle w:val="Source"/>
            </w:pPr>
            <w:r>
              <w:rPr>
                <w:i/>
              </w:rPr>
              <w:t>Source</w:t>
            </w:r>
            <w:r w:rsidR="003D4296">
              <w:t>: Department of Human Services, administrative data (unpublished).</w:t>
            </w:r>
          </w:p>
        </w:tc>
      </w:tr>
      <w:tr w:rsidR="003D4296" w14:paraId="601387B2" w14:textId="77777777" w:rsidTr="00464790">
        <w:tc>
          <w:tcPr>
            <w:tcW w:w="8771" w:type="dxa"/>
            <w:tcBorders>
              <w:top w:val="nil"/>
              <w:left w:val="nil"/>
              <w:bottom w:val="single" w:sz="6" w:space="0" w:color="78A22F"/>
              <w:right w:val="nil"/>
            </w:tcBorders>
            <w:shd w:val="clear" w:color="auto" w:fill="auto"/>
          </w:tcPr>
          <w:p w14:paraId="461CF5EE" w14:textId="77777777" w:rsidR="003D4296" w:rsidRDefault="003D4296" w:rsidP="00464790">
            <w:pPr>
              <w:pStyle w:val="Figurespace"/>
            </w:pPr>
          </w:p>
        </w:tc>
      </w:tr>
      <w:tr w:rsidR="003D4296" w:rsidRPr="000863A5" w14:paraId="6CD24BD4" w14:textId="77777777" w:rsidTr="00464790">
        <w:tc>
          <w:tcPr>
            <w:tcW w:w="8771" w:type="dxa"/>
            <w:tcBorders>
              <w:top w:val="single" w:sz="6" w:space="0" w:color="78A22F"/>
              <w:left w:val="nil"/>
              <w:bottom w:val="nil"/>
              <w:right w:val="nil"/>
            </w:tcBorders>
          </w:tcPr>
          <w:p w14:paraId="6849A881" w14:textId="1122C626" w:rsidR="003D4296" w:rsidRPr="00E209F1" w:rsidRDefault="003D4296" w:rsidP="00464790">
            <w:pPr>
              <w:pStyle w:val="BoxSpaceBelow"/>
            </w:pPr>
          </w:p>
        </w:tc>
      </w:tr>
    </w:tbl>
    <w:p w14:paraId="5AB40497" w14:textId="39C92BB8" w:rsidR="002E52D4" w:rsidRPr="003D4296" w:rsidRDefault="002E52D4" w:rsidP="002E52D4">
      <w:pPr>
        <w:pStyle w:val="BodyText"/>
        <w:rPr>
          <w:i/>
        </w:rPr>
      </w:pPr>
      <w:r w:rsidRPr="003D4296">
        <w:rPr>
          <w:i/>
        </w:rPr>
        <w:t xml:space="preserve">Residents of public housing tend to be older than recipients of </w:t>
      </w:r>
      <w:proofErr w:type="spellStart"/>
      <w:r w:rsidRPr="003D4296">
        <w:rPr>
          <w:i/>
        </w:rPr>
        <w:t>CRA</w:t>
      </w:r>
      <w:proofErr w:type="spellEnd"/>
      <w:r w:rsidRPr="003D4296">
        <w:rPr>
          <w:i/>
        </w:rPr>
        <w:t xml:space="preserve"> </w:t>
      </w:r>
      <w:r w:rsidR="00935A28">
        <w:rPr>
          <w:i/>
        </w:rPr>
        <w:t>…</w:t>
      </w:r>
    </w:p>
    <w:p w14:paraId="4721095E" w14:textId="7E185321" w:rsidR="003D4296" w:rsidRPr="00E209F1" w:rsidRDefault="003D4296" w:rsidP="00265577">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D4296" w14:paraId="1F227D44" w14:textId="77777777" w:rsidTr="00464790">
        <w:tc>
          <w:tcPr>
            <w:tcW w:w="8771" w:type="dxa"/>
            <w:tcBorders>
              <w:top w:val="single" w:sz="6" w:space="0" w:color="78A22F"/>
              <w:left w:val="nil"/>
              <w:bottom w:val="nil"/>
              <w:right w:val="nil"/>
            </w:tcBorders>
            <w:shd w:val="clear" w:color="auto" w:fill="auto"/>
          </w:tcPr>
          <w:p w14:paraId="5971464B" w14:textId="77777777" w:rsidR="003D4296" w:rsidRDefault="003D4296" w:rsidP="00464790">
            <w:pPr>
              <w:pStyle w:val="FigureTitle"/>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10</w:t>
            </w:r>
            <w:r w:rsidRPr="00784A05">
              <w:rPr>
                <w:b w:val="0"/>
              </w:rPr>
              <w:fldChar w:fldCharType="end"/>
            </w:r>
            <w:r>
              <w:tab/>
            </w:r>
            <w:r w:rsidR="00265577">
              <w:t>Age profile of housing assistance recipients, 2013</w:t>
            </w:r>
            <w:r w:rsidR="00265577" w:rsidRPr="003E78E3">
              <w:rPr>
                <w:rStyle w:val="NoteLabel"/>
                <w:b/>
              </w:rPr>
              <w:t>a</w:t>
            </w:r>
          </w:p>
          <w:p w14:paraId="69A2A1B5" w14:textId="77777777" w:rsidR="003D4296" w:rsidRPr="00176D3F" w:rsidRDefault="00265577" w:rsidP="00464790">
            <w:pPr>
              <w:pStyle w:val="Subtitle"/>
            </w:pPr>
            <w:r>
              <w:t>Per cent of housing assistance type in each age group</w:t>
            </w:r>
          </w:p>
        </w:tc>
      </w:tr>
      <w:tr w:rsidR="003D4296" w14:paraId="161928A3" w14:textId="77777777" w:rsidTr="00265577">
        <w:tblPrEx>
          <w:tblCellMar>
            <w:left w:w="108" w:type="dxa"/>
            <w:right w:w="108" w:type="dxa"/>
          </w:tblCellMar>
        </w:tblPrEx>
        <w:tc>
          <w:tcPr>
            <w:tcW w:w="8771" w:type="dxa"/>
            <w:tcBorders>
              <w:top w:val="nil"/>
              <w:left w:val="nil"/>
              <w:bottom w:val="nil"/>
              <w:right w:val="nil"/>
            </w:tcBorders>
            <w:shd w:val="clear" w:color="auto" w:fill="auto"/>
          </w:tcPr>
          <w:p w14:paraId="63502E9D" w14:textId="77777777" w:rsidR="003D4296" w:rsidRPr="00265577" w:rsidRDefault="00265577" w:rsidP="00464790">
            <w:pPr>
              <w:pStyle w:val="Figure"/>
              <w:rPr>
                <w:rFonts w:ascii="Arial" w:hAnsi="Arial" w:cs="Arial"/>
                <w:sz w:val="18"/>
                <w:szCs w:val="18"/>
              </w:rPr>
            </w:pPr>
            <w:r w:rsidRPr="00265577">
              <w:rPr>
                <w:rFonts w:ascii="Arial" w:hAnsi="Arial" w:cs="Arial"/>
                <w:noProof/>
                <w:sz w:val="18"/>
                <w:szCs w:val="18"/>
              </w:rPr>
              <w:drawing>
                <wp:inline distT="0" distB="0" distL="0" distR="0" wp14:anchorId="0B630AAC" wp14:editId="6AB9622A">
                  <wp:extent cx="5220000" cy="1980000"/>
                  <wp:effectExtent l="0" t="0" r="0" b="1270"/>
                  <wp:docPr id="45" name="Chart 45" descr="This figure shows that public housing residents tend to be older than recipients of CRA.&#10;" title="Figure 10 – Age profile of housing assistance recipients,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r w:rsidR="006B4F13" w:rsidRPr="00176D3F" w14:paraId="19EE3358" w14:textId="77777777" w:rsidTr="00464790">
        <w:tc>
          <w:tcPr>
            <w:tcW w:w="8771" w:type="dxa"/>
            <w:tcBorders>
              <w:top w:val="nil"/>
              <w:left w:val="nil"/>
              <w:bottom w:val="nil"/>
              <w:right w:val="nil"/>
            </w:tcBorders>
            <w:shd w:val="clear" w:color="auto" w:fill="auto"/>
          </w:tcPr>
          <w:p w14:paraId="2AEB24C4" w14:textId="3AC5138E" w:rsidR="006B4F13" w:rsidRDefault="006B4F13" w:rsidP="00464790">
            <w:pPr>
              <w:pStyle w:val="Note"/>
              <w:rPr>
                <w:rStyle w:val="NoteLabel"/>
              </w:rPr>
            </w:pPr>
            <w:r>
              <w:rPr>
                <w:noProof/>
              </w:rPr>
              <w:drawing>
                <wp:inline distT="0" distB="0" distL="0" distR="0" wp14:anchorId="358C0594" wp14:editId="70932FB6">
                  <wp:extent cx="5219700" cy="224155"/>
                  <wp:effectExtent l="0" t="0" r="0" b="4445"/>
                  <wp:docPr id="15" name="Chart 15" descr="This panel is the legend for figure 10. Please refer to the description of figure 8 found in the first panel of figure 8.&#10;" title="Figure 10 – ISP types of housing assistance recipients, 2013 (panel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tr w:rsidR="003D4296" w:rsidRPr="00176D3F" w14:paraId="412D6322" w14:textId="77777777" w:rsidTr="00464790">
        <w:tc>
          <w:tcPr>
            <w:tcW w:w="8771" w:type="dxa"/>
            <w:tcBorders>
              <w:top w:val="nil"/>
              <w:left w:val="nil"/>
              <w:bottom w:val="nil"/>
              <w:right w:val="nil"/>
            </w:tcBorders>
            <w:shd w:val="clear" w:color="auto" w:fill="auto"/>
          </w:tcPr>
          <w:p w14:paraId="5E38B966" w14:textId="4BC017EF" w:rsidR="003D4296" w:rsidRPr="00176D3F" w:rsidRDefault="003D4296" w:rsidP="00464790">
            <w:pPr>
              <w:pStyle w:val="Note"/>
            </w:pPr>
            <w:r>
              <w:rPr>
                <w:rStyle w:val="NoteLabel"/>
              </w:rPr>
              <w:t>a</w:t>
            </w:r>
            <w:r>
              <w:t xml:space="preserve"> ISP recipients aged 15–65 at 30</w:t>
            </w:r>
            <w:r w:rsidR="00935A28">
              <w:t> </w:t>
            </w:r>
            <w:r>
              <w:t xml:space="preserve">June 2013. This figure does not include </w:t>
            </w:r>
            <w:proofErr w:type="spellStart"/>
            <w:r w:rsidR="00FF2726">
              <w:t>FTB</w:t>
            </w:r>
            <w:proofErr w:type="spellEnd"/>
            <w:r w:rsidR="00FF2726">
              <w:t xml:space="preserve"> A</w:t>
            </w:r>
            <w:r w:rsidR="00935A28">
              <w:noBreakHyphen/>
            </w:r>
            <w:r>
              <w:t xml:space="preserve">only recipients of </w:t>
            </w:r>
            <w:proofErr w:type="spellStart"/>
            <w:r>
              <w:t>CRA</w:t>
            </w:r>
            <w:proofErr w:type="spellEnd"/>
            <w:r>
              <w:t>.</w:t>
            </w:r>
          </w:p>
        </w:tc>
      </w:tr>
      <w:tr w:rsidR="003D4296" w:rsidRPr="00176D3F" w14:paraId="266FAC47" w14:textId="77777777" w:rsidTr="00464790">
        <w:tc>
          <w:tcPr>
            <w:tcW w:w="8771" w:type="dxa"/>
            <w:tcBorders>
              <w:top w:val="nil"/>
              <w:left w:val="nil"/>
              <w:bottom w:val="nil"/>
              <w:right w:val="nil"/>
            </w:tcBorders>
            <w:shd w:val="clear" w:color="auto" w:fill="auto"/>
          </w:tcPr>
          <w:p w14:paraId="0540EA78" w14:textId="1F2EB2DB" w:rsidR="003D4296" w:rsidRPr="00176D3F" w:rsidRDefault="00306456" w:rsidP="00464790">
            <w:pPr>
              <w:pStyle w:val="Source"/>
            </w:pPr>
            <w:r>
              <w:rPr>
                <w:i/>
              </w:rPr>
              <w:t>Source</w:t>
            </w:r>
            <w:r w:rsidR="003D4296">
              <w:t>: Department of Human Services, administrative data (unpublished).</w:t>
            </w:r>
          </w:p>
        </w:tc>
      </w:tr>
      <w:tr w:rsidR="003D4296" w14:paraId="5E146501" w14:textId="77777777" w:rsidTr="00464790">
        <w:tc>
          <w:tcPr>
            <w:tcW w:w="8771" w:type="dxa"/>
            <w:tcBorders>
              <w:top w:val="nil"/>
              <w:left w:val="nil"/>
              <w:bottom w:val="single" w:sz="6" w:space="0" w:color="78A22F"/>
              <w:right w:val="nil"/>
            </w:tcBorders>
            <w:shd w:val="clear" w:color="auto" w:fill="auto"/>
          </w:tcPr>
          <w:p w14:paraId="2530D97D" w14:textId="77777777" w:rsidR="003D4296" w:rsidRDefault="003D4296" w:rsidP="00464790">
            <w:pPr>
              <w:pStyle w:val="Figurespace"/>
            </w:pPr>
          </w:p>
        </w:tc>
      </w:tr>
      <w:tr w:rsidR="003D4296" w:rsidRPr="000863A5" w14:paraId="24CC44C8" w14:textId="77777777" w:rsidTr="00464790">
        <w:tc>
          <w:tcPr>
            <w:tcW w:w="8771" w:type="dxa"/>
            <w:tcBorders>
              <w:top w:val="single" w:sz="6" w:space="0" w:color="78A22F"/>
              <w:left w:val="nil"/>
              <w:bottom w:val="nil"/>
              <w:right w:val="nil"/>
            </w:tcBorders>
          </w:tcPr>
          <w:p w14:paraId="4F73B3F9" w14:textId="063A0317" w:rsidR="003D4296" w:rsidRPr="00E209F1" w:rsidRDefault="003D4296" w:rsidP="00464790">
            <w:pPr>
              <w:pStyle w:val="BoxSpaceBelow"/>
            </w:pPr>
          </w:p>
        </w:tc>
      </w:tr>
    </w:tbl>
    <w:p w14:paraId="4B7760A8" w14:textId="77777777" w:rsidR="002C2E70" w:rsidRDefault="002C2E70">
      <w:pPr>
        <w:rPr>
          <w:i/>
          <w:spacing w:val="-2"/>
          <w:szCs w:val="20"/>
        </w:rPr>
      </w:pPr>
    </w:p>
    <w:p w14:paraId="3DC3E91E" w14:textId="77777777" w:rsidR="00DE3AA7" w:rsidRDefault="00DE3AA7" w:rsidP="001D01B7">
      <w:pPr>
        <w:pStyle w:val="BodyText"/>
        <w:rPr>
          <w:i/>
          <w:spacing w:val="-2"/>
        </w:rPr>
      </w:pPr>
    </w:p>
    <w:p w14:paraId="1FD306CE" w14:textId="77777777" w:rsidR="005E7AD1" w:rsidRPr="00DE3AA7" w:rsidRDefault="002B36C4" w:rsidP="00DE3AA7">
      <w:pPr>
        <w:pStyle w:val="BodyText"/>
        <w:rPr>
          <w:i/>
          <w:spacing w:val="-2"/>
        </w:rPr>
      </w:pPr>
      <w:r>
        <w:rPr>
          <w:i/>
          <w:spacing w:val="-2"/>
        </w:rPr>
        <w:lastRenderedPageBreak/>
        <w:t xml:space="preserve">… and </w:t>
      </w:r>
      <w:r w:rsidR="00181201">
        <w:rPr>
          <w:i/>
          <w:spacing w:val="-2"/>
        </w:rPr>
        <w:t xml:space="preserve">over half </w:t>
      </w:r>
      <w:r>
        <w:rPr>
          <w:i/>
          <w:spacing w:val="-2"/>
        </w:rPr>
        <w:t xml:space="preserve">of </w:t>
      </w:r>
      <w:r w:rsidR="00181201">
        <w:rPr>
          <w:i/>
          <w:spacing w:val="-2"/>
        </w:rPr>
        <w:t xml:space="preserve">all </w:t>
      </w:r>
      <w:r>
        <w:rPr>
          <w:i/>
          <w:spacing w:val="-2"/>
        </w:rPr>
        <w:t xml:space="preserve">housing assistance </w:t>
      </w:r>
      <w:r w:rsidR="00181201">
        <w:rPr>
          <w:i/>
          <w:spacing w:val="-2"/>
        </w:rPr>
        <w:t xml:space="preserve">recipients </w:t>
      </w:r>
      <w:r w:rsidR="002C2E70">
        <w:rPr>
          <w:i/>
          <w:spacing w:val="-2"/>
        </w:rPr>
        <w:t>a</w:t>
      </w:r>
      <w:r w:rsidR="009356AC">
        <w:rPr>
          <w:i/>
          <w:spacing w:val="-2"/>
        </w:rPr>
        <w:t>re</w:t>
      </w:r>
      <w:r>
        <w:rPr>
          <w:i/>
          <w:spacing w:val="-2"/>
        </w:rPr>
        <w:t xml:space="preserve"> single</w:t>
      </w:r>
      <w:r w:rsidR="00181201">
        <w:rPr>
          <w:i/>
          <w:spacing w:val="-2"/>
        </w:rPr>
        <w:t xml:space="preserve">, </w:t>
      </w:r>
      <w:r>
        <w:rPr>
          <w:i/>
          <w:spacing w:val="-2"/>
        </w:rPr>
        <w:t>with no dependent children</w:t>
      </w:r>
      <w:r w:rsidR="009356AC">
        <w:rPr>
          <w:i/>
          <w:spacing w:val="-2"/>
        </w:rPr>
        <w:t>, regardless of the type of assistance they receive</w:t>
      </w:r>
      <w:r>
        <w:rPr>
          <w:i/>
          <w:spacing w:val="-2"/>
        </w:rPr>
        <w:t>.</w:t>
      </w:r>
    </w:p>
    <w:p w14:paraId="7DB8DDAE" w14:textId="7A95449F" w:rsidR="003D4296" w:rsidRPr="00E209F1" w:rsidRDefault="003D4296" w:rsidP="00327CFB">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2671"/>
        <w:gridCol w:w="2977"/>
        <w:gridCol w:w="3123"/>
      </w:tblGrid>
      <w:tr w:rsidR="003D4296" w14:paraId="6FD80C63" w14:textId="77777777" w:rsidTr="00464790">
        <w:tc>
          <w:tcPr>
            <w:tcW w:w="8771" w:type="dxa"/>
            <w:gridSpan w:val="3"/>
            <w:tcBorders>
              <w:top w:val="single" w:sz="6" w:space="0" w:color="78A22F"/>
              <w:left w:val="nil"/>
              <w:bottom w:val="nil"/>
              <w:right w:val="nil"/>
            </w:tcBorders>
            <w:shd w:val="clear" w:color="auto" w:fill="auto"/>
          </w:tcPr>
          <w:p w14:paraId="381D5C0A" w14:textId="77777777" w:rsidR="003D4296" w:rsidRDefault="003D4296" w:rsidP="00E277B5">
            <w:pPr>
              <w:pStyle w:val="FigureTitle"/>
              <w:tabs>
                <w:tab w:val="left" w:pos="720"/>
                <w:tab w:val="left" w:pos="1440"/>
                <w:tab w:val="left" w:pos="2746"/>
              </w:tabs>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11</w:t>
            </w:r>
            <w:r w:rsidRPr="00784A05">
              <w:rPr>
                <w:b w:val="0"/>
              </w:rPr>
              <w:fldChar w:fldCharType="end"/>
            </w:r>
            <w:r>
              <w:tab/>
            </w:r>
            <w:r w:rsidR="00E277B5">
              <w:t>Housing assistance recipients by household type, 2013</w:t>
            </w:r>
            <w:r w:rsidR="00E277B5" w:rsidRPr="00E277B5">
              <w:rPr>
                <w:rStyle w:val="NoteLabel"/>
                <w:b/>
              </w:rPr>
              <w:t>a</w:t>
            </w:r>
          </w:p>
          <w:p w14:paraId="5960C0FA" w14:textId="77777777" w:rsidR="003D4296" w:rsidRPr="00176D3F" w:rsidRDefault="00E277B5" w:rsidP="00464790">
            <w:pPr>
              <w:pStyle w:val="Subtitle"/>
            </w:pPr>
            <w:r>
              <w:t>Per cent of housing assistance type</w:t>
            </w:r>
          </w:p>
        </w:tc>
      </w:tr>
      <w:tr w:rsidR="00181201" w14:paraId="14845D88" w14:textId="77777777" w:rsidTr="00181201">
        <w:tblPrEx>
          <w:tblCellMar>
            <w:left w:w="108" w:type="dxa"/>
            <w:right w:w="108" w:type="dxa"/>
          </w:tblCellMar>
        </w:tblPrEx>
        <w:trPr>
          <w:trHeight w:val="359"/>
        </w:trPr>
        <w:tc>
          <w:tcPr>
            <w:tcW w:w="2671" w:type="dxa"/>
            <w:tcBorders>
              <w:top w:val="nil"/>
              <w:left w:val="nil"/>
              <w:right w:val="nil"/>
            </w:tcBorders>
            <w:shd w:val="clear" w:color="auto" w:fill="auto"/>
          </w:tcPr>
          <w:p w14:paraId="4E601C70" w14:textId="77777777" w:rsidR="00181201" w:rsidRPr="00181201" w:rsidRDefault="00181201" w:rsidP="00181201">
            <w:pPr>
              <w:pStyle w:val="TableUnitsRow"/>
              <w:jc w:val="center"/>
              <w:rPr>
                <w:b/>
                <w:noProof/>
              </w:rPr>
            </w:pPr>
            <w:r w:rsidRPr="00181201">
              <w:rPr>
                <w:b/>
                <w:noProof/>
              </w:rPr>
              <w:t>Commonwealth Rent Assistance</w:t>
            </w:r>
          </w:p>
        </w:tc>
        <w:tc>
          <w:tcPr>
            <w:tcW w:w="2977" w:type="dxa"/>
            <w:tcBorders>
              <w:top w:val="nil"/>
              <w:left w:val="nil"/>
              <w:right w:val="nil"/>
            </w:tcBorders>
            <w:shd w:val="clear" w:color="auto" w:fill="auto"/>
          </w:tcPr>
          <w:p w14:paraId="582FD2DF" w14:textId="77777777" w:rsidR="00181201" w:rsidRPr="00181201" w:rsidRDefault="00181201" w:rsidP="005E7AD1">
            <w:pPr>
              <w:pStyle w:val="TableUnitsRow"/>
              <w:jc w:val="center"/>
              <w:rPr>
                <w:b/>
                <w:noProof/>
              </w:rPr>
            </w:pPr>
            <w:r w:rsidRPr="00181201">
              <w:rPr>
                <w:b/>
                <w:noProof/>
              </w:rPr>
              <w:t>Public housing</w:t>
            </w:r>
          </w:p>
        </w:tc>
        <w:tc>
          <w:tcPr>
            <w:tcW w:w="3123" w:type="dxa"/>
            <w:tcBorders>
              <w:top w:val="nil"/>
              <w:left w:val="nil"/>
              <w:right w:val="nil"/>
            </w:tcBorders>
            <w:shd w:val="clear" w:color="auto" w:fill="auto"/>
          </w:tcPr>
          <w:p w14:paraId="3DB99B37" w14:textId="48B5C232" w:rsidR="00181201" w:rsidRPr="005E7AD1" w:rsidRDefault="005E7AD1" w:rsidP="007353E0">
            <w:pPr>
              <w:pStyle w:val="Figure"/>
              <w:tabs>
                <w:tab w:val="left" w:pos="5520"/>
              </w:tabs>
              <w:spacing w:before="0" w:after="0" w:line="240" w:lineRule="auto"/>
              <w:rPr>
                <w:rFonts w:ascii="Arial" w:hAnsi="Arial"/>
                <w:b/>
                <w:noProof/>
                <w:sz w:val="18"/>
              </w:rPr>
            </w:pPr>
            <w:r w:rsidRPr="005E7AD1">
              <w:rPr>
                <w:rFonts w:ascii="Arial" w:hAnsi="Arial"/>
                <w:b/>
                <w:noProof/>
                <w:sz w:val="18"/>
              </w:rPr>
              <w:t xml:space="preserve">All </w:t>
            </w:r>
            <w:r w:rsidR="007353E0">
              <w:rPr>
                <w:rFonts w:ascii="Arial" w:hAnsi="Arial"/>
                <w:b/>
                <w:noProof/>
                <w:sz w:val="18"/>
              </w:rPr>
              <w:t>Income Support Payment recipients</w:t>
            </w:r>
          </w:p>
        </w:tc>
      </w:tr>
      <w:tr w:rsidR="00181201" w14:paraId="63226C63" w14:textId="77777777" w:rsidTr="00B62EE5">
        <w:tblPrEx>
          <w:tblCellMar>
            <w:left w:w="108" w:type="dxa"/>
            <w:right w:w="108" w:type="dxa"/>
          </w:tblCellMar>
        </w:tblPrEx>
        <w:trPr>
          <w:trHeight w:val="359"/>
        </w:trPr>
        <w:tc>
          <w:tcPr>
            <w:tcW w:w="2671" w:type="dxa"/>
            <w:tcBorders>
              <w:top w:val="nil"/>
              <w:left w:val="nil"/>
              <w:right w:val="nil"/>
            </w:tcBorders>
            <w:shd w:val="clear" w:color="auto" w:fill="auto"/>
          </w:tcPr>
          <w:p w14:paraId="3504E800" w14:textId="77777777" w:rsidR="00181201" w:rsidRDefault="00B62EE5" w:rsidP="00E44EAA">
            <w:pPr>
              <w:pStyle w:val="Figure"/>
              <w:tabs>
                <w:tab w:val="left" w:pos="5520"/>
              </w:tabs>
              <w:spacing w:before="0" w:after="0" w:line="240" w:lineRule="auto"/>
              <w:jc w:val="left"/>
            </w:pPr>
            <w:r>
              <w:rPr>
                <w:noProof/>
              </w:rPr>
              <w:drawing>
                <wp:inline distT="0" distB="0" distL="0" distR="0" wp14:anchorId="3496CEE9" wp14:editId="2797565A">
                  <wp:extent cx="1692000" cy="1620000"/>
                  <wp:effectExtent l="0" t="0" r="3810" b="0"/>
                  <wp:docPr id="67" name="Chart 67" descr="This figure shows the family types of different housing assistance recipients, with over half of all housing assistance recipients are single, with no dependent children, regardless of the type of assistance they receive.&#10;" title="Figure 11 – Housing assistance recipients by household type, 2013 (panel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tc>
        <w:tc>
          <w:tcPr>
            <w:tcW w:w="2977" w:type="dxa"/>
            <w:tcBorders>
              <w:top w:val="nil"/>
              <w:left w:val="nil"/>
              <w:right w:val="nil"/>
            </w:tcBorders>
            <w:shd w:val="clear" w:color="auto" w:fill="auto"/>
          </w:tcPr>
          <w:p w14:paraId="18450751" w14:textId="77777777" w:rsidR="00181201" w:rsidRDefault="00B62EE5" w:rsidP="00E44EAA">
            <w:pPr>
              <w:pStyle w:val="Figure"/>
              <w:tabs>
                <w:tab w:val="left" w:pos="5520"/>
              </w:tabs>
              <w:spacing w:before="0" w:after="0" w:line="240" w:lineRule="auto"/>
              <w:jc w:val="left"/>
            </w:pPr>
            <w:r>
              <w:rPr>
                <w:noProof/>
              </w:rPr>
              <w:drawing>
                <wp:inline distT="0" distB="0" distL="0" distR="0" wp14:anchorId="61BC7EFF" wp14:editId="23D6C2C4">
                  <wp:extent cx="1800000" cy="1620000"/>
                  <wp:effectExtent l="0" t="0" r="0" b="0"/>
                  <wp:docPr id="39" name="Chart 39" descr="This panel is part of figure 11. Please refer to the description of figure 11 found in the first panel of figure 11.&#10;" title="Figure 11 – Housing assistance recipients by household type, 2013 (panel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c>
        <w:tc>
          <w:tcPr>
            <w:tcW w:w="3123" w:type="dxa"/>
            <w:tcBorders>
              <w:left w:val="nil"/>
              <w:right w:val="nil"/>
            </w:tcBorders>
            <w:shd w:val="clear" w:color="auto" w:fill="auto"/>
          </w:tcPr>
          <w:p w14:paraId="2B36748F" w14:textId="77777777" w:rsidR="00181201" w:rsidRDefault="00B62EE5" w:rsidP="00B62EE5">
            <w:pPr>
              <w:pStyle w:val="Figure"/>
              <w:tabs>
                <w:tab w:val="left" w:pos="5520"/>
              </w:tabs>
              <w:spacing w:before="0" w:after="0" w:line="240" w:lineRule="auto"/>
            </w:pPr>
            <w:r>
              <w:rPr>
                <w:noProof/>
              </w:rPr>
              <w:drawing>
                <wp:inline distT="0" distB="0" distL="0" distR="0" wp14:anchorId="7D946400" wp14:editId="76691F61">
                  <wp:extent cx="1692000" cy="1620000"/>
                  <wp:effectExtent l="0" t="0" r="3810" b="0"/>
                  <wp:docPr id="72" name="Chart 72" descr="This panel is part of figure 11. Please refer to the description of figure 11 found in the first panel of figure 11. &#10;" title="Figure 11 – Housing assistance recipients by household type, 2013 (panel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tc>
      </w:tr>
      <w:tr w:rsidR="005E7AD1" w14:paraId="65589F99" w14:textId="77777777" w:rsidTr="005E7AD1">
        <w:tblPrEx>
          <w:tblCellMar>
            <w:left w:w="108" w:type="dxa"/>
            <w:right w:w="108" w:type="dxa"/>
          </w:tblCellMar>
        </w:tblPrEx>
        <w:trPr>
          <w:trHeight w:val="359"/>
        </w:trPr>
        <w:tc>
          <w:tcPr>
            <w:tcW w:w="8771" w:type="dxa"/>
            <w:gridSpan w:val="3"/>
            <w:tcBorders>
              <w:top w:val="nil"/>
              <w:left w:val="nil"/>
              <w:right w:val="nil"/>
            </w:tcBorders>
            <w:shd w:val="clear" w:color="auto" w:fill="auto"/>
          </w:tcPr>
          <w:p w14:paraId="3AA4F505" w14:textId="77777777" w:rsidR="005E7AD1" w:rsidRDefault="005E7AD1" w:rsidP="00E44EAA">
            <w:pPr>
              <w:pStyle w:val="Figure"/>
              <w:tabs>
                <w:tab w:val="left" w:pos="5520"/>
              </w:tabs>
              <w:spacing w:before="0" w:after="0" w:line="240" w:lineRule="auto"/>
              <w:jc w:val="left"/>
            </w:pPr>
            <w:r>
              <w:rPr>
                <w:noProof/>
              </w:rPr>
              <w:drawing>
                <wp:inline distT="0" distB="0" distL="0" distR="0" wp14:anchorId="1F04AD93" wp14:editId="67217B9E">
                  <wp:extent cx="5486400" cy="504825"/>
                  <wp:effectExtent l="0" t="0" r="0" b="0"/>
                  <wp:docPr id="38" name="Chart 38" descr="This panel is the legend for figure 11. Please refer to the description of figure 11 found in the first panel of figure 11.&#10;" title="Figure 11 – Housing assistance recipients by household type, 2013 (panel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tc>
      </w:tr>
      <w:tr w:rsidR="003D4296" w:rsidRPr="00176D3F" w14:paraId="6C134F90" w14:textId="77777777" w:rsidTr="00464790">
        <w:tc>
          <w:tcPr>
            <w:tcW w:w="8771" w:type="dxa"/>
            <w:gridSpan w:val="3"/>
            <w:tcBorders>
              <w:top w:val="nil"/>
              <w:left w:val="nil"/>
              <w:bottom w:val="nil"/>
              <w:right w:val="nil"/>
            </w:tcBorders>
            <w:shd w:val="clear" w:color="auto" w:fill="auto"/>
          </w:tcPr>
          <w:p w14:paraId="13EFA82C" w14:textId="6E17DF78" w:rsidR="003D4296" w:rsidRPr="00176D3F" w:rsidRDefault="003D4296" w:rsidP="00464790">
            <w:pPr>
              <w:pStyle w:val="Note"/>
            </w:pPr>
            <w:r>
              <w:rPr>
                <w:rStyle w:val="NoteLabel"/>
              </w:rPr>
              <w:t>a</w:t>
            </w:r>
            <w:r>
              <w:t xml:space="preserve"> ISP recipients aged 15–65 at 30</w:t>
            </w:r>
            <w:r w:rsidR="00935A28">
              <w:t> </w:t>
            </w:r>
            <w:r>
              <w:t xml:space="preserve">June 2013. This figure does not include </w:t>
            </w:r>
            <w:proofErr w:type="spellStart"/>
            <w:r w:rsidR="00FF2726">
              <w:t>FTB</w:t>
            </w:r>
            <w:proofErr w:type="spellEnd"/>
            <w:r w:rsidR="00FF2726">
              <w:t xml:space="preserve"> A</w:t>
            </w:r>
            <w:r w:rsidR="00935A28">
              <w:noBreakHyphen/>
            </w:r>
            <w:r>
              <w:t xml:space="preserve">only recipients of </w:t>
            </w:r>
            <w:proofErr w:type="spellStart"/>
            <w:r>
              <w:t>CRA</w:t>
            </w:r>
            <w:proofErr w:type="spellEnd"/>
            <w:r>
              <w:t>.</w:t>
            </w:r>
          </w:p>
        </w:tc>
      </w:tr>
      <w:tr w:rsidR="003D4296" w:rsidRPr="00176D3F" w14:paraId="225BB05C" w14:textId="77777777" w:rsidTr="00464790">
        <w:tc>
          <w:tcPr>
            <w:tcW w:w="8771" w:type="dxa"/>
            <w:gridSpan w:val="3"/>
            <w:tcBorders>
              <w:top w:val="nil"/>
              <w:left w:val="nil"/>
              <w:bottom w:val="nil"/>
              <w:right w:val="nil"/>
            </w:tcBorders>
            <w:shd w:val="clear" w:color="auto" w:fill="auto"/>
          </w:tcPr>
          <w:p w14:paraId="3BE02E44" w14:textId="046B4444" w:rsidR="003D4296" w:rsidRPr="00176D3F" w:rsidRDefault="00306456" w:rsidP="00B62EE5">
            <w:pPr>
              <w:pStyle w:val="Source"/>
            </w:pPr>
            <w:r>
              <w:rPr>
                <w:i/>
              </w:rPr>
              <w:t>Source</w:t>
            </w:r>
            <w:r w:rsidR="003D4296">
              <w:t>: Department of Human Services, administrative data (unpublished).</w:t>
            </w:r>
          </w:p>
        </w:tc>
      </w:tr>
      <w:tr w:rsidR="003D4296" w14:paraId="605100A0" w14:textId="77777777" w:rsidTr="00464790">
        <w:tc>
          <w:tcPr>
            <w:tcW w:w="8771" w:type="dxa"/>
            <w:gridSpan w:val="3"/>
            <w:tcBorders>
              <w:top w:val="nil"/>
              <w:left w:val="nil"/>
              <w:bottom w:val="single" w:sz="6" w:space="0" w:color="78A22F"/>
              <w:right w:val="nil"/>
            </w:tcBorders>
            <w:shd w:val="clear" w:color="auto" w:fill="auto"/>
          </w:tcPr>
          <w:p w14:paraId="3289821A" w14:textId="77777777" w:rsidR="003D4296" w:rsidRDefault="003D4296" w:rsidP="00464790">
            <w:pPr>
              <w:pStyle w:val="Figurespace"/>
            </w:pPr>
          </w:p>
        </w:tc>
      </w:tr>
      <w:tr w:rsidR="003D4296" w:rsidRPr="000863A5" w14:paraId="5EDEB579" w14:textId="77777777" w:rsidTr="00464790">
        <w:tc>
          <w:tcPr>
            <w:tcW w:w="8771" w:type="dxa"/>
            <w:gridSpan w:val="3"/>
            <w:tcBorders>
              <w:top w:val="single" w:sz="6" w:space="0" w:color="78A22F"/>
              <w:left w:val="nil"/>
              <w:bottom w:val="nil"/>
              <w:right w:val="nil"/>
            </w:tcBorders>
          </w:tcPr>
          <w:p w14:paraId="1E91EA85" w14:textId="3CD60AB0" w:rsidR="003D4296" w:rsidRPr="00626D32" w:rsidRDefault="003D4296" w:rsidP="00464790">
            <w:pPr>
              <w:pStyle w:val="BoxSpaceBelow"/>
            </w:pPr>
          </w:p>
        </w:tc>
      </w:tr>
    </w:tbl>
    <w:p w14:paraId="20E4D5E6" w14:textId="123E87BE" w:rsidR="00E277B5" w:rsidRPr="003D4296" w:rsidRDefault="000D3619" w:rsidP="00E277B5">
      <w:pPr>
        <w:pStyle w:val="BodyText"/>
        <w:rPr>
          <w:i/>
          <w:spacing w:val="-2"/>
        </w:rPr>
      </w:pPr>
      <w:r>
        <w:rPr>
          <w:i/>
        </w:rPr>
        <w:t>P</w:t>
      </w:r>
      <w:r w:rsidR="00E277B5" w:rsidRPr="003D4296">
        <w:rPr>
          <w:i/>
          <w:spacing w:val="-2"/>
        </w:rPr>
        <w:t xml:space="preserve">ublic housing residents </w:t>
      </w:r>
      <w:r w:rsidR="00F935F3">
        <w:rPr>
          <w:i/>
          <w:spacing w:val="-2"/>
        </w:rPr>
        <w:t>a</w:t>
      </w:r>
      <w:r w:rsidR="009356AC">
        <w:rPr>
          <w:i/>
          <w:spacing w:val="-2"/>
        </w:rPr>
        <w:t>re</w:t>
      </w:r>
      <w:r w:rsidR="00E277B5" w:rsidRPr="003D4296">
        <w:rPr>
          <w:i/>
          <w:spacing w:val="-2"/>
        </w:rPr>
        <w:t xml:space="preserve"> much more likely than other </w:t>
      </w:r>
      <w:r w:rsidR="002900AF">
        <w:rPr>
          <w:i/>
          <w:spacing w:val="-2"/>
        </w:rPr>
        <w:t>working-age</w:t>
      </w:r>
      <w:r w:rsidR="00E277B5" w:rsidRPr="003D4296">
        <w:rPr>
          <w:i/>
          <w:spacing w:val="-2"/>
        </w:rPr>
        <w:t xml:space="preserve"> ISP recipients to self</w:t>
      </w:r>
      <w:r w:rsidR="00935A28">
        <w:rPr>
          <w:i/>
          <w:spacing w:val="-2"/>
        </w:rPr>
        <w:noBreakHyphen/>
      </w:r>
      <w:r w:rsidR="00E277B5" w:rsidRPr="003D4296">
        <w:rPr>
          <w:i/>
          <w:spacing w:val="-2"/>
        </w:rPr>
        <w:t>report as being Indigenous Austra</w:t>
      </w:r>
      <w:r>
        <w:rPr>
          <w:i/>
          <w:spacing w:val="-2"/>
        </w:rPr>
        <w:t>lians …</w:t>
      </w:r>
    </w:p>
    <w:p w14:paraId="05EEA476" w14:textId="4CE177C9" w:rsidR="00E277B5" w:rsidRDefault="00E277B5" w:rsidP="000D3619">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277B5" w14:paraId="4F0259DC" w14:textId="77777777" w:rsidTr="00464790">
        <w:tc>
          <w:tcPr>
            <w:tcW w:w="8771" w:type="dxa"/>
            <w:tcBorders>
              <w:top w:val="single" w:sz="6" w:space="0" w:color="78A22F"/>
              <w:left w:val="nil"/>
              <w:bottom w:val="nil"/>
              <w:right w:val="nil"/>
            </w:tcBorders>
            <w:shd w:val="clear" w:color="auto" w:fill="auto"/>
          </w:tcPr>
          <w:p w14:paraId="2F27F66B" w14:textId="0D1D60C5" w:rsidR="00E277B5" w:rsidRDefault="00E277B5" w:rsidP="00464790">
            <w:pPr>
              <w:pStyle w:val="FigureTitle"/>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12</w:t>
            </w:r>
            <w:r w:rsidRPr="00784A05">
              <w:rPr>
                <w:b w:val="0"/>
              </w:rPr>
              <w:fldChar w:fldCharType="end"/>
            </w:r>
            <w:r>
              <w:tab/>
              <w:t>Housing assistance recipients who self</w:t>
            </w:r>
            <w:r w:rsidR="00935A28">
              <w:noBreakHyphen/>
            </w:r>
            <w:r>
              <w:t>report as Indigenous Australians, 2013</w:t>
            </w:r>
            <w:proofErr w:type="spellStart"/>
            <w:r w:rsidRPr="003E78E3">
              <w:rPr>
                <w:rStyle w:val="NoteLabel"/>
                <w:b/>
              </w:rPr>
              <w:t>a</w:t>
            </w:r>
            <w:r>
              <w:rPr>
                <w:rStyle w:val="NoteLabel"/>
                <w:b/>
              </w:rPr>
              <w:t>,b</w:t>
            </w:r>
            <w:proofErr w:type="spellEnd"/>
          </w:p>
          <w:p w14:paraId="2B253F83" w14:textId="77777777" w:rsidR="00E277B5" w:rsidRPr="00176D3F" w:rsidRDefault="00E277B5" w:rsidP="00F935F3">
            <w:pPr>
              <w:pStyle w:val="Subtitle"/>
            </w:pPr>
            <w:r>
              <w:t xml:space="preserve">Per cent of </w:t>
            </w:r>
            <w:r w:rsidR="00F935F3">
              <w:t xml:space="preserve">housing assistance </w:t>
            </w:r>
            <w:r>
              <w:t>type</w:t>
            </w:r>
          </w:p>
        </w:tc>
      </w:tr>
      <w:tr w:rsidR="00E277B5" w14:paraId="71B2ABE8" w14:textId="77777777" w:rsidTr="00720912">
        <w:tblPrEx>
          <w:tblCellMar>
            <w:left w:w="108" w:type="dxa"/>
            <w:right w:w="108" w:type="dxa"/>
          </w:tblCellMar>
        </w:tblPrEx>
        <w:tc>
          <w:tcPr>
            <w:tcW w:w="8771" w:type="dxa"/>
            <w:tcBorders>
              <w:top w:val="nil"/>
              <w:left w:val="nil"/>
              <w:bottom w:val="nil"/>
              <w:right w:val="nil"/>
            </w:tcBorders>
            <w:shd w:val="clear" w:color="auto" w:fill="auto"/>
          </w:tcPr>
          <w:p w14:paraId="283E1B86" w14:textId="1C966C2E" w:rsidR="00E277B5" w:rsidRDefault="00720912" w:rsidP="00464790">
            <w:pPr>
              <w:pStyle w:val="Figure"/>
            </w:pPr>
            <w:r>
              <w:rPr>
                <w:noProof/>
              </w:rPr>
              <w:drawing>
                <wp:inline distT="0" distB="0" distL="0" distR="0" wp14:anchorId="4F606ED9" wp14:editId="043C32F2">
                  <wp:extent cx="5220000" cy="2016000"/>
                  <wp:effectExtent l="0" t="0" r="0" b="3810"/>
                  <wp:docPr id="89" name="Chart 89" descr="This figure shows the per cent of different housing assistance types who self-report as being Indigenous. Around 5.5 per cent of CRA recipients, 16.7 of public housing residents and 5.5 of all ISP recipients are Indigenous. This is in comparison to the share of the total working-age population that identifies as being Indigenous, which is around 2.3 per cent. &#10;" title="Figure 12 – Housing assistance recipients who self report as Indigenous Australians,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tc>
      </w:tr>
      <w:tr w:rsidR="00E277B5" w:rsidRPr="00176D3F" w14:paraId="55AE5711" w14:textId="77777777" w:rsidTr="00464790">
        <w:tc>
          <w:tcPr>
            <w:tcW w:w="8771" w:type="dxa"/>
            <w:tcBorders>
              <w:top w:val="nil"/>
              <w:left w:val="nil"/>
              <w:bottom w:val="nil"/>
              <w:right w:val="nil"/>
            </w:tcBorders>
            <w:shd w:val="clear" w:color="auto" w:fill="auto"/>
          </w:tcPr>
          <w:p w14:paraId="6E79E761" w14:textId="0BCD619A" w:rsidR="00E277B5" w:rsidRPr="00176D3F" w:rsidRDefault="00E277B5" w:rsidP="00301062">
            <w:pPr>
              <w:pStyle w:val="Note"/>
            </w:pPr>
            <w:proofErr w:type="spellStart"/>
            <w:r>
              <w:rPr>
                <w:rStyle w:val="NoteLabel"/>
              </w:rPr>
              <w:t>a</w:t>
            </w:r>
            <w:proofErr w:type="spellEnd"/>
            <w:r>
              <w:t xml:space="preserve"> The dotted line represents the proportion of </w:t>
            </w:r>
            <w:r w:rsidR="00CA4C22">
              <w:t xml:space="preserve">the </w:t>
            </w:r>
            <w:r>
              <w:t>total population aged 15</w:t>
            </w:r>
            <w:r w:rsidR="004D29B9">
              <w:t>–</w:t>
            </w:r>
            <w:r>
              <w:t xml:space="preserve">65 that identified as being Indigenous at the 2011 Census. </w:t>
            </w:r>
            <w:r>
              <w:rPr>
                <w:rStyle w:val="NoteLabel"/>
              </w:rPr>
              <w:t>b</w:t>
            </w:r>
            <w:r>
              <w:t xml:space="preserve"> ISP recipients aged 15–65 at 30</w:t>
            </w:r>
            <w:r w:rsidR="00935A28">
              <w:t> </w:t>
            </w:r>
            <w:r>
              <w:t xml:space="preserve">June 2013. This figure does not include </w:t>
            </w:r>
            <w:proofErr w:type="spellStart"/>
            <w:r w:rsidR="00FF2726">
              <w:t>FTB</w:t>
            </w:r>
            <w:proofErr w:type="spellEnd"/>
            <w:r w:rsidR="00FF2726">
              <w:t xml:space="preserve"> A</w:t>
            </w:r>
            <w:r w:rsidR="00935A28">
              <w:noBreakHyphen/>
            </w:r>
            <w:r>
              <w:t xml:space="preserve">only recipients of </w:t>
            </w:r>
            <w:proofErr w:type="spellStart"/>
            <w:r>
              <w:t>CRA</w:t>
            </w:r>
            <w:proofErr w:type="spellEnd"/>
            <w:r>
              <w:t>.</w:t>
            </w:r>
          </w:p>
        </w:tc>
      </w:tr>
      <w:tr w:rsidR="00E277B5" w:rsidRPr="00176D3F" w14:paraId="21452154" w14:textId="77777777" w:rsidTr="00464790">
        <w:tc>
          <w:tcPr>
            <w:tcW w:w="8771" w:type="dxa"/>
            <w:tcBorders>
              <w:top w:val="nil"/>
              <w:left w:val="nil"/>
              <w:bottom w:val="nil"/>
              <w:right w:val="nil"/>
            </w:tcBorders>
            <w:shd w:val="clear" w:color="auto" w:fill="auto"/>
          </w:tcPr>
          <w:p w14:paraId="1C4F177F" w14:textId="3E1BE936" w:rsidR="00E277B5" w:rsidRPr="00176D3F" w:rsidRDefault="00306456" w:rsidP="00464790">
            <w:pPr>
              <w:pStyle w:val="Source"/>
            </w:pPr>
            <w:r>
              <w:rPr>
                <w:i/>
              </w:rPr>
              <w:t>Source</w:t>
            </w:r>
            <w:r w:rsidR="00935A28">
              <w:rPr>
                <w:i/>
              </w:rPr>
              <w:t>s</w:t>
            </w:r>
            <w:r w:rsidR="00E277B5">
              <w:t xml:space="preserve">: </w:t>
            </w:r>
            <w:r w:rsidR="00790BE4">
              <w:t>ABS (</w:t>
            </w:r>
            <w:proofErr w:type="spellStart"/>
            <w:r w:rsidR="00790BE4" w:rsidRPr="00905139">
              <w:rPr>
                <w:i/>
              </w:rPr>
              <w:t>TableBuilder</w:t>
            </w:r>
            <w:proofErr w:type="spellEnd"/>
            <w:r w:rsidR="00790BE4" w:rsidRPr="00905139">
              <w:rPr>
                <w:i/>
              </w:rPr>
              <w:t xml:space="preserve"> Pro, 2011</w:t>
            </w:r>
            <w:r w:rsidR="00790BE4">
              <w:t xml:space="preserve">, Cat. no. 2073.0); </w:t>
            </w:r>
            <w:r w:rsidR="00E277B5">
              <w:t>Department of Human Services, administrative data (unpublished).</w:t>
            </w:r>
          </w:p>
        </w:tc>
      </w:tr>
      <w:tr w:rsidR="00E277B5" w14:paraId="003D5D83" w14:textId="77777777" w:rsidTr="00464790">
        <w:tc>
          <w:tcPr>
            <w:tcW w:w="8771" w:type="dxa"/>
            <w:tcBorders>
              <w:top w:val="nil"/>
              <w:left w:val="nil"/>
              <w:bottom w:val="single" w:sz="6" w:space="0" w:color="78A22F"/>
              <w:right w:val="nil"/>
            </w:tcBorders>
            <w:shd w:val="clear" w:color="auto" w:fill="auto"/>
          </w:tcPr>
          <w:p w14:paraId="741C6436" w14:textId="77777777" w:rsidR="00E277B5" w:rsidRDefault="00E277B5" w:rsidP="00464790">
            <w:pPr>
              <w:pStyle w:val="Figurespace"/>
            </w:pPr>
          </w:p>
        </w:tc>
      </w:tr>
      <w:tr w:rsidR="00E277B5" w:rsidRPr="000863A5" w14:paraId="23CD3DA5" w14:textId="77777777" w:rsidTr="00464790">
        <w:tc>
          <w:tcPr>
            <w:tcW w:w="8771" w:type="dxa"/>
            <w:tcBorders>
              <w:top w:val="single" w:sz="6" w:space="0" w:color="78A22F"/>
              <w:left w:val="nil"/>
              <w:bottom w:val="nil"/>
              <w:right w:val="nil"/>
            </w:tcBorders>
          </w:tcPr>
          <w:p w14:paraId="4D3921A9" w14:textId="7A64C824" w:rsidR="00E277B5" w:rsidRPr="00626D32" w:rsidRDefault="00E277B5" w:rsidP="00464790">
            <w:pPr>
              <w:pStyle w:val="BoxSpaceBelow"/>
            </w:pPr>
          </w:p>
        </w:tc>
      </w:tr>
    </w:tbl>
    <w:p w14:paraId="13C29E5D" w14:textId="0D378064" w:rsidR="000D3619" w:rsidRPr="003D4296" w:rsidRDefault="000D3619" w:rsidP="000D3619">
      <w:pPr>
        <w:pStyle w:val="BodyText"/>
        <w:rPr>
          <w:i/>
          <w:spacing w:val="-2"/>
        </w:rPr>
      </w:pPr>
      <w:r>
        <w:rPr>
          <w:i/>
          <w:spacing w:val="-2"/>
        </w:rPr>
        <w:lastRenderedPageBreak/>
        <w:t xml:space="preserve">… and a higher proportion of public housing residents </w:t>
      </w:r>
      <w:r w:rsidR="00625DED">
        <w:rPr>
          <w:i/>
          <w:spacing w:val="-2"/>
        </w:rPr>
        <w:t xml:space="preserve">than </w:t>
      </w:r>
      <w:proofErr w:type="spellStart"/>
      <w:r w:rsidR="00625DED">
        <w:rPr>
          <w:i/>
          <w:spacing w:val="-2"/>
        </w:rPr>
        <w:t>CRA</w:t>
      </w:r>
      <w:proofErr w:type="spellEnd"/>
      <w:r w:rsidR="00625DED">
        <w:rPr>
          <w:i/>
          <w:spacing w:val="-2"/>
        </w:rPr>
        <w:t xml:space="preserve"> recipients </w:t>
      </w:r>
      <w:r w:rsidR="00CC02D1">
        <w:rPr>
          <w:i/>
          <w:spacing w:val="-2"/>
        </w:rPr>
        <w:t>ha</w:t>
      </w:r>
      <w:r w:rsidR="009E2BC3">
        <w:rPr>
          <w:i/>
          <w:spacing w:val="-2"/>
        </w:rPr>
        <w:t>ve</w:t>
      </w:r>
      <w:r>
        <w:rPr>
          <w:i/>
          <w:spacing w:val="-2"/>
        </w:rPr>
        <w:t xml:space="preserve"> a preferred language other than English</w:t>
      </w:r>
      <w:r w:rsidR="007353E0">
        <w:rPr>
          <w:i/>
          <w:spacing w:val="-2"/>
        </w:rPr>
        <w:t>.</w:t>
      </w:r>
    </w:p>
    <w:p w14:paraId="2C420AD6" w14:textId="00BD29F9" w:rsidR="000D3619" w:rsidRDefault="000D3619" w:rsidP="000D361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D3619" w14:paraId="562F5651" w14:textId="77777777" w:rsidTr="00464790">
        <w:tc>
          <w:tcPr>
            <w:tcW w:w="8771" w:type="dxa"/>
            <w:tcBorders>
              <w:top w:val="single" w:sz="6" w:space="0" w:color="78A22F"/>
              <w:left w:val="nil"/>
              <w:bottom w:val="nil"/>
              <w:right w:val="nil"/>
            </w:tcBorders>
            <w:shd w:val="clear" w:color="auto" w:fill="auto"/>
          </w:tcPr>
          <w:p w14:paraId="7CA67E4B" w14:textId="49305A55" w:rsidR="000D3619" w:rsidRDefault="000D3619" w:rsidP="000D3619">
            <w:pPr>
              <w:pStyle w:val="FigureTitle"/>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13</w:t>
            </w:r>
            <w:r w:rsidRPr="00784A05">
              <w:rPr>
                <w:b w:val="0"/>
              </w:rPr>
              <w:fldChar w:fldCharType="end"/>
            </w:r>
            <w:r>
              <w:tab/>
              <w:t xml:space="preserve">Housing assistance recipients with a preferred language other than English, </w:t>
            </w:r>
            <w:r w:rsidRPr="00391CDA">
              <w:t>2013</w:t>
            </w:r>
            <w:proofErr w:type="spellStart"/>
            <w:r w:rsidRPr="00391CDA">
              <w:rPr>
                <w:rStyle w:val="NoteLabel"/>
                <w:b/>
              </w:rPr>
              <w:t>a</w:t>
            </w:r>
            <w:r w:rsidR="006A071C">
              <w:rPr>
                <w:rStyle w:val="NoteLabel"/>
                <w:b/>
              </w:rPr>
              <w:t>,b</w:t>
            </w:r>
            <w:proofErr w:type="spellEnd"/>
          </w:p>
          <w:p w14:paraId="1A47F930" w14:textId="77777777" w:rsidR="000D3619" w:rsidRPr="00176D3F" w:rsidRDefault="000D3619" w:rsidP="002A2110">
            <w:pPr>
              <w:pStyle w:val="Subtitle"/>
            </w:pPr>
            <w:r>
              <w:t xml:space="preserve">Per cent of </w:t>
            </w:r>
            <w:r w:rsidR="002A2110">
              <w:t>housing assistanc</w:t>
            </w:r>
            <w:r w:rsidR="002C0BF8">
              <w:t xml:space="preserve">e </w:t>
            </w:r>
            <w:r>
              <w:t>type</w:t>
            </w:r>
          </w:p>
        </w:tc>
      </w:tr>
      <w:tr w:rsidR="000D3619" w14:paraId="70C60CD9" w14:textId="77777777" w:rsidTr="000D3619">
        <w:tblPrEx>
          <w:tblCellMar>
            <w:left w:w="108" w:type="dxa"/>
            <w:right w:w="108" w:type="dxa"/>
          </w:tblCellMar>
        </w:tblPrEx>
        <w:tc>
          <w:tcPr>
            <w:tcW w:w="8771" w:type="dxa"/>
            <w:tcBorders>
              <w:top w:val="nil"/>
              <w:left w:val="nil"/>
              <w:bottom w:val="nil"/>
              <w:right w:val="nil"/>
            </w:tcBorders>
            <w:shd w:val="clear" w:color="auto" w:fill="auto"/>
          </w:tcPr>
          <w:p w14:paraId="710F3DE2" w14:textId="77777777" w:rsidR="000D3619" w:rsidRDefault="000D3619" w:rsidP="00464790">
            <w:pPr>
              <w:pStyle w:val="Figure"/>
            </w:pPr>
            <w:r>
              <w:rPr>
                <w:noProof/>
              </w:rPr>
              <w:drawing>
                <wp:inline distT="0" distB="0" distL="0" distR="0" wp14:anchorId="534FCDDF" wp14:editId="157FEAB9">
                  <wp:extent cx="5220000" cy="2160000"/>
                  <wp:effectExtent l="0" t="0" r="0" b="0"/>
                  <wp:docPr id="51" name="Chart 51" descr="This figure shows the proportion of housing assistance recipients with a preferred language other than English. Around 7.2 per cent of CRA recipients report a preferred language other than English, compared to 9 per cent of public housing residents. &#10;" title="Figure 13 – Housing assistance recipients with a preferred language other than English,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tc>
      </w:tr>
      <w:tr w:rsidR="000D3619" w:rsidRPr="00176D3F" w14:paraId="6E445AF8" w14:textId="77777777" w:rsidTr="00464790">
        <w:tc>
          <w:tcPr>
            <w:tcW w:w="8771" w:type="dxa"/>
            <w:tcBorders>
              <w:top w:val="nil"/>
              <w:left w:val="nil"/>
              <w:bottom w:val="nil"/>
              <w:right w:val="nil"/>
            </w:tcBorders>
            <w:shd w:val="clear" w:color="auto" w:fill="auto"/>
          </w:tcPr>
          <w:p w14:paraId="78E7C382" w14:textId="4F9F52F2" w:rsidR="000D3619" w:rsidRPr="00176D3F" w:rsidRDefault="00BB0322" w:rsidP="00F94135">
            <w:pPr>
              <w:pStyle w:val="Note"/>
            </w:pPr>
            <w:r>
              <w:rPr>
                <w:rStyle w:val="NoteLabel"/>
              </w:rPr>
              <w:t>a</w:t>
            </w:r>
            <w:r w:rsidR="000D3619">
              <w:t xml:space="preserve"> ISP recipients aged 15–65 at 30</w:t>
            </w:r>
            <w:r w:rsidR="00935A28">
              <w:t> </w:t>
            </w:r>
            <w:r w:rsidR="000D3619">
              <w:t xml:space="preserve">June 2013. This figure does not include </w:t>
            </w:r>
            <w:proofErr w:type="spellStart"/>
            <w:r w:rsidR="00FF2726">
              <w:t>FTB</w:t>
            </w:r>
            <w:proofErr w:type="spellEnd"/>
            <w:r w:rsidR="00FF2726">
              <w:t xml:space="preserve"> A</w:t>
            </w:r>
            <w:r w:rsidR="00935A28">
              <w:noBreakHyphen/>
            </w:r>
            <w:r w:rsidR="000D3619">
              <w:t xml:space="preserve">only recipients of </w:t>
            </w:r>
            <w:proofErr w:type="spellStart"/>
            <w:r w:rsidR="000D3619">
              <w:t>CRA</w:t>
            </w:r>
            <w:proofErr w:type="spellEnd"/>
            <w:r w:rsidR="000D3619">
              <w:t>.</w:t>
            </w:r>
            <w:r w:rsidR="006A071C">
              <w:t xml:space="preserve"> </w:t>
            </w:r>
            <w:r>
              <w:rPr>
                <w:rStyle w:val="NoteLabel"/>
              </w:rPr>
              <w:t>b</w:t>
            </w:r>
            <w:r w:rsidR="006A071C">
              <w:t xml:space="preserve"> The dotted line represents the proportion of the total population aged 15–65 that did not speak </w:t>
            </w:r>
            <w:r w:rsidR="00A36B8A">
              <w:t>English either very well or well</w:t>
            </w:r>
            <w:r w:rsidR="00F94135">
              <w:t>, and also did not speak</w:t>
            </w:r>
            <w:r w:rsidR="00A36B8A">
              <w:t xml:space="preserve"> </w:t>
            </w:r>
            <w:r w:rsidR="006A071C">
              <w:t>only English at home, at the time of the 2011 Census. People who did not state either their language spoken at home or did not state their English proficiency are treated as not speaking English well.</w:t>
            </w:r>
          </w:p>
        </w:tc>
      </w:tr>
      <w:tr w:rsidR="000D3619" w:rsidRPr="00176D3F" w14:paraId="1BC482BA" w14:textId="77777777" w:rsidTr="00464790">
        <w:tc>
          <w:tcPr>
            <w:tcW w:w="8771" w:type="dxa"/>
            <w:tcBorders>
              <w:top w:val="nil"/>
              <w:left w:val="nil"/>
              <w:bottom w:val="nil"/>
              <w:right w:val="nil"/>
            </w:tcBorders>
            <w:shd w:val="clear" w:color="auto" w:fill="auto"/>
          </w:tcPr>
          <w:p w14:paraId="4F62C8F7" w14:textId="41A8AC9C" w:rsidR="000D3619" w:rsidRPr="00176D3F" w:rsidRDefault="00306456" w:rsidP="00464790">
            <w:pPr>
              <w:pStyle w:val="Source"/>
            </w:pPr>
            <w:r>
              <w:rPr>
                <w:i/>
              </w:rPr>
              <w:t>Source</w:t>
            </w:r>
            <w:r w:rsidR="00935A28">
              <w:rPr>
                <w:i/>
              </w:rPr>
              <w:t>s</w:t>
            </w:r>
            <w:r w:rsidR="000D3619">
              <w:t xml:space="preserve">: </w:t>
            </w:r>
            <w:r w:rsidR="00790BE4">
              <w:t>ABS (</w:t>
            </w:r>
            <w:proofErr w:type="spellStart"/>
            <w:r w:rsidR="00790BE4" w:rsidRPr="00905139">
              <w:rPr>
                <w:i/>
              </w:rPr>
              <w:t>TableBuilder</w:t>
            </w:r>
            <w:proofErr w:type="spellEnd"/>
            <w:r w:rsidR="00790BE4" w:rsidRPr="00905139">
              <w:rPr>
                <w:i/>
              </w:rPr>
              <w:t xml:space="preserve"> Pro, 2011</w:t>
            </w:r>
            <w:r w:rsidR="00790BE4">
              <w:t xml:space="preserve">, Cat. no. 2073.0); </w:t>
            </w:r>
            <w:r w:rsidR="000D3619">
              <w:t>Department of Human Services, administrative data (unpublished).</w:t>
            </w:r>
          </w:p>
        </w:tc>
      </w:tr>
      <w:tr w:rsidR="000D3619" w14:paraId="5D387EA9" w14:textId="77777777" w:rsidTr="00464790">
        <w:tc>
          <w:tcPr>
            <w:tcW w:w="8771" w:type="dxa"/>
            <w:tcBorders>
              <w:top w:val="nil"/>
              <w:left w:val="nil"/>
              <w:bottom w:val="single" w:sz="6" w:space="0" w:color="78A22F"/>
              <w:right w:val="nil"/>
            </w:tcBorders>
            <w:shd w:val="clear" w:color="auto" w:fill="auto"/>
          </w:tcPr>
          <w:p w14:paraId="5CD7C8A0" w14:textId="77777777" w:rsidR="000D3619" w:rsidRDefault="000D3619" w:rsidP="00464790">
            <w:pPr>
              <w:pStyle w:val="Figurespace"/>
            </w:pPr>
          </w:p>
        </w:tc>
      </w:tr>
      <w:tr w:rsidR="000D3619" w:rsidRPr="000863A5" w14:paraId="0CE320E0" w14:textId="77777777" w:rsidTr="00464790">
        <w:tc>
          <w:tcPr>
            <w:tcW w:w="8771" w:type="dxa"/>
            <w:tcBorders>
              <w:top w:val="single" w:sz="6" w:space="0" w:color="78A22F"/>
              <w:left w:val="nil"/>
              <w:bottom w:val="nil"/>
              <w:right w:val="nil"/>
            </w:tcBorders>
          </w:tcPr>
          <w:p w14:paraId="5B5FFFBF" w14:textId="075F14DA" w:rsidR="000D3619" w:rsidRPr="00626D32" w:rsidRDefault="000D3619" w:rsidP="00464790">
            <w:pPr>
              <w:pStyle w:val="BoxSpaceBelow"/>
            </w:pPr>
          </w:p>
        </w:tc>
      </w:tr>
    </w:tbl>
    <w:p w14:paraId="0070E6BA" w14:textId="77777777" w:rsidR="00BB2518" w:rsidRDefault="00BB2518" w:rsidP="00BB2518">
      <w:pPr>
        <w:pStyle w:val="BodyText"/>
        <w:rPr>
          <w:rFonts w:ascii="Arial" w:hAnsi="Arial"/>
          <w:sz w:val="26"/>
        </w:rPr>
      </w:pPr>
      <w:r>
        <w:br w:type="page"/>
      </w:r>
    </w:p>
    <w:p w14:paraId="06502DA3" w14:textId="77777777" w:rsidR="002E52D4" w:rsidRDefault="00393490" w:rsidP="00DC482E">
      <w:pPr>
        <w:pStyle w:val="Heading3"/>
      </w:pPr>
      <w:r>
        <w:lastRenderedPageBreak/>
        <w:t xml:space="preserve">Are </w:t>
      </w:r>
      <w:r w:rsidR="00EC1EC4">
        <w:t xml:space="preserve">housing assistance recipients’ </w:t>
      </w:r>
      <w:r>
        <w:t xml:space="preserve">labour market </w:t>
      </w:r>
      <w:r w:rsidR="00BB2518">
        <w:t>activities</w:t>
      </w:r>
      <w:r>
        <w:t xml:space="preserve"> </w:t>
      </w:r>
      <w:r w:rsidR="00EC1EC4">
        <w:t>different?</w:t>
      </w:r>
    </w:p>
    <w:p w14:paraId="4CF3854E" w14:textId="29E55393" w:rsidR="001D01B7" w:rsidRDefault="005522F1" w:rsidP="00393490">
      <w:pPr>
        <w:pStyle w:val="BodyText"/>
        <w:rPr>
          <w:i/>
          <w:iCs/>
          <w:spacing w:val="-2"/>
          <w:szCs w:val="24"/>
        </w:rPr>
      </w:pPr>
      <w:r w:rsidRPr="006265B5">
        <w:rPr>
          <w:i/>
          <w:iCs/>
          <w:spacing w:val="-2"/>
          <w:szCs w:val="24"/>
        </w:rPr>
        <w:t xml:space="preserve">Although </w:t>
      </w:r>
      <w:r w:rsidR="00327748" w:rsidRPr="006265B5">
        <w:rPr>
          <w:i/>
          <w:iCs/>
          <w:spacing w:val="-2"/>
          <w:szCs w:val="24"/>
        </w:rPr>
        <w:t xml:space="preserve">their </w:t>
      </w:r>
      <w:r w:rsidRPr="006265B5">
        <w:rPr>
          <w:i/>
          <w:iCs/>
          <w:spacing w:val="-2"/>
          <w:szCs w:val="24"/>
        </w:rPr>
        <w:t xml:space="preserve">employment rates decreased </w:t>
      </w:r>
      <w:r w:rsidR="00534D4D">
        <w:rPr>
          <w:i/>
          <w:iCs/>
          <w:spacing w:val="-2"/>
          <w:szCs w:val="24"/>
        </w:rPr>
        <w:t>from</w:t>
      </w:r>
      <w:r w:rsidR="00534D4D" w:rsidRPr="006265B5">
        <w:rPr>
          <w:i/>
          <w:iCs/>
          <w:spacing w:val="-2"/>
          <w:szCs w:val="24"/>
        </w:rPr>
        <w:t xml:space="preserve"> </w:t>
      </w:r>
      <w:r w:rsidRPr="006265B5">
        <w:rPr>
          <w:i/>
          <w:iCs/>
          <w:spacing w:val="-2"/>
          <w:szCs w:val="24"/>
        </w:rPr>
        <w:t>2008,</w:t>
      </w:r>
      <w:r w:rsidR="003962BD">
        <w:rPr>
          <w:i/>
          <w:iCs/>
          <w:spacing w:val="-2"/>
          <w:szCs w:val="24"/>
        </w:rPr>
        <w:t xml:space="preserve"> reflecting general trends in employment, </w:t>
      </w:r>
      <w:r w:rsidR="002C0BF8" w:rsidRPr="006265B5">
        <w:rPr>
          <w:i/>
          <w:iCs/>
          <w:spacing w:val="-2"/>
          <w:szCs w:val="24"/>
        </w:rPr>
        <w:t>a</w:t>
      </w:r>
      <w:r w:rsidR="002C0BF8">
        <w:rPr>
          <w:i/>
          <w:iCs/>
          <w:spacing w:val="-2"/>
          <w:szCs w:val="24"/>
        </w:rPr>
        <w:t>bout</w:t>
      </w:r>
      <w:r w:rsidR="002C0BF8" w:rsidRPr="006265B5">
        <w:rPr>
          <w:i/>
          <w:iCs/>
          <w:spacing w:val="-2"/>
          <w:szCs w:val="24"/>
        </w:rPr>
        <w:t xml:space="preserve"> </w:t>
      </w:r>
      <w:r w:rsidR="00393490" w:rsidRPr="006265B5">
        <w:rPr>
          <w:i/>
          <w:iCs/>
          <w:spacing w:val="-2"/>
          <w:szCs w:val="24"/>
        </w:rPr>
        <w:t xml:space="preserve">one in five </w:t>
      </w:r>
      <w:proofErr w:type="spellStart"/>
      <w:r w:rsidR="001D01B7" w:rsidRPr="006265B5">
        <w:rPr>
          <w:i/>
          <w:iCs/>
          <w:spacing w:val="-2"/>
          <w:szCs w:val="24"/>
        </w:rPr>
        <w:t>CRA</w:t>
      </w:r>
      <w:proofErr w:type="spellEnd"/>
      <w:r w:rsidR="001D01B7" w:rsidRPr="006265B5">
        <w:rPr>
          <w:i/>
          <w:iCs/>
          <w:spacing w:val="-2"/>
          <w:szCs w:val="24"/>
        </w:rPr>
        <w:t xml:space="preserve"> </w:t>
      </w:r>
      <w:r w:rsidR="00393490" w:rsidRPr="006265B5">
        <w:rPr>
          <w:i/>
          <w:iCs/>
          <w:spacing w:val="-2"/>
          <w:szCs w:val="24"/>
        </w:rPr>
        <w:t>recipients and one in ten public housing residents reported earnings from work</w:t>
      </w:r>
      <w:r w:rsidR="00EC1EC4" w:rsidRPr="006265B5">
        <w:rPr>
          <w:i/>
          <w:iCs/>
          <w:spacing w:val="-2"/>
          <w:szCs w:val="24"/>
        </w:rPr>
        <w:t xml:space="preserve"> </w:t>
      </w:r>
      <w:r w:rsidR="002C0BF8" w:rsidRPr="006265B5">
        <w:rPr>
          <w:i/>
          <w:iCs/>
          <w:spacing w:val="-2"/>
          <w:szCs w:val="24"/>
        </w:rPr>
        <w:t>at 30</w:t>
      </w:r>
      <w:r w:rsidR="00935A28">
        <w:rPr>
          <w:i/>
          <w:iCs/>
          <w:spacing w:val="-2"/>
          <w:szCs w:val="24"/>
        </w:rPr>
        <w:t> </w:t>
      </w:r>
      <w:r w:rsidR="002C0BF8" w:rsidRPr="006265B5">
        <w:rPr>
          <w:i/>
          <w:iCs/>
          <w:spacing w:val="-2"/>
          <w:szCs w:val="24"/>
        </w:rPr>
        <w:t>June</w:t>
      </w:r>
      <w:r w:rsidR="00EC1EC4" w:rsidRPr="006265B5">
        <w:rPr>
          <w:i/>
          <w:iCs/>
          <w:spacing w:val="-2"/>
          <w:szCs w:val="24"/>
        </w:rPr>
        <w:t xml:space="preserve"> 2013.</w:t>
      </w:r>
    </w:p>
    <w:p w14:paraId="083273FF" w14:textId="106612F7" w:rsidR="00A116A4" w:rsidRPr="006265B5" w:rsidRDefault="00A116A4" w:rsidP="00393490">
      <w:pPr>
        <w:pStyle w:val="BodyText"/>
        <w:rPr>
          <w:iCs/>
          <w:spacing w:val="-2"/>
          <w:szCs w:val="24"/>
        </w:rPr>
      </w:pPr>
    </w:p>
    <w:tbl>
      <w:tblPr>
        <w:tblW w:w="0" w:type="auto"/>
        <w:tblInd w:w="130" w:type="dxa"/>
        <w:tblBorders>
          <w:top w:val="single" w:sz="6" w:space="0" w:color="78A22F"/>
          <w:left w:val="single" w:sz="6" w:space="0" w:color="78A22F"/>
          <w:bottom w:val="single" w:sz="6" w:space="0" w:color="78A22F"/>
          <w:right w:val="single" w:sz="6" w:space="0" w:color="78A22F"/>
        </w:tblBorders>
        <w:tblLayout w:type="fixed"/>
        <w:tblLook w:val="0000" w:firstRow="0" w:lastRow="0" w:firstColumn="0" w:lastColumn="0" w:noHBand="0" w:noVBand="0"/>
      </w:tblPr>
      <w:tblGrid>
        <w:gridCol w:w="8771"/>
      </w:tblGrid>
      <w:tr w:rsidR="00A116A4" w14:paraId="14E67113" w14:textId="77777777" w:rsidTr="003156B4">
        <w:trPr>
          <w:trHeight w:val="784"/>
        </w:trPr>
        <w:tc>
          <w:tcPr>
            <w:tcW w:w="8771" w:type="dxa"/>
            <w:tcBorders>
              <w:top w:val="single" w:sz="6" w:space="0" w:color="78A22F" w:themeColor="accent1"/>
              <w:left w:val="nil"/>
              <w:bottom w:val="nil"/>
              <w:right w:val="nil"/>
            </w:tcBorders>
            <w:shd w:val="clear" w:color="auto" w:fill="auto"/>
          </w:tcPr>
          <w:p w14:paraId="0AE4230D" w14:textId="77777777" w:rsidR="001D76BD" w:rsidRDefault="00A116A4" w:rsidP="001D76BD">
            <w:pPr>
              <w:pStyle w:val="FigureTitle"/>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14</w:t>
            </w:r>
            <w:r w:rsidRPr="00784A05">
              <w:rPr>
                <w:b w:val="0"/>
              </w:rPr>
              <w:fldChar w:fldCharType="end"/>
            </w:r>
            <w:r>
              <w:tab/>
            </w:r>
            <w:r w:rsidR="001D76BD">
              <w:t>Employment of housing assistance recipients, 2003 to 2013</w:t>
            </w:r>
            <w:r w:rsidR="001D76BD" w:rsidRPr="0005325C">
              <w:rPr>
                <w:rStyle w:val="NoteLabel"/>
                <w:b/>
              </w:rPr>
              <w:t>a</w:t>
            </w:r>
          </w:p>
          <w:p w14:paraId="49B08B8D" w14:textId="6D215B8C" w:rsidR="00A116A4" w:rsidRDefault="001D76BD" w:rsidP="001D76BD">
            <w:pPr>
              <w:pStyle w:val="Subtitle"/>
              <w:rPr>
                <w:noProof/>
              </w:rPr>
            </w:pPr>
            <w:r>
              <w:t>Per cent reporting earned income</w:t>
            </w:r>
          </w:p>
        </w:tc>
      </w:tr>
      <w:tr w:rsidR="00A116A4" w14:paraId="53DC0FBB" w14:textId="77777777" w:rsidTr="00E209F1">
        <w:trPr>
          <w:trHeight w:val="2870"/>
        </w:trPr>
        <w:tc>
          <w:tcPr>
            <w:tcW w:w="8771" w:type="dxa"/>
            <w:tcBorders>
              <w:top w:val="nil"/>
              <w:left w:val="nil"/>
              <w:bottom w:val="nil"/>
              <w:right w:val="nil"/>
            </w:tcBorders>
            <w:shd w:val="clear" w:color="auto" w:fill="auto"/>
          </w:tcPr>
          <w:p w14:paraId="37690B1C" w14:textId="5DCD866D" w:rsidR="00A116A4" w:rsidRDefault="00A116A4" w:rsidP="00464790">
            <w:pPr>
              <w:pStyle w:val="Figure"/>
            </w:pPr>
            <w:r>
              <w:rPr>
                <w:noProof/>
              </w:rPr>
              <w:drawing>
                <wp:inline distT="0" distB="0" distL="0" distR="0" wp14:anchorId="4AD1EE9B" wp14:editId="223EC7FF">
                  <wp:extent cx="5220000" cy="2880000"/>
                  <wp:effectExtent l="0" t="0" r="0" b="0"/>
                  <wp:docPr id="7" name="Chart 7" descr="This figure shows the employment rates for housing assistance recipients who receive different types of income support payments. The difference in employment rates between housing assistance types was evident for all ISP types, although the gap differs in size with recipients of Youth Allowance and Parenting Payment (Single) having the greatest gap." title="Figure 15 – Employment of housing assistance recipients by ISP type,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tc>
      </w:tr>
      <w:tr w:rsidR="00A116A4" w:rsidRPr="00176D3F" w14:paraId="0B4B7858" w14:textId="77777777" w:rsidTr="00E209F1">
        <w:tblPrEx>
          <w:tblCellMar>
            <w:left w:w="142" w:type="dxa"/>
            <w:right w:w="142" w:type="dxa"/>
          </w:tblCellMar>
        </w:tblPrEx>
        <w:tc>
          <w:tcPr>
            <w:tcW w:w="8771" w:type="dxa"/>
            <w:tcBorders>
              <w:top w:val="nil"/>
              <w:left w:val="nil"/>
              <w:bottom w:val="nil"/>
              <w:right w:val="nil"/>
            </w:tcBorders>
            <w:shd w:val="clear" w:color="auto" w:fill="auto"/>
          </w:tcPr>
          <w:p w14:paraId="3C545B9D" w14:textId="27C6EECC" w:rsidR="00A116A4" w:rsidRPr="00176D3F" w:rsidRDefault="00A116A4" w:rsidP="00FF2726">
            <w:pPr>
              <w:pStyle w:val="Note"/>
            </w:pPr>
            <w:r>
              <w:rPr>
                <w:rStyle w:val="NoteLabel"/>
              </w:rPr>
              <w:t>a</w:t>
            </w:r>
            <w:r>
              <w:t xml:space="preserve"> ISP recipients aged 15–65 at 30 June of each year. This figure does not include </w:t>
            </w:r>
            <w:proofErr w:type="spellStart"/>
            <w:r>
              <w:t>FTB</w:t>
            </w:r>
            <w:proofErr w:type="spellEnd"/>
            <w:r>
              <w:t xml:space="preserve"> A</w:t>
            </w:r>
            <w:r>
              <w:noBreakHyphen/>
              <w:t xml:space="preserve">only recipients of </w:t>
            </w:r>
            <w:proofErr w:type="spellStart"/>
            <w:r>
              <w:t>CRA</w:t>
            </w:r>
            <w:proofErr w:type="spellEnd"/>
            <w:r>
              <w:t>.</w:t>
            </w:r>
          </w:p>
        </w:tc>
      </w:tr>
      <w:tr w:rsidR="00A116A4" w:rsidRPr="00176D3F" w14:paraId="6ADC8164" w14:textId="77777777" w:rsidTr="00E209F1">
        <w:tblPrEx>
          <w:tblCellMar>
            <w:left w:w="142" w:type="dxa"/>
            <w:right w:w="142" w:type="dxa"/>
          </w:tblCellMar>
        </w:tblPrEx>
        <w:tc>
          <w:tcPr>
            <w:tcW w:w="8771" w:type="dxa"/>
            <w:tcBorders>
              <w:top w:val="nil"/>
              <w:left w:val="nil"/>
              <w:bottom w:val="nil"/>
              <w:right w:val="nil"/>
            </w:tcBorders>
            <w:shd w:val="clear" w:color="auto" w:fill="auto"/>
          </w:tcPr>
          <w:p w14:paraId="6954876E" w14:textId="401713D9" w:rsidR="00A116A4" w:rsidRPr="00176D3F" w:rsidRDefault="00306456" w:rsidP="00464790">
            <w:pPr>
              <w:pStyle w:val="Source"/>
            </w:pPr>
            <w:r>
              <w:rPr>
                <w:i/>
              </w:rPr>
              <w:t>Source</w:t>
            </w:r>
            <w:r w:rsidR="00A116A4">
              <w:t>: Department of Human Services, administrative data (unpublished).</w:t>
            </w:r>
          </w:p>
        </w:tc>
      </w:tr>
      <w:tr w:rsidR="00A116A4" w14:paraId="0BECD559" w14:textId="77777777" w:rsidTr="00E209F1">
        <w:tblPrEx>
          <w:tblCellMar>
            <w:left w:w="142" w:type="dxa"/>
            <w:right w:w="142" w:type="dxa"/>
          </w:tblCellMar>
        </w:tblPrEx>
        <w:tc>
          <w:tcPr>
            <w:tcW w:w="8771" w:type="dxa"/>
            <w:tcBorders>
              <w:top w:val="nil"/>
              <w:left w:val="nil"/>
              <w:bottom w:val="single" w:sz="6" w:space="0" w:color="78A22F"/>
              <w:right w:val="nil"/>
            </w:tcBorders>
            <w:shd w:val="clear" w:color="auto" w:fill="auto"/>
          </w:tcPr>
          <w:p w14:paraId="285CD1E4" w14:textId="77777777" w:rsidR="00A116A4" w:rsidRDefault="00A116A4" w:rsidP="00464790">
            <w:pPr>
              <w:pStyle w:val="Figurespace"/>
            </w:pPr>
          </w:p>
        </w:tc>
      </w:tr>
      <w:tr w:rsidR="00A116A4" w:rsidRPr="000863A5" w14:paraId="72E63076" w14:textId="77777777" w:rsidTr="00E209F1">
        <w:tblPrEx>
          <w:tblCellMar>
            <w:left w:w="142" w:type="dxa"/>
            <w:right w:w="142" w:type="dxa"/>
          </w:tblCellMar>
        </w:tblPrEx>
        <w:tc>
          <w:tcPr>
            <w:tcW w:w="8771" w:type="dxa"/>
            <w:tcBorders>
              <w:top w:val="single" w:sz="6" w:space="0" w:color="78A22F"/>
              <w:left w:val="nil"/>
              <w:bottom w:val="nil"/>
              <w:right w:val="nil"/>
            </w:tcBorders>
          </w:tcPr>
          <w:p w14:paraId="17C16FAE" w14:textId="65AFA7C4" w:rsidR="00A116A4" w:rsidRPr="00626D32" w:rsidRDefault="00A116A4" w:rsidP="00464790">
            <w:pPr>
              <w:pStyle w:val="BoxSpaceBelow"/>
            </w:pPr>
          </w:p>
        </w:tc>
      </w:tr>
    </w:tbl>
    <w:p w14:paraId="2730F5A9" w14:textId="77777777" w:rsidR="00720912" w:rsidRDefault="00720912">
      <w:pPr>
        <w:rPr>
          <w:i/>
          <w:szCs w:val="20"/>
        </w:rPr>
      </w:pPr>
      <w:r>
        <w:rPr>
          <w:i/>
        </w:rPr>
        <w:br w:type="page"/>
      </w:r>
    </w:p>
    <w:p w14:paraId="03DE1F4C" w14:textId="4D17DAC7" w:rsidR="003E2FEE" w:rsidRPr="005B225F" w:rsidRDefault="003E2FEE" w:rsidP="00493314">
      <w:pPr>
        <w:pStyle w:val="BodyText"/>
        <w:rPr>
          <w:i/>
        </w:rPr>
      </w:pPr>
      <w:r w:rsidRPr="005B225F">
        <w:rPr>
          <w:i/>
        </w:rPr>
        <w:lastRenderedPageBreak/>
        <w:t xml:space="preserve">The difference in employment rates between housing assistance types </w:t>
      </w:r>
      <w:r w:rsidR="00CC02D1">
        <w:rPr>
          <w:i/>
        </w:rPr>
        <w:t xml:space="preserve">was </w:t>
      </w:r>
      <w:r w:rsidRPr="005B225F">
        <w:rPr>
          <w:i/>
        </w:rPr>
        <w:t>evident for all ISP types, altho</w:t>
      </w:r>
      <w:r w:rsidR="005B225F" w:rsidRPr="005B225F">
        <w:rPr>
          <w:i/>
        </w:rPr>
        <w:t>ugh the gap differs in size</w:t>
      </w:r>
      <w:r w:rsidR="007B7832">
        <w:rPr>
          <w:i/>
        </w:rPr>
        <w:t xml:space="preserve"> with </w:t>
      </w:r>
      <w:r w:rsidR="00D507CF">
        <w:rPr>
          <w:i/>
        </w:rPr>
        <w:t xml:space="preserve">recipients </w:t>
      </w:r>
      <w:r w:rsidR="007B7832">
        <w:rPr>
          <w:i/>
        </w:rPr>
        <w:t>of Youth Allowance and Parenting Payment (</w:t>
      </w:r>
      <w:r w:rsidR="00963D99">
        <w:rPr>
          <w:i/>
        </w:rPr>
        <w:t>S</w:t>
      </w:r>
      <w:r w:rsidR="007B7832">
        <w:rPr>
          <w:i/>
        </w:rPr>
        <w:t>ingle) having the greatest gap</w:t>
      </w:r>
      <w:r w:rsidR="005B225F" w:rsidRPr="005B225F">
        <w:rPr>
          <w:i/>
        </w:rPr>
        <w:t>.</w:t>
      </w:r>
    </w:p>
    <w:p w14:paraId="7B6366F8" w14:textId="2D7D514D" w:rsidR="005B225F" w:rsidRPr="00E209F1" w:rsidRDefault="005B225F" w:rsidP="00720912">
      <w:pPr>
        <w:pStyle w:val="BoxSpaceAbove"/>
        <w:rPr>
          <w:b/>
          <w:color w:val="FF00FF"/>
          <w:sz w:val="14"/>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B225F" w14:paraId="5CECD0A5" w14:textId="77777777" w:rsidTr="00464790">
        <w:tc>
          <w:tcPr>
            <w:tcW w:w="8771" w:type="dxa"/>
            <w:tcBorders>
              <w:top w:val="single" w:sz="6" w:space="0" w:color="78A22F"/>
              <w:left w:val="nil"/>
              <w:bottom w:val="nil"/>
              <w:right w:val="nil"/>
            </w:tcBorders>
            <w:shd w:val="clear" w:color="auto" w:fill="auto"/>
          </w:tcPr>
          <w:p w14:paraId="2F72396C" w14:textId="1977A490" w:rsidR="00EC1EC4" w:rsidRDefault="005B225F" w:rsidP="00EC1EC4">
            <w:pPr>
              <w:pStyle w:val="FigureTitle"/>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15</w:t>
            </w:r>
            <w:r w:rsidRPr="00784A05">
              <w:rPr>
                <w:b w:val="0"/>
              </w:rPr>
              <w:fldChar w:fldCharType="end"/>
            </w:r>
            <w:r>
              <w:tab/>
            </w:r>
            <w:r w:rsidR="00EC1EC4">
              <w:t>Employment of housing assistance recipients by ISP type, 2013</w:t>
            </w:r>
            <w:proofErr w:type="spellStart"/>
            <w:r w:rsidR="00EC1EC4" w:rsidRPr="00CA453C">
              <w:rPr>
                <w:rStyle w:val="NoteLabel"/>
                <w:b/>
              </w:rPr>
              <w:t>a</w:t>
            </w:r>
            <w:r w:rsidR="00D9719B">
              <w:rPr>
                <w:rStyle w:val="NoteLabel"/>
                <w:b/>
              </w:rPr>
              <w:t>,b</w:t>
            </w:r>
            <w:proofErr w:type="spellEnd"/>
          </w:p>
          <w:p w14:paraId="4C11AB7E" w14:textId="77777777" w:rsidR="005B225F" w:rsidRPr="00176D3F" w:rsidRDefault="00EC1EC4" w:rsidP="00EC1EC4">
            <w:pPr>
              <w:pStyle w:val="Subtitle"/>
            </w:pPr>
            <w:r>
              <w:t>Per cent reporting earned income</w:t>
            </w:r>
          </w:p>
        </w:tc>
      </w:tr>
      <w:tr w:rsidR="005B225F" w14:paraId="0AC017B0" w14:textId="77777777" w:rsidTr="00FF2726">
        <w:tblPrEx>
          <w:tblCellMar>
            <w:left w:w="108" w:type="dxa"/>
            <w:right w:w="108" w:type="dxa"/>
          </w:tblCellMar>
        </w:tblPrEx>
        <w:trPr>
          <w:trHeight w:val="3293"/>
        </w:trPr>
        <w:tc>
          <w:tcPr>
            <w:tcW w:w="8771" w:type="dxa"/>
            <w:tcBorders>
              <w:top w:val="nil"/>
              <w:left w:val="nil"/>
              <w:bottom w:val="nil"/>
              <w:right w:val="nil"/>
            </w:tcBorders>
            <w:shd w:val="clear" w:color="auto" w:fill="auto"/>
          </w:tcPr>
          <w:p w14:paraId="040D3BE9" w14:textId="5F276AB5" w:rsidR="005B225F" w:rsidRDefault="00FF2726" w:rsidP="00464790">
            <w:pPr>
              <w:pStyle w:val="Figure"/>
            </w:pPr>
            <w:r>
              <w:rPr>
                <w:noProof/>
              </w:rPr>
              <w:drawing>
                <wp:inline distT="0" distB="0" distL="0" distR="0" wp14:anchorId="05D0B03C" wp14:editId="5D3631C9">
                  <wp:extent cx="5220000" cy="2880000"/>
                  <wp:effectExtent l="0" t="0" r="0" b="0"/>
                  <wp:docPr id="9" name="Chart 9" descr="This figure shows the employment rates for housing assistance recipients who receive different types of income support payments. The difference in employment rates between housing assistance types was evident for all ISP types, although the gap differs in size with recipients of Youth Allowance and Parenting Payment (Single) having the greatest gap.&#10;" title="Figure 15 – Employment of housing assistance recipients by ISP type,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tc>
      </w:tr>
      <w:tr w:rsidR="005B225F" w:rsidRPr="00176D3F" w14:paraId="32380FCC" w14:textId="77777777" w:rsidTr="00464790">
        <w:tc>
          <w:tcPr>
            <w:tcW w:w="8771" w:type="dxa"/>
            <w:tcBorders>
              <w:top w:val="nil"/>
              <w:left w:val="nil"/>
              <w:bottom w:val="nil"/>
              <w:right w:val="nil"/>
            </w:tcBorders>
            <w:shd w:val="clear" w:color="auto" w:fill="auto"/>
          </w:tcPr>
          <w:p w14:paraId="06597DB4" w14:textId="06357DD9" w:rsidR="005B225F" w:rsidRPr="00176D3F" w:rsidRDefault="005B225F" w:rsidP="00464790">
            <w:pPr>
              <w:pStyle w:val="Note"/>
            </w:pPr>
            <w:r>
              <w:rPr>
                <w:rStyle w:val="NoteLabel"/>
              </w:rPr>
              <w:t>a</w:t>
            </w:r>
            <w:r>
              <w:t xml:space="preserve"> ISP recipients aged 15–65 at 30</w:t>
            </w:r>
            <w:r w:rsidR="00935A28">
              <w:t> </w:t>
            </w:r>
            <w:r>
              <w:t xml:space="preserve">June 2013. This figure does not include </w:t>
            </w:r>
            <w:proofErr w:type="spellStart"/>
            <w:r w:rsidR="00FF2726">
              <w:t>FTB</w:t>
            </w:r>
            <w:proofErr w:type="spellEnd"/>
            <w:r w:rsidR="00FF2726">
              <w:t xml:space="preserve"> A</w:t>
            </w:r>
            <w:r w:rsidR="00935A28">
              <w:noBreakHyphen/>
            </w:r>
            <w:r>
              <w:t xml:space="preserve">only recipients of </w:t>
            </w:r>
            <w:proofErr w:type="spellStart"/>
            <w:r>
              <w:t>CRA</w:t>
            </w:r>
            <w:proofErr w:type="spellEnd"/>
            <w:r>
              <w:t>.</w:t>
            </w:r>
            <w:r w:rsidR="00FF2726">
              <w:t xml:space="preserve"> </w:t>
            </w:r>
            <w:r w:rsidR="00FF2726">
              <w:rPr>
                <w:rStyle w:val="NoteLabel"/>
              </w:rPr>
              <w:t>b </w:t>
            </w:r>
            <w:r w:rsidR="00FF2726">
              <w:t xml:space="preserve">Other payments include a range of less common ISPs, including Bereavement Allowance, Wife’s Pension, Wife’s Disability Support Pension, </w:t>
            </w:r>
            <w:proofErr w:type="spellStart"/>
            <w:r w:rsidR="00FF2726">
              <w:t>Austudy</w:t>
            </w:r>
            <w:proofErr w:type="spellEnd"/>
            <w:r w:rsidR="00FF2726">
              <w:t xml:space="preserve">, Partner Allowance, Sickness Allowance, Special Benefits, Widow Allowance and </w:t>
            </w:r>
            <w:proofErr w:type="spellStart"/>
            <w:r w:rsidR="00FF2726">
              <w:t>Abstudy</w:t>
            </w:r>
            <w:proofErr w:type="spellEnd"/>
            <w:r w:rsidR="00FF2726">
              <w:t>.</w:t>
            </w:r>
          </w:p>
        </w:tc>
      </w:tr>
      <w:tr w:rsidR="005B225F" w:rsidRPr="00176D3F" w14:paraId="6E5D1D08" w14:textId="77777777" w:rsidTr="00464790">
        <w:tc>
          <w:tcPr>
            <w:tcW w:w="8771" w:type="dxa"/>
            <w:tcBorders>
              <w:top w:val="nil"/>
              <w:left w:val="nil"/>
              <w:bottom w:val="nil"/>
              <w:right w:val="nil"/>
            </w:tcBorders>
            <w:shd w:val="clear" w:color="auto" w:fill="auto"/>
          </w:tcPr>
          <w:p w14:paraId="2BC2E1CC" w14:textId="3F83E01B" w:rsidR="005B225F" w:rsidRPr="00176D3F" w:rsidRDefault="00306456" w:rsidP="00464790">
            <w:pPr>
              <w:pStyle w:val="Source"/>
            </w:pPr>
            <w:r>
              <w:rPr>
                <w:i/>
              </w:rPr>
              <w:t>Source</w:t>
            </w:r>
            <w:r w:rsidR="005B225F">
              <w:t>: Department of Human Services, administrative data (unpublished).</w:t>
            </w:r>
          </w:p>
        </w:tc>
      </w:tr>
      <w:tr w:rsidR="005B225F" w14:paraId="12C65621" w14:textId="77777777" w:rsidTr="00464790">
        <w:tc>
          <w:tcPr>
            <w:tcW w:w="8771" w:type="dxa"/>
            <w:tcBorders>
              <w:top w:val="nil"/>
              <w:left w:val="nil"/>
              <w:bottom w:val="single" w:sz="6" w:space="0" w:color="78A22F"/>
              <w:right w:val="nil"/>
            </w:tcBorders>
            <w:shd w:val="clear" w:color="auto" w:fill="auto"/>
          </w:tcPr>
          <w:p w14:paraId="052FB884" w14:textId="77777777" w:rsidR="005B225F" w:rsidRDefault="005B225F" w:rsidP="00464790">
            <w:pPr>
              <w:pStyle w:val="Figurespace"/>
            </w:pPr>
          </w:p>
        </w:tc>
      </w:tr>
      <w:tr w:rsidR="005B225F" w:rsidRPr="000863A5" w14:paraId="661D284E" w14:textId="77777777" w:rsidTr="00464790">
        <w:tc>
          <w:tcPr>
            <w:tcW w:w="8771" w:type="dxa"/>
            <w:tcBorders>
              <w:top w:val="single" w:sz="6" w:space="0" w:color="78A22F"/>
              <w:left w:val="nil"/>
              <w:bottom w:val="nil"/>
              <w:right w:val="nil"/>
            </w:tcBorders>
          </w:tcPr>
          <w:p w14:paraId="5DE2EFFA" w14:textId="1EC3E95D" w:rsidR="005B225F" w:rsidRPr="00626D32" w:rsidRDefault="005B225F" w:rsidP="00464790">
            <w:pPr>
              <w:pStyle w:val="BoxSpaceBelow"/>
            </w:pPr>
          </w:p>
        </w:tc>
      </w:tr>
    </w:tbl>
    <w:p w14:paraId="42FC1B7C" w14:textId="77777777" w:rsidR="00FF2726" w:rsidRDefault="00FF2726" w:rsidP="00493314">
      <w:pPr>
        <w:pStyle w:val="BodyText"/>
        <w:rPr>
          <w:i/>
        </w:rPr>
      </w:pPr>
    </w:p>
    <w:p w14:paraId="7B584FF2" w14:textId="77777777" w:rsidR="00FF2726" w:rsidRDefault="00FF2726">
      <w:pPr>
        <w:rPr>
          <w:i/>
          <w:szCs w:val="20"/>
        </w:rPr>
      </w:pPr>
      <w:r>
        <w:rPr>
          <w:i/>
        </w:rPr>
        <w:br w:type="page"/>
      </w:r>
    </w:p>
    <w:p w14:paraId="07A0140D" w14:textId="5CB73425" w:rsidR="002124C7" w:rsidRDefault="00464790" w:rsidP="00493314">
      <w:pPr>
        <w:pStyle w:val="BodyText"/>
        <w:rPr>
          <w:i/>
        </w:rPr>
      </w:pPr>
      <w:r w:rsidRPr="00951111">
        <w:rPr>
          <w:i/>
        </w:rPr>
        <w:lastRenderedPageBreak/>
        <w:t>T</w:t>
      </w:r>
      <w:r w:rsidR="003E2FEE" w:rsidRPr="00951111">
        <w:rPr>
          <w:i/>
        </w:rPr>
        <w:t xml:space="preserve">here </w:t>
      </w:r>
      <w:r w:rsidR="00772048">
        <w:rPr>
          <w:i/>
        </w:rPr>
        <w:t>was</w:t>
      </w:r>
      <w:r w:rsidR="003E2FEE" w:rsidRPr="00951111">
        <w:rPr>
          <w:i/>
        </w:rPr>
        <w:t xml:space="preserve"> little difference in the average earnings reported by </w:t>
      </w:r>
      <w:proofErr w:type="spellStart"/>
      <w:r w:rsidR="003E2FEE" w:rsidRPr="00951111">
        <w:rPr>
          <w:i/>
        </w:rPr>
        <w:t>CRA</w:t>
      </w:r>
      <w:proofErr w:type="spellEnd"/>
      <w:r w:rsidR="003E2FEE" w:rsidRPr="00951111">
        <w:rPr>
          <w:i/>
        </w:rPr>
        <w:t xml:space="preserve"> recipient</w:t>
      </w:r>
      <w:r w:rsidRPr="00951111">
        <w:rPr>
          <w:i/>
        </w:rPr>
        <w:t xml:space="preserve">s and public housing residents who </w:t>
      </w:r>
      <w:r w:rsidR="00772048">
        <w:rPr>
          <w:i/>
        </w:rPr>
        <w:t>were employed</w:t>
      </w:r>
      <w:r w:rsidRPr="00951111">
        <w:rPr>
          <w:i/>
        </w:rPr>
        <w:t xml:space="preserve">. Median </w:t>
      </w:r>
      <w:r w:rsidR="00951111" w:rsidRPr="00951111">
        <w:rPr>
          <w:i/>
        </w:rPr>
        <w:t>e</w:t>
      </w:r>
      <w:r w:rsidR="003E2FEE" w:rsidRPr="00951111">
        <w:rPr>
          <w:i/>
        </w:rPr>
        <w:t>arnings for single ISP recipients increased between 2003 and 2007, but have decline</w:t>
      </w:r>
      <w:r w:rsidR="00951111" w:rsidRPr="00951111">
        <w:rPr>
          <w:i/>
        </w:rPr>
        <w:t xml:space="preserve">d by </w:t>
      </w:r>
      <w:r w:rsidR="00D507CF">
        <w:rPr>
          <w:i/>
        </w:rPr>
        <w:t>about</w:t>
      </w:r>
      <w:r w:rsidR="00D507CF" w:rsidRPr="00951111">
        <w:rPr>
          <w:i/>
        </w:rPr>
        <w:t xml:space="preserve"> </w:t>
      </w:r>
      <w:r w:rsidR="00951111" w:rsidRPr="00951111">
        <w:rPr>
          <w:i/>
        </w:rPr>
        <w:t>1.8 per cent since.</w:t>
      </w:r>
      <w:r w:rsidR="00951111">
        <w:rPr>
          <w:i/>
        </w:rPr>
        <w:t xml:space="preserve"> </w:t>
      </w:r>
    </w:p>
    <w:p w14:paraId="232DF6CA" w14:textId="77777777" w:rsidR="00464790" w:rsidRPr="00951111" w:rsidRDefault="00951111" w:rsidP="00493314">
      <w:pPr>
        <w:pStyle w:val="BodyText"/>
        <w:rPr>
          <w:i/>
        </w:rPr>
      </w:pPr>
      <w:r w:rsidRPr="00951111">
        <w:rPr>
          <w:i/>
        </w:rPr>
        <w:t>The decline in median earnings for ISP recipients with partners is not as apparent, but is evident at the 75</w:t>
      </w:r>
      <w:r w:rsidRPr="00951111">
        <w:rPr>
          <w:i/>
          <w:vertAlign w:val="superscript"/>
        </w:rPr>
        <w:t>th</w:t>
      </w:r>
      <w:r w:rsidRPr="00951111">
        <w:rPr>
          <w:i/>
        </w:rPr>
        <w:t xml:space="preserve"> and 90</w:t>
      </w:r>
      <w:r w:rsidRPr="00951111">
        <w:rPr>
          <w:i/>
          <w:vertAlign w:val="superscript"/>
        </w:rPr>
        <w:t>th</w:t>
      </w:r>
      <w:r w:rsidRPr="00951111">
        <w:rPr>
          <w:i/>
        </w:rPr>
        <w:t xml:space="preserve"> percentiles.</w:t>
      </w:r>
    </w:p>
    <w:p w14:paraId="35616279" w14:textId="3BA4B371" w:rsidR="00951111" w:rsidRDefault="00951111" w:rsidP="00951111">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51111" w14:paraId="53785D53" w14:textId="77777777" w:rsidTr="00C44B39">
        <w:tc>
          <w:tcPr>
            <w:tcW w:w="8771" w:type="dxa"/>
            <w:tcBorders>
              <w:top w:val="single" w:sz="6" w:space="0" w:color="78A22F"/>
              <w:left w:val="nil"/>
              <w:bottom w:val="nil"/>
              <w:right w:val="nil"/>
            </w:tcBorders>
            <w:shd w:val="clear" w:color="auto" w:fill="auto"/>
          </w:tcPr>
          <w:p w14:paraId="740B938C" w14:textId="77777777" w:rsidR="00951111" w:rsidRDefault="00951111" w:rsidP="00951111">
            <w:pPr>
              <w:pStyle w:val="FigureTitle"/>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16</w:t>
            </w:r>
            <w:r w:rsidRPr="00784A05">
              <w:rPr>
                <w:b w:val="0"/>
              </w:rPr>
              <w:fldChar w:fldCharType="end"/>
            </w:r>
            <w:r>
              <w:tab/>
              <w:t>Real earned income, by housing assistance status, 2013</w:t>
            </w:r>
            <w:proofErr w:type="spellStart"/>
            <w:r w:rsidRPr="00F35E94">
              <w:rPr>
                <w:rStyle w:val="NoteLabel"/>
                <w:b/>
              </w:rPr>
              <w:t>a</w:t>
            </w:r>
            <w:r>
              <w:rPr>
                <w:rStyle w:val="NoteLabel"/>
                <w:b/>
              </w:rPr>
              <w:t>,b</w:t>
            </w:r>
            <w:proofErr w:type="spellEnd"/>
          </w:p>
          <w:p w14:paraId="7B2848A8" w14:textId="77777777" w:rsidR="00951111" w:rsidRPr="00176D3F" w:rsidRDefault="00951111" w:rsidP="00951111">
            <w:pPr>
              <w:pStyle w:val="Subtitle"/>
            </w:pPr>
            <w:proofErr w:type="spellStart"/>
            <w:r>
              <w:t>P10</w:t>
            </w:r>
            <w:proofErr w:type="spellEnd"/>
            <w:r>
              <w:t xml:space="preserve">, </w:t>
            </w:r>
            <w:proofErr w:type="spellStart"/>
            <w:r>
              <w:t>P90</w:t>
            </w:r>
            <w:proofErr w:type="spellEnd"/>
            <w:r>
              <w:t>, interquartile range, median and mean (2013 dollars)</w:t>
            </w:r>
          </w:p>
        </w:tc>
      </w:tr>
      <w:tr w:rsidR="00951111" w14:paraId="7FB8510B" w14:textId="77777777" w:rsidTr="00951111">
        <w:trPr>
          <w:trHeight w:val="129"/>
        </w:trPr>
        <w:tc>
          <w:tcPr>
            <w:tcW w:w="8771" w:type="dxa"/>
            <w:tcBorders>
              <w:top w:val="nil"/>
              <w:left w:val="nil"/>
              <w:bottom w:val="nil"/>
              <w:right w:val="nil"/>
            </w:tcBorders>
            <w:shd w:val="clear" w:color="auto" w:fill="auto"/>
            <w:tcMar>
              <w:top w:w="28" w:type="dxa"/>
              <w:bottom w:w="28" w:type="dxa"/>
            </w:tcMar>
          </w:tcPr>
          <w:p w14:paraId="4BA12293" w14:textId="77777777" w:rsidR="00951111" w:rsidRPr="007353E0" w:rsidRDefault="00951111" w:rsidP="00951111">
            <w:pPr>
              <w:pStyle w:val="TableUnitsRow"/>
              <w:jc w:val="center"/>
              <w:rPr>
                <w:b/>
                <w:sz w:val="20"/>
              </w:rPr>
            </w:pPr>
            <w:r w:rsidRPr="007353E0">
              <w:rPr>
                <w:b/>
                <w:noProof/>
                <w:sz w:val="20"/>
              </w:rPr>
              <w:t>Single ISP recipients</w:t>
            </w:r>
          </w:p>
        </w:tc>
      </w:tr>
      <w:tr w:rsidR="00951111" w14:paraId="648434CF" w14:textId="77777777" w:rsidTr="00951111">
        <w:tblPrEx>
          <w:tblCellMar>
            <w:left w:w="108" w:type="dxa"/>
            <w:right w:w="108" w:type="dxa"/>
          </w:tblCellMar>
        </w:tblPrEx>
        <w:trPr>
          <w:trHeight w:val="127"/>
        </w:trPr>
        <w:tc>
          <w:tcPr>
            <w:tcW w:w="8771" w:type="dxa"/>
            <w:tcBorders>
              <w:top w:val="nil"/>
              <w:left w:val="nil"/>
              <w:bottom w:val="nil"/>
              <w:right w:val="nil"/>
            </w:tcBorders>
            <w:shd w:val="clear" w:color="auto" w:fill="auto"/>
          </w:tcPr>
          <w:p w14:paraId="5D0A058F" w14:textId="77777777" w:rsidR="00951111" w:rsidRDefault="00951111" w:rsidP="00C44B39">
            <w:pPr>
              <w:pStyle w:val="Figure"/>
            </w:pPr>
            <w:r>
              <w:rPr>
                <w:noProof/>
              </w:rPr>
              <w:drawing>
                <wp:inline distT="0" distB="0" distL="0" distR="0" wp14:anchorId="69F33025" wp14:editId="1FC2EA28">
                  <wp:extent cx="5400000" cy="1980000"/>
                  <wp:effectExtent l="0" t="0" r="0" b="1270"/>
                  <wp:docPr id="59" name="Chart 59" descr="This figure shows the differences in real earned income for CRA recipients and public housing residents. There is little difference between the median earnings of CRA recipients and public housing tenants who were employed between 2003 and 2013. There is a reduction in the median earnings of single CRA recipients and Public housing tenants after 2007." title="Figure 16 – Real earned income, by housing assistance status, 2013 (panel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tc>
      </w:tr>
      <w:tr w:rsidR="007353E0" w14:paraId="4FCE7F67" w14:textId="77777777" w:rsidTr="00507CE3">
        <w:tblPrEx>
          <w:tblCellMar>
            <w:left w:w="108" w:type="dxa"/>
            <w:right w:w="108" w:type="dxa"/>
          </w:tblCellMar>
        </w:tblPrEx>
        <w:trPr>
          <w:trHeight w:val="127"/>
        </w:trPr>
        <w:tc>
          <w:tcPr>
            <w:tcW w:w="8767" w:type="dxa"/>
            <w:tcBorders>
              <w:top w:val="nil"/>
              <w:left w:val="nil"/>
              <w:bottom w:val="nil"/>
              <w:right w:val="nil"/>
            </w:tcBorders>
            <w:shd w:val="clear" w:color="auto" w:fill="auto"/>
          </w:tcPr>
          <w:p w14:paraId="7A5FFF35" w14:textId="3FFA6284" w:rsidR="007353E0" w:rsidRDefault="007353E0" w:rsidP="007353E0">
            <w:pPr>
              <w:pStyle w:val="TableUnitsRow"/>
              <w:jc w:val="center"/>
              <w:rPr>
                <w:noProof/>
              </w:rPr>
            </w:pPr>
            <w:r w:rsidRPr="007353E0">
              <w:rPr>
                <w:b/>
                <w:noProof/>
                <w:sz w:val="20"/>
              </w:rPr>
              <w:t>ISP recipients with partners</w:t>
            </w:r>
          </w:p>
        </w:tc>
      </w:tr>
      <w:tr w:rsidR="00951111" w14:paraId="7360759D" w14:textId="77777777" w:rsidTr="00507CE3">
        <w:tblPrEx>
          <w:tblCellMar>
            <w:left w:w="108" w:type="dxa"/>
            <w:right w:w="108" w:type="dxa"/>
          </w:tblCellMar>
        </w:tblPrEx>
        <w:trPr>
          <w:trHeight w:val="127"/>
        </w:trPr>
        <w:tc>
          <w:tcPr>
            <w:tcW w:w="8767" w:type="dxa"/>
            <w:tcBorders>
              <w:top w:val="nil"/>
              <w:left w:val="nil"/>
              <w:bottom w:val="nil"/>
              <w:right w:val="nil"/>
            </w:tcBorders>
            <w:shd w:val="clear" w:color="auto" w:fill="auto"/>
          </w:tcPr>
          <w:p w14:paraId="381AB362" w14:textId="77777777" w:rsidR="00951111" w:rsidRDefault="00951111" w:rsidP="00C44B39">
            <w:pPr>
              <w:pStyle w:val="Figure"/>
            </w:pPr>
            <w:r>
              <w:rPr>
                <w:noProof/>
              </w:rPr>
              <w:drawing>
                <wp:inline distT="0" distB="0" distL="0" distR="0" wp14:anchorId="37BA4A98" wp14:editId="6DED6DD7">
                  <wp:extent cx="5400000" cy="1980000"/>
                  <wp:effectExtent l="0" t="0" r="0" b="1270"/>
                  <wp:docPr id="60" name="Chart 60" descr="This panel is part of figure 16. Please refer to the description of figure 16 found in the first panel of figure 16.&#10;" title="Figure 16 – Real earned income, by housing assistance status, 2013 (panel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tc>
      </w:tr>
      <w:tr w:rsidR="00951111" w:rsidRPr="00176D3F" w14:paraId="7A204DBC" w14:textId="77777777" w:rsidTr="00507CE3">
        <w:tc>
          <w:tcPr>
            <w:tcW w:w="8767" w:type="dxa"/>
            <w:tcBorders>
              <w:top w:val="nil"/>
              <w:left w:val="nil"/>
              <w:bottom w:val="nil"/>
              <w:right w:val="nil"/>
            </w:tcBorders>
            <w:shd w:val="clear" w:color="auto" w:fill="auto"/>
          </w:tcPr>
          <w:p w14:paraId="568CFF05" w14:textId="1B2D06FD" w:rsidR="00951111" w:rsidRPr="005D04F5" w:rsidRDefault="00951111" w:rsidP="00951111">
            <w:pPr>
              <w:pStyle w:val="Note"/>
              <w:rPr>
                <w:spacing w:val="-2"/>
              </w:rPr>
            </w:pPr>
            <w:r w:rsidRPr="005D04F5">
              <w:rPr>
                <w:rStyle w:val="NoteLabel"/>
                <w:spacing w:val="-2"/>
              </w:rPr>
              <w:t>a</w:t>
            </w:r>
            <w:r w:rsidRPr="005D04F5">
              <w:rPr>
                <w:spacing w:val="-2"/>
              </w:rPr>
              <w:t xml:space="preserve"> ISP recipients aged 15–65 reporting earned income at 30</w:t>
            </w:r>
            <w:r w:rsidR="00935A28">
              <w:rPr>
                <w:spacing w:val="-2"/>
              </w:rPr>
              <w:t> </w:t>
            </w:r>
            <w:r w:rsidRPr="005D04F5">
              <w:rPr>
                <w:spacing w:val="-2"/>
              </w:rPr>
              <w:t>June 2013</w:t>
            </w:r>
            <w:r>
              <w:rPr>
                <w:spacing w:val="-2"/>
              </w:rPr>
              <w:t xml:space="preserve">. </w:t>
            </w:r>
            <w:r>
              <w:rPr>
                <w:rStyle w:val="NoteLabel"/>
                <w:spacing w:val="-2"/>
              </w:rPr>
              <w:t xml:space="preserve">b </w:t>
            </w:r>
            <w:r>
              <w:rPr>
                <w:spacing w:val="-2"/>
              </w:rPr>
              <w:t>Earnings values have been inflated to 2013 values using the Wage Price Index (ABS Cat. no. 6345.0).</w:t>
            </w:r>
          </w:p>
        </w:tc>
      </w:tr>
      <w:tr w:rsidR="00951111" w:rsidRPr="00176D3F" w14:paraId="45FA8400" w14:textId="77777777" w:rsidTr="00507CE3">
        <w:tc>
          <w:tcPr>
            <w:tcW w:w="8767" w:type="dxa"/>
            <w:tcBorders>
              <w:top w:val="nil"/>
              <w:left w:val="nil"/>
              <w:bottom w:val="nil"/>
              <w:right w:val="nil"/>
            </w:tcBorders>
            <w:shd w:val="clear" w:color="auto" w:fill="auto"/>
          </w:tcPr>
          <w:p w14:paraId="44532D38" w14:textId="4A23E627" w:rsidR="00951111" w:rsidRDefault="00306456" w:rsidP="00C44B39">
            <w:pPr>
              <w:pStyle w:val="Source"/>
            </w:pPr>
            <w:r>
              <w:rPr>
                <w:i/>
              </w:rPr>
              <w:t>Source</w:t>
            </w:r>
            <w:r w:rsidR="00951111">
              <w:t>: Department of Human Services, administrative data (unpublished).</w:t>
            </w:r>
          </w:p>
        </w:tc>
      </w:tr>
      <w:tr w:rsidR="00951111" w14:paraId="39DA0FC4" w14:textId="77777777" w:rsidTr="00507CE3">
        <w:tc>
          <w:tcPr>
            <w:tcW w:w="8767" w:type="dxa"/>
            <w:tcBorders>
              <w:top w:val="nil"/>
              <w:left w:val="nil"/>
              <w:bottom w:val="single" w:sz="6" w:space="0" w:color="78A22F"/>
              <w:right w:val="nil"/>
            </w:tcBorders>
            <w:shd w:val="clear" w:color="auto" w:fill="auto"/>
          </w:tcPr>
          <w:p w14:paraId="36A6D8DB" w14:textId="77777777" w:rsidR="00951111" w:rsidRDefault="00951111" w:rsidP="00C44B39">
            <w:pPr>
              <w:pStyle w:val="Figurespace"/>
            </w:pPr>
          </w:p>
        </w:tc>
      </w:tr>
      <w:tr w:rsidR="00951111" w:rsidRPr="000863A5" w14:paraId="5946469B" w14:textId="77777777" w:rsidTr="00507CE3">
        <w:tc>
          <w:tcPr>
            <w:tcW w:w="8767" w:type="dxa"/>
            <w:tcBorders>
              <w:top w:val="single" w:sz="6" w:space="0" w:color="78A22F"/>
              <w:left w:val="nil"/>
              <w:bottom w:val="nil"/>
              <w:right w:val="nil"/>
            </w:tcBorders>
          </w:tcPr>
          <w:p w14:paraId="7D9BB39B" w14:textId="5CDC627C" w:rsidR="00951111" w:rsidRPr="00626D32" w:rsidRDefault="00951111" w:rsidP="00C44B39">
            <w:pPr>
              <w:pStyle w:val="BoxSpaceBelow"/>
            </w:pPr>
          </w:p>
        </w:tc>
      </w:tr>
    </w:tbl>
    <w:p w14:paraId="780F878A" w14:textId="77777777" w:rsidR="00BB2518" w:rsidRDefault="00BB2518" w:rsidP="00BB2518">
      <w:pPr>
        <w:pStyle w:val="BodyText"/>
      </w:pPr>
      <w:r>
        <w:br w:type="page"/>
      </w:r>
    </w:p>
    <w:p w14:paraId="06CFB42B" w14:textId="48C42B8B" w:rsidR="00E4641B" w:rsidRPr="00240721" w:rsidRDefault="00E4641B" w:rsidP="00493314">
      <w:pPr>
        <w:pStyle w:val="BodyText"/>
        <w:rPr>
          <w:i/>
        </w:rPr>
      </w:pPr>
      <w:r w:rsidRPr="00240721">
        <w:rPr>
          <w:i/>
        </w:rPr>
        <w:lastRenderedPageBreak/>
        <w:t xml:space="preserve">Nearly three out of every four </w:t>
      </w:r>
      <w:proofErr w:type="spellStart"/>
      <w:r w:rsidR="003219EF">
        <w:rPr>
          <w:i/>
        </w:rPr>
        <w:t>Newstart</w:t>
      </w:r>
      <w:proofErr w:type="spellEnd"/>
      <w:r w:rsidR="003219EF">
        <w:rPr>
          <w:i/>
        </w:rPr>
        <w:t xml:space="preserve"> and Youth Allowance</w:t>
      </w:r>
      <w:r w:rsidR="00231BAF">
        <w:rPr>
          <w:i/>
        </w:rPr>
        <w:t xml:space="preserve"> (Job </w:t>
      </w:r>
      <w:r w:rsidR="0088696A">
        <w:rPr>
          <w:i/>
        </w:rPr>
        <w:t>s</w:t>
      </w:r>
      <w:r w:rsidR="00231BAF">
        <w:rPr>
          <w:i/>
        </w:rPr>
        <w:t>eeker)</w:t>
      </w:r>
      <w:r w:rsidR="003219EF">
        <w:rPr>
          <w:i/>
        </w:rPr>
        <w:t xml:space="preserve"> </w:t>
      </w:r>
      <w:r w:rsidRPr="00240721">
        <w:rPr>
          <w:i/>
        </w:rPr>
        <w:t>recipients living</w:t>
      </w:r>
      <w:r w:rsidR="00231BAF">
        <w:rPr>
          <w:i/>
        </w:rPr>
        <w:t xml:space="preserve"> in</w:t>
      </w:r>
      <w:r w:rsidRPr="00240721">
        <w:rPr>
          <w:i/>
        </w:rPr>
        <w:t xml:space="preserve"> public housing </w:t>
      </w:r>
      <w:r w:rsidR="003219EF">
        <w:rPr>
          <w:i/>
        </w:rPr>
        <w:t>have been assessed as having</w:t>
      </w:r>
      <w:r w:rsidRPr="00240721">
        <w:rPr>
          <w:i/>
        </w:rPr>
        <w:t xml:space="preserve"> severe or significant barriers to employment.</w:t>
      </w:r>
      <w:r w:rsidR="00772048">
        <w:rPr>
          <w:i/>
        </w:rPr>
        <w:t xml:space="preserve"> </w:t>
      </w:r>
      <w:r w:rsidR="003219EF">
        <w:rPr>
          <w:i/>
        </w:rPr>
        <w:t xml:space="preserve">About </w:t>
      </w:r>
      <w:r w:rsidR="00772048">
        <w:rPr>
          <w:i/>
        </w:rPr>
        <w:t xml:space="preserve">two of every five </w:t>
      </w:r>
      <w:proofErr w:type="spellStart"/>
      <w:r w:rsidR="006265B5">
        <w:rPr>
          <w:i/>
        </w:rPr>
        <w:t>CRA</w:t>
      </w:r>
      <w:proofErr w:type="spellEnd"/>
      <w:r w:rsidR="006265B5">
        <w:rPr>
          <w:i/>
        </w:rPr>
        <w:t xml:space="preserve"> recipients </w:t>
      </w:r>
      <w:r w:rsidR="003C3507">
        <w:rPr>
          <w:i/>
        </w:rPr>
        <w:t>receiving</w:t>
      </w:r>
      <w:r w:rsidR="00245021">
        <w:rPr>
          <w:i/>
        </w:rPr>
        <w:t xml:space="preserve"> either </w:t>
      </w:r>
      <w:proofErr w:type="spellStart"/>
      <w:r w:rsidR="00245021">
        <w:rPr>
          <w:i/>
        </w:rPr>
        <w:t>Newstart</w:t>
      </w:r>
      <w:proofErr w:type="spellEnd"/>
      <w:r w:rsidR="00245021">
        <w:rPr>
          <w:i/>
        </w:rPr>
        <w:t xml:space="preserve"> or Youth Allo</w:t>
      </w:r>
      <w:r w:rsidR="006265B5">
        <w:rPr>
          <w:i/>
        </w:rPr>
        <w:t xml:space="preserve">wance (Job </w:t>
      </w:r>
      <w:r w:rsidR="0088696A">
        <w:rPr>
          <w:i/>
        </w:rPr>
        <w:t>s</w:t>
      </w:r>
      <w:r w:rsidR="006265B5">
        <w:rPr>
          <w:i/>
        </w:rPr>
        <w:t xml:space="preserve">eeker) payments </w:t>
      </w:r>
      <w:r w:rsidR="00772048">
        <w:rPr>
          <w:i/>
        </w:rPr>
        <w:t xml:space="preserve">were considered to </w:t>
      </w:r>
      <w:r w:rsidR="00087ED0">
        <w:rPr>
          <w:i/>
        </w:rPr>
        <w:t xml:space="preserve">face </w:t>
      </w:r>
      <w:r w:rsidR="00772048">
        <w:rPr>
          <w:i/>
        </w:rPr>
        <w:t>similar barriers.</w:t>
      </w:r>
    </w:p>
    <w:p w14:paraId="693F92FC" w14:textId="3884BFEE" w:rsidR="005B225F" w:rsidRDefault="005B225F" w:rsidP="005B225F">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B225F" w14:paraId="667ACBDA" w14:textId="77777777" w:rsidTr="00464790">
        <w:tc>
          <w:tcPr>
            <w:tcW w:w="8771" w:type="dxa"/>
            <w:tcBorders>
              <w:top w:val="single" w:sz="6" w:space="0" w:color="78A22F"/>
              <w:left w:val="nil"/>
              <w:bottom w:val="nil"/>
              <w:right w:val="nil"/>
            </w:tcBorders>
            <w:shd w:val="clear" w:color="auto" w:fill="auto"/>
          </w:tcPr>
          <w:p w14:paraId="46F6C4AF" w14:textId="77777777" w:rsidR="00BB2518" w:rsidRDefault="005B225F" w:rsidP="00BB2518">
            <w:pPr>
              <w:pStyle w:val="FigureTitle"/>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17</w:t>
            </w:r>
            <w:r w:rsidRPr="00784A05">
              <w:rPr>
                <w:b w:val="0"/>
              </w:rPr>
              <w:fldChar w:fldCharType="end"/>
            </w:r>
            <w:r>
              <w:tab/>
            </w:r>
            <w:r w:rsidR="008E764C">
              <w:t>Assess</w:t>
            </w:r>
            <w:r w:rsidR="006B5511">
              <w:t xml:space="preserve">ment of </w:t>
            </w:r>
            <w:r w:rsidR="00BB2518">
              <w:t xml:space="preserve">employment </w:t>
            </w:r>
            <w:r w:rsidR="006B5511">
              <w:t xml:space="preserve">barriers </w:t>
            </w:r>
            <w:r w:rsidR="00BB2518">
              <w:t>by housing assistance type, 2013</w:t>
            </w:r>
            <w:proofErr w:type="spellStart"/>
            <w:r w:rsidR="004941D9" w:rsidRPr="004941D9">
              <w:rPr>
                <w:rStyle w:val="NoteLabel"/>
                <w:b/>
              </w:rPr>
              <w:t>a</w:t>
            </w:r>
            <w:r w:rsidR="00A64700">
              <w:rPr>
                <w:rStyle w:val="NoteLabel"/>
                <w:b/>
              </w:rPr>
              <w:t>,b</w:t>
            </w:r>
            <w:proofErr w:type="spellEnd"/>
          </w:p>
          <w:p w14:paraId="03E44013" w14:textId="4BEE68BB" w:rsidR="005B225F" w:rsidRPr="00176D3F" w:rsidRDefault="00BB2518" w:rsidP="001F3BA3">
            <w:pPr>
              <w:pStyle w:val="Subtitle"/>
            </w:pPr>
            <w:r>
              <w:t xml:space="preserve">Per cent, </w:t>
            </w:r>
            <w:proofErr w:type="spellStart"/>
            <w:r w:rsidRPr="00665EFE">
              <w:t>Newstart</w:t>
            </w:r>
            <w:proofErr w:type="spellEnd"/>
            <w:r w:rsidRPr="00665EFE">
              <w:t xml:space="preserve"> and Youth Allowance (</w:t>
            </w:r>
            <w:r w:rsidR="00155953">
              <w:t xml:space="preserve">Job </w:t>
            </w:r>
            <w:r w:rsidR="001F3BA3">
              <w:t>s</w:t>
            </w:r>
            <w:r w:rsidR="006B20E9">
              <w:t>eeker</w:t>
            </w:r>
            <w:r w:rsidRPr="00665EFE">
              <w:t>) recipients only</w:t>
            </w:r>
          </w:p>
        </w:tc>
      </w:tr>
      <w:tr w:rsidR="005B225F" w14:paraId="5294BCCC" w14:textId="77777777" w:rsidTr="00806E45">
        <w:tblPrEx>
          <w:tblCellMar>
            <w:left w:w="108" w:type="dxa"/>
            <w:right w:w="108" w:type="dxa"/>
          </w:tblCellMar>
        </w:tblPrEx>
        <w:tc>
          <w:tcPr>
            <w:tcW w:w="8771" w:type="dxa"/>
            <w:tcBorders>
              <w:top w:val="nil"/>
              <w:left w:val="nil"/>
              <w:bottom w:val="nil"/>
              <w:right w:val="nil"/>
            </w:tcBorders>
            <w:shd w:val="clear" w:color="auto" w:fill="auto"/>
          </w:tcPr>
          <w:p w14:paraId="0FEB57D2" w14:textId="676BFC1A" w:rsidR="005B225F" w:rsidRDefault="00806E45" w:rsidP="00464790">
            <w:pPr>
              <w:pStyle w:val="Figure"/>
            </w:pPr>
            <w:r>
              <w:rPr>
                <w:noProof/>
              </w:rPr>
              <w:drawing>
                <wp:inline distT="0" distB="0" distL="0" distR="0" wp14:anchorId="03645C6E" wp14:editId="622C29EB">
                  <wp:extent cx="5220000" cy="2880000"/>
                  <wp:effectExtent l="0" t="0" r="0" b="0"/>
                  <wp:docPr id="16" name="Chart 16" descr="This figure shows the extent to which Newstart and Youth Allowance (Job seeker) recipients are categorised as facing significant or severe barriers to employment. Nearly three out of every four Newstart and Youth Allowance (Job Seeker) recipients living in public housing have been assessed as having severe or significant barriers to employment. About two of every five CRA recipients receiving either Newstart or Youth Allowance (Job Seeker) payments were considered to face similar barriers.&#10;" title="Figure 17 – Assessment of employment barriers by housing assistance type,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tc>
      </w:tr>
      <w:tr w:rsidR="005B225F" w:rsidRPr="00176D3F" w14:paraId="590A4D4E" w14:textId="77777777" w:rsidTr="00464790">
        <w:tc>
          <w:tcPr>
            <w:tcW w:w="8771" w:type="dxa"/>
            <w:tcBorders>
              <w:top w:val="nil"/>
              <w:left w:val="nil"/>
              <w:bottom w:val="nil"/>
              <w:right w:val="nil"/>
            </w:tcBorders>
            <w:shd w:val="clear" w:color="auto" w:fill="auto"/>
          </w:tcPr>
          <w:p w14:paraId="2F1BD014" w14:textId="4C237ED6" w:rsidR="005B225F" w:rsidRPr="00176D3F" w:rsidRDefault="005B225F" w:rsidP="00214A0A">
            <w:pPr>
              <w:pStyle w:val="Note"/>
            </w:pPr>
            <w:r>
              <w:rPr>
                <w:rStyle w:val="NoteLabel"/>
              </w:rPr>
              <w:t>a</w:t>
            </w:r>
            <w:r>
              <w:t xml:space="preserve"> ISP recipients aged 15–65 at 30</w:t>
            </w:r>
            <w:r w:rsidR="00935A28">
              <w:t> </w:t>
            </w:r>
            <w:r>
              <w:t xml:space="preserve">June 2013. This figure does not include </w:t>
            </w:r>
            <w:proofErr w:type="spellStart"/>
            <w:r w:rsidR="00FF2726">
              <w:t>FTB</w:t>
            </w:r>
            <w:proofErr w:type="spellEnd"/>
            <w:r w:rsidR="00FF2726">
              <w:t xml:space="preserve"> A</w:t>
            </w:r>
            <w:r w:rsidR="00935A28">
              <w:noBreakHyphen/>
            </w:r>
            <w:r>
              <w:t xml:space="preserve">only recipients of </w:t>
            </w:r>
            <w:proofErr w:type="spellStart"/>
            <w:r>
              <w:t>CRA</w:t>
            </w:r>
            <w:proofErr w:type="spellEnd"/>
            <w:r>
              <w:t>.</w:t>
            </w:r>
            <w:r w:rsidR="004941D9">
              <w:t xml:space="preserve"> </w:t>
            </w:r>
            <w:r w:rsidR="00A64700">
              <w:rPr>
                <w:rStyle w:val="NoteLabel"/>
              </w:rPr>
              <w:t>b</w:t>
            </w:r>
            <w:r w:rsidR="00A64700">
              <w:t xml:space="preserve"> </w:t>
            </w:r>
            <w:r w:rsidR="004941D9">
              <w:t>Barriers to employment are only assessed for those ISP recipients require</w:t>
            </w:r>
            <w:r w:rsidR="006B20E9">
              <w:t xml:space="preserve">d to undertake an activity test, such as those receiving </w:t>
            </w:r>
            <w:proofErr w:type="spellStart"/>
            <w:r w:rsidR="006B20E9">
              <w:t>Newstart</w:t>
            </w:r>
            <w:proofErr w:type="spellEnd"/>
            <w:r w:rsidR="006B20E9">
              <w:t xml:space="preserve"> or Youth Allowance (Job Seeker). </w:t>
            </w:r>
            <w:r w:rsidR="00214A0A">
              <w:t xml:space="preserve">Barriers to employment may include problems such as: mental illness; family and domestic violence; family and relationship issues; financial management difficulties; social isolation; language and communication difficulties; drug, alcohol and gambling addictions; and homelessness or unstable accommodation. People with severe barriers to employment are the most disadvantaged job seekers and </w:t>
            </w:r>
            <w:r w:rsidR="00214A0A" w:rsidRPr="00214A0A">
              <w:t>require integrated, intensive assistance to overcome multiple vocational and non</w:t>
            </w:r>
            <w:r w:rsidR="00E209F1">
              <w:noBreakHyphen/>
            </w:r>
            <w:r w:rsidR="00214A0A" w:rsidRPr="00214A0A">
              <w:t>vocational barriers to employment</w:t>
            </w:r>
            <w:r w:rsidR="00571DE0">
              <w:t xml:space="preserve"> </w:t>
            </w:r>
            <w:r w:rsidR="00571DE0" w:rsidRPr="00571DE0">
              <w:rPr>
                <w:rFonts w:cs="Arial"/>
                <w:szCs w:val="24"/>
              </w:rPr>
              <w:t>(</w:t>
            </w:r>
            <w:proofErr w:type="spellStart"/>
            <w:r w:rsidR="00571DE0" w:rsidRPr="00571DE0">
              <w:rPr>
                <w:rFonts w:cs="Arial"/>
                <w:szCs w:val="24"/>
              </w:rPr>
              <w:t>JSA</w:t>
            </w:r>
            <w:proofErr w:type="spellEnd"/>
            <w:r w:rsidR="00571DE0" w:rsidRPr="00571DE0">
              <w:rPr>
                <w:rFonts w:cs="Arial"/>
                <w:szCs w:val="24"/>
              </w:rPr>
              <w:t> 2013)</w:t>
            </w:r>
            <w:r w:rsidR="00214A0A" w:rsidRPr="00214A0A">
              <w:t>.</w:t>
            </w:r>
          </w:p>
        </w:tc>
      </w:tr>
      <w:tr w:rsidR="005B225F" w:rsidRPr="00176D3F" w14:paraId="10B38CA4" w14:textId="77777777" w:rsidTr="00464790">
        <w:tc>
          <w:tcPr>
            <w:tcW w:w="8771" w:type="dxa"/>
            <w:tcBorders>
              <w:top w:val="nil"/>
              <w:left w:val="nil"/>
              <w:bottom w:val="nil"/>
              <w:right w:val="nil"/>
            </w:tcBorders>
            <w:shd w:val="clear" w:color="auto" w:fill="auto"/>
          </w:tcPr>
          <w:p w14:paraId="7B449275" w14:textId="097210B2" w:rsidR="005B225F" w:rsidRPr="00176D3F" w:rsidRDefault="00306456" w:rsidP="00464790">
            <w:pPr>
              <w:pStyle w:val="Source"/>
            </w:pPr>
            <w:r>
              <w:rPr>
                <w:i/>
              </w:rPr>
              <w:t>Source</w:t>
            </w:r>
            <w:r w:rsidR="005B225F">
              <w:t>: Department of Human Services, administrative data (unpublished).</w:t>
            </w:r>
          </w:p>
        </w:tc>
      </w:tr>
      <w:tr w:rsidR="005B225F" w14:paraId="1FEB9C96" w14:textId="77777777" w:rsidTr="00464790">
        <w:tc>
          <w:tcPr>
            <w:tcW w:w="8771" w:type="dxa"/>
            <w:tcBorders>
              <w:top w:val="nil"/>
              <w:left w:val="nil"/>
              <w:bottom w:val="single" w:sz="6" w:space="0" w:color="78A22F"/>
              <w:right w:val="nil"/>
            </w:tcBorders>
            <w:shd w:val="clear" w:color="auto" w:fill="auto"/>
          </w:tcPr>
          <w:p w14:paraId="5327260D" w14:textId="77777777" w:rsidR="005B225F" w:rsidRDefault="005B225F" w:rsidP="00464790">
            <w:pPr>
              <w:pStyle w:val="Figurespace"/>
            </w:pPr>
          </w:p>
        </w:tc>
      </w:tr>
      <w:tr w:rsidR="005B225F" w:rsidRPr="000863A5" w14:paraId="19CA62FD" w14:textId="77777777" w:rsidTr="00464790">
        <w:tc>
          <w:tcPr>
            <w:tcW w:w="8771" w:type="dxa"/>
            <w:tcBorders>
              <w:top w:val="single" w:sz="6" w:space="0" w:color="78A22F"/>
              <w:left w:val="nil"/>
              <w:bottom w:val="nil"/>
              <w:right w:val="nil"/>
            </w:tcBorders>
          </w:tcPr>
          <w:p w14:paraId="2CE2F47E" w14:textId="0DBB16C0" w:rsidR="005B225F" w:rsidRPr="00626D32" w:rsidRDefault="005B225F" w:rsidP="00464790">
            <w:pPr>
              <w:pStyle w:val="BoxSpaceBelow"/>
            </w:pPr>
          </w:p>
        </w:tc>
      </w:tr>
    </w:tbl>
    <w:p w14:paraId="044435E4" w14:textId="77777777" w:rsidR="00212A77" w:rsidRDefault="00212A77" w:rsidP="00212A77">
      <w:pPr>
        <w:pStyle w:val="BodyText"/>
        <w:rPr>
          <w:rFonts w:ascii="Arial" w:hAnsi="Arial"/>
          <w:sz w:val="26"/>
        </w:rPr>
      </w:pPr>
      <w:r>
        <w:br w:type="page"/>
      </w:r>
    </w:p>
    <w:p w14:paraId="47D42539" w14:textId="77777777" w:rsidR="003A0D20" w:rsidRDefault="003A0D20" w:rsidP="003A0D20">
      <w:pPr>
        <w:pStyle w:val="Heading3"/>
      </w:pPr>
      <w:r>
        <w:lastRenderedPageBreak/>
        <w:t>What does the work capacity of public housing tenants look like?</w:t>
      </w:r>
    </w:p>
    <w:p w14:paraId="30A4DACB" w14:textId="77777777" w:rsidR="00E3415D" w:rsidRDefault="00E3415D" w:rsidP="003A0D20">
      <w:pPr>
        <w:pStyle w:val="BodyText"/>
      </w:pPr>
      <w:r>
        <w:t xml:space="preserve">One individual characteristic that is highly relevant to employment outcomes is a person’s capacity to work. The administrative data do not provide this information. The calculations in this section are based on a variety of sources and assumptions to estimate the potential pool of public housing tenants who might have the capacity to work, given the right support. Given the uncertainties about the data and assumptions made, </w:t>
      </w:r>
      <w:r w:rsidR="00B228E7">
        <w:t xml:space="preserve">the calculations in this section are presented in the form of ranges. </w:t>
      </w:r>
    </w:p>
    <w:p w14:paraId="3F6A647B" w14:textId="4AE7409A" w:rsidR="003A0D20" w:rsidRPr="00F05A88" w:rsidRDefault="003A0D20" w:rsidP="003A0D20">
      <w:pPr>
        <w:pStyle w:val="BodyText"/>
        <w:rPr>
          <w:spacing w:val="-4"/>
        </w:rPr>
      </w:pPr>
      <w:r w:rsidRPr="00F05A88">
        <w:rPr>
          <w:spacing w:val="-4"/>
        </w:rPr>
        <w:t>Since 2006, applicants for</w:t>
      </w:r>
      <w:r w:rsidR="00705E70" w:rsidRPr="00F05A88">
        <w:rPr>
          <w:spacing w:val="-4"/>
        </w:rPr>
        <w:t xml:space="preserve"> the Disability Support Pension</w:t>
      </w:r>
      <w:r w:rsidRPr="00F05A88">
        <w:rPr>
          <w:spacing w:val="-4"/>
        </w:rPr>
        <w:t xml:space="preserve"> </w:t>
      </w:r>
      <w:r w:rsidR="00705E70" w:rsidRPr="00F05A88">
        <w:rPr>
          <w:spacing w:val="-4"/>
        </w:rPr>
        <w:t>(</w:t>
      </w:r>
      <w:proofErr w:type="spellStart"/>
      <w:r w:rsidRPr="00F05A88">
        <w:rPr>
          <w:spacing w:val="-4"/>
        </w:rPr>
        <w:t>DSP</w:t>
      </w:r>
      <w:proofErr w:type="spellEnd"/>
      <w:r w:rsidR="00705E70" w:rsidRPr="00F05A88">
        <w:rPr>
          <w:spacing w:val="-4"/>
        </w:rPr>
        <w:t>)</w:t>
      </w:r>
      <w:r w:rsidRPr="00F05A88">
        <w:rPr>
          <w:spacing w:val="-4"/>
        </w:rPr>
        <w:t xml:space="preserve"> who are not profoundly disabled or terminally ill have had to undertake job capacity assessments (box 2). The work capacity of </w:t>
      </w:r>
      <w:proofErr w:type="spellStart"/>
      <w:r w:rsidRPr="00F05A88">
        <w:rPr>
          <w:spacing w:val="-4"/>
        </w:rPr>
        <w:t>Newstart</w:t>
      </w:r>
      <w:proofErr w:type="spellEnd"/>
      <w:r w:rsidRPr="00F05A88">
        <w:rPr>
          <w:spacing w:val="-4"/>
        </w:rPr>
        <w:t xml:space="preserve"> and Youth Allowance (job seeker) applicants is also assessed, with applicants classified into one of four streams depending on the degree of support that they need to find work. This information, plus assumptions about </w:t>
      </w:r>
      <w:r w:rsidR="002A24B2" w:rsidRPr="00F05A88">
        <w:rPr>
          <w:spacing w:val="-4"/>
        </w:rPr>
        <w:t>the work capacity of</w:t>
      </w:r>
      <w:r w:rsidRPr="00F05A88">
        <w:rPr>
          <w:spacing w:val="-4"/>
        </w:rPr>
        <w:t xml:space="preserve"> other ISP recipients, was used to estimate </w:t>
      </w:r>
      <w:r w:rsidR="002A24B2" w:rsidRPr="00F05A88">
        <w:rPr>
          <w:spacing w:val="-4"/>
        </w:rPr>
        <w:t>work capacity among</w:t>
      </w:r>
      <w:r w:rsidRPr="00F05A88">
        <w:rPr>
          <w:spacing w:val="-4"/>
        </w:rPr>
        <w:t xml:space="preserve"> </w:t>
      </w:r>
      <w:r w:rsidR="002A24B2" w:rsidRPr="00F05A88">
        <w:rPr>
          <w:spacing w:val="-4"/>
        </w:rPr>
        <w:t xml:space="preserve">all </w:t>
      </w:r>
      <w:r w:rsidR="002900AF">
        <w:rPr>
          <w:spacing w:val="-4"/>
        </w:rPr>
        <w:t>working-age</w:t>
      </w:r>
      <w:r w:rsidRPr="00F05A88">
        <w:rPr>
          <w:spacing w:val="-4"/>
        </w:rPr>
        <w:t xml:space="preserve"> public housing tenants.</w:t>
      </w:r>
    </w:p>
    <w:p w14:paraId="6F9D8824" w14:textId="19172896" w:rsidR="003A0D20" w:rsidRDefault="003A0D20" w:rsidP="003A0D20">
      <w:pPr>
        <w:pStyle w:val="BodyText"/>
      </w:pPr>
      <w:r>
        <w:t xml:space="preserve">On these estimates, the majority of </w:t>
      </w:r>
      <w:r w:rsidR="002900AF">
        <w:t>working-age</w:t>
      </w:r>
      <w:r>
        <w:t xml:space="preserve"> public housing tenants </w:t>
      </w:r>
      <w:r w:rsidR="00D67AF3">
        <w:t>has</w:t>
      </w:r>
      <w:r w:rsidR="002A24B2">
        <w:t xml:space="preserve"> some work capacity</w:t>
      </w:r>
      <w:r>
        <w:t xml:space="preserve"> (table </w:t>
      </w:r>
      <w:r w:rsidR="002A24B2">
        <w:t>1</w:t>
      </w:r>
      <w:r>
        <w:t xml:space="preserve">). In fact, the number who might be </w:t>
      </w:r>
      <w:r w:rsidR="00634296">
        <w:t>thought</w:t>
      </w:r>
      <w:r>
        <w:t xml:space="preserve"> to have higher </w:t>
      </w:r>
      <w:r w:rsidR="002A24B2">
        <w:t>work capacity</w:t>
      </w:r>
      <w:r>
        <w:t xml:space="preserve"> (about 70 000) is larger than the number in employment on 30</w:t>
      </w:r>
      <w:r w:rsidR="00935A28">
        <w:t> </w:t>
      </w:r>
      <w:r>
        <w:t>June 2013 (about 40 000).</w:t>
      </w:r>
      <w:r w:rsidRPr="00627E7B">
        <w:rPr>
          <w:rStyle w:val="FootnoteReference"/>
        </w:rPr>
        <w:footnoteReference w:id="4"/>
      </w:r>
      <w:r>
        <w:t xml:space="preserve"> </w:t>
      </w:r>
    </w:p>
    <w:p w14:paraId="097CB588" w14:textId="57C3EB0C" w:rsidR="003A0D20" w:rsidRDefault="003A0D20" w:rsidP="003A0D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0D20" w14:paraId="6FEC82CE" w14:textId="77777777" w:rsidTr="00E3415D">
        <w:tc>
          <w:tcPr>
            <w:tcW w:w="8771" w:type="dxa"/>
            <w:tcBorders>
              <w:top w:val="single" w:sz="6" w:space="0" w:color="78A22F"/>
              <w:left w:val="nil"/>
              <w:bottom w:val="nil"/>
              <w:right w:val="nil"/>
            </w:tcBorders>
            <w:shd w:val="clear" w:color="auto" w:fill="F2F2F2"/>
          </w:tcPr>
          <w:p w14:paraId="104CDDFA" w14:textId="77777777" w:rsidR="003A0D20" w:rsidRDefault="003A0D20" w:rsidP="00E3415D">
            <w:pPr>
              <w:pStyle w:val="BoxTitle"/>
            </w:pPr>
            <w:r>
              <w:rPr>
                <w:b w:val="0"/>
              </w:rPr>
              <w:t xml:space="preserve">Box </w:t>
            </w:r>
            <w:bookmarkStart w:id="2" w:name="OLE_LINK4"/>
            <w:r>
              <w:rPr>
                <w:b w:val="0"/>
              </w:rPr>
              <w:fldChar w:fldCharType="begin"/>
            </w:r>
            <w:r>
              <w:rPr>
                <w:b w:val="0"/>
              </w:rPr>
              <w:instrText xml:space="preserve"> SEQ Box \* ARABIC </w:instrText>
            </w:r>
            <w:r>
              <w:rPr>
                <w:b w:val="0"/>
              </w:rPr>
              <w:fldChar w:fldCharType="separate"/>
            </w:r>
            <w:r w:rsidR="00B5435E">
              <w:rPr>
                <w:b w:val="0"/>
                <w:noProof/>
              </w:rPr>
              <w:t>2</w:t>
            </w:r>
            <w:r>
              <w:rPr>
                <w:b w:val="0"/>
              </w:rPr>
              <w:fldChar w:fldCharType="end"/>
            </w:r>
            <w:bookmarkEnd w:id="2"/>
            <w:r>
              <w:tab/>
              <w:t xml:space="preserve">Work capacity assessments for </w:t>
            </w:r>
            <w:proofErr w:type="spellStart"/>
            <w:r>
              <w:t>DSP</w:t>
            </w:r>
            <w:proofErr w:type="spellEnd"/>
            <w:r>
              <w:t xml:space="preserve"> recipients</w:t>
            </w:r>
          </w:p>
        </w:tc>
      </w:tr>
      <w:tr w:rsidR="003A0D20" w14:paraId="1C969305" w14:textId="77777777" w:rsidTr="00E3415D">
        <w:trPr>
          <w:cantSplit/>
        </w:trPr>
        <w:tc>
          <w:tcPr>
            <w:tcW w:w="8771" w:type="dxa"/>
            <w:tcBorders>
              <w:top w:val="nil"/>
              <w:left w:val="nil"/>
              <w:bottom w:val="nil"/>
              <w:right w:val="nil"/>
            </w:tcBorders>
            <w:shd w:val="clear" w:color="auto" w:fill="F2F2F2"/>
          </w:tcPr>
          <w:p w14:paraId="5F630182" w14:textId="4C6A749C" w:rsidR="003A0D20" w:rsidRDefault="003A0D20" w:rsidP="00E3415D">
            <w:pPr>
              <w:pStyle w:val="Box"/>
            </w:pPr>
            <w:r>
              <w:t>Prior to the Welfare to Work reforms (which commenced on 1</w:t>
            </w:r>
            <w:r w:rsidR="00935A28">
              <w:t> </w:t>
            </w:r>
            <w:r>
              <w:t xml:space="preserve">July 2006), people with disability who applied for income support were eligible for </w:t>
            </w:r>
            <w:proofErr w:type="spellStart"/>
            <w:r>
              <w:t>DSP</w:t>
            </w:r>
            <w:proofErr w:type="spellEnd"/>
            <w:r>
              <w:t xml:space="preserve"> if they were assessed as having a work capacity of less than 30 hours a week (for at least the following two years). From 1</w:t>
            </w:r>
            <w:r w:rsidR="00935A28">
              <w:t> </w:t>
            </w:r>
            <w:r>
              <w:t xml:space="preserve">July 2006, the threshold was reduced to 15 hours, and people with disability who have a work capacity of more than 15 hours a week have been assessed for alternative payments — usually </w:t>
            </w:r>
            <w:proofErr w:type="spellStart"/>
            <w:r>
              <w:t>Newstart</w:t>
            </w:r>
            <w:proofErr w:type="spellEnd"/>
            <w:r>
              <w:t xml:space="preserve"> or Youth Allowance. People on </w:t>
            </w:r>
            <w:proofErr w:type="spellStart"/>
            <w:r>
              <w:t>DSP</w:t>
            </w:r>
            <w:proofErr w:type="spellEnd"/>
            <w:r>
              <w:t xml:space="preserve"> at May 2005 were grandfathered, and a mix of the pre</w:t>
            </w:r>
            <w:r>
              <w:noBreakHyphen/>
              <w:t xml:space="preserve"> and post</w:t>
            </w:r>
            <w:r>
              <w:noBreakHyphen/>
              <w:t xml:space="preserve">Welfare to Work arrangements applied to people assessed between May 2005 and July 2006. People who are clearly eligible because of terminal illness or profound disability receive </w:t>
            </w:r>
            <w:proofErr w:type="spellStart"/>
            <w:r>
              <w:t>DSP</w:t>
            </w:r>
            <w:proofErr w:type="spellEnd"/>
            <w:r>
              <w:t xml:space="preserve"> without a job capacity assessment (</w:t>
            </w:r>
            <w:proofErr w:type="spellStart"/>
            <w:r>
              <w:t>JCA</w:t>
            </w:r>
            <w:proofErr w:type="spellEnd"/>
            <w:r>
              <w:t xml:space="preserve">). Initially, </w:t>
            </w:r>
            <w:r w:rsidR="00D67AF3">
              <w:t xml:space="preserve">employment service providers undertook </w:t>
            </w:r>
            <w:proofErr w:type="spellStart"/>
            <w:r w:rsidR="00D67AF3">
              <w:t>JCAs</w:t>
            </w:r>
            <w:proofErr w:type="spellEnd"/>
            <w:r>
              <w:t>. From July 2011, they have been undertaken by Centrelink or CRS Australia (formerly the Commonwealth Rehabilitation Service).</w:t>
            </w:r>
          </w:p>
          <w:p w14:paraId="743DCEFC" w14:textId="77777777" w:rsidR="003A0D20" w:rsidRDefault="003A0D20" w:rsidP="00E3415D">
            <w:pPr>
              <w:pStyle w:val="Box"/>
            </w:pPr>
            <w:r>
              <w:t xml:space="preserve">People who are assessed as eligible for </w:t>
            </w:r>
            <w:proofErr w:type="spellStart"/>
            <w:r>
              <w:t>DSP</w:t>
            </w:r>
            <w:proofErr w:type="spellEnd"/>
            <w:r>
              <w:t xml:space="preserve"> are classified as capable of either 0–7 or 8–14 hours of work a week. (People assessed between May 2005 and July 2006 can have a work capability of 15 or more hours).</w:t>
            </w:r>
          </w:p>
          <w:p w14:paraId="023A95EF" w14:textId="2C2A0677" w:rsidR="003A0D20" w:rsidRDefault="003A0D20" w:rsidP="00D507CF">
            <w:pPr>
              <w:pStyle w:val="Box"/>
            </w:pPr>
            <w:r>
              <w:t xml:space="preserve">A larger share of public housing tenants than </w:t>
            </w:r>
            <w:proofErr w:type="spellStart"/>
            <w:r>
              <w:t>CRA</w:t>
            </w:r>
            <w:proofErr w:type="spellEnd"/>
            <w:r>
              <w:t xml:space="preserve"> recipients on </w:t>
            </w:r>
            <w:proofErr w:type="spellStart"/>
            <w:r>
              <w:t>DSP</w:t>
            </w:r>
            <w:proofErr w:type="spellEnd"/>
            <w:r>
              <w:t xml:space="preserve"> are on grandfathered arrangements (47 versus 37 per cent). This suggests that </w:t>
            </w:r>
            <w:r w:rsidR="002A24B2">
              <w:t>work capacity</w:t>
            </w:r>
            <w:r>
              <w:t xml:space="preserve"> might be higher among public housing tenants (because a larger share would have a work capability of more than 15</w:t>
            </w:r>
            <w:r w:rsidR="00D507CF">
              <w:t> </w:t>
            </w:r>
            <w:r>
              <w:t xml:space="preserve">hours). On the other hand, among ISP recipients assessed for </w:t>
            </w:r>
            <w:proofErr w:type="spellStart"/>
            <w:r>
              <w:t>DSP</w:t>
            </w:r>
            <w:proofErr w:type="spellEnd"/>
            <w:r>
              <w:t xml:space="preserve"> since July 2006, 62</w:t>
            </w:r>
            <w:r w:rsidR="00D507CF">
              <w:t> </w:t>
            </w:r>
            <w:r>
              <w:t>per</w:t>
            </w:r>
            <w:r w:rsidR="00D507CF">
              <w:t> </w:t>
            </w:r>
            <w:r>
              <w:t xml:space="preserve">cent of public housing tenants are in the lower hours (0–7) category, in comparison with </w:t>
            </w:r>
            <w:r w:rsidR="00D507CF">
              <w:t>57 per </w:t>
            </w:r>
            <w:r>
              <w:t xml:space="preserve">cent of </w:t>
            </w:r>
            <w:proofErr w:type="spellStart"/>
            <w:r>
              <w:t>CRA</w:t>
            </w:r>
            <w:proofErr w:type="spellEnd"/>
            <w:r>
              <w:t xml:space="preserve"> recipients.</w:t>
            </w:r>
          </w:p>
        </w:tc>
      </w:tr>
      <w:tr w:rsidR="003A0D20" w14:paraId="3A7C5903" w14:textId="77777777" w:rsidTr="00E3415D">
        <w:trPr>
          <w:cantSplit/>
        </w:trPr>
        <w:tc>
          <w:tcPr>
            <w:tcW w:w="8771" w:type="dxa"/>
            <w:tcBorders>
              <w:top w:val="nil"/>
              <w:left w:val="nil"/>
              <w:bottom w:val="nil"/>
              <w:right w:val="nil"/>
            </w:tcBorders>
            <w:shd w:val="clear" w:color="auto" w:fill="F2F2F2"/>
          </w:tcPr>
          <w:p w14:paraId="5792EC34" w14:textId="33374886" w:rsidR="003A0D20" w:rsidRDefault="003A0D20" w:rsidP="002F0DFB">
            <w:pPr>
              <w:pStyle w:val="BoxSource"/>
            </w:pPr>
            <w:r>
              <w:rPr>
                <w:i/>
              </w:rPr>
              <w:t>Sources</w:t>
            </w:r>
            <w:r w:rsidRPr="00167F06">
              <w:t xml:space="preserve">: </w:t>
            </w:r>
            <w:proofErr w:type="spellStart"/>
            <w:r w:rsidRPr="00D74C4E">
              <w:rPr>
                <w:rFonts w:cs="Arial"/>
                <w:szCs w:val="24"/>
              </w:rPr>
              <w:t>DEEWR</w:t>
            </w:r>
            <w:proofErr w:type="spellEnd"/>
            <w:r w:rsidRPr="00D74C4E">
              <w:rPr>
                <w:rFonts w:cs="Arial"/>
                <w:szCs w:val="24"/>
              </w:rPr>
              <w:t> </w:t>
            </w:r>
            <w:r w:rsidR="002F0DFB">
              <w:rPr>
                <w:rFonts w:cs="Arial"/>
                <w:szCs w:val="24"/>
              </w:rPr>
              <w:t>(</w:t>
            </w:r>
            <w:r w:rsidRPr="00D74C4E">
              <w:rPr>
                <w:rFonts w:cs="Arial"/>
                <w:szCs w:val="24"/>
              </w:rPr>
              <w:t>2008</w:t>
            </w:r>
            <w:r w:rsidR="002F0DFB">
              <w:rPr>
                <w:rFonts w:cs="Arial"/>
                <w:szCs w:val="24"/>
              </w:rPr>
              <w:t>);</w:t>
            </w:r>
            <w:r>
              <w:t xml:space="preserve"> </w:t>
            </w:r>
            <w:r w:rsidRPr="00B5244C">
              <w:rPr>
                <w:rFonts w:cs="Arial"/>
                <w:szCs w:val="24"/>
              </w:rPr>
              <w:t>Welfare Rights Centre </w:t>
            </w:r>
            <w:r w:rsidR="002F0DFB">
              <w:rPr>
                <w:rFonts w:cs="Arial"/>
                <w:szCs w:val="24"/>
              </w:rPr>
              <w:t>(</w:t>
            </w:r>
            <w:r w:rsidRPr="00B5244C">
              <w:rPr>
                <w:rFonts w:cs="Arial"/>
                <w:szCs w:val="24"/>
              </w:rPr>
              <w:t>2011</w:t>
            </w:r>
            <w:r w:rsidR="002F0DFB">
              <w:rPr>
                <w:rFonts w:cs="Arial"/>
                <w:szCs w:val="24"/>
              </w:rPr>
              <w:t>);</w:t>
            </w:r>
            <w:r>
              <w:rPr>
                <w:rFonts w:cs="Arial"/>
                <w:szCs w:val="24"/>
              </w:rPr>
              <w:t xml:space="preserve"> </w:t>
            </w:r>
            <w:r w:rsidR="002F0DFB">
              <w:rPr>
                <w:rFonts w:cs="Arial"/>
                <w:szCs w:val="24"/>
              </w:rPr>
              <w:t>A</w:t>
            </w:r>
            <w:r>
              <w:t xml:space="preserve">uthor estimates from the </w:t>
            </w:r>
            <w:r w:rsidR="00D507CF">
              <w:t xml:space="preserve">Research and Evaluation Database </w:t>
            </w:r>
            <w:r>
              <w:t>(unpublished).</w:t>
            </w:r>
          </w:p>
        </w:tc>
      </w:tr>
      <w:tr w:rsidR="003A0D20" w14:paraId="0916F3F7" w14:textId="77777777" w:rsidTr="00E3415D">
        <w:trPr>
          <w:cantSplit/>
        </w:trPr>
        <w:tc>
          <w:tcPr>
            <w:tcW w:w="8771" w:type="dxa"/>
            <w:tcBorders>
              <w:top w:val="nil"/>
              <w:left w:val="nil"/>
              <w:bottom w:val="single" w:sz="6" w:space="0" w:color="78A22F"/>
              <w:right w:val="nil"/>
            </w:tcBorders>
            <w:shd w:val="clear" w:color="auto" w:fill="F2F2F2"/>
          </w:tcPr>
          <w:p w14:paraId="4F6FA4ED" w14:textId="77777777" w:rsidR="003A0D20" w:rsidRDefault="003A0D20" w:rsidP="00E3415D">
            <w:pPr>
              <w:pStyle w:val="Box"/>
              <w:spacing w:before="0" w:line="120" w:lineRule="exact"/>
            </w:pPr>
          </w:p>
        </w:tc>
      </w:tr>
      <w:tr w:rsidR="003A0D20" w:rsidRPr="000863A5" w14:paraId="3CF3DD5C" w14:textId="77777777" w:rsidTr="00E3415D">
        <w:tc>
          <w:tcPr>
            <w:tcW w:w="8771" w:type="dxa"/>
            <w:tcBorders>
              <w:top w:val="single" w:sz="6" w:space="0" w:color="78A22F"/>
              <w:left w:val="nil"/>
              <w:bottom w:val="nil"/>
              <w:right w:val="nil"/>
            </w:tcBorders>
          </w:tcPr>
          <w:p w14:paraId="5099F25E" w14:textId="121D002E" w:rsidR="003A0D20" w:rsidRPr="00626D32" w:rsidRDefault="003A0D20" w:rsidP="00E3415D">
            <w:pPr>
              <w:pStyle w:val="BoxSpaceBelow"/>
            </w:pPr>
          </w:p>
        </w:tc>
      </w:tr>
    </w:tbl>
    <w:p w14:paraId="1CA3AA0D" w14:textId="77777777" w:rsidR="00563C7B" w:rsidRDefault="00563C7B" w:rsidP="00563C7B">
      <w:pPr>
        <w:pStyle w:val="BoxSpaceAbove"/>
      </w:pPr>
      <w:r>
        <w:rPr>
          <w:b/>
          <w:vanish/>
          <w:color w:val="FF00FF"/>
          <w:sz w:val="14"/>
        </w:rPr>
        <w:lastRenderedPageBreak/>
        <w:t>Do not delete this RETURN as it gives space between the table and what precedes it.</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1983"/>
        <w:gridCol w:w="1334"/>
        <w:gridCol w:w="1204"/>
        <w:gridCol w:w="1113"/>
        <w:gridCol w:w="1007"/>
        <w:gridCol w:w="1134"/>
        <w:gridCol w:w="1019"/>
      </w:tblGrid>
      <w:tr w:rsidR="00563C7B" w14:paraId="73311E92" w14:textId="77777777" w:rsidTr="0080220E">
        <w:tc>
          <w:tcPr>
            <w:tcW w:w="8794" w:type="dxa"/>
            <w:gridSpan w:val="7"/>
            <w:tcBorders>
              <w:top w:val="single" w:sz="6" w:space="0" w:color="78A22F"/>
              <w:left w:val="nil"/>
              <w:bottom w:val="single" w:sz="6" w:space="0" w:color="BFBFBF"/>
              <w:right w:val="nil"/>
            </w:tcBorders>
            <w:shd w:val="clear" w:color="auto" w:fill="auto"/>
          </w:tcPr>
          <w:p w14:paraId="47E9E633" w14:textId="5D0F78B9" w:rsidR="00563C7B" w:rsidRPr="00784A05" w:rsidRDefault="00563C7B" w:rsidP="0080220E">
            <w:pPr>
              <w:pStyle w:val="TableTitle"/>
            </w:pPr>
            <w:r>
              <w:rPr>
                <w:b w:val="0"/>
              </w:rPr>
              <w:t xml:space="preserve">Table </w:t>
            </w:r>
            <w:r>
              <w:rPr>
                <w:b w:val="0"/>
              </w:rPr>
              <w:fldChar w:fldCharType="begin"/>
            </w:r>
            <w:r>
              <w:rPr>
                <w:b w:val="0"/>
              </w:rPr>
              <w:instrText xml:space="preserve"> SEQ Table \* ARABIC </w:instrText>
            </w:r>
            <w:r>
              <w:rPr>
                <w:b w:val="0"/>
              </w:rPr>
              <w:fldChar w:fldCharType="separate"/>
            </w:r>
            <w:r w:rsidR="00B5435E">
              <w:rPr>
                <w:b w:val="0"/>
                <w:noProof/>
              </w:rPr>
              <w:t>1</w:t>
            </w:r>
            <w:r>
              <w:rPr>
                <w:b w:val="0"/>
              </w:rPr>
              <w:fldChar w:fldCharType="end"/>
            </w:r>
            <w:r>
              <w:tab/>
            </w:r>
            <w:r w:rsidR="0080220E">
              <w:t>Estimates of the work capacity of public housing tenants</w:t>
            </w:r>
          </w:p>
        </w:tc>
      </w:tr>
      <w:tr w:rsidR="00563C7B" w14:paraId="1F02A40A" w14:textId="77777777" w:rsidTr="0080220E">
        <w:trPr>
          <w:cantSplit/>
          <w:trHeight w:val="32"/>
        </w:trPr>
        <w:tc>
          <w:tcPr>
            <w:tcW w:w="1983" w:type="dxa"/>
            <w:tcBorders>
              <w:top w:val="single" w:sz="6" w:space="0" w:color="BFBFBF"/>
              <w:left w:val="nil"/>
              <w:bottom w:val="nil"/>
              <w:right w:val="nil"/>
            </w:tcBorders>
            <w:shd w:val="clear" w:color="auto" w:fill="auto"/>
          </w:tcPr>
          <w:p w14:paraId="0EB9AF21" w14:textId="77777777" w:rsidR="00563C7B" w:rsidRPr="00563C7B" w:rsidRDefault="00563C7B" w:rsidP="00563C7B">
            <w:pPr>
              <w:pStyle w:val="TableColumnHeading"/>
              <w:rPr>
                <w:rStyle w:val="NoteLabel"/>
                <w:b w:val="0"/>
              </w:rPr>
            </w:pPr>
          </w:p>
        </w:tc>
        <w:tc>
          <w:tcPr>
            <w:tcW w:w="1334" w:type="dxa"/>
            <w:tcBorders>
              <w:top w:val="single" w:sz="6" w:space="0" w:color="BFBFBF"/>
              <w:left w:val="nil"/>
              <w:bottom w:val="nil"/>
              <w:right w:val="nil"/>
            </w:tcBorders>
            <w:shd w:val="clear" w:color="auto" w:fill="auto"/>
          </w:tcPr>
          <w:p w14:paraId="04803865" w14:textId="77777777" w:rsidR="00563C7B" w:rsidRPr="00563C7B" w:rsidRDefault="00563C7B" w:rsidP="00563C7B">
            <w:pPr>
              <w:pStyle w:val="TableColumnHeading"/>
              <w:rPr>
                <w:rStyle w:val="NoteLabel"/>
                <w:b w:val="0"/>
              </w:rPr>
            </w:pPr>
          </w:p>
        </w:tc>
        <w:tc>
          <w:tcPr>
            <w:tcW w:w="1204" w:type="dxa"/>
            <w:tcBorders>
              <w:top w:val="single" w:sz="6" w:space="0" w:color="BFBFBF"/>
              <w:left w:val="nil"/>
              <w:bottom w:val="nil"/>
              <w:right w:val="nil"/>
            </w:tcBorders>
            <w:shd w:val="clear" w:color="auto" w:fill="auto"/>
          </w:tcPr>
          <w:p w14:paraId="46001F08" w14:textId="77777777" w:rsidR="00563C7B" w:rsidRPr="00563C7B" w:rsidRDefault="00563C7B" w:rsidP="00563C7B">
            <w:pPr>
              <w:pStyle w:val="TableColumnHeading"/>
              <w:rPr>
                <w:rStyle w:val="NoteLabel"/>
                <w:b w:val="0"/>
              </w:rPr>
            </w:pPr>
          </w:p>
        </w:tc>
        <w:tc>
          <w:tcPr>
            <w:tcW w:w="1113" w:type="dxa"/>
            <w:tcBorders>
              <w:top w:val="single" w:sz="6" w:space="0" w:color="BFBFBF"/>
              <w:left w:val="nil"/>
              <w:bottom w:val="nil"/>
              <w:right w:val="nil"/>
            </w:tcBorders>
            <w:shd w:val="clear" w:color="auto" w:fill="auto"/>
          </w:tcPr>
          <w:p w14:paraId="0DB3536C" w14:textId="77777777" w:rsidR="00563C7B" w:rsidRPr="00563C7B" w:rsidRDefault="00563C7B" w:rsidP="00563C7B">
            <w:pPr>
              <w:pStyle w:val="TableColumnHeading"/>
              <w:rPr>
                <w:rStyle w:val="NoteLabel"/>
                <w:b w:val="0"/>
              </w:rPr>
            </w:pPr>
          </w:p>
        </w:tc>
        <w:tc>
          <w:tcPr>
            <w:tcW w:w="3160" w:type="dxa"/>
            <w:gridSpan w:val="3"/>
            <w:tcBorders>
              <w:top w:val="single" w:sz="6" w:space="0" w:color="BFBFBF"/>
              <w:left w:val="nil"/>
              <w:bottom w:val="single" w:sz="6" w:space="0" w:color="BFBFBF"/>
              <w:right w:val="nil"/>
            </w:tcBorders>
            <w:shd w:val="clear" w:color="auto" w:fill="auto"/>
          </w:tcPr>
          <w:p w14:paraId="7BC711CB" w14:textId="2C9364D5" w:rsidR="00563C7B" w:rsidRPr="00563C7B" w:rsidRDefault="00563C7B" w:rsidP="00563C7B">
            <w:pPr>
              <w:pStyle w:val="TableColumnHeading"/>
              <w:jc w:val="center"/>
              <w:rPr>
                <w:rStyle w:val="NoteLabel"/>
                <w:b w:val="0"/>
              </w:rPr>
            </w:pPr>
            <w:r w:rsidRPr="00563C7B">
              <w:rPr>
                <w:rStyle w:val="NoteLabel"/>
                <w:b w:val="0"/>
              </w:rPr>
              <w:t>Work capacity of those not working</w:t>
            </w:r>
          </w:p>
        </w:tc>
      </w:tr>
      <w:tr w:rsidR="00563C7B" w14:paraId="4365D83F" w14:textId="77777777" w:rsidTr="0080220E">
        <w:trPr>
          <w:cantSplit/>
          <w:trHeight w:val="20"/>
        </w:trPr>
        <w:tc>
          <w:tcPr>
            <w:tcW w:w="1983" w:type="dxa"/>
            <w:tcBorders>
              <w:top w:val="nil"/>
              <w:left w:val="nil"/>
              <w:bottom w:val="single" w:sz="6" w:space="0" w:color="BFBFBF"/>
              <w:right w:val="nil"/>
            </w:tcBorders>
            <w:shd w:val="clear" w:color="auto" w:fill="auto"/>
          </w:tcPr>
          <w:p w14:paraId="0F1C8E4C" w14:textId="1BF29994" w:rsidR="00563C7B" w:rsidRPr="00563C7B" w:rsidRDefault="00563C7B" w:rsidP="00563C7B">
            <w:pPr>
              <w:pStyle w:val="TableColumnHeading"/>
              <w:jc w:val="left"/>
              <w:rPr>
                <w:rStyle w:val="NoteLabel"/>
                <w:b w:val="0"/>
                <w:position w:val="0"/>
              </w:rPr>
            </w:pPr>
            <w:r w:rsidRPr="00563C7B">
              <w:rPr>
                <w:rStyle w:val="NoteLabel"/>
                <w:b w:val="0"/>
                <w:position w:val="0"/>
              </w:rPr>
              <w:t>Income support payment type</w:t>
            </w:r>
          </w:p>
        </w:tc>
        <w:tc>
          <w:tcPr>
            <w:tcW w:w="1334" w:type="dxa"/>
            <w:tcBorders>
              <w:top w:val="nil"/>
              <w:left w:val="nil"/>
              <w:bottom w:val="single" w:sz="6" w:space="0" w:color="BFBFBF"/>
              <w:right w:val="nil"/>
            </w:tcBorders>
            <w:shd w:val="clear" w:color="auto" w:fill="auto"/>
          </w:tcPr>
          <w:p w14:paraId="558BC104" w14:textId="598E0390" w:rsidR="00563C7B" w:rsidRPr="008E77FE" w:rsidRDefault="00563C7B" w:rsidP="00563C7B">
            <w:pPr>
              <w:pStyle w:val="TableColumnHeading"/>
              <w:rPr>
                <w:rStyle w:val="NoteLabel"/>
              </w:rPr>
            </w:pPr>
            <w:r w:rsidRPr="00563C7B">
              <w:t>Estimated population</w:t>
            </w:r>
            <w:r w:rsidRPr="00563C7B">
              <w:rPr>
                <w:rStyle w:val="NoteLabel"/>
              </w:rPr>
              <w:t>a</w:t>
            </w:r>
          </w:p>
        </w:tc>
        <w:tc>
          <w:tcPr>
            <w:tcW w:w="1204" w:type="dxa"/>
            <w:tcBorders>
              <w:top w:val="nil"/>
              <w:left w:val="nil"/>
              <w:bottom w:val="single" w:sz="6" w:space="0" w:color="BFBFBF"/>
              <w:right w:val="nil"/>
            </w:tcBorders>
            <w:shd w:val="clear" w:color="auto" w:fill="auto"/>
          </w:tcPr>
          <w:p w14:paraId="6D789443" w14:textId="382B8C6C" w:rsidR="00563C7B" w:rsidRPr="00563C7B" w:rsidRDefault="00563C7B" w:rsidP="00563C7B">
            <w:pPr>
              <w:pStyle w:val="TableColumnHeading"/>
              <w:rPr>
                <w:rStyle w:val="NoteLabel"/>
                <w:b w:val="0"/>
              </w:rPr>
            </w:pPr>
            <w:r w:rsidRPr="00563C7B">
              <w:rPr>
                <w:rStyle w:val="NoteLabel"/>
                <w:b w:val="0"/>
              </w:rPr>
              <w:t>Employed</w:t>
            </w:r>
          </w:p>
        </w:tc>
        <w:tc>
          <w:tcPr>
            <w:tcW w:w="1113" w:type="dxa"/>
            <w:tcBorders>
              <w:top w:val="nil"/>
              <w:left w:val="nil"/>
              <w:bottom w:val="single" w:sz="6" w:space="0" w:color="BFBFBF"/>
              <w:right w:val="nil"/>
            </w:tcBorders>
            <w:shd w:val="clear" w:color="auto" w:fill="auto"/>
          </w:tcPr>
          <w:p w14:paraId="45DCB810" w14:textId="79B6CE4B" w:rsidR="00563C7B" w:rsidRPr="00563C7B" w:rsidRDefault="00563C7B" w:rsidP="00563C7B">
            <w:pPr>
              <w:pStyle w:val="TableColumnHeading"/>
              <w:rPr>
                <w:rStyle w:val="NoteLabel"/>
                <w:b w:val="0"/>
              </w:rPr>
            </w:pPr>
            <w:r w:rsidRPr="00563C7B">
              <w:rPr>
                <w:rStyle w:val="NoteLabel"/>
                <w:b w:val="0"/>
              </w:rPr>
              <w:t>Not working</w:t>
            </w:r>
          </w:p>
        </w:tc>
        <w:tc>
          <w:tcPr>
            <w:tcW w:w="1007" w:type="dxa"/>
            <w:tcBorders>
              <w:top w:val="nil"/>
              <w:left w:val="nil"/>
              <w:bottom w:val="single" w:sz="6" w:space="0" w:color="BFBFBF"/>
              <w:right w:val="nil"/>
            </w:tcBorders>
            <w:shd w:val="clear" w:color="auto" w:fill="auto"/>
          </w:tcPr>
          <w:p w14:paraId="4AE31FAF" w14:textId="751502E3" w:rsidR="00563C7B" w:rsidRPr="00563C7B" w:rsidRDefault="00563C7B" w:rsidP="00563C7B">
            <w:pPr>
              <w:pStyle w:val="TableColumnHeading"/>
              <w:rPr>
                <w:rStyle w:val="NoteLabel"/>
                <w:b w:val="0"/>
              </w:rPr>
            </w:pPr>
            <w:r w:rsidRPr="00563C7B">
              <w:rPr>
                <w:rStyle w:val="NoteLabel"/>
                <w:b w:val="0"/>
              </w:rPr>
              <w:t>Higher</w:t>
            </w:r>
          </w:p>
        </w:tc>
        <w:tc>
          <w:tcPr>
            <w:tcW w:w="1134" w:type="dxa"/>
            <w:tcBorders>
              <w:top w:val="nil"/>
              <w:left w:val="nil"/>
              <w:bottom w:val="single" w:sz="6" w:space="0" w:color="BFBFBF"/>
              <w:right w:val="nil"/>
            </w:tcBorders>
            <w:shd w:val="clear" w:color="auto" w:fill="auto"/>
          </w:tcPr>
          <w:p w14:paraId="06434961" w14:textId="421CB108" w:rsidR="00563C7B" w:rsidRPr="00563C7B" w:rsidRDefault="00563C7B" w:rsidP="00563C7B">
            <w:pPr>
              <w:pStyle w:val="TableColumnHeading"/>
              <w:rPr>
                <w:rStyle w:val="NoteLabel"/>
                <w:b w:val="0"/>
              </w:rPr>
            </w:pPr>
            <w:r w:rsidRPr="00563C7B">
              <w:rPr>
                <w:rStyle w:val="NoteLabel"/>
                <w:b w:val="0"/>
              </w:rPr>
              <w:t>Lower</w:t>
            </w:r>
          </w:p>
        </w:tc>
        <w:tc>
          <w:tcPr>
            <w:tcW w:w="1019" w:type="dxa"/>
            <w:tcBorders>
              <w:top w:val="nil"/>
              <w:left w:val="nil"/>
              <w:bottom w:val="single" w:sz="6" w:space="0" w:color="BFBFBF"/>
              <w:right w:val="nil"/>
            </w:tcBorders>
            <w:shd w:val="clear" w:color="auto" w:fill="auto"/>
          </w:tcPr>
          <w:p w14:paraId="36CF225B" w14:textId="61C04F67" w:rsidR="00563C7B" w:rsidRPr="00563C7B" w:rsidRDefault="00563C7B" w:rsidP="00563C7B">
            <w:pPr>
              <w:pStyle w:val="TableColumnHeading"/>
              <w:rPr>
                <w:rStyle w:val="NoteLabel"/>
                <w:b w:val="0"/>
              </w:rPr>
            </w:pPr>
            <w:r w:rsidRPr="00563C7B">
              <w:rPr>
                <w:rStyle w:val="NoteLabel"/>
                <w:b w:val="0"/>
              </w:rPr>
              <w:t>None</w:t>
            </w:r>
          </w:p>
        </w:tc>
      </w:tr>
      <w:tr w:rsidR="00563C7B" w14:paraId="04FF877F" w14:textId="77777777" w:rsidTr="0080220E">
        <w:trPr>
          <w:cantSplit/>
          <w:trHeight w:val="20"/>
        </w:trPr>
        <w:tc>
          <w:tcPr>
            <w:tcW w:w="1983" w:type="dxa"/>
            <w:tcBorders>
              <w:top w:val="single" w:sz="6" w:space="0" w:color="BFBFBF"/>
              <w:left w:val="nil"/>
              <w:bottom w:val="nil"/>
              <w:right w:val="nil"/>
            </w:tcBorders>
            <w:shd w:val="clear" w:color="auto" w:fill="auto"/>
            <w:vAlign w:val="center"/>
          </w:tcPr>
          <w:p w14:paraId="36CD0E68" w14:textId="16970281" w:rsidR="00563C7B" w:rsidRPr="008E77FE" w:rsidRDefault="00563C7B" w:rsidP="00B5435E">
            <w:pPr>
              <w:pStyle w:val="TableUnitsRow"/>
              <w:jc w:val="left"/>
              <w:rPr>
                <w:rStyle w:val="NoteLabel"/>
              </w:rPr>
            </w:pPr>
            <w:r>
              <w:t>Disability support pension</w:t>
            </w:r>
            <w:r w:rsidRPr="00563C7B">
              <w:rPr>
                <w:rStyle w:val="NoteLabel"/>
              </w:rPr>
              <w:t>b</w:t>
            </w:r>
          </w:p>
        </w:tc>
        <w:tc>
          <w:tcPr>
            <w:tcW w:w="1334" w:type="dxa"/>
            <w:tcBorders>
              <w:top w:val="single" w:sz="6" w:space="0" w:color="BFBFBF"/>
              <w:left w:val="nil"/>
              <w:bottom w:val="nil"/>
              <w:right w:val="nil"/>
            </w:tcBorders>
            <w:shd w:val="clear" w:color="auto" w:fill="auto"/>
            <w:vAlign w:val="center"/>
          </w:tcPr>
          <w:p w14:paraId="73AE85C4" w14:textId="3A47BA3F" w:rsidR="00563C7B" w:rsidRPr="008E77FE" w:rsidRDefault="00563C7B" w:rsidP="00B5435E">
            <w:pPr>
              <w:pStyle w:val="TableUnitsRow"/>
              <w:rPr>
                <w:rStyle w:val="NoteLabel"/>
              </w:rPr>
            </w:pPr>
            <w:r>
              <w:t>149 500</w:t>
            </w:r>
          </w:p>
        </w:tc>
        <w:tc>
          <w:tcPr>
            <w:tcW w:w="1204" w:type="dxa"/>
            <w:tcBorders>
              <w:top w:val="single" w:sz="6" w:space="0" w:color="BFBFBF"/>
              <w:left w:val="nil"/>
              <w:bottom w:val="nil"/>
              <w:right w:val="nil"/>
            </w:tcBorders>
            <w:shd w:val="clear" w:color="auto" w:fill="auto"/>
            <w:vAlign w:val="center"/>
          </w:tcPr>
          <w:p w14:paraId="094EB62E" w14:textId="6CC0E33E" w:rsidR="00563C7B" w:rsidRPr="008E77FE" w:rsidRDefault="00563C7B" w:rsidP="00B5435E">
            <w:pPr>
              <w:pStyle w:val="TableUnitsRow"/>
              <w:rPr>
                <w:rStyle w:val="NoteLabel"/>
              </w:rPr>
            </w:pPr>
            <w:r>
              <w:t>9 000</w:t>
            </w:r>
          </w:p>
        </w:tc>
        <w:tc>
          <w:tcPr>
            <w:tcW w:w="1113" w:type="dxa"/>
            <w:tcBorders>
              <w:top w:val="single" w:sz="6" w:space="0" w:color="BFBFBF"/>
              <w:left w:val="nil"/>
              <w:bottom w:val="nil"/>
              <w:right w:val="nil"/>
            </w:tcBorders>
            <w:shd w:val="clear" w:color="auto" w:fill="auto"/>
            <w:vAlign w:val="center"/>
          </w:tcPr>
          <w:p w14:paraId="2BAFAD7F" w14:textId="3EDAB1FE" w:rsidR="00563C7B" w:rsidRPr="008E77FE" w:rsidRDefault="00563C7B" w:rsidP="00B5435E">
            <w:pPr>
              <w:pStyle w:val="TableUnitsRow"/>
              <w:rPr>
                <w:rStyle w:val="NoteLabel"/>
              </w:rPr>
            </w:pPr>
            <w:r>
              <w:t>140 500</w:t>
            </w:r>
          </w:p>
        </w:tc>
        <w:tc>
          <w:tcPr>
            <w:tcW w:w="1007" w:type="dxa"/>
            <w:tcBorders>
              <w:top w:val="single" w:sz="6" w:space="0" w:color="BFBFBF"/>
              <w:left w:val="nil"/>
              <w:bottom w:val="nil"/>
              <w:right w:val="nil"/>
            </w:tcBorders>
            <w:shd w:val="clear" w:color="auto" w:fill="auto"/>
            <w:vAlign w:val="center"/>
          </w:tcPr>
          <w:p w14:paraId="42340D3F" w14:textId="66EB2979" w:rsidR="00563C7B" w:rsidRPr="008E77FE" w:rsidRDefault="00563C7B" w:rsidP="00B5435E">
            <w:pPr>
              <w:pStyle w:val="TableUnitsRow"/>
              <w:rPr>
                <w:rStyle w:val="NoteLabel"/>
              </w:rPr>
            </w:pPr>
            <w:r>
              <w:t>52 000</w:t>
            </w:r>
          </w:p>
        </w:tc>
        <w:tc>
          <w:tcPr>
            <w:tcW w:w="1134" w:type="dxa"/>
            <w:tcBorders>
              <w:top w:val="single" w:sz="6" w:space="0" w:color="BFBFBF"/>
              <w:left w:val="nil"/>
              <w:bottom w:val="nil"/>
              <w:right w:val="nil"/>
            </w:tcBorders>
            <w:shd w:val="clear" w:color="auto" w:fill="auto"/>
            <w:vAlign w:val="center"/>
          </w:tcPr>
          <w:p w14:paraId="61ECF304" w14:textId="66A2FCBE" w:rsidR="00563C7B" w:rsidRPr="008E77FE" w:rsidRDefault="00563C7B" w:rsidP="00B5435E">
            <w:pPr>
              <w:pStyle w:val="TableUnitsRow"/>
              <w:rPr>
                <w:rStyle w:val="NoteLabel"/>
              </w:rPr>
            </w:pPr>
            <w:r>
              <w:t>83 900</w:t>
            </w:r>
          </w:p>
        </w:tc>
        <w:tc>
          <w:tcPr>
            <w:tcW w:w="1019" w:type="dxa"/>
            <w:tcBorders>
              <w:top w:val="single" w:sz="6" w:space="0" w:color="BFBFBF"/>
              <w:left w:val="nil"/>
              <w:bottom w:val="nil"/>
              <w:right w:val="nil"/>
            </w:tcBorders>
            <w:shd w:val="clear" w:color="auto" w:fill="auto"/>
            <w:vAlign w:val="center"/>
          </w:tcPr>
          <w:p w14:paraId="3525C4E6" w14:textId="71F3F363" w:rsidR="00563C7B" w:rsidRPr="008E77FE" w:rsidRDefault="00563C7B" w:rsidP="00B5435E">
            <w:pPr>
              <w:pStyle w:val="TableUnitsRow"/>
              <w:rPr>
                <w:rStyle w:val="NoteLabel"/>
              </w:rPr>
            </w:pPr>
          </w:p>
        </w:tc>
      </w:tr>
      <w:tr w:rsidR="00563C7B" w14:paraId="76FE6F1C" w14:textId="77777777" w:rsidTr="0080220E">
        <w:trPr>
          <w:cantSplit/>
          <w:trHeight w:val="20"/>
        </w:trPr>
        <w:tc>
          <w:tcPr>
            <w:tcW w:w="1983" w:type="dxa"/>
            <w:tcBorders>
              <w:top w:val="nil"/>
              <w:left w:val="nil"/>
              <w:bottom w:val="nil"/>
              <w:right w:val="nil"/>
            </w:tcBorders>
            <w:shd w:val="clear" w:color="auto" w:fill="auto"/>
            <w:vAlign w:val="center"/>
          </w:tcPr>
          <w:p w14:paraId="5B3E3A87" w14:textId="15C6F38C" w:rsidR="00563C7B" w:rsidRPr="008E77FE" w:rsidRDefault="00563C7B" w:rsidP="00B5435E">
            <w:pPr>
              <w:pStyle w:val="TableBodyText"/>
              <w:ind w:left="170"/>
              <w:jc w:val="left"/>
              <w:rPr>
                <w:rStyle w:val="NoteLabel"/>
              </w:rPr>
            </w:pPr>
            <w:r>
              <w:t>(Grandfathered recipients)</w:t>
            </w:r>
          </w:p>
        </w:tc>
        <w:tc>
          <w:tcPr>
            <w:tcW w:w="1334" w:type="dxa"/>
            <w:tcBorders>
              <w:top w:val="nil"/>
              <w:left w:val="nil"/>
              <w:bottom w:val="nil"/>
              <w:right w:val="nil"/>
            </w:tcBorders>
            <w:shd w:val="clear" w:color="auto" w:fill="auto"/>
            <w:vAlign w:val="center"/>
          </w:tcPr>
          <w:p w14:paraId="7D58266E" w14:textId="0C79F244" w:rsidR="00563C7B" w:rsidRPr="008E77FE" w:rsidRDefault="00563C7B" w:rsidP="00563C7B">
            <w:pPr>
              <w:pStyle w:val="TableBodyText"/>
              <w:rPr>
                <w:rStyle w:val="NoteLabel"/>
              </w:rPr>
            </w:pPr>
            <w:r>
              <w:t>69 700</w:t>
            </w:r>
          </w:p>
        </w:tc>
        <w:tc>
          <w:tcPr>
            <w:tcW w:w="1204" w:type="dxa"/>
            <w:tcBorders>
              <w:top w:val="nil"/>
              <w:left w:val="nil"/>
              <w:bottom w:val="nil"/>
              <w:right w:val="nil"/>
            </w:tcBorders>
            <w:shd w:val="clear" w:color="auto" w:fill="auto"/>
            <w:vAlign w:val="center"/>
          </w:tcPr>
          <w:p w14:paraId="39C73E8D" w14:textId="77777777" w:rsidR="00563C7B" w:rsidRPr="008E77FE" w:rsidRDefault="00563C7B" w:rsidP="00563C7B">
            <w:pPr>
              <w:pStyle w:val="TableBodyText"/>
              <w:rPr>
                <w:rStyle w:val="NoteLabel"/>
              </w:rPr>
            </w:pPr>
          </w:p>
        </w:tc>
        <w:tc>
          <w:tcPr>
            <w:tcW w:w="1113" w:type="dxa"/>
            <w:tcBorders>
              <w:top w:val="nil"/>
              <w:left w:val="nil"/>
              <w:bottom w:val="nil"/>
              <w:right w:val="nil"/>
            </w:tcBorders>
            <w:shd w:val="clear" w:color="auto" w:fill="auto"/>
            <w:vAlign w:val="center"/>
          </w:tcPr>
          <w:p w14:paraId="2BB772FA" w14:textId="77777777" w:rsidR="00563C7B" w:rsidRPr="008E77FE" w:rsidRDefault="00563C7B" w:rsidP="00563C7B">
            <w:pPr>
              <w:pStyle w:val="TableBodyText"/>
              <w:rPr>
                <w:rStyle w:val="NoteLabel"/>
              </w:rPr>
            </w:pPr>
          </w:p>
        </w:tc>
        <w:tc>
          <w:tcPr>
            <w:tcW w:w="1007" w:type="dxa"/>
            <w:tcBorders>
              <w:top w:val="nil"/>
              <w:left w:val="nil"/>
              <w:bottom w:val="nil"/>
              <w:right w:val="nil"/>
            </w:tcBorders>
            <w:shd w:val="clear" w:color="auto" w:fill="auto"/>
            <w:vAlign w:val="center"/>
          </w:tcPr>
          <w:p w14:paraId="426BEEFE" w14:textId="77777777" w:rsidR="00563C7B" w:rsidRPr="008E77FE" w:rsidRDefault="00563C7B" w:rsidP="00563C7B">
            <w:pPr>
              <w:pStyle w:val="TableBodyText"/>
              <w:rPr>
                <w:rStyle w:val="NoteLabel"/>
              </w:rPr>
            </w:pPr>
          </w:p>
        </w:tc>
        <w:tc>
          <w:tcPr>
            <w:tcW w:w="1134" w:type="dxa"/>
            <w:tcBorders>
              <w:top w:val="nil"/>
              <w:left w:val="nil"/>
              <w:bottom w:val="nil"/>
              <w:right w:val="nil"/>
            </w:tcBorders>
            <w:shd w:val="clear" w:color="auto" w:fill="auto"/>
            <w:vAlign w:val="center"/>
          </w:tcPr>
          <w:p w14:paraId="41BC5ACB" w14:textId="77777777" w:rsidR="00563C7B" w:rsidRPr="008E77FE" w:rsidRDefault="00563C7B" w:rsidP="00563C7B">
            <w:pPr>
              <w:pStyle w:val="TableBodyText"/>
              <w:rPr>
                <w:rStyle w:val="NoteLabel"/>
              </w:rPr>
            </w:pPr>
          </w:p>
        </w:tc>
        <w:tc>
          <w:tcPr>
            <w:tcW w:w="1019" w:type="dxa"/>
            <w:tcBorders>
              <w:top w:val="nil"/>
              <w:left w:val="nil"/>
              <w:bottom w:val="nil"/>
              <w:right w:val="nil"/>
            </w:tcBorders>
            <w:shd w:val="clear" w:color="auto" w:fill="auto"/>
            <w:vAlign w:val="center"/>
          </w:tcPr>
          <w:p w14:paraId="59FDC1BE" w14:textId="40496897" w:rsidR="00563C7B" w:rsidRPr="008E77FE" w:rsidRDefault="00563C7B" w:rsidP="00563C7B">
            <w:pPr>
              <w:pStyle w:val="TableBodyText"/>
              <w:rPr>
                <w:rStyle w:val="NoteLabel"/>
              </w:rPr>
            </w:pPr>
          </w:p>
        </w:tc>
      </w:tr>
      <w:tr w:rsidR="00563C7B" w14:paraId="1453677D" w14:textId="77777777" w:rsidTr="0080220E">
        <w:trPr>
          <w:cantSplit/>
          <w:trHeight w:val="20"/>
        </w:trPr>
        <w:tc>
          <w:tcPr>
            <w:tcW w:w="1983" w:type="dxa"/>
            <w:tcBorders>
              <w:top w:val="nil"/>
              <w:left w:val="nil"/>
              <w:bottom w:val="nil"/>
              <w:right w:val="nil"/>
            </w:tcBorders>
            <w:shd w:val="clear" w:color="auto" w:fill="auto"/>
            <w:vAlign w:val="center"/>
          </w:tcPr>
          <w:p w14:paraId="0B53AF19" w14:textId="3D4FDB38" w:rsidR="00563C7B" w:rsidRPr="008E77FE" w:rsidRDefault="00563C7B" w:rsidP="00B5435E">
            <w:pPr>
              <w:pStyle w:val="TableBodyText"/>
              <w:ind w:left="170"/>
              <w:jc w:val="left"/>
              <w:rPr>
                <w:rStyle w:val="NoteLabel"/>
              </w:rPr>
            </w:pPr>
            <w:r>
              <w:t>Profoundly disabled</w:t>
            </w:r>
          </w:p>
        </w:tc>
        <w:tc>
          <w:tcPr>
            <w:tcW w:w="1334" w:type="dxa"/>
            <w:tcBorders>
              <w:top w:val="nil"/>
              <w:left w:val="nil"/>
              <w:bottom w:val="nil"/>
              <w:right w:val="nil"/>
            </w:tcBorders>
            <w:shd w:val="clear" w:color="auto" w:fill="auto"/>
            <w:vAlign w:val="center"/>
          </w:tcPr>
          <w:p w14:paraId="247117B1" w14:textId="3B99B5E1" w:rsidR="00563C7B" w:rsidRPr="008E77FE" w:rsidRDefault="00563C7B" w:rsidP="00563C7B">
            <w:pPr>
              <w:pStyle w:val="TableBodyText"/>
              <w:rPr>
                <w:rStyle w:val="NoteLabel"/>
              </w:rPr>
            </w:pPr>
            <w:r>
              <w:t>4 600</w:t>
            </w:r>
          </w:p>
        </w:tc>
        <w:tc>
          <w:tcPr>
            <w:tcW w:w="1204" w:type="dxa"/>
            <w:tcBorders>
              <w:top w:val="nil"/>
              <w:left w:val="nil"/>
              <w:bottom w:val="nil"/>
              <w:right w:val="nil"/>
            </w:tcBorders>
            <w:shd w:val="clear" w:color="auto" w:fill="auto"/>
            <w:vAlign w:val="center"/>
          </w:tcPr>
          <w:p w14:paraId="21A6B154" w14:textId="77777777" w:rsidR="00563C7B" w:rsidRPr="008E77FE" w:rsidRDefault="00563C7B" w:rsidP="00563C7B">
            <w:pPr>
              <w:pStyle w:val="TableBodyText"/>
              <w:rPr>
                <w:rStyle w:val="NoteLabel"/>
              </w:rPr>
            </w:pPr>
          </w:p>
        </w:tc>
        <w:tc>
          <w:tcPr>
            <w:tcW w:w="1113" w:type="dxa"/>
            <w:tcBorders>
              <w:top w:val="nil"/>
              <w:left w:val="nil"/>
              <w:bottom w:val="nil"/>
              <w:right w:val="nil"/>
            </w:tcBorders>
            <w:shd w:val="clear" w:color="auto" w:fill="auto"/>
            <w:vAlign w:val="center"/>
          </w:tcPr>
          <w:p w14:paraId="12ED96B2" w14:textId="77777777" w:rsidR="00563C7B" w:rsidRPr="008E77FE" w:rsidRDefault="00563C7B" w:rsidP="00563C7B">
            <w:pPr>
              <w:pStyle w:val="TableBodyText"/>
              <w:rPr>
                <w:rStyle w:val="NoteLabel"/>
              </w:rPr>
            </w:pPr>
          </w:p>
        </w:tc>
        <w:tc>
          <w:tcPr>
            <w:tcW w:w="1007" w:type="dxa"/>
            <w:tcBorders>
              <w:top w:val="nil"/>
              <w:left w:val="nil"/>
              <w:bottom w:val="nil"/>
              <w:right w:val="nil"/>
            </w:tcBorders>
            <w:shd w:val="clear" w:color="auto" w:fill="auto"/>
            <w:vAlign w:val="center"/>
          </w:tcPr>
          <w:p w14:paraId="7F41F8BD" w14:textId="77777777" w:rsidR="00563C7B" w:rsidRPr="008E77FE" w:rsidRDefault="00563C7B" w:rsidP="00563C7B">
            <w:pPr>
              <w:pStyle w:val="TableBodyText"/>
              <w:rPr>
                <w:rStyle w:val="NoteLabel"/>
              </w:rPr>
            </w:pPr>
          </w:p>
        </w:tc>
        <w:tc>
          <w:tcPr>
            <w:tcW w:w="1134" w:type="dxa"/>
            <w:tcBorders>
              <w:top w:val="nil"/>
              <w:left w:val="nil"/>
              <w:bottom w:val="nil"/>
              <w:right w:val="nil"/>
            </w:tcBorders>
            <w:shd w:val="clear" w:color="auto" w:fill="auto"/>
            <w:vAlign w:val="center"/>
          </w:tcPr>
          <w:p w14:paraId="20F05DC1" w14:textId="77777777" w:rsidR="00563C7B" w:rsidRPr="008E77FE" w:rsidRDefault="00563C7B" w:rsidP="00563C7B">
            <w:pPr>
              <w:pStyle w:val="TableBodyText"/>
              <w:rPr>
                <w:rStyle w:val="NoteLabel"/>
              </w:rPr>
            </w:pPr>
          </w:p>
        </w:tc>
        <w:tc>
          <w:tcPr>
            <w:tcW w:w="1019" w:type="dxa"/>
            <w:tcBorders>
              <w:top w:val="nil"/>
              <w:left w:val="nil"/>
              <w:bottom w:val="nil"/>
              <w:right w:val="nil"/>
            </w:tcBorders>
            <w:shd w:val="clear" w:color="auto" w:fill="auto"/>
            <w:vAlign w:val="center"/>
          </w:tcPr>
          <w:p w14:paraId="19F98441" w14:textId="12E35DF8" w:rsidR="00563C7B" w:rsidRPr="008E77FE" w:rsidRDefault="00563C7B" w:rsidP="00563C7B">
            <w:pPr>
              <w:pStyle w:val="TableBodyText"/>
              <w:rPr>
                <w:rStyle w:val="NoteLabel"/>
              </w:rPr>
            </w:pPr>
            <w:r>
              <w:t>4 600</w:t>
            </w:r>
          </w:p>
        </w:tc>
      </w:tr>
      <w:tr w:rsidR="0080220E" w14:paraId="04E72370" w14:textId="77777777" w:rsidTr="00F672C1">
        <w:trPr>
          <w:cantSplit/>
          <w:trHeight w:val="20"/>
        </w:trPr>
        <w:tc>
          <w:tcPr>
            <w:tcW w:w="3317" w:type="dxa"/>
            <w:gridSpan w:val="2"/>
            <w:tcBorders>
              <w:top w:val="nil"/>
              <w:left w:val="nil"/>
              <w:bottom w:val="nil"/>
              <w:right w:val="nil"/>
            </w:tcBorders>
            <w:shd w:val="clear" w:color="auto" w:fill="auto"/>
            <w:vAlign w:val="center"/>
          </w:tcPr>
          <w:p w14:paraId="0531203C" w14:textId="2FED271C" w:rsidR="0080220E" w:rsidRPr="008E77FE" w:rsidRDefault="0080220E" w:rsidP="00B5435E">
            <w:pPr>
              <w:pStyle w:val="TableBodyText"/>
              <w:ind w:left="170"/>
              <w:jc w:val="left"/>
              <w:rPr>
                <w:rStyle w:val="NoteLabel"/>
              </w:rPr>
            </w:pPr>
            <w:r>
              <w:t>Work capacity bandwidth</w:t>
            </w:r>
          </w:p>
        </w:tc>
        <w:tc>
          <w:tcPr>
            <w:tcW w:w="1204" w:type="dxa"/>
            <w:tcBorders>
              <w:top w:val="nil"/>
              <w:left w:val="nil"/>
              <w:bottom w:val="nil"/>
              <w:right w:val="nil"/>
            </w:tcBorders>
            <w:shd w:val="clear" w:color="auto" w:fill="auto"/>
            <w:vAlign w:val="center"/>
          </w:tcPr>
          <w:p w14:paraId="48AE5C70" w14:textId="77777777" w:rsidR="0080220E" w:rsidRPr="008E77FE" w:rsidRDefault="0080220E" w:rsidP="00563C7B">
            <w:pPr>
              <w:pStyle w:val="TableBodyText"/>
              <w:rPr>
                <w:rStyle w:val="NoteLabel"/>
              </w:rPr>
            </w:pPr>
          </w:p>
        </w:tc>
        <w:tc>
          <w:tcPr>
            <w:tcW w:w="1113" w:type="dxa"/>
            <w:tcBorders>
              <w:top w:val="nil"/>
              <w:left w:val="nil"/>
              <w:bottom w:val="nil"/>
              <w:right w:val="nil"/>
            </w:tcBorders>
            <w:shd w:val="clear" w:color="auto" w:fill="auto"/>
            <w:vAlign w:val="center"/>
          </w:tcPr>
          <w:p w14:paraId="641D08D5" w14:textId="77777777" w:rsidR="0080220E" w:rsidRPr="008E77FE" w:rsidRDefault="0080220E" w:rsidP="00563C7B">
            <w:pPr>
              <w:pStyle w:val="TableBodyText"/>
              <w:rPr>
                <w:rStyle w:val="NoteLabel"/>
              </w:rPr>
            </w:pPr>
          </w:p>
        </w:tc>
        <w:tc>
          <w:tcPr>
            <w:tcW w:w="1007" w:type="dxa"/>
            <w:tcBorders>
              <w:top w:val="nil"/>
              <w:left w:val="nil"/>
              <w:bottom w:val="nil"/>
              <w:right w:val="nil"/>
            </w:tcBorders>
            <w:shd w:val="clear" w:color="auto" w:fill="auto"/>
            <w:vAlign w:val="center"/>
          </w:tcPr>
          <w:p w14:paraId="2130302F" w14:textId="77777777" w:rsidR="0080220E" w:rsidRPr="008E77FE" w:rsidRDefault="0080220E" w:rsidP="00563C7B">
            <w:pPr>
              <w:pStyle w:val="TableBodyText"/>
              <w:rPr>
                <w:rStyle w:val="NoteLabel"/>
              </w:rPr>
            </w:pPr>
          </w:p>
        </w:tc>
        <w:tc>
          <w:tcPr>
            <w:tcW w:w="1134" w:type="dxa"/>
            <w:tcBorders>
              <w:top w:val="nil"/>
              <w:left w:val="nil"/>
              <w:bottom w:val="nil"/>
              <w:right w:val="nil"/>
            </w:tcBorders>
            <w:shd w:val="clear" w:color="auto" w:fill="auto"/>
            <w:vAlign w:val="center"/>
          </w:tcPr>
          <w:p w14:paraId="50B52CD3" w14:textId="77777777" w:rsidR="0080220E" w:rsidRPr="008E77FE" w:rsidRDefault="0080220E" w:rsidP="00563C7B">
            <w:pPr>
              <w:pStyle w:val="TableBodyText"/>
              <w:rPr>
                <w:rStyle w:val="NoteLabel"/>
              </w:rPr>
            </w:pPr>
          </w:p>
        </w:tc>
        <w:tc>
          <w:tcPr>
            <w:tcW w:w="1019" w:type="dxa"/>
            <w:tcBorders>
              <w:top w:val="nil"/>
              <w:left w:val="nil"/>
              <w:bottom w:val="nil"/>
              <w:right w:val="nil"/>
            </w:tcBorders>
            <w:shd w:val="clear" w:color="auto" w:fill="auto"/>
            <w:vAlign w:val="center"/>
          </w:tcPr>
          <w:p w14:paraId="5EB5F0E3" w14:textId="650F866A" w:rsidR="0080220E" w:rsidRPr="008E77FE" w:rsidRDefault="0080220E" w:rsidP="00563C7B">
            <w:pPr>
              <w:pStyle w:val="TableBodyText"/>
              <w:rPr>
                <w:rStyle w:val="NoteLabel"/>
              </w:rPr>
            </w:pPr>
          </w:p>
        </w:tc>
      </w:tr>
      <w:tr w:rsidR="00563C7B" w14:paraId="70910348" w14:textId="77777777" w:rsidTr="0080220E">
        <w:trPr>
          <w:cantSplit/>
          <w:trHeight w:val="20"/>
        </w:trPr>
        <w:tc>
          <w:tcPr>
            <w:tcW w:w="1983" w:type="dxa"/>
            <w:tcBorders>
              <w:top w:val="nil"/>
              <w:left w:val="nil"/>
              <w:bottom w:val="nil"/>
              <w:right w:val="nil"/>
            </w:tcBorders>
            <w:shd w:val="clear" w:color="auto" w:fill="auto"/>
            <w:vAlign w:val="center"/>
          </w:tcPr>
          <w:p w14:paraId="438683AA" w14:textId="78828674" w:rsidR="00563C7B" w:rsidRPr="008E77FE" w:rsidRDefault="00563C7B" w:rsidP="00B5435E">
            <w:pPr>
              <w:pStyle w:val="TableBodyText"/>
              <w:ind w:left="340"/>
              <w:jc w:val="left"/>
              <w:rPr>
                <w:rStyle w:val="NoteLabel"/>
              </w:rPr>
            </w:pPr>
            <w:r>
              <w:t>0–7</w:t>
            </w:r>
          </w:p>
        </w:tc>
        <w:tc>
          <w:tcPr>
            <w:tcW w:w="1334" w:type="dxa"/>
            <w:tcBorders>
              <w:top w:val="nil"/>
              <w:left w:val="nil"/>
              <w:bottom w:val="nil"/>
              <w:right w:val="nil"/>
            </w:tcBorders>
            <w:shd w:val="clear" w:color="auto" w:fill="auto"/>
            <w:vAlign w:val="center"/>
          </w:tcPr>
          <w:p w14:paraId="1A75F7DD" w14:textId="426D1750" w:rsidR="00563C7B" w:rsidRPr="008E77FE" w:rsidRDefault="00563C7B" w:rsidP="00563C7B">
            <w:pPr>
              <w:pStyle w:val="TableBodyText"/>
              <w:rPr>
                <w:rStyle w:val="NoteLabel"/>
              </w:rPr>
            </w:pPr>
            <w:r>
              <w:t>85 300</w:t>
            </w:r>
          </w:p>
        </w:tc>
        <w:tc>
          <w:tcPr>
            <w:tcW w:w="1204" w:type="dxa"/>
            <w:tcBorders>
              <w:top w:val="nil"/>
              <w:left w:val="nil"/>
              <w:bottom w:val="nil"/>
              <w:right w:val="nil"/>
            </w:tcBorders>
            <w:shd w:val="clear" w:color="auto" w:fill="auto"/>
            <w:vAlign w:val="center"/>
          </w:tcPr>
          <w:p w14:paraId="3AB28A5D" w14:textId="6E24259C" w:rsidR="00563C7B" w:rsidRPr="008E77FE" w:rsidRDefault="00563C7B" w:rsidP="00563C7B">
            <w:pPr>
              <w:pStyle w:val="TableBodyText"/>
              <w:rPr>
                <w:rStyle w:val="NoteLabel"/>
              </w:rPr>
            </w:pPr>
            <w:r>
              <w:t>1 400</w:t>
            </w:r>
          </w:p>
        </w:tc>
        <w:tc>
          <w:tcPr>
            <w:tcW w:w="1113" w:type="dxa"/>
            <w:tcBorders>
              <w:top w:val="nil"/>
              <w:left w:val="nil"/>
              <w:bottom w:val="nil"/>
              <w:right w:val="nil"/>
            </w:tcBorders>
            <w:shd w:val="clear" w:color="auto" w:fill="auto"/>
            <w:vAlign w:val="center"/>
          </w:tcPr>
          <w:p w14:paraId="6E72EAA6" w14:textId="7BC3D1CC" w:rsidR="00563C7B" w:rsidRPr="008E77FE" w:rsidRDefault="00563C7B" w:rsidP="00563C7B">
            <w:pPr>
              <w:pStyle w:val="TableBodyText"/>
              <w:rPr>
                <w:rStyle w:val="NoteLabel"/>
              </w:rPr>
            </w:pPr>
            <w:r>
              <w:t>83 900</w:t>
            </w:r>
          </w:p>
        </w:tc>
        <w:tc>
          <w:tcPr>
            <w:tcW w:w="1007" w:type="dxa"/>
            <w:tcBorders>
              <w:top w:val="nil"/>
              <w:left w:val="nil"/>
              <w:bottom w:val="nil"/>
              <w:right w:val="nil"/>
            </w:tcBorders>
            <w:shd w:val="clear" w:color="auto" w:fill="auto"/>
            <w:vAlign w:val="center"/>
          </w:tcPr>
          <w:p w14:paraId="38D14CFF" w14:textId="77777777" w:rsidR="00563C7B" w:rsidRPr="008E77FE" w:rsidRDefault="00563C7B" w:rsidP="00563C7B">
            <w:pPr>
              <w:pStyle w:val="TableBodyText"/>
              <w:rPr>
                <w:rStyle w:val="NoteLabel"/>
              </w:rPr>
            </w:pPr>
          </w:p>
        </w:tc>
        <w:tc>
          <w:tcPr>
            <w:tcW w:w="1134" w:type="dxa"/>
            <w:tcBorders>
              <w:top w:val="nil"/>
              <w:left w:val="nil"/>
              <w:bottom w:val="nil"/>
              <w:right w:val="nil"/>
            </w:tcBorders>
            <w:shd w:val="clear" w:color="auto" w:fill="auto"/>
            <w:vAlign w:val="center"/>
          </w:tcPr>
          <w:p w14:paraId="5083A2F6" w14:textId="2254702E" w:rsidR="00563C7B" w:rsidRPr="008E77FE" w:rsidRDefault="00563C7B" w:rsidP="00563C7B">
            <w:pPr>
              <w:pStyle w:val="TableBodyText"/>
              <w:rPr>
                <w:rStyle w:val="NoteLabel"/>
              </w:rPr>
            </w:pPr>
            <w:r>
              <w:t>83 900</w:t>
            </w:r>
          </w:p>
        </w:tc>
        <w:tc>
          <w:tcPr>
            <w:tcW w:w="1019" w:type="dxa"/>
            <w:tcBorders>
              <w:top w:val="nil"/>
              <w:left w:val="nil"/>
              <w:bottom w:val="nil"/>
              <w:right w:val="nil"/>
            </w:tcBorders>
            <w:shd w:val="clear" w:color="auto" w:fill="auto"/>
            <w:vAlign w:val="center"/>
          </w:tcPr>
          <w:p w14:paraId="3247338A" w14:textId="3858D8EB" w:rsidR="00563C7B" w:rsidRPr="008E77FE" w:rsidRDefault="00563C7B" w:rsidP="00563C7B">
            <w:pPr>
              <w:pStyle w:val="TableBodyText"/>
              <w:rPr>
                <w:rStyle w:val="NoteLabel"/>
              </w:rPr>
            </w:pPr>
          </w:p>
        </w:tc>
      </w:tr>
      <w:tr w:rsidR="00563C7B" w14:paraId="25A59C70" w14:textId="77777777" w:rsidTr="0080220E">
        <w:trPr>
          <w:cantSplit/>
          <w:trHeight w:val="20"/>
        </w:trPr>
        <w:tc>
          <w:tcPr>
            <w:tcW w:w="1983" w:type="dxa"/>
            <w:tcBorders>
              <w:top w:val="nil"/>
              <w:left w:val="nil"/>
              <w:bottom w:val="nil"/>
              <w:right w:val="nil"/>
            </w:tcBorders>
            <w:shd w:val="clear" w:color="auto" w:fill="auto"/>
            <w:vAlign w:val="center"/>
          </w:tcPr>
          <w:p w14:paraId="149CF4ED" w14:textId="1C604BF0" w:rsidR="00563C7B" w:rsidRPr="008E77FE" w:rsidRDefault="00563C7B" w:rsidP="00B5435E">
            <w:pPr>
              <w:pStyle w:val="TableBodyText"/>
              <w:ind w:left="340"/>
              <w:jc w:val="left"/>
              <w:rPr>
                <w:rStyle w:val="NoteLabel"/>
              </w:rPr>
            </w:pPr>
            <w:r>
              <w:t>8–14</w:t>
            </w:r>
          </w:p>
        </w:tc>
        <w:tc>
          <w:tcPr>
            <w:tcW w:w="1334" w:type="dxa"/>
            <w:tcBorders>
              <w:top w:val="nil"/>
              <w:left w:val="nil"/>
              <w:bottom w:val="nil"/>
              <w:right w:val="nil"/>
            </w:tcBorders>
            <w:shd w:val="clear" w:color="auto" w:fill="auto"/>
            <w:vAlign w:val="center"/>
          </w:tcPr>
          <w:p w14:paraId="646CE310" w14:textId="354DE4A5" w:rsidR="00563C7B" w:rsidRPr="008E77FE" w:rsidRDefault="00563C7B" w:rsidP="00563C7B">
            <w:pPr>
              <w:pStyle w:val="TableBodyText"/>
              <w:rPr>
                <w:rStyle w:val="NoteLabel"/>
              </w:rPr>
            </w:pPr>
            <w:r>
              <w:t>43 400</w:t>
            </w:r>
          </w:p>
        </w:tc>
        <w:tc>
          <w:tcPr>
            <w:tcW w:w="1204" w:type="dxa"/>
            <w:tcBorders>
              <w:top w:val="nil"/>
              <w:left w:val="nil"/>
              <w:bottom w:val="nil"/>
              <w:right w:val="nil"/>
            </w:tcBorders>
            <w:shd w:val="clear" w:color="auto" w:fill="auto"/>
            <w:vAlign w:val="center"/>
          </w:tcPr>
          <w:p w14:paraId="404FDB24" w14:textId="08495919" w:rsidR="00563C7B" w:rsidRPr="008E77FE" w:rsidRDefault="00563C7B" w:rsidP="00563C7B">
            <w:pPr>
              <w:pStyle w:val="TableBodyText"/>
              <w:rPr>
                <w:rStyle w:val="NoteLabel"/>
              </w:rPr>
            </w:pPr>
            <w:r>
              <w:t>3 100</w:t>
            </w:r>
          </w:p>
        </w:tc>
        <w:tc>
          <w:tcPr>
            <w:tcW w:w="1113" w:type="dxa"/>
            <w:tcBorders>
              <w:top w:val="nil"/>
              <w:left w:val="nil"/>
              <w:bottom w:val="nil"/>
              <w:right w:val="nil"/>
            </w:tcBorders>
            <w:shd w:val="clear" w:color="auto" w:fill="auto"/>
            <w:vAlign w:val="center"/>
          </w:tcPr>
          <w:p w14:paraId="5296D75B" w14:textId="00EBCEAE" w:rsidR="00563C7B" w:rsidRPr="008E77FE" w:rsidRDefault="00563C7B" w:rsidP="00563C7B">
            <w:pPr>
              <w:pStyle w:val="TableBodyText"/>
              <w:rPr>
                <w:rStyle w:val="NoteLabel"/>
              </w:rPr>
            </w:pPr>
            <w:r>
              <w:t>40 300</w:t>
            </w:r>
          </w:p>
        </w:tc>
        <w:tc>
          <w:tcPr>
            <w:tcW w:w="1007" w:type="dxa"/>
            <w:tcBorders>
              <w:top w:val="nil"/>
              <w:left w:val="nil"/>
              <w:bottom w:val="nil"/>
              <w:right w:val="nil"/>
            </w:tcBorders>
            <w:shd w:val="clear" w:color="auto" w:fill="auto"/>
            <w:vAlign w:val="center"/>
          </w:tcPr>
          <w:p w14:paraId="043FD79D" w14:textId="71649E55" w:rsidR="00563C7B" w:rsidRPr="008E77FE" w:rsidRDefault="00563C7B" w:rsidP="00563C7B">
            <w:pPr>
              <w:pStyle w:val="TableBodyText"/>
              <w:rPr>
                <w:rStyle w:val="NoteLabel"/>
              </w:rPr>
            </w:pPr>
            <w:r>
              <w:t>40 300</w:t>
            </w:r>
          </w:p>
        </w:tc>
        <w:tc>
          <w:tcPr>
            <w:tcW w:w="1134" w:type="dxa"/>
            <w:tcBorders>
              <w:top w:val="nil"/>
              <w:left w:val="nil"/>
              <w:bottom w:val="nil"/>
              <w:right w:val="nil"/>
            </w:tcBorders>
            <w:shd w:val="clear" w:color="auto" w:fill="auto"/>
            <w:vAlign w:val="center"/>
          </w:tcPr>
          <w:p w14:paraId="203F52D1" w14:textId="77777777" w:rsidR="00563C7B" w:rsidRPr="008E77FE" w:rsidRDefault="00563C7B" w:rsidP="00563C7B">
            <w:pPr>
              <w:pStyle w:val="TableBodyText"/>
              <w:rPr>
                <w:rStyle w:val="NoteLabel"/>
              </w:rPr>
            </w:pPr>
          </w:p>
        </w:tc>
        <w:tc>
          <w:tcPr>
            <w:tcW w:w="1019" w:type="dxa"/>
            <w:tcBorders>
              <w:top w:val="nil"/>
              <w:left w:val="nil"/>
              <w:bottom w:val="nil"/>
              <w:right w:val="nil"/>
            </w:tcBorders>
            <w:shd w:val="clear" w:color="auto" w:fill="auto"/>
            <w:vAlign w:val="center"/>
          </w:tcPr>
          <w:p w14:paraId="0637CC4F" w14:textId="6CD3CE44" w:rsidR="00563C7B" w:rsidRPr="008E77FE" w:rsidRDefault="00563C7B" w:rsidP="00563C7B">
            <w:pPr>
              <w:pStyle w:val="TableBodyText"/>
              <w:rPr>
                <w:rStyle w:val="NoteLabel"/>
              </w:rPr>
            </w:pPr>
          </w:p>
        </w:tc>
      </w:tr>
      <w:tr w:rsidR="00563C7B" w14:paraId="0D64796C" w14:textId="77777777" w:rsidTr="0080220E">
        <w:trPr>
          <w:cantSplit/>
          <w:trHeight w:val="20"/>
        </w:trPr>
        <w:tc>
          <w:tcPr>
            <w:tcW w:w="1983" w:type="dxa"/>
            <w:tcBorders>
              <w:top w:val="nil"/>
              <w:left w:val="nil"/>
              <w:bottom w:val="nil"/>
              <w:right w:val="nil"/>
            </w:tcBorders>
            <w:shd w:val="clear" w:color="auto" w:fill="auto"/>
            <w:vAlign w:val="center"/>
          </w:tcPr>
          <w:p w14:paraId="3AC0D3B3" w14:textId="3C1B1AC4" w:rsidR="00563C7B" w:rsidRPr="008E77FE" w:rsidRDefault="00563C7B" w:rsidP="00B5435E">
            <w:pPr>
              <w:pStyle w:val="TableBodyText"/>
              <w:ind w:left="340"/>
              <w:jc w:val="left"/>
              <w:rPr>
                <w:rStyle w:val="NoteLabel"/>
              </w:rPr>
            </w:pPr>
            <w:r>
              <w:t>15–29</w:t>
            </w:r>
          </w:p>
        </w:tc>
        <w:tc>
          <w:tcPr>
            <w:tcW w:w="1334" w:type="dxa"/>
            <w:tcBorders>
              <w:top w:val="nil"/>
              <w:left w:val="nil"/>
              <w:bottom w:val="nil"/>
              <w:right w:val="nil"/>
            </w:tcBorders>
            <w:shd w:val="clear" w:color="auto" w:fill="auto"/>
            <w:vAlign w:val="center"/>
          </w:tcPr>
          <w:p w14:paraId="12864EB3" w14:textId="76DEA831" w:rsidR="00563C7B" w:rsidRPr="008E77FE" w:rsidRDefault="00563C7B" w:rsidP="00563C7B">
            <w:pPr>
              <w:pStyle w:val="TableBodyText"/>
              <w:rPr>
                <w:rStyle w:val="NoteLabel"/>
              </w:rPr>
            </w:pPr>
            <w:r>
              <w:t>16 200</w:t>
            </w:r>
          </w:p>
        </w:tc>
        <w:tc>
          <w:tcPr>
            <w:tcW w:w="1204" w:type="dxa"/>
            <w:tcBorders>
              <w:top w:val="nil"/>
              <w:left w:val="nil"/>
              <w:bottom w:val="nil"/>
              <w:right w:val="nil"/>
            </w:tcBorders>
            <w:shd w:val="clear" w:color="auto" w:fill="auto"/>
            <w:vAlign w:val="center"/>
          </w:tcPr>
          <w:p w14:paraId="4585E63E" w14:textId="56E75B95" w:rsidR="00563C7B" w:rsidRPr="008E77FE" w:rsidRDefault="00563C7B" w:rsidP="00563C7B">
            <w:pPr>
              <w:pStyle w:val="TableBodyText"/>
              <w:rPr>
                <w:rStyle w:val="NoteLabel"/>
              </w:rPr>
            </w:pPr>
            <w:r>
              <w:t>4 500</w:t>
            </w:r>
          </w:p>
        </w:tc>
        <w:tc>
          <w:tcPr>
            <w:tcW w:w="1113" w:type="dxa"/>
            <w:tcBorders>
              <w:top w:val="nil"/>
              <w:left w:val="nil"/>
              <w:bottom w:val="nil"/>
              <w:right w:val="nil"/>
            </w:tcBorders>
            <w:shd w:val="clear" w:color="auto" w:fill="auto"/>
            <w:vAlign w:val="center"/>
          </w:tcPr>
          <w:p w14:paraId="3CDEC1B9" w14:textId="04B13FAB" w:rsidR="00563C7B" w:rsidRPr="008E77FE" w:rsidRDefault="00563C7B" w:rsidP="00563C7B">
            <w:pPr>
              <w:pStyle w:val="TableBodyText"/>
              <w:rPr>
                <w:rStyle w:val="NoteLabel"/>
              </w:rPr>
            </w:pPr>
            <w:r>
              <w:t>11 700</w:t>
            </w:r>
          </w:p>
        </w:tc>
        <w:tc>
          <w:tcPr>
            <w:tcW w:w="1007" w:type="dxa"/>
            <w:tcBorders>
              <w:top w:val="nil"/>
              <w:left w:val="nil"/>
              <w:bottom w:val="nil"/>
              <w:right w:val="nil"/>
            </w:tcBorders>
            <w:shd w:val="clear" w:color="auto" w:fill="auto"/>
            <w:vAlign w:val="center"/>
          </w:tcPr>
          <w:p w14:paraId="3D230C7B" w14:textId="1EE4431D" w:rsidR="00563C7B" w:rsidRPr="008E77FE" w:rsidRDefault="00563C7B" w:rsidP="00563C7B">
            <w:pPr>
              <w:pStyle w:val="TableBodyText"/>
              <w:rPr>
                <w:rStyle w:val="NoteLabel"/>
              </w:rPr>
            </w:pPr>
            <w:r>
              <w:t>11 700</w:t>
            </w:r>
          </w:p>
        </w:tc>
        <w:tc>
          <w:tcPr>
            <w:tcW w:w="1134" w:type="dxa"/>
            <w:tcBorders>
              <w:top w:val="nil"/>
              <w:left w:val="nil"/>
              <w:bottom w:val="nil"/>
              <w:right w:val="nil"/>
            </w:tcBorders>
            <w:shd w:val="clear" w:color="auto" w:fill="auto"/>
            <w:vAlign w:val="center"/>
          </w:tcPr>
          <w:p w14:paraId="04A298FD" w14:textId="77777777" w:rsidR="00563C7B" w:rsidRPr="008E77FE" w:rsidRDefault="00563C7B" w:rsidP="00563C7B">
            <w:pPr>
              <w:pStyle w:val="TableBodyText"/>
              <w:rPr>
                <w:rStyle w:val="NoteLabel"/>
              </w:rPr>
            </w:pPr>
          </w:p>
        </w:tc>
        <w:tc>
          <w:tcPr>
            <w:tcW w:w="1019" w:type="dxa"/>
            <w:tcBorders>
              <w:top w:val="nil"/>
              <w:left w:val="nil"/>
              <w:bottom w:val="nil"/>
              <w:right w:val="nil"/>
            </w:tcBorders>
            <w:shd w:val="clear" w:color="auto" w:fill="auto"/>
            <w:vAlign w:val="center"/>
          </w:tcPr>
          <w:p w14:paraId="5D6F2ED5" w14:textId="22DAB0E4" w:rsidR="00563C7B" w:rsidRPr="008E77FE" w:rsidRDefault="00563C7B" w:rsidP="00563C7B">
            <w:pPr>
              <w:pStyle w:val="TableBodyText"/>
              <w:rPr>
                <w:rStyle w:val="NoteLabel"/>
              </w:rPr>
            </w:pPr>
          </w:p>
        </w:tc>
      </w:tr>
      <w:tr w:rsidR="00563C7B" w14:paraId="38DFB678" w14:textId="77777777" w:rsidTr="0080220E">
        <w:trPr>
          <w:cantSplit/>
          <w:trHeight w:val="20"/>
        </w:trPr>
        <w:tc>
          <w:tcPr>
            <w:tcW w:w="1983" w:type="dxa"/>
            <w:tcBorders>
              <w:top w:val="nil"/>
              <w:left w:val="nil"/>
              <w:bottom w:val="nil"/>
              <w:right w:val="nil"/>
            </w:tcBorders>
            <w:shd w:val="clear" w:color="auto" w:fill="auto"/>
            <w:vAlign w:val="center"/>
          </w:tcPr>
          <w:p w14:paraId="43532D7C" w14:textId="35EF67A8" w:rsidR="00563C7B" w:rsidRPr="008E77FE" w:rsidRDefault="00563C7B" w:rsidP="00563C7B">
            <w:pPr>
              <w:pStyle w:val="TableBodyText"/>
              <w:jc w:val="left"/>
              <w:rPr>
                <w:rStyle w:val="NoteLabel"/>
              </w:rPr>
            </w:pPr>
            <w:proofErr w:type="spellStart"/>
            <w:r>
              <w:t>Newstart</w:t>
            </w:r>
            <w:proofErr w:type="spellEnd"/>
            <w:r>
              <w:t xml:space="preserve"> allowance</w:t>
            </w:r>
            <w:r w:rsidRPr="00563C7B">
              <w:rPr>
                <w:rStyle w:val="NoteLabel"/>
              </w:rPr>
              <w:t>c</w:t>
            </w:r>
          </w:p>
        </w:tc>
        <w:tc>
          <w:tcPr>
            <w:tcW w:w="1334" w:type="dxa"/>
            <w:tcBorders>
              <w:top w:val="nil"/>
              <w:left w:val="nil"/>
              <w:bottom w:val="nil"/>
              <w:right w:val="nil"/>
            </w:tcBorders>
            <w:shd w:val="clear" w:color="auto" w:fill="auto"/>
            <w:vAlign w:val="center"/>
          </w:tcPr>
          <w:p w14:paraId="6904B9F2" w14:textId="3C6873BE" w:rsidR="00563C7B" w:rsidRPr="008E77FE" w:rsidRDefault="00563C7B" w:rsidP="00563C7B">
            <w:pPr>
              <w:pStyle w:val="TableBodyText"/>
              <w:rPr>
                <w:rStyle w:val="NoteLabel"/>
              </w:rPr>
            </w:pPr>
            <w:r>
              <w:t>62 900</w:t>
            </w:r>
          </w:p>
        </w:tc>
        <w:tc>
          <w:tcPr>
            <w:tcW w:w="1204" w:type="dxa"/>
            <w:tcBorders>
              <w:top w:val="nil"/>
              <w:left w:val="nil"/>
              <w:bottom w:val="nil"/>
              <w:right w:val="nil"/>
            </w:tcBorders>
            <w:shd w:val="clear" w:color="auto" w:fill="auto"/>
            <w:vAlign w:val="center"/>
          </w:tcPr>
          <w:p w14:paraId="755E7930" w14:textId="0E2D2674" w:rsidR="00563C7B" w:rsidRPr="008E77FE" w:rsidRDefault="00563C7B" w:rsidP="00563C7B">
            <w:pPr>
              <w:pStyle w:val="TableBodyText"/>
              <w:rPr>
                <w:rStyle w:val="NoteLabel"/>
              </w:rPr>
            </w:pPr>
            <w:r>
              <w:t>13 300</w:t>
            </w:r>
          </w:p>
        </w:tc>
        <w:tc>
          <w:tcPr>
            <w:tcW w:w="1113" w:type="dxa"/>
            <w:tcBorders>
              <w:top w:val="nil"/>
              <w:left w:val="nil"/>
              <w:bottom w:val="nil"/>
              <w:right w:val="nil"/>
            </w:tcBorders>
            <w:shd w:val="clear" w:color="auto" w:fill="auto"/>
            <w:vAlign w:val="center"/>
          </w:tcPr>
          <w:p w14:paraId="445C2571" w14:textId="7528EF3A" w:rsidR="00563C7B" w:rsidRPr="008E77FE" w:rsidRDefault="00563C7B" w:rsidP="00563C7B">
            <w:pPr>
              <w:pStyle w:val="TableBodyText"/>
              <w:rPr>
                <w:rStyle w:val="NoteLabel"/>
              </w:rPr>
            </w:pPr>
            <w:r>
              <w:t>49 600</w:t>
            </w:r>
          </w:p>
        </w:tc>
        <w:tc>
          <w:tcPr>
            <w:tcW w:w="1007" w:type="dxa"/>
            <w:tcBorders>
              <w:top w:val="nil"/>
              <w:left w:val="nil"/>
              <w:bottom w:val="nil"/>
              <w:right w:val="nil"/>
            </w:tcBorders>
            <w:shd w:val="clear" w:color="auto" w:fill="auto"/>
            <w:vAlign w:val="center"/>
          </w:tcPr>
          <w:p w14:paraId="2EAE3943" w14:textId="3E6E8206" w:rsidR="00563C7B" w:rsidRPr="008E77FE" w:rsidRDefault="00563C7B" w:rsidP="00563C7B">
            <w:pPr>
              <w:pStyle w:val="TableBodyText"/>
              <w:rPr>
                <w:rStyle w:val="NoteLabel"/>
              </w:rPr>
            </w:pPr>
            <w:r>
              <w:t>8 700</w:t>
            </w:r>
          </w:p>
        </w:tc>
        <w:tc>
          <w:tcPr>
            <w:tcW w:w="1134" w:type="dxa"/>
            <w:tcBorders>
              <w:top w:val="nil"/>
              <w:left w:val="nil"/>
              <w:bottom w:val="nil"/>
              <w:right w:val="nil"/>
            </w:tcBorders>
            <w:shd w:val="clear" w:color="auto" w:fill="auto"/>
            <w:vAlign w:val="center"/>
          </w:tcPr>
          <w:p w14:paraId="6CD78372" w14:textId="307F070F" w:rsidR="00563C7B" w:rsidRPr="008E77FE" w:rsidRDefault="00563C7B" w:rsidP="00563C7B">
            <w:pPr>
              <w:pStyle w:val="TableBodyText"/>
              <w:rPr>
                <w:rStyle w:val="NoteLabel"/>
              </w:rPr>
            </w:pPr>
            <w:r>
              <w:t>40 900</w:t>
            </w:r>
          </w:p>
        </w:tc>
        <w:tc>
          <w:tcPr>
            <w:tcW w:w="1019" w:type="dxa"/>
            <w:tcBorders>
              <w:top w:val="nil"/>
              <w:left w:val="nil"/>
              <w:bottom w:val="nil"/>
              <w:right w:val="nil"/>
            </w:tcBorders>
            <w:shd w:val="clear" w:color="auto" w:fill="auto"/>
            <w:vAlign w:val="center"/>
          </w:tcPr>
          <w:p w14:paraId="6292E81E" w14:textId="30EB0608" w:rsidR="00563C7B" w:rsidRPr="008E77FE" w:rsidRDefault="00563C7B" w:rsidP="00563C7B">
            <w:pPr>
              <w:pStyle w:val="TableBodyText"/>
              <w:rPr>
                <w:rStyle w:val="NoteLabel"/>
              </w:rPr>
            </w:pPr>
          </w:p>
        </w:tc>
      </w:tr>
      <w:tr w:rsidR="0080220E" w14:paraId="20DC3E90" w14:textId="77777777" w:rsidTr="00682597">
        <w:trPr>
          <w:cantSplit/>
          <w:trHeight w:val="20"/>
        </w:trPr>
        <w:tc>
          <w:tcPr>
            <w:tcW w:w="3317" w:type="dxa"/>
            <w:gridSpan w:val="2"/>
            <w:tcBorders>
              <w:top w:val="nil"/>
              <w:left w:val="nil"/>
              <w:bottom w:val="nil"/>
              <w:right w:val="nil"/>
            </w:tcBorders>
            <w:shd w:val="clear" w:color="auto" w:fill="auto"/>
            <w:vAlign w:val="center"/>
          </w:tcPr>
          <w:p w14:paraId="235B95AC" w14:textId="5BC4F4EF" w:rsidR="0080220E" w:rsidRPr="008E77FE" w:rsidRDefault="0080220E" w:rsidP="00B5435E">
            <w:pPr>
              <w:pStyle w:val="TableBodyText"/>
              <w:ind w:left="170"/>
              <w:jc w:val="left"/>
              <w:rPr>
                <w:rStyle w:val="NoteLabel"/>
              </w:rPr>
            </w:pPr>
            <w:r>
              <w:t>Jobseeker classification</w:t>
            </w:r>
          </w:p>
        </w:tc>
        <w:tc>
          <w:tcPr>
            <w:tcW w:w="1204" w:type="dxa"/>
            <w:tcBorders>
              <w:top w:val="nil"/>
              <w:left w:val="nil"/>
              <w:bottom w:val="nil"/>
              <w:right w:val="nil"/>
            </w:tcBorders>
            <w:shd w:val="clear" w:color="auto" w:fill="auto"/>
            <w:vAlign w:val="center"/>
          </w:tcPr>
          <w:p w14:paraId="0B89BBA2" w14:textId="77777777" w:rsidR="0080220E" w:rsidRPr="008E77FE" w:rsidRDefault="0080220E" w:rsidP="00563C7B">
            <w:pPr>
              <w:pStyle w:val="TableBodyText"/>
              <w:rPr>
                <w:rStyle w:val="NoteLabel"/>
              </w:rPr>
            </w:pPr>
          </w:p>
        </w:tc>
        <w:tc>
          <w:tcPr>
            <w:tcW w:w="1113" w:type="dxa"/>
            <w:tcBorders>
              <w:top w:val="nil"/>
              <w:left w:val="nil"/>
              <w:bottom w:val="nil"/>
              <w:right w:val="nil"/>
            </w:tcBorders>
            <w:shd w:val="clear" w:color="auto" w:fill="auto"/>
            <w:vAlign w:val="center"/>
          </w:tcPr>
          <w:p w14:paraId="3DEFE8A7" w14:textId="77777777" w:rsidR="0080220E" w:rsidRPr="008E77FE" w:rsidRDefault="0080220E" w:rsidP="00563C7B">
            <w:pPr>
              <w:pStyle w:val="TableBodyText"/>
              <w:rPr>
                <w:rStyle w:val="NoteLabel"/>
              </w:rPr>
            </w:pPr>
          </w:p>
        </w:tc>
        <w:tc>
          <w:tcPr>
            <w:tcW w:w="1007" w:type="dxa"/>
            <w:tcBorders>
              <w:top w:val="nil"/>
              <w:left w:val="nil"/>
              <w:bottom w:val="nil"/>
              <w:right w:val="nil"/>
            </w:tcBorders>
            <w:shd w:val="clear" w:color="auto" w:fill="auto"/>
            <w:vAlign w:val="center"/>
          </w:tcPr>
          <w:p w14:paraId="6FA80ACF" w14:textId="77777777" w:rsidR="0080220E" w:rsidRPr="008E77FE" w:rsidRDefault="0080220E" w:rsidP="00563C7B">
            <w:pPr>
              <w:pStyle w:val="TableBodyText"/>
              <w:rPr>
                <w:rStyle w:val="NoteLabel"/>
              </w:rPr>
            </w:pPr>
          </w:p>
        </w:tc>
        <w:tc>
          <w:tcPr>
            <w:tcW w:w="1134" w:type="dxa"/>
            <w:tcBorders>
              <w:top w:val="nil"/>
              <w:left w:val="nil"/>
              <w:bottom w:val="nil"/>
              <w:right w:val="nil"/>
            </w:tcBorders>
            <w:shd w:val="clear" w:color="auto" w:fill="auto"/>
            <w:vAlign w:val="center"/>
          </w:tcPr>
          <w:p w14:paraId="1CB3986B" w14:textId="77777777" w:rsidR="0080220E" w:rsidRPr="008E77FE" w:rsidRDefault="0080220E" w:rsidP="00563C7B">
            <w:pPr>
              <w:pStyle w:val="TableBodyText"/>
              <w:rPr>
                <w:rStyle w:val="NoteLabel"/>
              </w:rPr>
            </w:pPr>
          </w:p>
        </w:tc>
        <w:tc>
          <w:tcPr>
            <w:tcW w:w="1019" w:type="dxa"/>
            <w:tcBorders>
              <w:top w:val="nil"/>
              <w:left w:val="nil"/>
              <w:bottom w:val="nil"/>
              <w:right w:val="nil"/>
            </w:tcBorders>
            <w:shd w:val="clear" w:color="auto" w:fill="auto"/>
            <w:vAlign w:val="center"/>
          </w:tcPr>
          <w:p w14:paraId="7967DED3" w14:textId="205FDFE9" w:rsidR="0080220E" w:rsidRPr="008E77FE" w:rsidRDefault="0080220E" w:rsidP="00563C7B">
            <w:pPr>
              <w:pStyle w:val="TableBodyText"/>
              <w:rPr>
                <w:rStyle w:val="NoteLabel"/>
              </w:rPr>
            </w:pPr>
          </w:p>
        </w:tc>
      </w:tr>
      <w:tr w:rsidR="00563C7B" w14:paraId="38E96CE1" w14:textId="77777777" w:rsidTr="0080220E">
        <w:trPr>
          <w:cantSplit/>
          <w:trHeight w:val="20"/>
        </w:trPr>
        <w:tc>
          <w:tcPr>
            <w:tcW w:w="1983" w:type="dxa"/>
            <w:tcBorders>
              <w:top w:val="nil"/>
              <w:left w:val="nil"/>
              <w:bottom w:val="nil"/>
              <w:right w:val="nil"/>
            </w:tcBorders>
            <w:shd w:val="clear" w:color="auto" w:fill="auto"/>
            <w:vAlign w:val="center"/>
          </w:tcPr>
          <w:p w14:paraId="345A37AB" w14:textId="3EB384C7" w:rsidR="00563C7B" w:rsidRPr="008E77FE" w:rsidRDefault="00563C7B" w:rsidP="00B5435E">
            <w:pPr>
              <w:pStyle w:val="TableBodyText"/>
              <w:ind w:left="340"/>
              <w:jc w:val="left"/>
              <w:rPr>
                <w:rStyle w:val="NoteLabel"/>
              </w:rPr>
            </w:pPr>
            <w:r>
              <w:t>Stream 1 &amp; 2</w:t>
            </w:r>
          </w:p>
        </w:tc>
        <w:tc>
          <w:tcPr>
            <w:tcW w:w="1334" w:type="dxa"/>
            <w:tcBorders>
              <w:top w:val="nil"/>
              <w:left w:val="nil"/>
              <w:bottom w:val="nil"/>
              <w:right w:val="nil"/>
            </w:tcBorders>
            <w:shd w:val="clear" w:color="auto" w:fill="auto"/>
            <w:vAlign w:val="center"/>
          </w:tcPr>
          <w:p w14:paraId="04165B90" w14:textId="07F988FC" w:rsidR="00563C7B" w:rsidRPr="008E77FE" w:rsidRDefault="00563C7B" w:rsidP="00563C7B">
            <w:pPr>
              <w:pStyle w:val="TableBodyText"/>
              <w:rPr>
                <w:rStyle w:val="NoteLabel"/>
              </w:rPr>
            </w:pPr>
            <w:r>
              <w:t>18 700</w:t>
            </w:r>
          </w:p>
        </w:tc>
        <w:tc>
          <w:tcPr>
            <w:tcW w:w="1204" w:type="dxa"/>
            <w:tcBorders>
              <w:top w:val="nil"/>
              <w:left w:val="nil"/>
              <w:bottom w:val="nil"/>
              <w:right w:val="nil"/>
            </w:tcBorders>
            <w:shd w:val="clear" w:color="auto" w:fill="auto"/>
            <w:vAlign w:val="center"/>
          </w:tcPr>
          <w:p w14:paraId="68C35EE1" w14:textId="0B08D1FD" w:rsidR="00563C7B" w:rsidRPr="008E77FE" w:rsidRDefault="00563C7B" w:rsidP="00563C7B">
            <w:pPr>
              <w:pStyle w:val="TableBodyText"/>
              <w:rPr>
                <w:rStyle w:val="NoteLabel"/>
              </w:rPr>
            </w:pPr>
            <w:r>
              <w:t>10 000</w:t>
            </w:r>
          </w:p>
        </w:tc>
        <w:tc>
          <w:tcPr>
            <w:tcW w:w="1113" w:type="dxa"/>
            <w:tcBorders>
              <w:top w:val="nil"/>
              <w:left w:val="nil"/>
              <w:bottom w:val="nil"/>
              <w:right w:val="nil"/>
            </w:tcBorders>
            <w:shd w:val="clear" w:color="auto" w:fill="auto"/>
            <w:vAlign w:val="center"/>
          </w:tcPr>
          <w:p w14:paraId="2A1BC717" w14:textId="6C6C915A" w:rsidR="00563C7B" w:rsidRPr="008E77FE" w:rsidRDefault="00563C7B" w:rsidP="00563C7B">
            <w:pPr>
              <w:pStyle w:val="TableBodyText"/>
              <w:rPr>
                <w:rStyle w:val="NoteLabel"/>
              </w:rPr>
            </w:pPr>
            <w:r>
              <w:t>8 700</w:t>
            </w:r>
          </w:p>
        </w:tc>
        <w:tc>
          <w:tcPr>
            <w:tcW w:w="1007" w:type="dxa"/>
            <w:tcBorders>
              <w:top w:val="nil"/>
              <w:left w:val="nil"/>
              <w:bottom w:val="nil"/>
              <w:right w:val="nil"/>
            </w:tcBorders>
            <w:shd w:val="clear" w:color="auto" w:fill="auto"/>
            <w:vAlign w:val="center"/>
          </w:tcPr>
          <w:p w14:paraId="627B9371" w14:textId="1C111D9D" w:rsidR="00563C7B" w:rsidRPr="008E77FE" w:rsidRDefault="00563C7B" w:rsidP="00563C7B">
            <w:pPr>
              <w:pStyle w:val="TableBodyText"/>
              <w:rPr>
                <w:rStyle w:val="NoteLabel"/>
              </w:rPr>
            </w:pPr>
            <w:r>
              <w:t>8 700</w:t>
            </w:r>
          </w:p>
        </w:tc>
        <w:tc>
          <w:tcPr>
            <w:tcW w:w="1134" w:type="dxa"/>
            <w:tcBorders>
              <w:top w:val="nil"/>
              <w:left w:val="nil"/>
              <w:bottom w:val="nil"/>
              <w:right w:val="nil"/>
            </w:tcBorders>
            <w:shd w:val="clear" w:color="auto" w:fill="auto"/>
            <w:vAlign w:val="center"/>
          </w:tcPr>
          <w:p w14:paraId="39D44B77" w14:textId="77777777" w:rsidR="00563C7B" w:rsidRPr="008E77FE" w:rsidRDefault="00563C7B" w:rsidP="00563C7B">
            <w:pPr>
              <w:pStyle w:val="TableBodyText"/>
              <w:rPr>
                <w:rStyle w:val="NoteLabel"/>
              </w:rPr>
            </w:pPr>
          </w:p>
        </w:tc>
        <w:tc>
          <w:tcPr>
            <w:tcW w:w="1019" w:type="dxa"/>
            <w:tcBorders>
              <w:top w:val="nil"/>
              <w:left w:val="nil"/>
              <w:bottom w:val="nil"/>
              <w:right w:val="nil"/>
            </w:tcBorders>
            <w:shd w:val="clear" w:color="auto" w:fill="auto"/>
            <w:vAlign w:val="center"/>
          </w:tcPr>
          <w:p w14:paraId="3C58E22B" w14:textId="1CB05930" w:rsidR="00563C7B" w:rsidRPr="008E77FE" w:rsidRDefault="00563C7B" w:rsidP="00563C7B">
            <w:pPr>
              <w:pStyle w:val="TableBodyText"/>
              <w:rPr>
                <w:rStyle w:val="NoteLabel"/>
              </w:rPr>
            </w:pPr>
          </w:p>
        </w:tc>
      </w:tr>
      <w:tr w:rsidR="00563C7B" w14:paraId="5D5B461B" w14:textId="77777777" w:rsidTr="0080220E">
        <w:trPr>
          <w:cantSplit/>
          <w:trHeight w:val="20"/>
        </w:trPr>
        <w:tc>
          <w:tcPr>
            <w:tcW w:w="1983" w:type="dxa"/>
            <w:tcBorders>
              <w:top w:val="nil"/>
              <w:left w:val="nil"/>
              <w:bottom w:val="nil"/>
              <w:right w:val="nil"/>
            </w:tcBorders>
            <w:shd w:val="clear" w:color="auto" w:fill="auto"/>
            <w:vAlign w:val="center"/>
          </w:tcPr>
          <w:p w14:paraId="449C3549" w14:textId="57A9C383" w:rsidR="00563C7B" w:rsidRPr="008E77FE" w:rsidRDefault="00563C7B" w:rsidP="00B5435E">
            <w:pPr>
              <w:pStyle w:val="TableBodyText"/>
              <w:ind w:left="340"/>
              <w:jc w:val="left"/>
              <w:rPr>
                <w:rStyle w:val="NoteLabel"/>
              </w:rPr>
            </w:pPr>
            <w:r>
              <w:t>Stream 3</w:t>
            </w:r>
          </w:p>
        </w:tc>
        <w:tc>
          <w:tcPr>
            <w:tcW w:w="1334" w:type="dxa"/>
            <w:tcBorders>
              <w:top w:val="nil"/>
              <w:left w:val="nil"/>
              <w:bottom w:val="nil"/>
              <w:right w:val="nil"/>
            </w:tcBorders>
            <w:shd w:val="clear" w:color="auto" w:fill="auto"/>
            <w:vAlign w:val="center"/>
          </w:tcPr>
          <w:p w14:paraId="37B50F1B" w14:textId="26BE4A43" w:rsidR="00563C7B" w:rsidRPr="008E77FE" w:rsidRDefault="00563C7B" w:rsidP="00563C7B">
            <w:pPr>
              <w:pStyle w:val="TableBodyText"/>
              <w:rPr>
                <w:rStyle w:val="NoteLabel"/>
              </w:rPr>
            </w:pPr>
            <w:r>
              <w:t>22 500</w:t>
            </w:r>
          </w:p>
        </w:tc>
        <w:tc>
          <w:tcPr>
            <w:tcW w:w="1204" w:type="dxa"/>
            <w:tcBorders>
              <w:top w:val="nil"/>
              <w:left w:val="nil"/>
              <w:bottom w:val="nil"/>
              <w:right w:val="nil"/>
            </w:tcBorders>
            <w:shd w:val="clear" w:color="auto" w:fill="auto"/>
            <w:vAlign w:val="center"/>
          </w:tcPr>
          <w:p w14:paraId="381153A1" w14:textId="6D33C5BA" w:rsidR="00563C7B" w:rsidRPr="008E77FE" w:rsidRDefault="00563C7B" w:rsidP="00563C7B">
            <w:pPr>
              <w:pStyle w:val="TableBodyText"/>
              <w:rPr>
                <w:rStyle w:val="NoteLabel"/>
              </w:rPr>
            </w:pPr>
            <w:r>
              <w:t>2 000</w:t>
            </w:r>
          </w:p>
        </w:tc>
        <w:tc>
          <w:tcPr>
            <w:tcW w:w="1113" w:type="dxa"/>
            <w:tcBorders>
              <w:top w:val="nil"/>
              <w:left w:val="nil"/>
              <w:bottom w:val="nil"/>
              <w:right w:val="nil"/>
            </w:tcBorders>
            <w:shd w:val="clear" w:color="auto" w:fill="auto"/>
            <w:vAlign w:val="center"/>
          </w:tcPr>
          <w:p w14:paraId="0BC212A5" w14:textId="76356528" w:rsidR="00563C7B" w:rsidRPr="008E77FE" w:rsidRDefault="00563C7B" w:rsidP="00563C7B">
            <w:pPr>
              <w:pStyle w:val="TableBodyText"/>
              <w:rPr>
                <w:rStyle w:val="NoteLabel"/>
              </w:rPr>
            </w:pPr>
            <w:r>
              <w:t>20 500</w:t>
            </w:r>
          </w:p>
        </w:tc>
        <w:tc>
          <w:tcPr>
            <w:tcW w:w="1007" w:type="dxa"/>
            <w:tcBorders>
              <w:top w:val="nil"/>
              <w:left w:val="nil"/>
              <w:bottom w:val="nil"/>
              <w:right w:val="nil"/>
            </w:tcBorders>
            <w:shd w:val="clear" w:color="auto" w:fill="auto"/>
            <w:vAlign w:val="center"/>
          </w:tcPr>
          <w:p w14:paraId="779EA941" w14:textId="77777777" w:rsidR="00563C7B" w:rsidRPr="008E77FE" w:rsidRDefault="00563C7B" w:rsidP="00563C7B">
            <w:pPr>
              <w:pStyle w:val="TableBodyText"/>
              <w:rPr>
                <w:rStyle w:val="NoteLabel"/>
              </w:rPr>
            </w:pPr>
          </w:p>
        </w:tc>
        <w:tc>
          <w:tcPr>
            <w:tcW w:w="1134" w:type="dxa"/>
            <w:tcBorders>
              <w:top w:val="nil"/>
              <w:left w:val="nil"/>
              <w:bottom w:val="nil"/>
              <w:right w:val="nil"/>
            </w:tcBorders>
            <w:shd w:val="clear" w:color="auto" w:fill="auto"/>
            <w:vAlign w:val="center"/>
          </w:tcPr>
          <w:p w14:paraId="1CD01A80" w14:textId="7976A1A5" w:rsidR="00563C7B" w:rsidRPr="008E77FE" w:rsidRDefault="00563C7B" w:rsidP="00563C7B">
            <w:pPr>
              <w:pStyle w:val="TableBodyText"/>
              <w:rPr>
                <w:rStyle w:val="NoteLabel"/>
              </w:rPr>
            </w:pPr>
            <w:r>
              <w:t>20 500</w:t>
            </w:r>
          </w:p>
        </w:tc>
        <w:tc>
          <w:tcPr>
            <w:tcW w:w="1019" w:type="dxa"/>
            <w:tcBorders>
              <w:top w:val="nil"/>
              <w:left w:val="nil"/>
              <w:bottom w:val="nil"/>
              <w:right w:val="nil"/>
            </w:tcBorders>
            <w:shd w:val="clear" w:color="auto" w:fill="auto"/>
            <w:vAlign w:val="center"/>
          </w:tcPr>
          <w:p w14:paraId="76956BF3" w14:textId="77777777" w:rsidR="00563C7B" w:rsidRPr="008E77FE" w:rsidRDefault="00563C7B" w:rsidP="00563C7B">
            <w:pPr>
              <w:pStyle w:val="TableBodyText"/>
              <w:rPr>
                <w:rStyle w:val="NoteLabel"/>
              </w:rPr>
            </w:pPr>
          </w:p>
        </w:tc>
      </w:tr>
      <w:tr w:rsidR="00563C7B" w14:paraId="2BD050D3" w14:textId="77777777" w:rsidTr="0080220E">
        <w:trPr>
          <w:cantSplit/>
          <w:trHeight w:val="20"/>
        </w:trPr>
        <w:tc>
          <w:tcPr>
            <w:tcW w:w="1983" w:type="dxa"/>
            <w:tcBorders>
              <w:top w:val="nil"/>
              <w:left w:val="nil"/>
              <w:bottom w:val="nil"/>
              <w:right w:val="nil"/>
            </w:tcBorders>
            <w:shd w:val="clear" w:color="auto" w:fill="auto"/>
            <w:vAlign w:val="center"/>
          </w:tcPr>
          <w:p w14:paraId="51384C57" w14:textId="5724295B" w:rsidR="00563C7B" w:rsidRPr="008E77FE" w:rsidRDefault="00563C7B" w:rsidP="00B5435E">
            <w:pPr>
              <w:pStyle w:val="TableBodyText"/>
              <w:ind w:left="340"/>
              <w:jc w:val="left"/>
              <w:rPr>
                <w:rStyle w:val="NoteLabel"/>
              </w:rPr>
            </w:pPr>
            <w:r>
              <w:t>Stream 4</w:t>
            </w:r>
          </w:p>
        </w:tc>
        <w:tc>
          <w:tcPr>
            <w:tcW w:w="1334" w:type="dxa"/>
            <w:tcBorders>
              <w:top w:val="nil"/>
              <w:left w:val="nil"/>
              <w:bottom w:val="nil"/>
              <w:right w:val="nil"/>
            </w:tcBorders>
            <w:shd w:val="clear" w:color="auto" w:fill="auto"/>
            <w:vAlign w:val="center"/>
          </w:tcPr>
          <w:p w14:paraId="77D58A02" w14:textId="21536FFD" w:rsidR="00563C7B" w:rsidRPr="008E77FE" w:rsidRDefault="00563C7B" w:rsidP="00563C7B">
            <w:pPr>
              <w:pStyle w:val="TableBodyText"/>
              <w:rPr>
                <w:rStyle w:val="NoteLabel"/>
              </w:rPr>
            </w:pPr>
            <w:r>
              <w:t>21 700</w:t>
            </w:r>
          </w:p>
        </w:tc>
        <w:tc>
          <w:tcPr>
            <w:tcW w:w="1204" w:type="dxa"/>
            <w:tcBorders>
              <w:top w:val="nil"/>
              <w:left w:val="nil"/>
              <w:bottom w:val="nil"/>
              <w:right w:val="nil"/>
            </w:tcBorders>
            <w:shd w:val="clear" w:color="auto" w:fill="auto"/>
            <w:vAlign w:val="center"/>
          </w:tcPr>
          <w:p w14:paraId="561C57DA" w14:textId="18FBEDEA" w:rsidR="00563C7B" w:rsidRPr="008E77FE" w:rsidRDefault="00563C7B" w:rsidP="00563C7B">
            <w:pPr>
              <w:pStyle w:val="TableBodyText"/>
              <w:rPr>
                <w:rStyle w:val="NoteLabel"/>
              </w:rPr>
            </w:pPr>
            <w:r>
              <w:t>1 300</w:t>
            </w:r>
          </w:p>
        </w:tc>
        <w:tc>
          <w:tcPr>
            <w:tcW w:w="1113" w:type="dxa"/>
            <w:tcBorders>
              <w:top w:val="nil"/>
              <w:left w:val="nil"/>
              <w:bottom w:val="nil"/>
              <w:right w:val="nil"/>
            </w:tcBorders>
            <w:shd w:val="clear" w:color="auto" w:fill="auto"/>
            <w:vAlign w:val="center"/>
          </w:tcPr>
          <w:p w14:paraId="18631A0B" w14:textId="13E2FBE8" w:rsidR="00563C7B" w:rsidRPr="008E77FE" w:rsidRDefault="00563C7B" w:rsidP="00563C7B">
            <w:pPr>
              <w:pStyle w:val="TableBodyText"/>
              <w:rPr>
                <w:rStyle w:val="NoteLabel"/>
              </w:rPr>
            </w:pPr>
            <w:r>
              <w:t>20 400</w:t>
            </w:r>
          </w:p>
        </w:tc>
        <w:tc>
          <w:tcPr>
            <w:tcW w:w="1007" w:type="dxa"/>
            <w:tcBorders>
              <w:top w:val="nil"/>
              <w:left w:val="nil"/>
              <w:bottom w:val="nil"/>
              <w:right w:val="nil"/>
            </w:tcBorders>
            <w:shd w:val="clear" w:color="auto" w:fill="auto"/>
            <w:vAlign w:val="center"/>
          </w:tcPr>
          <w:p w14:paraId="480541B0" w14:textId="77777777" w:rsidR="00563C7B" w:rsidRPr="008E77FE" w:rsidRDefault="00563C7B" w:rsidP="00563C7B">
            <w:pPr>
              <w:pStyle w:val="TableBodyText"/>
              <w:rPr>
                <w:rStyle w:val="NoteLabel"/>
              </w:rPr>
            </w:pPr>
          </w:p>
        </w:tc>
        <w:tc>
          <w:tcPr>
            <w:tcW w:w="1134" w:type="dxa"/>
            <w:tcBorders>
              <w:top w:val="nil"/>
              <w:left w:val="nil"/>
              <w:bottom w:val="nil"/>
              <w:right w:val="nil"/>
            </w:tcBorders>
            <w:shd w:val="clear" w:color="auto" w:fill="auto"/>
            <w:vAlign w:val="center"/>
          </w:tcPr>
          <w:p w14:paraId="0CB5D38F" w14:textId="05E6BB37" w:rsidR="00563C7B" w:rsidRPr="008E77FE" w:rsidRDefault="00563C7B" w:rsidP="00563C7B">
            <w:pPr>
              <w:pStyle w:val="TableBodyText"/>
              <w:rPr>
                <w:rStyle w:val="NoteLabel"/>
              </w:rPr>
            </w:pPr>
            <w:r>
              <w:t>20 400</w:t>
            </w:r>
          </w:p>
        </w:tc>
        <w:tc>
          <w:tcPr>
            <w:tcW w:w="1019" w:type="dxa"/>
            <w:tcBorders>
              <w:top w:val="nil"/>
              <w:left w:val="nil"/>
              <w:bottom w:val="nil"/>
              <w:right w:val="nil"/>
            </w:tcBorders>
            <w:shd w:val="clear" w:color="auto" w:fill="auto"/>
            <w:vAlign w:val="center"/>
          </w:tcPr>
          <w:p w14:paraId="3681C787" w14:textId="77777777" w:rsidR="00563C7B" w:rsidRPr="008E77FE" w:rsidRDefault="00563C7B" w:rsidP="00563C7B">
            <w:pPr>
              <w:pStyle w:val="TableBodyText"/>
              <w:rPr>
                <w:rStyle w:val="NoteLabel"/>
              </w:rPr>
            </w:pPr>
          </w:p>
        </w:tc>
      </w:tr>
      <w:tr w:rsidR="00563C7B" w14:paraId="11828925" w14:textId="77777777" w:rsidTr="0080220E">
        <w:trPr>
          <w:cantSplit/>
          <w:trHeight w:val="20"/>
        </w:trPr>
        <w:tc>
          <w:tcPr>
            <w:tcW w:w="1983" w:type="dxa"/>
            <w:tcBorders>
              <w:top w:val="nil"/>
              <w:left w:val="nil"/>
              <w:bottom w:val="nil"/>
              <w:right w:val="nil"/>
            </w:tcBorders>
            <w:shd w:val="clear" w:color="auto" w:fill="auto"/>
            <w:vAlign w:val="center"/>
          </w:tcPr>
          <w:p w14:paraId="46D40D73" w14:textId="44F9B0AD" w:rsidR="00563C7B" w:rsidRPr="008E77FE" w:rsidRDefault="00563C7B" w:rsidP="0080220E">
            <w:pPr>
              <w:pStyle w:val="TableBodyText"/>
              <w:jc w:val="left"/>
              <w:rPr>
                <w:rStyle w:val="NoteLabel"/>
              </w:rPr>
            </w:pPr>
            <w:r>
              <w:t xml:space="preserve">Parenting payment </w:t>
            </w:r>
            <w:r w:rsidR="0080220E">
              <w:t>(S</w:t>
            </w:r>
            <w:r>
              <w:t>ingle</w:t>
            </w:r>
            <w:r w:rsidR="0080220E">
              <w:t>)</w:t>
            </w:r>
            <w:r w:rsidRPr="00563C7B">
              <w:rPr>
                <w:rStyle w:val="NoteLabel"/>
              </w:rPr>
              <w:t>d</w:t>
            </w:r>
          </w:p>
        </w:tc>
        <w:tc>
          <w:tcPr>
            <w:tcW w:w="1334" w:type="dxa"/>
            <w:tcBorders>
              <w:top w:val="nil"/>
              <w:left w:val="nil"/>
              <w:bottom w:val="nil"/>
              <w:right w:val="nil"/>
            </w:tcBorders>
            <w:shd w:val="clear" w:color="auto" w:fill="auto"/>
            <w:vAlign w:val="center"/>
          </w:tcPr>
          <w:p w14:paraId="5014E252" w14:textId="0EDFA159" w:rsidR="00563C7B" w:rsidRPr="008E77FE" w:rsidRDefault="00563C7B" w:rsidP="00563C7B">
            <w:pPr>
              <w:pStyle w:val="TableBodyText"/>
              <w:rPr>
                <w:rStyle w:val="NoteLabel"/>
              </w:rPr>
            </w:pPr>
            <w:r>
              <w:t>33 800</w:t>
            </w:r>
          </w:p>
        </w:tc>
        <w:tc>
          <w:tcPr>
            <w:tcW w:w="1204" w:type="dxa"/>
            <w:tcBorders>
              <w:top w:val="nil"/>
              <w:left w:val="nil"/>
              <w:bottom w:val="nil"/>
              <w:right w:val="nil"/>
            </w:tcBorders>
            <w:shd w:val="clear" w:color="auto" w:fill="auto"/>
            <w:vAlign w:val="center"/>
          </w:tcPr>
          <w:p w14:paraId="4C3B530F" w14:textId="343D94BF" w:rsidR="00563C7B" w:rsidRPr="008E77FE" w:rsidRDefault="00563C7B" w:rsidP="00563C7B">
            <w:pPr>
              <w:pStyle w:val="TableBodyText"/>
              <w:rPr>
                <w:rStyle w:val="NoteLabel"/>
              </w:rPr>
            </w:pPr>
            <w:r>
              <w:t>5 200</w:t>
            </w:r>
          </w:p>
        </w:tc>
        <w:tc>
          <w:tcPr>
            <w:tcW w:w="1113" w:type="dxa"/>
            <w:tcBorders>
              <w:top w:val="nil"/>
              <w:left w:val="nil"/>
              <w:bottom w:val="nil"/>
              <w:right w:val="nil"/>
            </w:tcBorders>
            <w:shd w:val="clear" w:color="auto" w:fill="auto"/>
            <w:vAlign w:val="center"/>
          </w:tcPr>
          <w:p w14:paraId="1AEE362D" w14:textId="39802CD1" w:rsidR="00563C7B" w:rsidRPr="008E77FE" w:rsidRDefault="00563C7B" w:rsidP="00563C7B">
            <w:pPr>
              <w:pStyle w:val="TableBodyText"/>
              <w:rPr>
                <w:rStyle w:val="NoteLabel"/>
              </w:rPr>
            </w:pPr>
            <w:r>
              <w:t>28 600</w:t>
            </w:r>
          </w:p>
        </w:tc>
        <w:tc>
          <w:tcPr>
            <w:tcW w:w="1007" w:type="dxa"/>
            <w:tcBorders>
              <w:top w:val="nil"/>
              <w:left w:val="nil"/>
              <w:bottom w:val="nil"/>
              <w:right w:val="nil"/>
            </w:tcBorders>
            <w:shd w:val="clear" w:color="auto" w:fill="auto"/>
            <w:vAlign w:val="center"/>
          </w:tcPr>
          <w:p w14:paraId="226FD1BD" w14:textId="05442812" w:rsidR="00563C7B" w:rsidRPr="008E77FE" w:rsidRDefault="00563C7B" w:rsidP="00563C7B">
            <w:pPr>
              <w:pStyle w:val="TableBodyText"/>
              <w:rPr>
                <w:rStyle w:val="NoteLabel"/>
              </w:rPr>
            </w:pPr>
            <w:r>
              <w:t>5 300</w:t>
            </w:r>
          </w:p>
        </w:tc>
        <w:tc>
          <w:tcPr>
            <w:tcW w:w="1134" w:type="dxa"/>
            <w:tcBorders>
              <w:top w:val="nil"/>
              <w:left w:val="nil"/>
              <w:bottom w:val="nil"/>
              <w:right w:val="nil"/>
            </w:tcBorders>
            <w:shd w:val="clear" w:color="auto" w:fill="auto"/>
            <w:vAlign w:val="center"/>
          </w:tcPr>
          <w:p w14:paraId="36CE01AC" w14:textId="22C1DB5C" w:rsidR="00563C7B" w:rsidRPr="008E77FE" w:rsidRDefault="00563C7B" w:rsidP="00563C7B">
            <w:pPr>
              <w:pStyle w:val="TableBodyText"/>
              <w:rPr>
                <w:rStyle w:val="NoteLabel"/>
              </w:rPr>
            </w:pPr>
            <w:r>
              <w:t>11 650</w:t>
            </w:r>
          </w:p>
        </w:tc>
        <w:tc>
          <w:tcPr>
            <w:tcW w:w="1019" w:type="dxa"/>
            <w:tcBorders>
              <w:top w:val="nil"/>
              <w:left w:val="nil"/>
              <w:bottom w:val="nil"/>
              <w:right w:val="nil"/>
            </w:tcBorders>
            <w:shd w:val="clear" w:color="auto" w:fill="auto"/>
            <w:vAlign w:val="center"/>
          </w:tcPr>
          <w:p w14:paraId="1822FE4D" w14:textId="02092155" w:rsidR="00563C7B" w:rsidRPr="008E77FE" w:rsidRDefault="00563C7B" w:rsidP="00563C7B">
            <w:pPr>
              <w:pStyle w:val="TableBodyText"/>
              <w:rPr>
                <w:rStyle w:val="NoteLabel"/>
              </w:rPr>
            </w:pPr>
            <w:r>
              <w:t>11 650</w:t>
            </w:r>
          </w:p>
        </w:tc>
      </w:tr>
      <w:tr w:rsidR="00563C7B" w14:paraId="11029AE9" w14:textId="77777777" w:rsidTr="0080220E">
        <w:trPr>
          <w:cantSplit/>
          <w:trHeight w:val="20"/>
        </w:trPr>
        <w:tc>
          <w:tcPr>
            <w:tcW w:w="1983" w:type="dxa"/>
            <w:tcBorders>
              <w:top w:val="nil"/>
              <w:left w:val="nil"/>
              <w:bottom w:val="nil"/>
              <w:right w:val="nil"/>
            </w:tcBorders>
            <w:shd w:val="clear" w:color="auto" w:fill="auto"/>
            <w:vAlign w:val="center"/>
          </w:tcPr>
          <w:p w14:paraId="239CE9DA" w14:textId="083A913C" w:rsidR="00563C7B" w:rsidRPr="008E77FE" w:rsidRDefault="0080220E" w:rsidP="0080220E">
            <w:pPr>
              <w:pStyle w:val="TableBodyText"/>
              <w:jc w:val="left"/>
              <w:rPr>
                <w:rStyle w:val="NoteLabel"/>
              </w:rPr>
            </w:pPr>
            <w:r>
              <w:t>Parenting payment</w:t>
            </w:r>
            <w:r w:rsidR="00563C7B">
              <w:t xml:space="preserve"> </w:t>
            </w:r>
            <w:r>
              <w:t>(P</w:t>
            </w:r>
            <w:r w:rsidR="00563C7B">
              <w:t>artnered</w:t>
            </w:r>
            <w:r>
              <w:t>)</w:t>
            </w:r>
            <w:r w:rsidR="00563C7B" w:rsidRPr="00563C7B">
              <w:rPr>
                <w:rStyle w:val="NoteLabel"/>
              </w:rPr>
              <w:t>d</w:t>
            </w:r>
          </w:p>
        </w:tc>
        <w:tc>
          <w:tcPr>
            <w:tcW w:w="1334" w:type="dxa"/>
            <w:tcBorders>
              <w:top w:val="nil"/>
              <w:left w:val="nil"/>
              <w:bottom w:val="nil"/>
              <w:right w:val="nil"/>
            </w:tcBorders>
            <w:shd w:val="clear" w:color="auto" w:fill="auto"/>
            <w:vAlign w:val="center"/>
          </w:tcPr>
          <w:p w14:paraId="55C41ABF" w14:textId="2DFBFF31" w:rsidR="00563C7B" w:rsidRPr="008E77FE" w:rsidRDefault="00563C7B" w:rsidP="00563C7B">
            <w:pPr>
              <w:pStyle w:val="TableBodyText"/>
              <w:rPr>
                <w:rStyle w:val="NoteLabel"/>
              </w:rPr>
            </w:pPr>
            <w:r>
              <w:t>7 400</w:t>
            </w:r>
          </w:p>
        </w:tc>
        <w:tc>
          <w:tcPr>
            <w:tcW w:w="1204" w:type="dxa"/>
            <w:tcBorders>
              <w:top w:val="nil"/>
              <w:left w:val="nil"/>
              <w:bottom w:val="nil"/>
              <w:right w:val="nil"/>
            </w:tcBorders>
            <w:shd w:val="clear" w:color="auto" w:fill="auto"/>
            <w:vAlign w:val="center"/>
          </w:tcPr>
          <w:p w14:paraId="5F430752" w14:textId="3779D816" w:rsidR="00563C7B" w:rsidRPr="008E77FE" w:rsidRDefault="00563C7B" w:rsidP="00563C7B">
            <w:pPr>
              <w:pStyle w:val="TableBodyText"/>
              <w:rPr>
                <w:rStyle w:val="NoteLabel"/>
              </w:rPr>
            </w:pPr>
            <w:r>
              <w:t xml:space="preserve"> 700</w:t>
            </w:r>
          </w:p>
        </w:tc>
        <w:tc>
          <w:tcPr>
            <w:tcW w:w="1113" w:type="dxa"/>
            <w:tcBorders>
              <w:top w:val="nil"/>
              <w:left w:val="nil"/>
              <w:bottom w:val="nil"/>
              <w:right w:val="nil"/>
            </w:tcBorders>
            <w:shd w:val="clear" w:color="auto" w:fill="auto"/>
            <w:vAlign w:val="center"/>
          </w:tcPr>
          <w:p w14:paraId="297CD13F" w14:textId="5863A34D" w:rsidR="00563C7B" w:rsidRPr="008E77FE" w:rsidRDefault="00563C7B" w:rsidP="00563C7B">
            <w:pPr>
              <w:pStyle w:val="TableBodyText"/>
              <w:rPr>
                <w:rStyle w:val="NoteLabel"/>
              </w:rPr>
            </w:pPr>
            <w:r>
              <w:t>6 700</w:t>
            </w:r>
          </w:p>
        </w:tc>
        <w:tc>
          <w:tcPr>
            <w:tcW w:w="1007" w:type="dxa"/>
            <w:tcBorders>
              <w:top w:val="nil"/>
              <w:left w:val="nil"/>
              <w:bottom w:val="nil"/>
              <w:right w:val="nil"/>
            </w:tcBorders>
            <w:shd w:val="clear" w:color="auto" w:fill="auto"/>
            <w:vAlign w:val="center"/>
          </w:tcPr>
          <w:p w14:paraId="67D89FC5" w14:textId="017C9C9D" w:rsidR="00563C7B" w:rsidRPr="008E77FE" w:rsidRDefault="00563C7B" w:rsidP="00563C7B">
            <w:pPr>
              <w:pStyle w:val="TableBodyText"/>
              <w:rPr>
                <w:rStyle w:val="NoteLabel"/>
              </w:rPr>
            </w:pPr>
            <w:r>
              <w:t xml:space="preserve"> 200</w:t>
            </w:r>
          </w:p>
        </w:tc>
        <w:tc>
          <w:tcPr>
            <w:tcW w:w="1134" w:type="dxa"/>
            <w:tcBorders>
              <w:top w:val="nil"/>
              <w:left w:val="nil"/>
              <w:bottom w:val="nil"/>
              <w:right w:val="nil"/>
            </w:tcBorders>
            <w:shd w:val="clear" w:color="auto" w:fill="auto"/>
            <w:vAlign w:val="center"/>
          </w:tcPr>
          <w:p w14:paraId="7C762A6B" w14:textId="2490EC22" w:rsidR="00563C7B" w:rsidRPr="008E77FE" w:rsidRDefault="00563C7B" w:rsidP="00563C7B">
            <w:pPr>
              <w:pStyle w:val="TableBodyText"/>
              <w:rPr>
                <w:rStyle w:val="NoteLabel"/>
              </w:rPr>
            </w:pPr>
            <w:r>
              <w:t>3 250</w:t>
            </w:r>
          </w:p>
        </w:tc>
        <w:tc>
          <w:tcPr>
            <w:tcW w:w="1019" w:type="dxa"/>
            <w:tcBorders>
              <w:top w:val="nil"/>
              <w:left w:val="nil"/>
              <w:bottom w:val="nil"/>
              <w:right w:val="nil"/>
            </w:tcBorders>
            <w:shd w:val="clear" w:color="auto" w:fill="auto"/>
            <w:vAlign w:val="center"/>
          </w:tcPr>
          <w:p w14:paraId="5C46539D" w14:textId="66BF9790" w:rsidR="00563C7B" w:rsidRPr="008E77FE" w:rsidRDefault="00563C7B" w:rsidP="00563C7B">
            <w:pPr>
              <w:pStyle w:val="TableBodyText"/>
              <w:rPr>
                <w:rStyle w:val="NoteLabel"/>
              </w:rPr>
            </w:pPr>
            <w:r>
              <w:t>3 250</w:t>
            </w:r>
          </w:p>
        </w:tc>
      </w:tr>
      <w:tr w:rsidR="00563C7B" w14:paraId="40C739CC" w14:textId="77777777" w:rsidTr="0080220E">
        <w:trPr>
          <w:cantSplit/>
          <w:trHeight w:val="20"/>
        </w:trPr>
        <w:tc>
          <w:tcPr>
            <w:tcW w:w="1983" w:type="dxa"/>
            <w:tcBorders>
              <w:top w:val="nil"/>
              <w:left w:val="nil"/>
              <w:bottom w:val="nil"/>
              <w:right w:val="nil"/>
            </w:tcBorders>
            <w:shd w:val="clear" w:color="auto" w:fill="auto"/>
            <w:vAlign w:val="center"/>
          </w:tcPr>
          <w:p w14:paraId="2FBC8DCE" w14:textId="76E48D99" w:rsidR="00563C7B" w:rsidRPr="008E77FE" w:rsidRDefault="00563C7B" w:rsidP="00563C7B">
            <w:pPr>
              <w:pStyle w:val="TableBodyText"/>
              <w:jc w:val="left"/>
              <w:rPr>
                <w:rStyle w:val="NoteLabel"/>
              </w:rPr>
            </w:pPr>
            <w:r>
              <w:t>Youth allowance</w:t>
            </w:r>
            <w:r w:rsidR="0080220E">
              <w:t xml:space="preserve"> (S</w:t>
            </w:r>
            <w:r>
              <w:t>tudent)</w:t>
            </w:r>
            <w:r w:rsidRPr="00563C7B">
              <w:rPr>
                <w:rStyle w:val="NoteLabel"/>
              </w:rPr>
              <w:t>e</w:t>
            </w:r>
          </w:p>
        </w:tc>
        <w:tc>
          <w:tcPr>
            <w:tcW w:w="1334" w:type="dxa"/>
            <w:tcBorders>
              <w:top w:val="nil"/>
              <w:left w:val="nil"/>
              <w:bottom w:val="nil"/>
              <w:right w:val="nil"/>
            </w:tcBorders>
            <w:shd w:val="clear" w:color="auto" w:fill="auto"/>
            <w:vAlign w:val="center"/>
          </w:tcPr>
          <w:p w14:paraId="6F98F545" w14:textId="5C25CF8D" w:rsidR="00563C7B" w:rsidRPr="008E77FE" w:rsidRDefault="00563C7B" w:rsidP="00563C7B">
            <w:pPr>
              <w:pStyle w:val="TableBodyText"/>
              <w:rPr>
                <w:rStyle w:val="NoteLabel"/>
              </w:rPr>
            </w:pPr>
            <w:r>
              <w:t>10 900</w:t>
            </w:r>
          </w:p>
        </w:tc>
        <w:tc>
          <w:tcPr>
            <w:tcW w:w="1204" w:type="dxa"/>
            <w:tcBorders>
              <w:top w:val="nil"/>
              <w:left w:val="nil"/>
              <w:bottom w:val="nil"/>
              <w:right w:val="nil"/>
            </w:tcBorders>
            <w:shd w:val="clear" w:color="auto" w:fill="auto"/>
            <w:vAlign w:val="center"/>
          </w:tcPr>
          <w:p w14:paraId="5A064550" w14:textId="31983B7A" w:rsidR="00563C7B" w:rsidRPr="008E77FE" w:rsidRDefault="00563C7B" w:rsidP="00563C7B">
            <w:pPr>
              <w:pStyle w:val="TableBodyText"/>
              <w:rPr>
                <w:rStyle w:val="NoteLabel"/>
              </w:rPr>
            </w:pPr>
            <w:r>
              <w:t>3 600</w:t>
            </w:r>
          </w:p>
        </w:tc>
        <w:tc>
          <w:tcPr>
            <w:tcW w:w="1113" w:type="dxa"/>
            <w:tcBorders>
              <w:top w:val="nil"/>
              <w:left w:val="nil"/>
              <w:bottom w:val="nil"/>
              <w:right w:val="nil"/>
            </w:tcBorders>
            <w:shd w:val="clear" w:color="auto" w:fill="auto"/>
            <w:vAlign w:val="center"/>
          </w:tcPr>
          <w:p w14:paraId="3D9DE175" w14:textId="382E7656" w:rsidR="00563C7B" w:rsidRPr="008E77FE" w:rsidRDefault="00563C7B" w:rsidP="00563C7B">
            <w:pPr>
              <w:pStyle w:val="TableBodyText"/>
              <w:rPr>
                <w:rStyle w:val="NoteLabel"/>
              </w:rPr>
            </w:pPr>
            <w:r>
              <w:t>7 300</w:t>
            </w:r>
          </w:p>
        </w:tc>
        <w:tc>
          <w:tcPr>
            <w:tcW w:w="1007" w:type="dxa"/>
            <w:tcBorders>
              <w:top w:val="nil"/>
              <w:left w:val="nil"/>
              <w:bottom w:val="nil"/>
              <w:right w:val="nil"/>
            </w:tcBorders>
            <w:shd w:val="clear" w:color="auto" w:fill="auto"/>
            <w:vAlign w:val="center"/>
          </w:tcPr>
          <w:p w14:paraId="47B699A6" w14:textId="77777777" w:rsidR="00563C7B" w:rsidRPr="008E77FE" w:rsidRDefault="00563C7B" w:rsidP="00563C7B">
            <w:pPr>
              <w:pStyle w:val="TableBodyText"/>
              <w:rPr>
                <w:rStyle w:val="NoteLabel"/>
              </w:rPr>
            </w:pPr>
          </w:p>
        </w:tc>
        <w:tc>
          <w:tcPr>
            <w:tcW w:w="1134" w:type="dxa"/>
            <w:tcBorders>
              <w:top w:val="nil"/>
              <w:left w:val="nil"/>
              <w:bottom w:val="nil"/>
              <w:right w:val="nil"/>
            </w:tcBorders>
            <w:shd w:val="clear" w:color="auto" w:fill="auto"/>
            <w:vAlign w:val="center"/>
          </w:tcPr>
          <w:p w14:paraId="433149C0" w14:textId="77777777" w:rsidR="00563C7B" w:rsidRPr="008E77FE" w:rsidRDefault="00563C7B" w:rsidP="00563C7B">
            <w:pPr>
              <w:pStyle w:val="TableBodyText"/>
              <w:rPr>
                <w:rStyle w:val="NoteLabel"/>
              </w:rPr>
            </w:pPr>
          </w:p>
        </w:tc>
        <w:tc>
          <w:tcPr>
            <w:tcW w:w="1019" w:type="dxa"/>
            <w:tcBorders>
              <w:top w:val="nil"/>
              <w:left w:val="nil"/>
              <w:bottom w:val="nil"/>
              <w:right w:val="nil"/>
            </w:tcBorders>
            <w:shd w:val="clear" w:color="auto" w:fill="auto"/>
            <w:vAlign w:val="center"/>
          </w:tcPr>
          <w:p w14:paraId="54E7196C" w14:textId="697E91DD" w:rsidR="00563C7B" w:rsidRPr="008E77FE" w:rsidRDefault="00563C7B" w:rsidP="00563C7B">
            <w:pPr>
              <w:pStyle w:val="TableBodyText"/>
              <w:rPr>
                <w:rStyle w:val="NoteLabel"/>
              </w:rPr>
            </w:pPr>
            <w:r>
              <w:t>7 300</w:t>
            </w:r>
          </w:p>
        </w:tc>
      </w:tr>
      <w:tr w:rsidR="00563C7B" w14:paraId="5CB4DF3C" w14:textId="77777777" w:rsidTr="0080220E">
        <w:trPr>
          <w:cantSplit/>
          <w:trHeight w:val="20"/>
        </w:trPr>
        <w:tc>
          <w:tcPr>
            <w:tcW w:w="1983" w:type="dxa"/>
            <w:tcBorders>
              <w:top w:val="nil"/>
              <w:left w:val="nil"/>
              <w:bottom w:val="nil"/>
              <w:right w:val="nil"/>
            </w:tcBorders>
            <w:shd w:val="clear" w:color="auto" w:fill="auto"/>
            <w:vAlign w:val="center"/>
          </w:tcPr>
          <w:p w14:paraId="5F3B1D9D" w14:textId="2D29140A" w:rsidR="00563C7B" w:rsidRPr="008E77FE" w:rsidRDefault="00563C7B" w:rsidP="00563C7B">
            <w:pPr>
              <w:pStyle w:val="TableBodyText"/>
              <w:jc w:val="left"/>
              <w:rPr>
                <w:rStyle w:val="NoteLabel"/>
              </w:rPr>
            </w:pPr>
            <w:r>
              <w:t>Youth allowance (Job seeker)</w:t>
            </w:r>
          </w:p>
        </w:tc>
        <w:tc>
          <w:tcPr>
            <w:tcW w:w="1334" w:type="dxa"/>
            <w:tcBorders>
              <w:top w:val="nil"/>
              <w:left w:val="nil"/>
              <w:bottom w:val="nil"/>
              <w:right w:val="nil"/>
            </w:tcBorders>
            <w:shd w:val="clear" w:color="auto" w:fill="auto"/>
            <w:vAlign w:val="center"/>
          </w:tcPr>
          <w:p w14:paraId="79EC07FE" w14:textId="4490F0D0" w:rsidR="00563C7B" w:rsidRPr="008E77FE" w:rsidRDefault="00563C7B" w:rsidP="00563C7B">
            <w:pPr>
              <w:pStyle w:val="TableBodyText"/>
              <w:rPr>
                <w:rStyle w:val="NoteLabel"/>
              </w:rPr>
            </w:pPr>
            <w:r>
              <w:t>10 900</w:t>
            </w:r>
          </w:p>
        </w:tc>
        <w:tc>
          <w:tcPr>
            <w:tcW w:w="1204" w:type="dxa"/>
            <w:tcBorders>
              <w:top w:val="nil"/>
              <w:left w:val="nil"/>
              <w:bottom w:val="nil"/>
              <w:right w:val="nil"/>
            </w:tcBorders>
            <w:shd w:val="clear" w:color="auto" w:fill="auto"/>
            <w:vAlign w:val="center"/>
          </w:tcPr>
          <w:p w14:paraId="6EFB940E" w14:textId="07732213" w:rsidR="00563C7B" w:rsidRPr="008E77FE" w:rsidRDefault="00563C7B" w:rsidP="00563C7B">
            <w:pPr>
              <w:pStyle w:val="TableBodyText"/>
              <w:rPr>
                <w:rStyle w:val="NoteLabel"/>
              </w:rPr>
            </w:pPr>
            <w:r>
              <w:t>3 200</w:t>
            </w:r>
          </w:p>
        </w:tc>
        <w:tc>
          <w:tcPr>
            <w:tcW w:w="1113" w:type="dxa"/>
            <w:tcBorders>
              <w:top w:val="nil"/>
              <w:left w:val="nil"/>
              <w:bottom w:val="nil"/>
              <w:right w:val="nil"/>
            </w:tcBorders>
            <w:shd w:val="clear" w:color="auto" w:fill="auto"/>
            <w:vAlign w:val="center"/>
          </w:tcPr>
          <w:p w14:paraId="446BD5CC" w14:textId="66EEE374" w:rsidR="00563C7B" w:rsidRPr="008E77FE" w:rsidRDefault="00563C7B" w:rsidP="00563C7B">
            <w:pPr>
              <w:pStyle w:val="TableBodyText"/>
              <w:rPr>
                <w:rStyle w:val="NoteLabel"/>
              </w:rPr>
            </w:pPr>
            <w:r>
              <w:t>7 700</w:t>
            </w:r>
          </w:p>
        </w:tc>
        <w:tc>
          <w:tcPr>
            <w:tcW w:w="1007" w:type="dxa"/>
            <w:tcBorders>
              <w:top w:val="nil"/>
              <w:left w:val="nil"/>
              <w:bottom w:val="nil"/>
              <w:right w:val="nil"/>
            </w:tcBorders>
            <w:shd w:val="clear" w:color="auto" w:fill="auto"/>
            <w:vAlign w:val="center"/>
          </w:tcPr>
          <w:p w14:paraId="299C70C8" w14:textId="7598CDF3" w:rsidR="00563C7B" w:rsidRPr="008E77FE" w:rsidRDefault="00563C7B" w:rsidP="00563C7B">
            <w:pPr>
              <w:pStyle w:val="TableBodyText"/>
              <w:rPr>
                <w:rStyle w:val="NoteLabel"/>
              </w:rPr>
            </w:pPr>
            <w:r>
              <w:t>3 000</w:t>
            </w:r>
          </w:p>
        </w:tc>
        <w:tc>
          <w:tcPr>
            <w:tcW w:w="1134" w:type="dxa"/>
            <w:tcBorders>
              <w:top w:val="nil"/>
              <w:left w:val="nil"/>
              <w:bottom w:val="nil"/>
              <w:right w:val="nil"/>
            </w:tcBorders>
            <w:shd w:val="clear" w:color="auto" w:fill="auto"/>
            <w:vAlign w:val="center"/>
          </w:tcPr>
          <w:p w14:paraId="719F73A8" w14:textId="0221EA4D" w:rsidR="00563C7B" w:rsidRPr="008E77FE" w:rsidRDefault="00563C7B" w:rsidP="00563C7B">
            <w:pPr>
              <w:pStyle w:val="TableBodyText"/>
              <w:rPr>
                <w:rStyle w:val="NoteLabel"/>
              </w:rPr>
            </w:pPr>
            <w:r>
              <w:t>4 700</w:t>
            </w:r>
          </w:p>
        </w:tc>
        <w:tc>
          <w:tcPr>
            <w:tcW w:w="1019" w:type="dxa"/>
            <w:tcBorders>
              <w:top w:val="nil"/>
              <w:left w:val="nil"/>
              <w:bottom w:val="nil"/>
              <w:right w:val="nil"/>
            </w:tcBorders>
            <w:shd w:val="clear" w:color="auto" w:fill="auto"/>
            <w:vAlign w:val="center"/>
          </w:tcPr>
          <w:p w14:paraId="0D24ED6B" w14:textId="77777777" w:rsidR="00563C7B" w:rsidRPr="008E77FE" w:rsidRDefault="00563C7B" w:rsidP="00563C7B">
            <w:pPr>
              <w:pStyle w:val="TableBodyText"/>
              <w:rPr>
                <w:rStyle w:val="NoteLabel"/>
              </w:rPr>
            </w:pPr>
          </w:p>
        </w:tc>
      </w:tr>
      <w:tr w:rsidR="0080220E" w14:paraId="67ADA6E3" w14:textId="77777777" w:rsidTr="0080220E">
        <w:trPr>
          <w:cantSplit/>
          <w:trHeight w:val="20"/>
        </w:trPr>
        <w:tc>
          <w:tcPr>
            <w:tcW w:w="3317" w:type="dxa"/>
            <w:gridSpan w:val="2"/>
            <w:tcBorders>
              <w:top w:val="nil"/>
              <w:left w:val="nil"/>
              <w:bottom w:val="nil"/>
              <w:right w:val="nil"/>
            </w:tcBorders>
            <w:shd w:val="clear" w:color="auto" w:fill="auto"/>
            <w:vAlign w:val="center"/>
          </w:tcPr>
          <w:p w14:paraId="0EF07C5B" w14:textId="4E54ACA5" w:rsidR="0080220E" w:rsidRPr="008E77FE" w:rsidRDefault="0080220E" w:rsidP="00B5435E">
            <w:pPr>
              <w:pStyle w:val="TableBodyText"/>
              <w:ind w:left="170"/>
              <w:jc w:val="left"/>
              <w:rPr>
                <w:rStyle w:val="NoteLabel"/>
              </w:rPr>
            </w:pPr>
            <w:r>
              <w:t>Jobseeker classification</w:t>
            </w:r>
            <w:r w:rsidRPr="00563C7B">
              <w:rPr>
                <w:rStyle w:val="NoteLabel"/>
              </w:rPr>
              <w:t>f</w:t>
            </w:r>
          </w:p>
        </w:tc>
        <w:tc>
          <w:tcPr>
            <w:tcW w:w="1204" w:type="dxa"/>
            <w:tcBorders>
              <w:top w:val="nil"/>
              <w:left w:val="nil"/>
              <w:bottom w:val="nil"/>
              <w:right w:val="nil"/>
            </w:tcBorders>
            <w:shd w:val="clear" w:color="auto" w:fill="auto"/>
            <w:vAlign w:val="center"/>
          </w:tcPr>
          <w:p w14:paraId="3ADF7977" w14:textId="77777777" w:rsidR="0080220E" w:rsidRPr="008E77FE" w:rsidRDefault="0080220E" w:rsidP="00563C7B">
            <w:pPr>
              <w:pStyle w:val="TableBodyText"/>
              <w:rPr>
                <w:rStyle w:val="NoteLabel"/>
              </w:rPr>
            </w:pPr>
          </w:p>
        </w:tc>
        <w:tc>
          <w:tcPr>
            <w:tcW w:w="1113" w:type="dxa"/>
            <w:tcBorders>
              <w:top w:val="nil"/>
              <w:left w:val="nil"/>
              <w:bottom w:val="nil"/>
              <w:right w:val="nil"/>
            </w:tcBorders>
            <w:shd w:val="clear" w:color="auto" w:fill="auto"/>
            <w:vAlign w:val="center"/>
          </w:tcPr>
          <w:p w14:paraId="2A438BDF" w14:textId="77777777" w:rsidR="0080220E" w:rsidRPr="008E77FE" w:rsidRDefault="0080220E" w:rsidP="00563C7B">
            <w:pPr>
              <w:pStyle w:val="TableBodyText"/>
              <w:rPr>
                <w:rStyle w:val="NoteLabel"/>
              </w:rPr>
            </w:pPr>
          </w:p>
        </w:tc>
        <w:tc>
          <w:tcPr>
            <w:tcW w:w="1007" w:type="dxa"/>
            <w:tcBorders>
              <w:top w:val="nil"/>
              <w:left w:val="nil"/>
              <w:bottom w:val="nil"/>
              <w:right w:val="nil"/>
            </w:tcBorders>
            <w:shd w:val="clear" w:color="auto" w:fill="auto"/>
            <w:vAlign w:val="center"/>
          </w:tcPr>
          <w:p w14:paraId="15A80E53" w14:textId="77777777" w:rsidR="0080220E" w:rsidRPr="008E77FE" w:rsidRDefault="0080220E" w:rsidP="00563C7B">
            <w:pPr>
              <w:pStyle w:val="TableBodyText"/>
              <w:rPr>
                <w:rStyle w:val="NoteLabel"/>
              </w:rPr>
            </w:pPr>
          </w:p>
        </w:tc>
        <w:tc>
          <w:tcPr>
            <w:tcW w:w="1134" w:type="dxa"/>
            <w:tcBorders>
              <w:top w:val="nil"/>
              <w:left w:val="nil"/>
              <w:bottom w:val="nil"/>
              <w:right w:val="nil"/>
            </w:tcBorders>
            <w:shd w:val="clear" w:color="auto" w:fill="auto"/>
            <w:vAlign w:val="center"/>
          </w:tcPr>
          <w:p w14:paraId="6B3A4E75" w14:textId="77777777" w:rsidR="0080220E" w:rsidRPr="008E77FE" w:rsidRDefault="0080220E" w:rsidP="00563C7B">
            <w:pPr>
              <w:pStyle w:val="TableBodyText"/>
              <w:rPr>
                <w:rStyle w:val="NoteLabel"/>
              </w:rPr>
            </w:pPr>
          </w:p>
        </w:tc>
        <w:tc>
          <w:tcPr>
            <w:tcW w:w="1019" w:type="dxa"/>
            <w:tcBorders>
              <w:top w:val="nil"/>
              <w:left w:val="nil"/>
              <w:bottom w:val="nil"/>
              <w:right w:val="nil"/>
            </w:tcBorders>
            <w:shd w:val="clear" w:color="auto" w:fill="auto"/>
            <w:vAlign w:val="center"/>
          </w:tcPr>
          <w:p w14:paraId="36E0C335" w14:textId="77777777" w:rsidR="0080220E" w:rsidRPr="008E77FE" w:rsidRDefault="0080220E" w:rsidP="00563C7B">
            <w:pPr>
              <w:pStyle w:val="TableBodyText"/>
              <w:rPr>
                <w:rStyle w:val="NoteLabel"/>
              </w:rPr>
            </w:pPr>
          </w:p>
        </w:tc>
      </w:tr>
      <w:tr w:rsidR="00563C7B" w14:paraId="765B54EE" w14:textId="77777777" w:rsidTr="0080220E">
        <w:trPr>
          <w:cantSplit/>
          <w:trHeight w:val="20"/>
        </w:trPr>
        <w:tc>
          <w:tcPr>
            <w:tcW w:w="1983" w:type="dxa"/>
            <w:tcBorders>
              <w:top w:val="nil"/>
              <w:left w:val="nil"/>
              <w:bottom w:val="nil"/>
              <w:right w:val="nil"/>
            </w:tcBorders>
            <w:shd w:val="clear" w:color="auto" w:fill="auto"/>
            <w:vAlign w:val="center"/>
          </w:tcPr>
          <w:p w14:paraId="3E1FD8D2" w14:textId="5A2E9B80" w:rsidR="00563C7B" w:rsidRPr="008E77FE" w:rsidRDefault="00563C7B" w:rsidP="00B5435E">
            <w:pPr>
              <w:pStyle w:val="TableBodyText"/>
              <w:ind w:left="340"/>
              <w:jc w:val="left"/>
              <w:rPr>
                <w:rStyle w:val="NoteLabel"/>
              </w:rPr>
            </w:pPr>
            <w:r>
              <w:t>Stream 1 &amp; 2</w:t>
            </w:r>
          </w:p>
        </w:tc>
        <w:tc>
          <w:tcPr>
            <w:tcW w:w="1334" w:type="dxa"/>
            <w:tcBorders>
              <w:top w:val="nil"/>
              <w:left w:val="nil"/>
              <w:bottom w:val="nil"/>
              <w:right w:val="nil"/>
            </w:tcBorders>
            <w:shd w:val="clear" w:color="auto" w:fill="auto"/>
            <w:vAlign w:val="center"/>
          </w:tcPr>
          <w:p w14:paraId="66CDCF12" w14:textId="49105E75" w:rsidR="00563C7B" w:rsidRPr="008E77FE" w:rsidRDefault="00563C7B" w:rsidP="00563C7B">
            <w:pPr>
              <w:pStyle w:val="TableBodyText"/>
              <w:rPr>
                <w:rStyle w:val="NoteLabel"/>
              </w:rPr>
            </w:pPr>
            <w:r>
              <w:t>5 400</w:t>
            </w:r>
          </w:p>
        </w:tc>
        <w:tc>
          <w:tcPr>
            <w:tcW w:w="1204" w:type="dxa"/>
            <w:tcBorders>
              <w:top w:val="nil"/>
              <w:left w:val="nil"/>
              <w:bottom w:val="nil"/>
              <w:right w:val="nil"/>
            </w:tcBorders>
            <w:shd w:val="clear" w:color="auto" w:fill="auto"/>
            <w:vAlign w:val="center"/>
          </w:tcPr>
          <w:p w14:paraId="008DDD21" w14:textId="140489FF" w:rsidR="00563C7B" w:rsidRPr="008E77FE" w:rsidRDefault="00563C7B" w:rsidP="00563C7B">
            <w:pPr>
              <w:pStyle w:val="TableBodyText"/>
              <w:rPr>
                <w:rStyle w:val="NoteLabel"/>
              </w:rPr>
            </w:pPr>
            <w:r>
              <w:t>2 400</w:t>
            </w:r>
          </w:p>
        </w:tc>
        <w:tc>
          <w:tcPr>
            <w:tcW w:w="1113" w:type="dxa"/>
            <w:tcBorders>
              <w:top w:val="nil"/>
              <w:left w:val="nil"/>
              <w:bottom w:val="nil"/>
              <w:right w:val="nil"/>
            </w:tcBorders>
            <w:shd w:val="clear" w:color="auto" w:fill="auto"/>
            <w:vAlign w:val="center"/>
          </w:tcPr>
          <w:p w14:paraId="5D68EA91" w14:textId="0D2EA6CD" w:rsidR="00563C7B" w:rsidRPr="008E77FE" w:rsidRDefault="00563C7B" w:rsidP="00563C7B">
            <w:pPr>
              <w:pStyle w:val="TableBodyText"/>
              <w:rPr>
                <w:rStyle w:val="NoteLabel"/>
              </w:rPr>
            </w:pPr>
            <w:r>
              <w:t>3 000</w:t>
            </w:r>
          </w:p>
        </w:tc>
        <w:tc>
          <w:tcPr>
            <w:tcW w:w="1007" w:type="dxa"/>
            <w:tcBorders>
              <w:top w:val="nil"/>
              <w:left w:val="nil"/>
              <w:bottom w:val="nil"/>
              <w:right w:val="nil"/>
            </w:tcBorders>
            <w:shd w:val="clear" w:color="auto" w:fill="auto"/>
            <w:vAlign w:val="center"/>
          </w:tcPr>
          <w:p w14:paraId="7CC12C74" w14:textId="51C1AB90" w:rsidR="00563C7B" w:rsidRPr="008E77FE" w:rsidRDefault="00563C7B" w:rsidP="00563C7B">
            <w:pPr>
              <w:pStyle w:val="TableBodyText"/>
              <w:rPr>
                <w:rStyle w:val="NoteLabel"/>
              </w:rPr>
            </w:pPr>
            <w:r>
              <w:t>3 000</w:t>
            </w:r>
          </w:p>
        </w:tc>
        <w:tc>
          <w:tcPr>
            <w:tcW w:w="1134" w:type="dxa"/>
            <w:tcBorders>
              <w:top w:val="nil"/>
              <w:left w:val="nil"/>
              <w:bottom w:val="nil"/>
              <w:right w:val="nil"/>
            </w:tcBorders>
            <w:shd w:val="clear" w:color="auto" w:fill="auto"/>
            <w:vAlign w:val="center"/>
          </w:tcPr>
          <w:p w14:paraId="19D35D99" w14:textId="77777777" w:rsidR="00563C7B" w:rsidRPr="008E77FE" w:rsidRDefault="00563C7B" w:rsidP="00563C7B">
            <w:pPr>
              <w:pStyle w:val="TableBodyText"/>
              <w:rPr>
                <w:rStyle w:val="NoteLabel"/>
              </w:rPr>
            </w:pPr>
          </w:p>
        </w:tc>
        <w:tc>
          <w:tcPr>
            <w:tcW w:w="1019" w:type="dxa"/>
            <w:tcBorders>
              <w:top w:val="nil"/>
              <w:left w:val="nil"/>
              <w:bottom w:val="nil"/>
              <w:right w:val="nil"/>
            </w:tcBorders>
            <w:shd w:val="clear" w:color="auto" w:fill="auto"/>
            <w:vAlign w:val="center"/>
          </w:tcPr>
          <w:p w14:paraId="5CBA6902" w14:textId="77777777" w:rsidR="00563C7B" w:rsidRPr="008E77FE" w:rsidRDefault="00563C7B" w:rsidP="00563C7B">
            <w:pPr>
              <w:pStyle w:val="TableBodyText"/>
              <w:rPr>
                <w:rStyle w:val="NoteLabel"/>
              </w:rPr>
            </w:pPr>
          </w:p>
        </w:tc>
      </w:tr>
      <w:tr w:rsidR="00563C7B" w14:paraId="020A657A" w14:textId="77777777" w:rsidTr="0080220E">
        <w:trPr>
          <w:cantSplit/>
          <w:trHeight w:val="20"/>
        </w:trPr>
        <w:tc>
          <w:tcPr>
            <w:tcW w:w="1983" w:type="dxa"/>
            <w:tcBorders>
              <w:top w:val="nil"/>
              <w:left w:val="nil"/>
              <w:bottom w:val="nil"/>
              <w:right w:val="nil"/>
            </w:tcBorders>
            <w:shd w:val="clear" w:color="auto" w:fill="auto"/>
            <w:vAlign w:val="center"/>
          </w:tcPr>
          <w:p w14:paraId="2FEDD6D4" w14:textId="0DDF89C8" w:rsidR="00563C7B" w:rsidRPr="008E77FE" w:rsidRDefault="00563C7B" w:rsidP="00B5435E">
            <w:pPr>
              <w:pStyle w:val="TableBodyText"/>
              <w:ind w:left="340"/>
              <w:jc w:val="left"/>
              <w:rPr>
                <w:rStyle w:val="NoteLabel"/>
              </w:rPr>
            </w:pPr>
            <w:r>
              <w:t>Stream 3</w:t>
            </w:r>
          </w:p>
        </w:tc>
        <w:tc>
          <w:tcPr>
            <w:tcW w:w="1334" w:type="dxa"/>
            <w:tcBorders>
              <w:top w:val="nil"/>
              <w:left w:val="nil"/>
              <w:bottom w:val="nil"/>
              <w:right w:val="nil"/>
            </w:tcBorders>
            <w:shd w:val="clear" w:color="auto" w:fill="auto"/>
            <w:vAlign w:val="center"/>
          </w:tcPr>
          <w:p w14:paraId="525747E0" w14:textId="53B588A9" w:rsidR="00563C7B" w:rsidRPr="008E77FE" w:rsidRDefault="00563C7B" w:rsidP="00563C7B">
            <w:pPr>
              <w:pStyle w:val="TableBodyText"/>
              <w:rPr>
                <w:rStyle w:val="NoteLabel"/>
              </w:rPr>
            </w:pPr>
            <w:r>
              <w:t>2 800</w:t>
            </w:r>
          </w:p>
        </w:tc>
        <w:tc>
          <w:tcPr>
            <w:tcW w:w="1204" w:type="dxa"/>
            <w:tcBorders>
              <w:top w:val="nil"/>
              <w:left w:val="nil"/>
              <w:bottom w:val="nil"/>
              <w:right w:val="nil"/>
            </w:tcBorders>
            <w:shd w:val="clear" w:color="auto" w:fill="auto"/>
            <w:vAlign w:val="center"/>
          </w:tcPr>
          <w:p w14:paraId="796D3370" w14:textId="76488E69" w:rsidR="00563C7B" w:rsidRPr="008E77FE" w:rsidRDefault="00563C7B" w:rsidP="00563C7B">
            <w:pPr>
              <w:pStyle w:val="TableBodyText"/>
              <w:rPr>
                <w:rStyle w:val="NoteLabel"/>
              </w:rPr>
            </w:pPr>
            <w:r>
              <w:t xml:space="preserve"> 500</w:t>
            </w:r>
          </w:p>
        </w:tc>
        <w:tc>
          <w:tcPr>
            <w:tcW w:w="1113" w:type="dxa"/>
            <w:tcBorders>
              <w:top w:val="nil"/>
              <w:left w:val="nil"/>
              <w:bottom w:val="nil"/>
              <w:right w:val="nil"/>
            </w:tcBorders>
            <w:shd w:val="clear" w:color="auto" w:fill="auto"/>
            <w:vAlign w:val="center"/>
          </w:tcPr>
          <w:p w14:paraId="6D5B526F" w14:textId="588C5C3C" w:rsidR="00563C7B" w:rsidRPr="008E77FE" w:rsidRDefault="00563C7B" w:rsidP="00563C7B">
            <w:pPr>
              <w:pStyle w:val="TableBodyText"/>
              <w:rPr>
                <w:rStyle w:val="NoteLabel"/>
              </w:rPr>
            </w:pPr>
            <w:r>
              <w:t>2 300</w:t>
            </w:r>
          </w:p>
        </w:tc>
        <w:tc>
          <w:tcPr>
            <w:tcW w:w="1007" w:type="dxa"/>
            <w:tcBorders>
              <w:top w:val="nil"/>
              <w:left w:val="nil"/>
              <w:bottom w:val="nil"/>
              <w:right w:val="nil"/>
            </w:tcBorders>
            <w:shd w:val="clear" w:color="auto" w:fill="auto"/>
            <w:vAlign w:val="center"/>
          </w:tcPr>
          <w:p w14:paraId="50FA8B1E" w14:textId="77777777" w:rsidR="00563C7B" w:rsidRPr="008E77FE" w:rsidRDefault="00563C7B" w:rsidP="00563C7B">
            <w:pPr>
              <w:pStyle w:val="TableBodyText"/>
              <w:rPr>
                <w:rStyle w:val="NoteLabel"/>
              </w:rPr>
            </w:pPr>
          </w:p>
        </w:tc>
        <w:tc>
          <w:tcPr>
            <w:tcW w:w="1134" w:type="dxa"/>
            <w:tcBorders>
              <w:top w:val="nil"/>
              <w:left w:val="nil"/>
              <w:bottom w:val="nil"/>
              <w:right w:val="nil"/>
            </w:tcBorders>
            <w:shd w:val="clear" w:color="auto" w:fill="auto"/>
            <w:vAlign w:val="center"/>
          </w:tcPr>
          <w:p w14:paraId="36B7DBB6" w14:textId="1BBB6103" w:rsidR="00563C7B" w:rsidRPr="008E77FE" w:rsidRDefault="00563C7B" w:rsidP="00563C7B">
            <w:pPr>
              <w:pStyle w:val="TableBodyText"/>
              <w:rPr>
                <w:rStyle w:val="NoteLabel"/>
              </w:rPr>
            </w:pPr>
            <w:r>
              <w:t>2 300</w:t>
            </w:r>
          </w:p>
        </w:tc>
        <w:tc>
          <w:tcPr>
            <w:tcW w:w="1019" w:type="dxa"/>
            <w:tcBorders>
              <w:top w:val="nil"/>
              <w:left w:val="nil"/>
              <w:bottom w:val="nil"/>
              <w:right w:val="nil"/>
            </w:tcBorders>
            <w:shd w:val="clear" w:color="auto" w:fill="auto"/>
            <w:vAlign w:val="center"/>
          </w:tcPr>
          <w:p w14:paraId="4674987A" w14:textId="77777777" w:rsidR="00563C7B" w:rsidRPr="008E77FE" w:rsidRDefault="00563C7B" w:rsidP="00563C7B">
            <w:pPr>
              <w:pStyle w:val="TableBodyText"/>
              <w:rPr>
                <w:rStyle w:val="NoteLabel"/>
              </w:rPr>
            </w:pPr>
          </w:p>
        </w:tc>
      </w:tr>
      <w:tr w:rsidR="00563C7B" w14:paraId="600449D7" w14:textId="77777777" w:rsidTr="0080220E">
        <w:trPr>
          <w:cantSplit/>
          <w:trHeight w:val="20"/>
        </w:trPr>
        <w:tc>
          <w:tcPr>
            <w:tcW w:w="1983" w:type="dxa"/>
            <w:tcBorders>
              <w:top w:val="nil"/>
              <w:left w:val="nil"/>
              <w:bottom w:val="nil"/>
              <w:right w:val="nil"/>
            </w:tcBorders>
            <w:shd w:val="clear" w:color="auto" w:fill="auto"/>
            <w:vAlign w:val="center"/>
          </w:tcPr>
          <w:p w14:paraId="210627CB" w14:textId="7E856330" w:rsidR="00563C7B" w:rsidRPr="008E77FE" w:rsidRDefault="00563C7B" w:rsidP="00B5435E">
            <w:pPr>
              <w:pStyle w:val="TableBodyText"/>
              <w:ind w:left="340"/>
              <w:jc w:val="left"/>
              <w:rPr>
                <w:rStyle w:val="NoteLabel"/>
              </w:rPr>
            </w:pPr>
            <w:r>
              <w:t>Stream 4</w:t>
            </w:r>
          </w:p>
        </w:tc>
        <w:tc>
          <w:tcPr>
            <w:tcW w:w="1334" w:type="dxa"/>
            <w:tcBorders>
              <w:top w:val="nil"/>
              <w:left w:val="nil"/>
              <w:bottom w:val="nil"/>
              <w:right w:val="nil"/>
            </w:tcBorders>
            <w:shd w:val="clear" w:color="auto" w:fill="auto"/>
            <w:vAlign w:val="center"/>
          </w:tcPr>
          <w:p w14:paraId="04316041" w14:textId="5E3B23FE" w:rsidR="00563C7B" w:rsidRPr="008E77FE" w:rsidRDefault="00563C7B" w:rsidP="00563C7B">
            <w:pPr>
              <w:pStyle w:val="TableBodyText"/>
              <w:rPr>
                <w:rStyle w:val="NoteLabel"/>
              </w:rPr>
            </w:pPr>
            <w:r>
              <w:t>2 700</w:t>
            </w:r>
          </w:p>
        </w:tc>
        <w:tc>
          <w:tcPr>
            <w:tcW w:w="1204" w:type="dxa"/>
            <w:tcBorders>
              <w:top w:val="nil"/>
              <w:left w:val="nil"/>
              <w:bottom w:val="nil"/>
              <w:right w:val="nil"/>
            </w:tcBorders>
            <w:shd w:val="clear" w:color="auto" w:fill="auto"/>
            <w:vAlign w:val="center"/>
          </w:tcPr>
          <w:p w14:paraId="7546585B" w14:textId="1DE0B558" w:rsidR="00563C7B" w:rsidRPr="008E77FE" w:rsidRDefault="00563C7B" w:rsidP="00563C7B">
            <w:pPr>
              <w:pStyle w:val="TableBodyText"/>
              <w:rPr>
                <w:rStyle w:val="NoteLabel"/>
              </w:rPr>
            </w:pPr>
            <w:r>
              <w:t xml:space="preserve"> 300</w:t>
            </w:r>
          </w:p>
        </w:tc>
        <w:tc>
          <w:tcPr>
            <w:tcW w:w="1113" w:type="dxa"/>
            <w:tcBorders>
              <w:top w:val="nil"/>
              <w:left w:val="nil"/>
              <w:bottom w:val="nil"/>
              <w:right w:val="nil"/>
            </w:tcBorders>
            <w:shd w:val="clear" w:color="auto" w:fill="auto"/>
            <w:vAlign w:val="center"/>
          </w:tcPr>
          <w:p w14:paraId="26B8847C" w14:textId="5099C44A" w:rsidR="00563C7B" w:rsidRPr="008E77FE" w:rsidRDefault="00563C7B" w:rsidP="00563C7B">
            <w:pPr>
              <w:pStyle w:val="TableBodyText"/>
              <w:rPr>
                <w:rStyle w:val="NoteLabel"/>
              </w:rPr>
            </w:pPr>
            <w:r>
              <w:t>2 400</w:t>
            </w:r>
          </w:p>
        </w:tc>
        <w:tc>
          <w:tcPr>
            <w:tcW w:w="1007" w:type="dxa"/>
            <w:tcBorders>
              <w:top w:val="nil"/>
              <w:left w:val="nil"/>
              <w:bottom w:val="nil"/>
              <w:right w:val="nil"/>
            </w:tcBorders>
            <w:shd w:val="clear" w:color="auto" w:fill="auto"/>
            <w:vAlign w:val="center"/>
          </w:tcPr>
          <w:p w14:paraId="39C90C97" w14:textId="77777777" w:rsidR="00563C7B" w:rsidRPr="008E77FE" w:rsidRDefault="00563C7B" w:rsidP="00563C7B">
            <w:pPr>
              <w:pStyle w:val="TableBodyText"/>
              <w:rPr>
                <w:rStyle w:val="NoteLabel"/>
              </w:rPr>
            </w:pPr>
          </w:p>
        </w:tc>
        <w:tc>
          <w:tcPr>
            <w:tcW w:w="1134" w:type="dxa"/>
            <w:tcBorders>
              <w:top w:val="nil"/>
              <w:left w:val="nil"/>
              <w:bottom w:val="nil"/>
              <w:right w:val="nil"/>
            </w:tcBorders>
            <w:shd w:val="clear" w:color="auto" w:fill="auto"/>
            <w:vAlign w:val="center"/>
          </w:tcPr>
          <w:p w14:paraId="70F4C828" w14:textId="360C2420" w:rsidR="00563C7B" w:rsidRPr="008E77FE" w:rsidRDefault="00563C7B" w:rsidP="00563C7B">
            <w:pPr>
              <w:pStyle w:val="TableBodyText"/>
              <w:rPr>
                <w:rStyle w:val="NoteLabel"/>
              </w:rPr>
            </w:pPr>
            <w:r>
              <w:t>2 400</w:t>
            </w:r>
          </w:p>
        </w:tc>
        <w:tc>
          <w:tcPr>
            <w:tcW w:w="1019" w:type="dxa"/>
            <w:tcBorders>
              <w:top w:val="nil"/>
              <w:left w:val="nil"/>
              <w:bottom w:val="nil"/>
              <w:right w:val="nil"/>
            </w:tcBorders>
            <w:shd w:val="clear" w:color="auto" w:fill="auto"/>
            <w:vAlign w:val="center"/>
          </w:tcPr>
          <w:p w14:paraId="79AF956C" w14:textId="77777777" w:rsidR="00563C7B" w:rsidRPr="008E77FE" w:rsidRDefault="00563C7B" w:rsidP="00563C7B">
            <w:pPr>
              <w:pStyle w:val="TableBodyText"/>
              <w:rPr>
                <w:rStyle w:val="NoteLabel"/>
              </w:rPr>
            </w:pPr>
          </w:p>
        </w:tc>
      </w:tr>
      <w:tr w:rsidR="00563C7B" w14:paraId="08DC4B53" w14:textId="77777777" w:rsidTr="0080220E">
        <w:trPr>
          <w:cantSplit/>
          <w:trHeight w:val="20"/>
        </w:trPr>
        <w:tc>
          <w:tcPr>
            <w:tcW w:w="1983" w:type="dxa"/>
            <w:tcBorders>
              <w:top w:val="nil"/>
              <w:left w:val="nil"/>
              <w:bottom w:val="nil"/>
              <w:right w:val="nil"/>
            </w:tcBorders>
            <w:shd w:val="clear" w:color="auto" w:fill="auto"/>
            <w:vAlign w:val="center"/>
          </w:tcPr>
          <w:p w14:paraId="1D9AB754" w14:textId="0AD29FEB" w:rsidR="00563C7B" w:rsidRPr="008E77FE" w:rsidRDefault="00563C7B" w:rsidP="00563C7B">
            <w:pPr>
              <w:pStyle w:val="TableBodyText"/>
              <w:jc w:val="left"/>
              <w:rPr>
                <w:rStyle w:val="NoteLabel"/>
              </w:rPr>
            </w:pPr>
            <w:r>
              <w:t>Carer payment</w:t>
            </w:r>
            <w:r w:rsidRPr="00563C7B">
              <w:rPr>
                <w:rStyle w:val="NoteLabel"/>
              </w:rPr>
              <w:t>g</w:t>
            </w:r>
          </w:p>
        </w:tc>
        <w:tc>
          <w:tcPr>
            <w:tcW w:w="1334" w:type="dxa"/>
            <w:tcBorders>
              <w:top w:val="nil"/>
              <w:left w:val="nil"/>
              <w:bottom w:val="nil"/>
              <w:right w:val="nil"/>
            </w:tcBorders>
            <w:shd w:val="clear" w:color="auto" w:fill="auto"/>
            <w:vAlign w:val="center"/>
          </w:tcPr>
          <w:p w14:paraId="5377CCB5" w14:textId="4D4DA800" w:rsidR="00563C7B" w:rsidRPr="008E77FE" w:rsidRDefault="00563C7B" w:rsidP="00563C7B">
            <w:pPr>
              <w:pStyle w:val="TableBodyText"/>
              <w:rPr>
                <w:rStyle w:val="NoteLabel"/>
              </w:rPr>
            </w:pPr>
            <w:r>
              <w:t>28 500</w:t>
            </w:r>
          </w:p>
        </w:tc>
        <w:tc>
          <w:tcPr>
            <w:tcW w:w="1204" w:type="dxa"/>
            <w:tcBorders>
              <w:top w:val="nil"/>
              <w:left w:val="nil"/>
              <w:bottom w:val="nil"/>
              <w:right w:val="nil"/>
            </w:tcBorders>
            <w:shd w:val="clear" w:color="auto" w:fill="auto"/>
            <w:vAlign w:val="center"/>
          </w:tcPr>
          <w:p w14:paraId="35F528A0" w14:textId="3732F998" w:rsidR="00563C7B" w:rsidRPr="008E77FE" w:rsidRDefault="00563C7B" w:rsidP="00563C7B">
            <w:pPr>
              <w:pStyle w:val="TableBodyText"/>
              <w:rPr>
                <w:rStyle w:val="NoteLabel"/>
              </w:rPr>
            </w:pPr>
            <w:r>
              <w:t>2 300</w:t>
            </w:r>
          </w:p>
        </w:tc>
        <w:tc>
          <w:tcPr>
            <w:tcW w:w="1113" w:type="dxa"/>
            <w:tcBorders>
              <w:top w:val="nil"/>
              <w:left w:val="nil"/>
              <w:bottom w:val="nil"/>
              <w:right w:val="nil"/>
            </w:tcBorders>
            <w:shd w:val="clear" w:color="auto" w:fill="auto"/>
            <w:vAlign w:val="center"/>
          </w:tcPr>
          <w:p w14:paraId="1924590B" w14:textId="399DFDC8" w:rsidR="00563C7B" w:rsidRPr="008E77FE" w:rsidRDefault="00563C7B" w:rsidP="00563C7B">
            <w:pPr>
              <w:pStyle w:val="TableBodyText"/>
              <w:rPr>
                <w:rStyle w:val="NoteLabel"/>
              </w:rPr>
            </w:pPr>
            <w:r>
              <w:t>26 200</w:t>
            </w:r>
          </w:p>
        </w:tc>
        <w:tc>
          <w:tcPr>
            <w:tcW w:w="1007" w:type="dxa"/>
            <w:tcBorders>
              <w:top w:val="nil"/>
              <w:left w:val="nil"/>
              <w:bottom w:val="nil"/>
              <w:right w:val="nil"/>
            </w:tcBorders>
            <w:shd w:val="clear" w:color="auto" w:fill="auto"/>
            <w:vAlign w:val="center"/>
          </w:tcPr>
          <w:p w14:paraId="0ED4FB13" w14:textId="7D1DB905" w:rsidR="00563C7B" w:rsidRPr="008E77FE" w:rsidRDefault="00563C7B" w:rsidP="00563C7B">
            <w:pPr>
              <w:pStyle w:val="TableBodyText"/>
              <w:rPr>
                <w:rStyle w:val="NoteLabel"/>
              </w:rPr>
            </w:pPr>
            <w:r>
              <w:t>1 500</w:t>
            </w:r>
          </w:p>
        </w:tc>
        <w:tc>
          <w:tcPr>
            <w:tcW w:w="1134" w:type="dxa"/>
            <w:tcBorders>
              <w:top w:val="nil"/>
              <w:left w:val="nil"/>
              <w:bottom w:val="nil"/>
              <w:right w:val="nil"/>
            </w:tcBorders>
            <w:shd w:val="clear" w:color="auto" w:fill="auto"/>
            <w:vAlign w:val="center"/>
          </w:tcPr>
          <w:p w14:paraId="1BB0C785" w14:textId="784FED13" w:rsidR="00563C7B" w:rsidRPr="008E77FE" w:rsidRDefault="00563C7B" w:rsidP="00563C7B">
            <w:pPr>
              <w:pStyle w:val="TableBodyText"/>
              <w:rPr>
                <w:rStyle w:val="NoteLabel"/>
              </w:rPr>
            </w:pPr>
            <w:r>
              <w:t>6 175</w:t>
            </w:r>
          </w:p>
        </w:tc>
        <w:tc>
          <w:tcPr>
            <w:tcW w:w="1019" w:type="dxa"/>
            <w:tcBorders>
              <w:top w:val="nil"/>
              <w:left w:val="nil"/>
              <w:bottom w:val="nil"/>
              <w:right w:val="nil"/>
            </w:tcBorders>
            <w:shd w:val="clear" w:color="auto" w:fill="auto"/>
            <w:vAlign w:val="center"/>
          </w:tcPr>
          <w:p w14:paraId="67E2F4F5" w14:textId="2D46E046" w:rsidR="00563C7B" w:rsidRPr="008E77FE" w:rsidRDefault="00563C7B" w:rsidP="00563C7B">
            <w:pPr>
              <w:pStyle w:val="TableBodyText"/>
              <w:rPr>
                <w:rStyle w:val="NoteLabel"/>
              </w:rPr>
            </w:pPr>
            <w:r>
              <w:t>18 525</w:t>
            </w:r>
          </w:p>
        </w:tc>
      </w:tr>
      <w:tr w:rsidR="00563C7B" w14:paraId="7909EA1D" w14:textId="77777777" w:rsidTr="0080220E">
        <w:trPr>
          <w:cantSplit/>
          <w:trHeight w:val="20"/>
        </w:trPr>
        <w:tc>
          <w:tcPr>
            <w:tcW w:w="1983" w:type="dxa"/>
            <w:tcBorders>
              <w:top w:val="nil"/>
              <w:left w:val="nil"/>
              <w:bottom w:val="nil"/>
              <w:right w:val="nil"/>
            </w:tcBorders>
            <w:shd w:val="clear" w:color="auto" w:fill="auto"/>
            <w:vAlign w:val="center"/>
          </w:tcPr>
          <w:p w14:paraId="2DF54A0B" w14:textId="1316A657" w:rsidR="00563C7B" w:rsidRPr="008E77FE" w:rsidRDefault="00563C7B" w:rsidP="00563C7B">
            <w:pPr>
              <w:pStyle w:val="TableBodyText"/>
              <w:jc w:val="left"/>
              <w:rPr>
                <w:rStyle w:val="NoteLabel"/>
              </w:rPr>
            </w:pPr>
            <w:r>
              <w:t>Other</w:t>
            </w:r>
            <w:r w:rsidRPr="00563C7B">
              <w:rPr>
                <w:rStyle w:val="NoteLabel"/>
              </w:rPr>
              <w:t>g</w:t>
            </w:r>
          </w:p>
        </w:tc>
        <w:tc>
          <w:tcPr>
            <w:tcW w:w="1334" w:type="dxa"/>
            <w:tcBorders>
              <w:top w:val="nil"/>
              <w:left w:val="nil"/>
              <w:bottom w:val="nil"/>
              <w:right w:val="nil"/>
            </w:tcBorders>
            <w:shd w:val="clear" w:color="auto" w:fill="auto"/>
            <w:vAlign w:val="center"/>
          </w:tcPr>
          <w:p w14:paraId="3626534D" w14:textId="66F800F7" w:rsidR="00563C7B" w:rsidRPr="008E77FE" w:rsidRDefault="00563C7B" w:rsidP="00563C7B">
            <w:pPr>
              <w:pStyle w:val="TableBodyText"/>
              <w:rPr>
                <w:rStyle w:val="NoteLabel"/>
              </w:rPr>
            </w:pPr>
            <w:r>
              <w:t>8 800</w:t>
            </w:r>
          </w:p>
        </w:tc>
        <w:tc>
          <w:tcPr>
            <w:tcW w:w="1204" w:type="dxa"/>
            <w:tcBorders>
              <w:top w:val="nil"/>
              <w:left w:val="nil"/>
              <w:bottom w:val="nil"/>
              <w:right w:val="nil"/>
            </w:tcBorders>
            <w:shd w:val="clear" w:color="auto" w:fill="auto"/>
            <w:vAlign w:val="center"/>
          </w:tcPr>
          <w:p w14:paraId="77567980" w14:textId="5349E7C2" w:rsidR="00563C7B" w:rsidRPr="008E77FE" w:rsidRDefault="00563C7B" w:rsidP="00563C7B">
            <w:pPr>
              <w:pStyle w:val="TableBodyText"/>
              <w:rPr>
                <w:rStyle w:val="NoteLabel"/>
              </w:rPr>
            </w:pPr>
            <w:r>
              <w:t>1 100</w:t>
            </w:r>
          </w:p>
        </w:tc>
        <w:tc>
          <w:tcPr>
            <w:tcW w:w="1113" w:type="dxa"/>
            <w:tcBorders>
              <w:top w:val="nil"/>
              <w:left w:val="nil"/>
              <w:bottom w:val="nil"/>
              <w:right w:val="nil"/>
            </w:tcBorders>
            <w:shd w:val="clear" w:color="auto" w:fill="auto"/>
            <w:vAlign w:val="center"/>
          </w:tcPr>
          <w:p w14:paraId="4B801D1C" w14:textId="554CEA1F" w:rsidR="00563C7B" w:rsidRPr="008E77FE" w:rsidRDefault="00563C7B" w:rsidP="00563C7B">
            <w:pPr>
              <w:pStyle w:val="TableBodyText"/>
              <w:rPr>
                <w:rStyle w:val="NoteLabel"/>
              </w:rPr>
            </w:pPr>
            <w:r>
              <w:t>7 700</w:t>
            </w:r>
          </w:p>
        </w:tc>
        <w:tc>
          <w:tcPr>
            <w:tcW w:w="1007" w:type="dxa"/>
            <w:tcBorders>
              <w:top w:val="nil"/>
              <w:left w:val="nil"/>
              <w:bottom w:val="nil"/>
              <w:right w:val="nil"/>
            </w:tcBorders>
            <w:shd w:val="clear" w:color="auto" w:fill="auto"/>
            <w:vAlign w:val="center"/>
          </w:tcPr>
          <w:p w14:paraId="76E6F2B1" w14:textId="02BE8FA4" w:rsidR="00563C7B" w:rsidRPr="008E77FE" w:rsidRDefault="00563C7B" w:rsidP="00563C7B">
            <w:pPr>
              <w:pStyle w:val="TableBodyText"/>
              <w:rPr>
                <w:rStyle w:val="NoteLabel"/>
              </w:rPr>
            </w:pPr>
            <w:r>
              <w:t xml:space="preserve"> 700</w:t>
            </w:r>
          </w:p>
        </w:tc>
        <w:tc>
          <w:tcPr>
            <w:tcW w:w="1134" w:type="dxa"/>
            <w:tcBorders>
              <w:top w:val="nil"/>
              <w:left w:val="nil"/>
              <w:bottom w:val="nil"/>
              <w:right w:val="nil"/>
            </w:tcBorders>
            <w:shd w:val="clear" w:color="auto" w:fill="auto"/>
            <w:vAlign w:val="center"/>
          </w:tcPr>
          <w:p w14:paraId="14F9662A" w14:textId="63993B07" w:rsidR="00563C7B" w:rsidRPr="008E77FE" w:rsidRDefault="00563C7B" w:rsidP="00563C7B">
            <w:pPr>
              <w:pStyle w:val="TableBodyText"/>
              <w:rPr>
                <w:rStyle w:val="NoteLabel"/>
              </w:rPr>
            </w:pPr>
            <w:r>
              <w:t>1 750</w:t>
            </w:r>
          </w:p>
        </w:tc>
        <w:tc>
          <w:tcPr>
            <w:tcW w:w="1019" w:type="dxa"/>
            <w:tcBorders>
              <w:top w:val="nil"/>
              <w:left w:val="nil"/>
              <w:bottom w:val="nil"/>
              <w:right w:val="nil"/>
            </w:tcBorders>
            <w:shd w:val="clear" w:color="auto" w:fill="auto"/>
            <w:vAlign w:val="center"/>
          </w:tcPr>
          <w:p w14:paraId="3ED12875" w14:textId="087A5B15" w:rsidR="00563C7B" w:rsidRPr="008E77FE" w:rsidRDefault="00563C7B" w:rsidP="00563C7B">
            <w:pPr>
              <w:pStyle w:val="TableBodyText"/>
              <w:rPr>
                <w:rStyle w:val="NoteLabel"/>
              </w:rPr>
            </w:pPr>
            <w:r>
              <w:t>5 250</w:t>
            </w:r>
          </w:p>
        </w:tc>
      </w:tr>
      <w:tr w:rsidR="00563C7B" w14:paraId="7B4247B2" w14:textId="77777777" w:rsidTr="0080220E">
        <w:trPr>
          <w:cantSplit/>
          <w:trHeight w:val="20"/>
        </w:trPr>
        <w:tc>
          <w:tcPr>
            <w:tcW w:w="1983" w:type="dxa"/>
            <w:tcBorders>
              <w:top w:val="nil"/>
              <w:left w:val="nil"/>
              <w:bottom w:val="single" w:sz="6" w:space="0" w:color="BFBFBF"/>
              <w:right w:val="nil"/>
            </w:tcBorders>
            <w:shd w:val="clear" w:color="auto" w:fill="auto"/>
            <w:vAlign w:val="center"/>
          </w:tcPr>
          <w:p w14:paraId="2902D8FE" w14:textId="5904EF72" w:rsidR="00563C7B" w:rsidRPr="008E77FE" w:rsidRDefault="00563C7B" w:rsidP="00563C7B">
            <w:pPr>
              <w:pStyle w:val="TableBodyText"/>
              <w:jc w:val="left"/>
              <w:rPr>
                <w:rStyle w:val="NoteLabel"/>
              </w:rPr>
            </w:pPr>
            <w:r>
              <w:rPr>
                <w:b/>
                <w:bCs/>
              </w:rPr>
              <w:t>Total</w:t>
            </w:r>
          </w:p>
        </w:tc>
        <w:tc>
          <w:tcPr>
            <w:tcW w:w="1334" w:type="dxa"/>
            <w:tcBorders>
              <w:top w:val="nil"/>
              <w:left w:val="nil"/>
              <w:bottom w:val="single" w:sz="6" w:space="0" w:color="BFBFBF"/>
              <w:right w:val="nil"/>
            </w:tcBorders>
            <w:shd w:val="clear" w:color="auto" w:fill="auto"/>
            <w:vAlign w:val="center"/>
          </w:tcPr>
          <w:p w14:paraId="6D4B4543" w14:textId="151C5227" w:rsidR="00563C7B" w:rsidRPr="008E77FE" w:rsidRDefault="00563C7B" w:rsidP="00563C7B">
            <w:pPr>
              <w:pStyle w:val="TableBodyText"/>
              <w:rPr>
                <w:rStyle w:val="NoteLabel"/>
              </w:rPr>
            </w:pPr>
            <w:r>
              <w:rPr>
                <w:b/>
                <w:bCs/>
              </w:rPr>
              <w:t>312 700</w:t>
            </w:r>
          </w:p>
        </w:tc>
        <w:tc>
          <w:tcPr>
            <w:tcW w:w="1204" w:type="dxa"/>
            <w:tcBorders>
              <w:top w:val="nil"/>
              <w:left w:val="nil"/>
              <w:bottom w:val="single" w:sz="6" w:space="0" w:color="BFBFBF"/>
              <w:right w:val="nil"/>
            </w:tcBorders>
            <w:shd w:val="clear" w:color="auto" w:fill="auto"/>
            <w:vAlign w:val="center"/>
          </w:tcPr>
          <w:p w14:paraId="7BAD15FF" w14:textId="4424425C" w:rsidR="00563C7B" w:rsidRPr="008E77FE" w:rsidRDefault="00563C7B" w:rsidP="00563C7B">
            <w:pPr>
              <w:pStyle w:val="TableBodyText"/>
              <w:rPr>
                <w:rStyle w:val="NoteLabel"/>
              </w:rPr>
            </w:pPr>
            <w:r>
              <w:rPr>
                <w:b/>
                <w:bCs/>
              </w:rPr>
              <w:t>38 400</w:t>
            </w:r>
          </w:p>
        </w:tc>
        <w:tc>
          <w:tcPr>
            <w:tcW w:w="1113" w:type="dxa"/>
            <w:tcBorders>
              <w:top w:val="nil"/>
              <w:left w:val="nil"/>
              <w:bottom w:val="single" w:sz="6" w:space="0" w:color="BFBFBF"/>
              <w:right w:val="nil"/>
            </w:tcBorders>
            <w:shd w:val="clear" w:color="auto" w:fill="auto"/>
            <w:vAlign w:val="center"/>
          </w:tcPr>
          <w:p w14:paraId="3A31BED0" w14:textId="7CB7CF69" w:rsidR="00563C7B" w:rsidRPr="008E77FE" w:rsidRDefault="00563C7B" w:rsidP="00563C7B">
            <w:pPr>
              <w:pStyle w:val="TableBodyText"/>
              <w:rPr>
                <w:rStyle w:val="NoteLabel"/>
              </w:rPr>
            </w:pPr>
            <w:r>
              <w:rPr>
                <w:b/>
                <w:bCs/>
              </w:rPr>
              <w:t>274 300</w:t>
            </w:r>
          </w:p>
        </w:tc>
        <w:tc>
          <w:tcPr>
            <w:tcW w:w="1007" w:type="dxa"/>
            <w:tcBorders>
              <w:top w:val="nil"/>
              <w:left w:val="nil"/>
              <w:bottom w:val="single" w:sz="6" w:space="0" w:color="BFBFBF"/>
              <w:right w:val="nil"/>
            </w:tcBorders>
            <w:shd w:val="clear" w:color="auto" w:fill="auto"/>
            <w:vAlign w:val="center"/>
          </w:tcPr>
          <w:p w14:paraId="2FDE7813" w14:textId="35DA46D5" w:rsidR="00563C7B" w:rsidRPr="008E77FE" w:rsidRDefault="00563C7B" w:rsidP="00563C7B">
            <w:pPr>
              <w:pStyle w:val="TableBodyText"/>
              <w:rPr>
                <w:rStyle w:val="NoteLabel"/>
              </w:rPr>
            </w:pPr>
            <w:r>
              <w:rPr>
                <w:b/>
                <w:bCs/>
              </w:rPr>
              <w:t>71 400</w:t>
            </w:r>
          </w:p>
        </w:tc>
        <w:tc>
          <w:tcPr>
            <w:tcW w:w="1134" w:type="dxa"/>
            <w:tcBorders>
              <w:top w:val="nil"/>
              <w:left w:val="nil"/>
              <w:bottom w:val="single" w:sz="6" w:space="0" w:color="BFBFBF"/>
              <w:right w:val="nil"/>
            </w:tcBorders>
            <w:shd w:val="clear" w:color="auto" w:fill="auto"/>
            <w:vAlign w:val="center"/>
          </w:tcPr>
          <w:p w14:paraId="04B130F8" w14:textId="5EBD863E" w:rsidR="00563C7B" w:rsidRPr="008E77FE" w:rsidRDefault="00563C7B" w:rsidP="00563C7B">
            <w:pPr>
              <w:pStyle w:val="TableBodyText"/>
              <w:rPr>
                <w:rStyle w:val="NoteLabel"/>
              </w:rPr>
            </w:pPr>
            <w:r>
              <w:rPr>
                <w:b/>
                <w:bCs/>
              </w:rPr>
              <w:t>152 325</w:t>
            </w:r>
          </w:p>
        </w:tc>
        <w:tc>
          <w:tcPr>
            <w:tcW w:w="1019" w:type="dxa"/>
            <w:tcBorders>
              <w:top w:val="nil"/>
              <w:left w:val="nil"/>
              <w:bottom w:val="single" w:sz="6" w:space="0" w:color="BFBFBF"/>
              <w:right w:val="nil"/>
            </w:tcBorders>
            <w:shd w:val="clear" w:color="auto" w:fill="auto"/>
            <w:vAlign w:val="center"/>
          </w:tcPr>
          <w:p w14:paraId="6E02C4BC" w14:textId="2A3907F1" w:rsidR="00563C7B" w:rsidRPr="008E77FE" w:rsidRDefault="00563C7B" w:rsidP="00563C7B">
            <w:pPr>
              <w:pStyle w:val="TableBodyText"/>
              <w:rPr>
                <w:rStyle w:val="NoteLabel"/>
              </w:rPr>
            </w:pPr>
            <w:r>
              <w:rPr>
                <w:b/>
                <w:bCs/>
              </w:rPr>
              <w:t>50 575</w:t>
            </w:r>
          </w:p>
        </w:tc>
      </w:tr>
    </w:tbl>
    <w:p w14:paraId="5B1C05B9" w14:textId="77777777" w:rsidR="003A0D20" w:rsidRDefault="003A0D20" w:rsidP="003A0D20"/>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A0D20" w14:paraId="721294BF" w14:textId="77777777" w:rsidTr="00E3415D">
        <w:trPr>
          <w:cantSplit/>
        </w:trPr>
        <w:tc>
          <w:tcPr>
            <w:tcW w:w="8771" w:type="dxa"/>
            <w:tcBorders>
              <w:top w:val="nil"/>
              <w:left w:val="nil"/>
              <w:bottom w:val="nil"/>
              <w:right w:val="nil"/>
            </w:tcBorders>
            <w:shd w:val="clear" w:color="auto" w:fill="auto"/>
          </w:tcPr>
          <w:p w14:paraId="5D146279" w14:textId="562C5C6F" w:rsidR="003A0D20" w:rsidRDefault="003A0D20" w:rsidP="00D507CF">
            <w:pPr>
              <w:pStyle w:val="Note"/>
              <w:rPr>
                <w:i/>
              </w:rPr>
            </w:pPr>
            <w:proofErr w:type="spellStart"/>
            <w:r w:rsidRPr="008E77FE">
              <w:rPr>
                <w:rStyle w:val="NoteLabel"/>
              </w:rPr>
              <w:lastRenderedPageBreak/>
              <w:t>a</w:t>
            </w:r>
            <w:proofErr w:type="spellEnd"/>
            <w:r>
              <w:t xml:space="preserve"> Estimates are based on a combination of data from the </w:t>
            </w:r>
            <w:proofErr w:type="spellStart"/>
            <w:r>
              <w:t>DHS</w:t>
            </w:r>
            <w:proofErr w:type="spellEnd"/>
            <w:r>
              <w:t xml:space="preserve"> (for 2013) and the ABS Survey of Income and Housing (</w:t>
            </w:r>
            <w:proofErr w:type="spellStart"/>
            <w:r>
              <w:t>SIH</w:t>
            </w:r>
            <w:proofErr w:type="spellEnd"/>
            <w:r>
              <w:t>) 2011</w:t>
            </w:r>
            <w:r>
              <w:noBreakHyphen/>
              <w:t xml:space="preserve">12. </w:t>
            </w:r>
            <w:proofErr w:type="spellStart"/>
            <w:r>
              <w:t>SIH</w:t>
            </w:r>
            <w:proofErr w:type="spellEnd"/>
            <w:r>
              <w:t xml:space="preserve"> was used for estimates of </w:t>
            </w:r>
            <w:r w:rsidR="002900AF">
              <w:t>working-age</w:t>
            </w:r>
            <w:r>
              <w:t xml:space="preserve"> people living with parents or guardians (</w:t>
            </w:r>
            <w:proofErr w:type="spellStart"/>
            <w:r>
              <w:t>WPLPs</w:t>
            </w:r>
            <w:proofErr w:type="spellEnd"/>
            <w:r>
              <w:t xml:space="preserve">) in public housing because these ISP recipients are not identified as public housing residents in the </w:t>
            </w:r>
            <w:proofErr w:type="spellStart"/>
            <w:r>
              <w:t>DHS</w:t>
            </w:r>
            <w:proofErr w:type="spellEnd"/>
            <w:r>
              <w:t xml:space="preserve"> data. All figures have been rounded. The total is higher than the 300 000 income support recipients figure in the text above because visitors can not be identified (and, therefore, excluded) in the </w:t>
            </w:r>
            <w:proofErr w:type="spellStart"/>
            <w:r>
              <w:t>SIH</w:t>
            </w:r>
            <w:proofErr w:type="spellEnd"/>
            <w:r>
              <w:t xml:space="preserve"> data for </w:t>
            </w:r>
            <w:proofErr w:type="spellStart"/>
            <w:r>
              <w:t>WPLPs</w:t>
            </w:r>
            <w:proofErr w:type="spellEnd"/>
            <w:r>
              <w:t xml:space="preserve">. </w:t>
            </w:r>
            <w:r>
              <w:rPr>
                <w:rStyle w:val="NoteLabel"/>
              </w:rPr>
              <w:t>b</w:t>
            </w:r>
            <w:r>
              <w:t xml:space="preserve"> Work capacity data for </w:t>
            </w:r>
            <w:proofErr w:type="spellStart"/>
            <w:r>
              <w:t>DSP</w:t>
            </w:r>
            <w:proofErr w:type="spellEnd"/>
            <w:r>
              <w:t xml:space="preserve"> recipients assessed from May 2005 onwards are from </w:t>
            </w:r>
            <w:r w:rsidR="00D507CF">
              <w:t>the Research and Evaluation Database (</w:t>
            </w:r>
            <w:r>
              <w:t>RED</w:t>
            </w:r>
            <w:r w:rsidR="00D507CF">
              <w:t>)</w:t>
            </w:r>
            <w:r>
              <w:t xml:space="preserve">. In estimating the potential work capacity of people on grandfathered arrangements, it was assumed (on an ad hoc basis) that 20 per cent would be assessed as being able to work 15 or more hours. Information from RED on the work capacities of </w:t>
            </w:r>
            <w:proofErr w:type="spellStart"/>
            <w:r>
              <w:t>DSP</w:t>
            </w:r>
            <w:proofErr w:type="spellEnd"/>
            <w:r>
              <w:t xml:space="preserve"> recipients assessed from May 2005 was used to pro rate other people on grandfathered arrangements across the other work capacity categories. </w:t>
            </w:r>
            <w:r>
              <w:rPr>
                <w:rStyle w:val="NoteLabel"/>
              </w:rPr>
              <w:t>c</w:t>
            </w:r>
            <w:r>
              <w:t xml:space="preserve"> The </w:t>
            </w:r>
            <w:proofErr w:type="spellStart"/>
            <w:r>
              <w:t>DHS</w:t>
            </w:r>
            <w:proofErr w:type="spellEnd"/>
            <w:r>
              <w:t xml:space="preserve"> data include jobseeker classifications for ISP recipients by tenure type, but excluding </w:t>
            </w:r>
            <w:proofErr w:type="spellStart"/>
            <w:r>
              <w:t>WPLPs</w:t>
            </w:r>
            <w:proofErr w:type="spellEnd"/>
            <w:r>
              <w:t xml:space="preserve">. For </w:t>
            </w:r>
            <w:proofErr w:type="spellStart"/>
            <w:r>
              <w:t>WPLPs</w:t>
            </w:r>
            <w:proofErr w:type="spellEnd"/>
            <w:r>
              <w:t xml:space="preserve"> living in public housing, it was assumed that the distribution of classifications within the total ISP recipient population applies. That distribution includes a higher proportion of stream 1 and 2 </w:t>
            </w:r>
            <w:proofErr w:type="spellStart"/>
            <w:r>
              <w:t>Newstart</w:t>
            </w:r>
            <w:proofErr w:type="spellEnd"/>
            <w:r>
              <w:t xml:space="preserve"> </w:t>
            </w:r>
            <w:proofErr w:type="spellStart"/>
            <w:r>
              <w:t>allowees</w:t>
            </w:r>
            <w:proofErr w:type="spellEnd"/>
            <w:r>
              <w:t xml:space="preserve"> (NAs) than does the distribution for public housing tenants — and it was assumed that </w:t>
            </w:r>
            <w:proofErr w:type="spellStart"/>
            <w:r>
              <w:t>WPLPs</w:t>
            </w:r>
            <w:proofErr w:type="spellEnd"/>
            <w:r>
              <w:t xml:space="preserve"> living in public housing are more likely than their parents/guardians to be in these higher level streams. The </w:t>
            </w:r>
            <w:proofErr w:type="spellStart"/>
            <w:r>
              <w:t>DHS</w:t>
            </w:r>
            <w:proofErr w:type="spellEnd"/>
            <w:r>
              <w:t xml:space="preserve"> data do not separately identify jobseeker classifications for people in employment. It was assumed (on an ad hoc basis) that 75 per cent of employed NAs are streams 1 and 2, 15 per cent are stream 3 and 10 per cent are stream 4. For simplicity, the </w:t>
            </w:r>
            <w:proofErr w:type="spellStart"/>
            <w:r>
              <w:t>WPLPs</w:t>
            </w:r>
            <w:proofErr w:type="spellEnd"/>
            <w:r>
              <w:t xml:space="preserve">’ employment rate was assumed to be the same as their parents’/guardians’. Intuitively, it is likely to be higher but, given the small numbers of </w:t>
            </w:r>
            <w:proofErr w:type="spellStart"/>
            <w:r>
              <w:t>WPLPs</w:t>
            </w:r>
            <w:proofErr w:type="spellEnd"/>
            <w:r>
              <w:t xml:space="preserve"> on </w:t>
            </w:r>
            <w:proofErr w:type="spellStart"/>
            <w:r>
              <w:t>Newstart</w:t>
            </w:r>
            <w:proofErr w:type="spellEnd"/>
            <w:r>
              <w:t xml:space="preserve">, this assumption has little effect on the overall estimates for NAs. </w:t>
            </w:r>
            <w:r>
              <w:rPr>
                <w:rStyle w:val="NoteLabel"/>
              </w:rPr>
              <w:t>d</w:t>
            </w:r>
            <w:r>
              <w:t xml:space="preserve"> The estimate of the number of Parenting Payment (PP) recipients with higher </w:t>
            </w:r>
            <w:r w:rsidR="006D6135">
              <w:t>work capacity</w:t>
            </w:r>
            <w:r>
              <w:t xml:space="preserve"> was generated by assuming that public housing tenants on this payment could relatively easily achieve the same employment rate as PP recipients overall. If that were the case, f</w:t>
            </w:r>
            <w:r w:rsidR="00935A28">
              <w:t>or example, an additional 6</w:t>
            </w:r>
            <w:r>
              <w:t xml:space="preserve">800 single parents in public housing would be working. The estimate for PP recipients with lower </w:t>
            </w:r>
            <w:r w:rsidR="006D6135">
              <w:t>work capacity</w:t>
            </w:r>
            <w:r>
              <w:t xml:space="preserve"> was generated by assuming that they represent half of the group that is not working less those assumed to </w:t>
            </w:r>
            <w:r w:rsidR="006D6135">
              <w:t>have higher work capacity</w:t>
            </w:r>
            <w:r>
              <w:t> — a</w:t>
            </w:r>
            <w:r w:rsidR="00D507CF">
              <w:t>n</w:t>
            </w:r>
            <w:r>
              <w:t xml:space="preserve"> ad hoc decision</w:t>
            </w:r>
            <w:r w:rsidR="00D507CF">
              <w:t xml:space="preserve">. </w:t>
            </w:r>
            <w:r>
              <w:rPr>
                <w:rStyle w:val="NoteLabel"/>
              </w:rPr>
              <w:t>e</w:t>
            </w:r>
            <w:r>
              <w:t xml:space="preserve"> Detail on whether Youth Allowance (YA) recipients are students or jobseekers is not available in the </w:t>
            </w:r>
            <w:proofErr w:type="spellStart"/>
            <w:r>
              <w:t>SIH</w:t>
            </w:r>
            <w:proofErr w:type="spellEnd"/>
            <w:r>
              <w:t xml:space="preserve">. It was assumed that YA recipients who are studying full time are receiving the student payment. And it was assumed that none of this group </w:t>
            </w:r>
            <w:r w:rsidR="006D6135">
              <w:t xml:space="preserve">currently </w:t>
            </w:r>
            <w:r w:rsidR="00D67AF3">
              <w:t>has</w:t>
            </w:r>
            <w:r w:rsidR="006D6135">
              <w:t xml:space="preserve"> work capacity</w:t>
            </w:r>
            <w:r>
              <w:t xml:space="preserve"> (although some are likely to be working, at least part time). </w:t>
            </w:r>
            <w:r>
              <w:rPr>
                <w:rStyle w:val="NoteLabel"/>
              </w:rPr>
              <w:t>f</w:t>
            </w:r>
            <w:r>
              <w:t xml:space="preserve"> Most YA jobseekers are </w:t>
            </w:r>
            <w:proofErr w:type="spellStart"/>
            <w:r>
              <w:t>WPLPs</w:t>
            </w:r>
            <w:proofErr w:type="spellEnd"/>
            <w:r>
              <w:t xml:space="preserve">. As for NA </w:t>
            </w:r>
            <w:proofErr w:type="spellStart"/>
            <w:r>
              <w:t>WPLPs</w:t>
            </w:r>
            <w:proofErr w:type="spellEnd"/>
            <w:r>
              <w:t xml:space="preserve">, it was assumed that YA jobseekers are distributed across streams in the same proportions as all ISP recipients. </w:t>
            </w:r>
            <w:r w:rsidR="00D67AF3">
              <w:rPr>
                <w:rStyle w:val="NoteLabel"/>
              </w:rPr>
              <w:t>g</w:t>
            </w:r>
            <w:r w:rsidR="00D67AF3">
              <w:t xml:space="preserve"> Estimates of the numbers of Carer Payment and Other payment recipients with higher work capacity were generated using the same approach as was used for PP recipients. </w:t>
            </w:r>
            <w:r>
              <w:t xml:space="preserve">Estimates of lower </w:t>
            </w:r>
            <w:r w:rsidR="006D6135">
              <w:t>work capacity</w:t>
            </w:r>
            <w:r>
              <w:t xml:space="preserve"> were also derived using a similar approach to that used for PP, except that the percentage of the ‘remainder’ assumed to </w:t>
            </w:r>
            <w:r w:rsidR="006D6135">
              <w:t>have work capacity</w:t>
            </w:r>
            <w:r>
              <w:t xml:space="preserve"> was set at 25 rather than 50.</w:t>
            </w:r>
          </w:p>
        </w:tc>
      </w:tr>
      <w:tr w:rsidR="003A0D20" w14:paraId="565DFB93" w14:textId="77777777" w:rsidTr="00E3415D">
        <w:trPr>
          <w:cantSplit/>
        </w:trPr>
        <w:tc>
          <w:tcPr>
            <w:tcW w:w="8771" w:type="dxa"/>
            <w:tcBorders>
              <w:top w:val="nil"/>
              <w:left w:val="nil"/>
              <w:bottom w:val="nil"/>
              <w:right w:val="nil"/>
            </w:tcBorders>
            <w:shd w:val="clear" w:color="auto" w:fill="auto"/>
          </w:tcPr>
          <w:p w14:paraId="4DE14697" w14:textId="77777777" w:rsidR="003A0D20" w:rsidRDefault="003A0D20" w:rsidP="00E3415D">
            <w:pPr>
              <w:pStyle w:val="Source"/>
            </w:pPr>
            <w:r>
              <w:rPr>
                <w:i/>
              </w:rPr>
              <w:t>Sources</w:t>
            </w:r>
            <w:r w:rsidRPr="00167F06">
              <w:t xml:space="preserve">: </w:t>
            </w:r>
            <w:r>
              <w:t>Author estimates based on: Department of Human Services, administrative data (unpublished); Research and Evaluation Database (unpublished); ABS (Microdata: Income and Housing, Australia, 2011</w:t>
            </w:r>
            <w:r>
              <w:noBreakHyphen/>
              <w:t>12).</w:t>
            </w:r>
          </w:p>
        </w:tc>
      </w:tr>
      <w:tr w:rsidR="003A0D20" w14:paraId="1E79E715" w14:textId="77777777" w:rsidTr="00E3415D">
        <w:trPr>
          <w:cantSplit/>
        </w:trPr>
        <w:tc>
          <w:tcPr>
            <w:tcW w:w="8771" w:type="dxa"/>
            <w:tcBorders>
              <w:top w:val="nil"/>
              <w:left w:val="nil"/>
              <w:bottom w:val="single" w:sz="6" w:space="0" w:color="78A22F"/>
              <w:right w:val="nil"/>
            </w:tcBorders>
            <w:shd w:val="clear" w:color="auto" w:fill="auto"/>
          </w:tcPr>
          <w:p w14:paraId="6E8925BE" w14:textId="77777777" w:rsidR="003A0D20" w:rsidRDefault="003A0D20" w:rsidP="00E3415D">
            <w:pPr>
              <w:pStyle w:val="Box"/>
              <w:spacing w:before="0" w:line="120" w:lineRule="exact"/>
            </w:pPr>
          </w:p>
        </w:tc>
      </w:tr>
      <w:tr w:rsidR="003A0D20" w:rsidRPr="000863A5" w14:paraId="1135C6E1" w14:textId="77777777" w:rsidTr="00E3415D">
        <w:tc>
          <w:tcPr>
            <w:tcW w:w="8771" w:type="dxa"/>
            <w:tcBorders>
              <w:top w:val="single" w:sz="6" w:space="0" w:color="78A22F"/>
              <w:left w:val="nil"/>
              <w:bottom w:val="nil"/>
              <w:right w:val="nil"/>
            </w:tcBorders>
          </w:tcPr>
          <w:p w14:paraId="45A2CA40" w14:textId="7F13923D" w:rsidR="003A0D20" w:rsidRPr="00626D32" w:rsidRDefault="003A0D20" w:rsidP="00E3415D">
            <w:pPr>
              <w:pStyle w:val="BoxSpaceBelow"/>
            </w:pPr>
          </w:p>
        </w:tc>
      </w:tr>
    </w:tbl>
    <w:p w14:paraId="5042D8C1" w14:textId="77777777" w:rsidR="003A0D20" w:rsidRPr="003A0D20" w:rsidRDefault="003A0D20" w:rsidP="003A0D20">
      <w:pPr>
        <w:rPr>
          <w:rFonts w:ascii="Arial" w:hAnsi="Arial"/>
          <w:b/>
          <w:sz w:val="26"/>
          <w:szCs w:val="20"/>
        </w:rPr>
      </w:pPr>
      <w:r>
        <w:br w:type="page"/>
      </w:r>
    </w:p>
    <w:p w14:paraId="2F824200" w14:textId="77777777" w:rsidR="00DC482E" w:rsidRDefault="00DC482E" w:rsidP="00DC482E">
      <w:pPr>
        <w:pStyle w:val="Heading3"/>
      </w:pPr>
      <w:r>
        <w:lastRenderedPageBreak/>
        <w:t>Where do housing assistance recipients live?</w:t>
      </w:r>
    </w:p>
    <w:p w14:paraId="332AC454" w14:textId="3B0270ED" w:rsidR="00525FF8" w:rsidRPr="00212A77" w:rsidRDefault="00212A77" w:rsidP="00525FF8">
      <w:pPr>
        <w:pStyle w:val="BodyText"/>
        <w:rPr>
          <w:i/>
        </w:rPr>
      </w:pPr>
      <w:r w:rsidRPr="00212A77">
        <w:rPr>
          <w:i/>
        </w:rPr>
        <w:t xml:space="preserve">The majority of </w:t>
      </w:r>
      <w:r w:rsidR="00525FF8" w:rsidRPr="00212A77">
        <w:rPr>
          <w:i/>
        </w:rPr>
        <w:t xml:space="preserve">housing assistance recipients </w:t>
      </w:r>
      <w:r w:rsidR="00D67AF3" w:rsidRPr="00212A77">
        <w:rPr>
          <w:i/>
        </w:rPr>
        <w:t>lives</w:t>
      </w:r>
      <w:r w:rsidR="00525FF8" w:rsidRPr="00212A77">
        <w:rPr>
          <w:i/>
        </w:rPr>
        <w:t xml:space="preserve"> in </w:t>
      </w:r>
      <w:r w:rsidR="00AD1704">
        <w:rPr>
          <w:i/>
        </w:rPr>
        <w:t xml:space="preserve">either </w:t>
      </w:r>
      <w:r w:rsidR="00525FF8" w:rsidRPr="00212A77">
        <w:rPr>
          <w:i/>
        </w:rPr>
        <w:t>New South Wales or Victoria.</w:t>
      </w:r>
    </w:p>
    <w:p w14:paraId="0ABAAB8D" w14:textId="2CDE3003" w:rsidR="00212A77" w:rsidRDefault="00212A77" w:rsidP="00EC72E2">
      <w:pPr>
        <w:pStyle w:val="BoxSpaceAbove"/>
        <w:spacing w:before="120"/>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2955"/>
        <w:gridCol w:w="3119"/>
        <w:gridCol w:w="2662"/>
        <w:gridCol w:w="35"/>
      </w:tblGrid>
      <w:tr w:rsidR="00212A77" w14:paraId="53D89CD8" w14:textId="77777777" w:rsidTr="00292A34">
        <w:tc>
          <w:tcPr>
            <w:tcW w:w="8771" w:type="dxa"/>
            <w:gridSpan w:val="4"/>
            <w:tcBorders>
              <w:top w:val="single" w:sz="6" w:space="0" w:color="78A22F"/>
              <w:left w:val="nil"/>
              <w:bottom w:val="nil"/>
              <w:right w:val="nil"/>
            </w:tcBorders>
            <w:shd w:val="clear" w:color="auto" w:fill="auto"/>
          </w:tcPr>
          <w:p w14:paraId="3653FC51" w14:textId="77777777" w:rsidR="00212A77" w:rsidRDefault="00212A77" w:rsidP="00C44B39">
            <w:pPr>
              <w:pStyle w:val="FigureTitle"/>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18</w:t>
            </w:r>
            <w:r w:rsidRPr="00784A05">
              <w:rPr>
                <w:b w:val="0"/>
              </w:rPr>
              <w:fldChar w:fldCharType="end"/>
            </w:r>
            <w:r>
              <w:tab/>
            </w:r>
            <w:r w:rsidR="00437A4A">
              <w:t>Housing assistance recipients by state or territory</w:t>
            </w:r>
            <w:r w:rsidR="004B13BC">
              <w:t>, 2013</w:t>
            </w:r>
            <w:r w:rsidR="00112DBD" w:rsidRPr="004941D9">
              <w:rPr>
                <w:rStyle w:val="NoteLabel"/>
                <w:b/>
              </w:rPr>
              <w:t>a</w:t>
            </w:r>
          </w:p>
          <w:p w14:paraId="4F037CD3" w14:textId="77777777" w:rsidR="00212A77" w:rsidRPr="00176D3F" w:rsidRDefault="00437A4A" w:rsidP="00C44B39">
            <w:pPr>
              <w:pStyle w:val="Subtitle"/>
            </w:pPr>
            <w:r>
              <w:t>Per cent in each state or territory</w:t>
            </w:r>
          </w:p>
        </w:tc>
      </w:tr>
      <w:tr w:rsidR="00437A4A" w14:paraId="3A58967D" w14:textId="77777777" w:rsidTr="00292A34">
        <w:tblPrEx>
          <w:tblCellMar>
            <w:left w:w="108" w:type="dxa"/>
            <w:right w:w="108" w:type="dxa"/>
          </w:tblCellMar>
        </w:tblPrEx>
        <w:trPr>
          <w:gridAfter w:val="1"/>
          <w:wAfter w:w="35" w:type="dxa"/>
        </w:trPr>
        <w:tc>
          <w:tcPr>
            <w:tcW w:w="2955" w:type="dxa"/>
            <w:tcBorders>
              <w:top w:val="nil"/>
              <w:left w:val="nil"/>
              <w:bottom w:val="nil"/>
              <w:right w:val="nil"/>
            </w:tcBorders>
            <w:shd w:val="clear" w:color="auto" w:fill="auto"/>
          </w:tcPr>
          <w:p w14:paraId="3805DD6A" w14:textId="77777777" w:rsidR="00437A4A" w:rsidRPr="00181201" w:rsidRDefault="00437A4A" w:rsidP="00AD1704">
            <w:pPr>
              <w:pStyle w:val="TableUnitsRow"/>
              <w:spacing w:before="120"/>
              <w:jc w:val="center"/>
              <w:rPr>
                <w:b/>
                <w:noProof/>
              </w:rPr>
            </w:pPr>
            <w:r w:rsidRPr="00181201">
              <w:rPr>
                <w:b/>
                <w:noProof/>
              </w:rPr>
              <w:t>Commonwealth Rent Assistance</w:t>
            </w:r>
          </w:p>
        </w:tc>
        <w:tc>
          <w:tcPr>
            <w:tcW w:w="3119" w:type="dxa"/>
            <w:tcBorders>
              <w:top w:val="nil"/>
              <w:left w:val="nil"/>
              <w:bottom w:val="nil"/>
              <w:right w:val="nil"/>
            </w:tcBorders>
            <w:shd w:val="clear" w:color="auto" w:fill="auto"/>
          </w:tcPr>
          <w:p w14:paraId="540C0845" w14:textId="77777777" w:rsidR="00437A4A" w:rsidRPr="00181201" w:rsidRDefault="00437A4A" w:rsidP="00AD1704">
            <w:pPr>
              <w:pStyle w:val="TableUnitsRow"/>
              <w:spacing w:before="120"/>
              <w:jc w:val="center"/>
              <w:rPr>
                <w:b/>
                <w:noProof/>
              </w:rPr>
            </w:pPr>
            <w:r w:rsidRPr="00181201">
              <w:rPr>
                <w:b/>
                <w:noProof/>
              </w:rPr>
              <w:t>Public housing</w:t>
            </w:r>
          </w:p>
        </w:tc>
        <w:tc>
          <w:tcPr>
            <w:tcW w:w="2662" w:type="dxa"/>
            <w:tcBorders>
              <w:top w:val="nil"/>
              <w:left w:val="nil"/>
              <w:right w:val="nil"/>
            </w:tcBorders>
            <w:shd w:val="clear" w:color="auto" w:fill="auto"/>
          </w:tcPr>
          <w:p w14:paraId="6CA613F5" w14:textId="76A85CC5" w:rsidR="00437A4A" w:rsidRPr="00292A34" w:rsidRDefault="00292A34" w:rsidP="007353E0">
            <w:pPr>
              <w:pStyle w:val="TableColumnHeading"/>
              <w:jc w:val="center"/>
              <w:rPr>
                <w:b/>
                <w:i w:val="0"/>
              </w:rPr>
            </w:pPr>
            <w:r w:rsidRPr="00292A34">
              <w:rPr>
                <w:b/>
                <w:i w:val="0"/>
              </w:rPr>
              <w:t>All I</w:t>
            </w:r>
            <w:r w:rsidR="007353E0">
              <w:rPr>
                <w:b/>
                <w:i w:val="0"/>
              </w:rPr>
              <w:t xml:space="preserve">ncome Support Payment </w:t>
            </w:r>
            <w:r w:rsidRPr="00292A34">
              <w:rPr>
                <w:b/>
                <w:i w:val="0"/>
              </w:rPr>
              <w:t>recipients</w:t>
            </w:r>
          </w:p>
        </w:tc>
      </w:tr>
      <w:tr w:rsidR="00292A34" w14:paraId="18C3E3B4" w14:textId="77777777" w:rsidTr="00DB21E6">
        <w:tblPrEx>
          <w:tblCellMar>
            <w:left w:w="108" w:type="dxa"/>
            <w:right w:w="108" w:type="dxa"/>
          </w:tblCellMar>
        </w:tblPrEx>
        <w:trPr>
          <w:gridAfter w:val="1"/>
          <w:wAfter w:w="35" w:type="dxa"/>
        </w:trPr>
        <w:tc>
          <w:tcPr>
            <w:tcW w:w="2955" w:type="dxa"/>
            <w:tcBorders>
              <w:top w:val="nil"/>
              <w:left w:val="nil"/>
              <w:bottom w:val="nil"/>
              <w:right w:val="nil"/>
            </w:tcBorders>
            <w:shd w:val="clear" w:color="auto" w:fill="auto"/>
          </w:tcPr>
          <w:p w14:paraId="7392163E" w14:textId="77777777" w:rsidR="00437A4A" w:rsidRDefault="00292A34" w:rsidP="00C44B39">
            <w:pPr>
              <w:pStyle w:val="Figure"/>
            </w:pPr>
            <w:r>
              <w:rPr>
                <w:noProof/>
              </w:rPr>
              <w:drawing>
                <wp:inline distT="0" distB="0" distL="0" distR="0" wp14:anchorId="4EC72DEF" wp14:editId="10BFC860">
                  <wp:extent cx="1692000" cy="1620000"/>
                  <wp:effectExtent l="0" t="0" r="3810" b="0"/>
                  <wp:docPr id="96" name="Chart 96" descr="This figure shows that the majority of housing assistance recipients live in either New South Wales or Victoria.&#10;" title="Figure 18 – Housing assistance recipients by state or territory, 2013 (panel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tc>
        <w:tc>
          <w:tcPr>
            <w:tcW w:w="3119" w:type="dxa"/>
            <w:tcBorders>
              <w:top w:val="nil"/>
              <w:left w:val="nil"/>
              <w:bottom w:val="nil"/>
              <w:right w:val="nil"/>
            </w:tcBorders>
            <w:shd w:val="clear" w:color="auto" w:fill="auto"/>
          </w:tcPr>
          <w:p w14:paraId="466C4AC0" w14:textId="77777777" w:rsidR="00437A4A" w:rsidRDefault="00292A34" w:rsidP="00C44B39">
            <w:pPr>
              <w:pStyle w:val="Figure"/>
            </w:pPr>
            <w:r>
              <w:rPr>
                <w:noProof/>
              </w:rPr>
              <w:drawing>
                <wp:inline distT="0" distB="0" distL="0" distR="0" wp14:anchorId="2DDC6BBE" wp14:editId="01A705DF">
                  <wp:extent cx="1692000" cy="1620000"/>
                  <wp:effectExtent l="0" t="0" r="0" b="0"/>
                  <wp:docPr id="99" name="Chart 99" descr="This panel is part of figure 18. Please refer to the description of figure 18 found in the first panel of figure 18. &#10;" title="Figure 18 – Real earned income, by housing assistance status, 2013 (panel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tc>
        <w:tc>
          <w:tcPr>
            <w:tcW w:w="2662" w:type="dxa"/>
            <w:tcBorders>
              <w:left w:val="nil"/>
              <w:bottom w:val="nil"/>
              <w:right w:val="nil"/>
            </w:tcBorders>
            <w:shd w:val="clear" w:color="auto" w:fill="auto"/>
          </w:tcPr>
          <w:p w14:paraId="437C75E6" w14:textId="77777777" w:rsidR="00437A4A" w:rsidRDefault="00DB21E6" w:rsidP="00C44B39">
            <w:pPr>
              <w:pStyle w:val="Figure"/>
            </w:pPr>
            <w:r>
              <w:rPr>
                <w:noProof/>
              </w:rPr>
              <w:drawing>
                <wp:inline distT="0" distB="0" distL="0" distR="0" wp14:anchorId="2BD38F53" wp14:editId="7DE7DE06">
                  <wp:extent cx="1692000" cy="1620000"/>
                  <wp:effectExtent l="0" t="0" r="3810" b="0"/>
                  <wp:docPr id="100" name="Chart 100" descr="This panel is part of figure 18. Please refer to the description of figure 18 found in the first panel of figure 18. &#10;" title="Figure 18 – Real earned income, by housing assistance status, 2013 (panel 3)"/>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tc>
      </w:tr>
      <w:tr w:rsidR="00292A34" w14:paraId="4DCDDBEB" w14:textId="77777777" w:rsidTr="00DB21E6">
        <w:tblPrEx>
          <w:tblCellMar>
            <w:left w:w="108" w:type="dxa"/>
            <w:right w:w="108" w:type="dxa"/>
          </w:tblCellMar>
        </w:tblPrEx>
        <w:trPr>
          <w:trHeight w:val="401"/>
        </w:trPr>
        <w:tc>
          <w:tcPr>
            <w:tcW w:w="8771" w:type="dxa"/>
            <w:gridSpan w:val="4"/>
            <w:tcBorders>
              <w:top w:val="nil"/>
              <w:left w:val="nil"/>
              <w:bottom w:val="nil"/>
              <w:right w:val="nil"/>
            </w:tcBorders>
            <w:shd w:val="clear" w:color="auto" w:fill="auto"/>
          </w:tcPr>
          <w:p w14:paraId="2E03407E" w14:textId="77777777" w:rsidR="00292A34" w:rsidRPr="00DB21E6" w:rsidRDefault="00DB21E6" w:rsidP="00DB21E6">
            <w:pPr>
              <w:pStyle w:val="Figure"/>
              <w:tabs>
                <w:tab w:val="left" w:pos="3540"/>
              </w:tabs>
              <w:jc w:val="left"/>
              <w:rPr>
                <w:sz w:val="18"/>
                <w:szCs w:val="18"/>
              </w:rPr>
            </w:pPr>
            <w:r>
              <w:rPr>
                <w:noProof/>
              </w:rPr>
              <w:drawing>
                <wp:inline distT="0" distB="0" distL="0" distR="0" wp14:anchorId="7A8B601F" wp14:editId="29CB4BC1">
                  <wp:extent cx="5410200" cy="209550"/>
                  <wp:effectExtent l="0" t="0" r="0" b="0"/>
                  <wp:docPr id="102" name="Chart 102" descr="This panel is part of figure 18. Please refer to the description of figure 18 found in the first panel of figure 18. &#10;" title="Figure 18 – Real earned income, by housing assistance status, 2013 (panel 4)"/>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tc>
      </w:tr>
      <w:tr w:rsidR="00212A77" w:rsidRPr="00176D3F" w14:paraId="141C0C65" w14:textId="77777777" w:rsidTr="00292A34">
        <w:tc>
          <w:tcPr>
            <w:tcW w:w="8771" w:type="dxa"/>
            <w:gridSpan w:val="4"/>
            <w:tcBorders>
              <w:top w:val="nil"/>
              <w:left w:val="nil"/>
              <w:bottom w:val="nil"/>
              <w:right w:val="nil"/>
            </w:tcBorders>
            <w:shd w:val="clear" w:color="auto" w:fill="auto"/>
          </w:tcPr>
          <w:p w14:paraId="6D7A9E69" w14:textId="47730EC0" w:rsidR="00212A77" w:rsidRPr="00176D3F" w:rsidRDefault="00212A77" w:rsidP="00C44B39">
            <w:pPr>
              <w:pStyle w:val="Note"/>
            </w:pPr>
            <w:r>
              <w:rPr>
                <w:rStyle w:val="NoteLabel"/>
              </w:rPr>
              <w:t>a</w:t>
            </w:r>
            <w:r>
              <w:t xml:space="preserve"> ISP recipients aged 15–65 at 30</w:t>
            </w:r>
            <w:r w:rsidR="00935A28">
              <w:t> </w:t>
            </w:r>
            <w:r>
              <w:t xml:space="preserve">June 2013. This figure does not include </w:t>
            </w:r>
            <w:proofErr w:type="spellStart"/>
            <w:r w:rsidR="00FF2726">
              <w:t>FTB</w:t>
            </w:r>
            <w:proofErr w:type="spellEnd"/>
            <w:r w:rsidR="00FF2726">
              <w:t xml:space="preserve"> A</w:t>
            </w:r>
            <w:r w:rsidR="00935A28">
              <w:noBreakHyphen/>
            </w:r>
            <w:r>
              <w:t xml:space="preserve">only recipients of </w:t>
            </w:r>
            <w:proofErr w:type="spellStart"/>
            <w:r>
              <w:t>CRA</w:t>
            </w:r>
            <w:proofErr w:type="spellEnd"/>
            <w:r>
              <w:t>.</w:t>
            </w:r>
          </w:p>
        </w:tc>
      </w:tr>
      <w:tr w:rsidR="00212A77" w:rsidRPr="00176D3F" w14:paraId="0C1CC789" w14:textId="77777777" w:rsidTr="00292A34">
        <w:tc>
          <w:tcPr>
            <w:tcW w:w="8771" w:type="dxa"/>
            <w:gridSpan w:val="4"/>
            <w:tcBorders>
              <w:top w:val="nil"/>
              <w:left w:val="nil"/>
              <w:bottom w:val="nil"/>
              <w:right w:val="nil"/>
            </w:tcBorders>
            <w:shd w:val="clear" w:color="auto" w:fill="auto"/>
          </w:tcPr>
          <w:p w14:paraId="1314480D" w14:textId="5EB44122" w:rsidR="00212A77" w:rsidRPr="00176D3F" w:rsidRDefault="00306456" w:rsidP="00292A34">
            <w:pPr>
              <w:pStyle w:val="Source"/>
            </w:pPr>
            <w:r>
              <w:rPr>
                <w:i/>
              </w:rPr>
              <w:t>Source</w:t>
            </w:r>
            <w:r w:rsidR="00212A77">
              <w:t>: Department of Human Services, administrative data (unpublished).</w:t>
            </w:r>
          </w:p>
        </w:tc>
      </w:tr>
      <w:tr w:rsidR="00212A77" w14:paraId="1D4049A6" w14:textId="77777777" w:rsidTr="00DB21E6">
        <w:tc>
          <w:tcPr>
            <w:tcW w:w="8771" w:type="dxa"/>
            <w:gridSpan w:val="4"/>
            <w:tcBorders>
              <w:top w:val="nil"/>
              <w:left w:val="nil"/>
              <w:bottom w:val="single" w:sz="6" w:space="0" w:color="78A22F"/>
              <w:right w:val="nil"/>
            </w:tcBorders>
            <w:shd w:val="clear" w:color="auto" w:fill="auto"/>
          </w:tcPr>
          <w:p w14:paraId="471F77B6" w14:textId="77777777" w:rsidR="00212A77" w:rsidRDefault="00212A77" w:rsidP="00C44B39">
            <w:pPr>
              <w:pStyle w:val="Figurespace"/>
            </w:pPr>
          </w:p>
        </w:tc>
      </w:tr>
      <w:tr w:rsidR="00212A77" w:rsidRPr="000863A5" w14:paraId="74C44B7E" w14:textId="77777777" w:rsidTr="00DB21E6">
        <w:tc>
          <w:tcPr>
            <w:tcW w:w="8771" w:type="dxa"/>
            <w:gridSpan w:val="4"/>
            <w:tcBorders>
              <w:top w:val="single" w:sz="6" w:space="0" w:color="78A22F"/>
              <w:left w:val="nil"/>
              <w:bottom w:val="nil"/>
              <w:right w:val="nil"/>
            </w:tcBorders>
          </w:tcPr>
          <w:p w14:paraId="4656388D" w14:textId="0709DE8A" w:rsidR="00212A77" w:rsidRPr="00626D32" w:rsidRDefault="00212A77" w:rsidP="00C44B39">
            <w:pPr>
              <w:pStyle w:val="BoxSpaceBelow"/>
            </w:pPr>
          </w:p>
        </w:tc>
      </w:tr>
    </w:tbl>
    <w:p w14:paraId="29910B8C" w14:textId="62B4DC22" w:rsidR="00212A77" w:rsidRPr="00E209F1" w:rsidRDefault="00525FF8" w:rsidP="00EC72E2">
      <w:pPr>
        <w:pStyle w:val="BodyText"/>
      </w:pPr>
      <w:r w:rsidRPr="00293203">
        <w:rPr>
          <w:i/>
        </w:rPr>
        <w:t xml:space="preserve">The mix of housing assistance </w:t>
      </w:r>
      <w:r w:rsidR="004B13BC">
        <w:rPr>
          <w:i/>
        </w:rPr>
        <w:t>differ</w:t>
      </w:r>
      <w:r w:rsidR="00A5462A">
        <w:rPr>
          <w:i/>
        </w:rPr>
        <w:t>s</w:t>
      </w:r>
      <w:r w:rsidRPr="00293203">
        <w:rPr>
          <w:i/>
        </w:rPr>
        <w:t xml:space="preserve"> between states and territories, with </w:t>
      </w:r>
      <w:r w:rsidR="002900AF">
        <w:rPr>
          <w:i/>
        </w:rPr>
        <w:t>working-age</w:t>
      </w:r>
      <w:r w:rsidRPr="00293203">
        <w:rPr>
          <w:i/>
        </w:rPr>
        <w:t xml:space="preserve"> ISP recipients in all jurisdictions </w:t>
      </w:r>
      <w:r w:rsidR="00293203">
        <w:rPr>
          <w:i/>
        </w:rPr>
        <w:t xml:space="preserve">— </w:t>
      </w:r>
      <w:r w:rsidRPr="00293203">
        <w:rPr>
          <w:i/>
        </w:rPr>
        <w:t xml:space="preserve">other than the Australian Capital Territory and the Northern Territory </w:t>
      </w:r>
      <w:r w:rsidR="00293203">
        <w:rPr>
          <w:i/>
        </w:rPr>
        <w:t>—</w:t>
      </w:r>
      <w:r w:rsidR="00625DED">
        <w:rPr>
          <w:i/>
        </w:rPr>
        <w:t xml:space="preserve"> </w:t>
      </w:r>
      <w:r w:rsidRPr="00293203">
        <w:rPr>
          <w:i/>
        </w:rPr>
        <w:t xml:space="preserve">more likely to receive </w:t>
      </w:r>
      <w:proofErr w:type="spellStart"/>
      <w:r w:rsidRPr="00293203">
        <w:rPr>
          <w:i/>
        </w:rPr>
        <w:t>CRA</w:t>
      </w:r>
      <w:proofErr w:type="spellEnd"/>
      <w:r w:rsidRPr="00293203">
        <w:rPr>
          <w:i/>
        </w:rPr>
        <w:t xml:space="preserve"> tha</w:t>
      </w:r>
      <w:r w:rsidR="00EC72E2">
        <w:rPr>
          <w:i/>
        </w:rPr>
        <w:t>n to reside in public housing.</w:t>
      </w:r>
    </w:p>
    <w:p w14:paraId="3C74CD8E" w14:textId="62E4B4AF" w:rsidR="00212A77" w:rsidRDefault="00212A77" w:rsidP="00EC72E2">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212A77" w14:paraId="2CD90062" w14:textId="77777777" w:rsidTr="00C44B39">
        <w:tc>
          <w:tcPr>
            <w:tcW w:w="8771" w:type="dxa"/>
            <w:tcBorders>
              <w:top w:val="single" w:sz="6" w:space="0" w:color="78A22F"/>
              <w:left w:val="nil"/>
              <w:bottom w:val="nil"/>
              <w:right w:val="nil"/>
            </w:tcBorders>
            <w:shd w:val="clear" w:color="auto" w:fill="auto"/>
          </w:tcPr>
          <w:p w14:paraId="67FE964D" w14:textId="77777777" w:rsidR="00212A77" w:rsidRPr="00176D3F" w:rsidRDefault="00212A77" w:rsidP="006B5511">
            <w:pPr>
              <w:pStyle w:val="FigureTitle"/>
            </w:pPr>
            <w:r w:rsidRPr="00784A05">
              <w:rPr>
                <w:b w:val="0"/>
              </w:rPr>
              <w:t xml:space="preserve">Figure </w:t>
            </w:r>
            <w:r w:rsidRPr="00784A05">
              <w:fldChar w:fldCharType="begin"/>
            </w:r>
            <w:r w:rsidRPr="00784A05">
              <w:rPr>
                <w:b w:val="0"/>
              </w:rPr>
              <w:instrText xml:space="preserve"> SEQ Figure \* ARABIC </w:instrText>
            </w:r>
            <w:r w:rsidRPr="00784A05">
              <w:fldChar w:fldCharType="separate"/>
            </w:r>
            <w:r w:rsidR="00B5435E">
              <w:rPr>
                <w:b w:val="0"/>
                <w:noProof/>
              </w:rPr>
              <w:t>19</w:t>
            </w:r>
            <w:r w:rsidRPr="00784A05">
              <w:fldChar w:fldCharType="end"/>
            </w:r>
            <w:r>
              <w:tab/>
            </w:r>
            <w:r w:rsidR="00EC72E2">
              <w:t>ISP recipients receiving housing assistance, by state or territory, 2013</w:t>
            </w:r>
            <w:r w:rsidR="00112DBD" w:rsidRPr="004941D9">
              <w:rPr>
                <w:rStyle w:val="NoteLabel"/>
                <w:b/>
              </w:rPr>
              <w:t>a</w:t>
            </w:r>
          </w:p>
        </w:tc>
      </w:tr>
      <w:tr w:rsidR="00212A77" w14:paraId="753D2C93" w14:textId="77777777" w:rsidTr="00806E45">
        <w:tblPrEx>
          <w:tblCellMar>
            <w:left w:w="108" w:type="dxa"/>
            <w:right w:w="108" w:type="dxa"/>
          </w:tblCellMar>
        </w:tblPrEx>
        <w:tc>
          <w:tcPr>
            <w:tcW w:w="8771" w:type="dxa"/>
            <w:tcBorders>
              <w:top w:val="nil"/>
              <w:left w:val="nil"/>
              <w:bottom w:val="nil"/>
              <w:right w:val="nil"/>
            </w:tcBorders>
            <w:shd w:val="clear" w:color="auto" w:fill="auto"/>
          </w:tcPr>
          <w:p w14:paraId="1BF08579" w14:textId="4F456A0D" w:rsidR="00212A77" w:rsidRDefault="00806E45" w:rsidP="00C44B39">
            <w:pPr>
              <w:pStyle w:val="Figure"/>
            </w:pPr>
            <w:r>
              <w:rPr>
                <w:noProof/>
              </w:rPr>
              <w:drawing>
                <wp:inline distT="0" distB="0" distL="0" distR="0" wp14:anchorId="782CEDFB" wp14:editId="59338C70">
                  <wp:extent cx="5220000" cy="2160000"/>
                  <wp:effectExtent l="0" t="0" r="0" b="0"/>
                  <wp:docPr id="81" name="Chart 81" descr="This figure shows that the mix of housing assistance differs between states and territories. In all states except the Australian Capital Territory and the Northern Territory, CRA recipients outnumber public housing tenants." title="Figure 19 – ISP recipients receiving housing assistance, by state or territory,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c>
      </w:tr>
      <w:tr w:rsidR="00212A77" w:rsidRPr="00176D3F" w14:paraId="32969810" w14:textId="77777777" w:rsidTr="00C44B39">
        <w:tc>
          <w:tcPr>
            <w:tcW w:w="8771" w:type="dxa"/>
            <w:tcBorders>
              <w:top w:val="nil"/>
              <w:left w:val="nil"/>
              <w:bottom w:val="nil"/>
              <w:right w:val="nil"/>
            </w:tcBorders>
            <w:shd w:val="clear" w:color="auto" w:fill="auto"/>
          </w:tcPr>
          <w:p w14:paraId="46E3F764" w14:textId="2409ABED" w:rsidR="00212A77" w:rsidRPr="00176D3F" w:rsidRDefault="00212A77" w:rsidP="00C44B39">
            <w:pPr>
              <w:pStyle w:val="Note"/>
            </w:pPr>
            <w:r>
              <w:rPr>
                <w:rStyle w:val="NoteLabel"/>
              </w:rPr>
              <w:t>a</w:t>
            </w:r>
            <w:r>
              <w:t xml:space="preserve"> ISP recipients aged 15–65 at 30</w:t>
            </w:r>
            <w:r w:rsidR="00935A28">
              <w:t> </w:t>
            </w:r>
            <w:r>
              <w:t xml:space="preserve">June 2013. This figure does not include </w:t>
            </w:r>
            <w:proofErr w:type="spellStart"/>
            <w:r w:rsidR="00FF2726">
              <w:t>FTB</w:t>
            </w:r>
            <w:proofErr w:type="spellEnd"/>
            <w:r w:rsidR="00FF2726">
              <w:t xml:space="preserve"> A</w:t>
            </w:r>
            <w:r w:rsidR="00935A28">
              <w:noBreakHyphen/>
            </w:r>
            <w:r>
              <w:t xml:space="preserve">only recipients of </w:t>
            </w:r>
            <w:proofErr w:type="spellStart"/>
            <w:r>
              <w:t>CRA</w:t>
            </w:r>
            <w:proofErr w:type="spellEnd"/>
            <w:r>
              <w:t>.</w:t>
            </w:r>
          </w:p>
        </w:tc>
      </w:tr>
      <w:tr w:rsidR="00212A77" w:rsidRPr="00176D3F" w14:paraId="7E9C5493" w14:textId="77777777" w:rsidTr="00C44B39">
        <w:tc>
          <w:tcPr>
            <w:tcW w:w="8771" w:type="dxa"/>
            <w:tcBorders>
              <w:top w:val="nil"/>
              <w:left w:val="nil"/>
              <w:bottom w:val="nil"/>
              <w:right w:val="nil"/>
            </w:tcBorders>
            <w:shd w:val="clear" w:color="auto" w:fill="auto"/>
          </w:tcPr>
          <w:p w14:paraId="56546465" w14:textId="087962F1" w:rsidR="00212A77" w:rsidRPr="00176D3F" w:rsidRDefault="00306456" w:rsidP="00C44B39">
            <w:pPr>
              <w:pStyle w:val="Source"/>
            </w:pPr>
            <w:r>
              <w:rPr>
                <w:i/>
              </w:rPr>
              <w:t>Source</w:t>
            </w:r>
            <w:r w:rsidR="00212A77">
              <w:t>: Department of Human Services, administrative data (unpublished).</w:t>
            </w:r>
          </w:p>
        </w:tc>
      </w:tr>
      <w:tr w:rsidR="00212A77" w14:paraId="265685C1" w14:textId="77777777" w:rsidTr="00C44B39">
        <w:tc>
          <w:tcPr>
            <w:tcW w:w="8771" w:type="dxa"/>
            <w:tcBorders>
              <w:top w:val="nil"/>
              <w:left w:val="nil"/>
              <w:bottom w:val="single" w:sz="6" w:space="0" w:color="78A22F"/>
              <w:right w:val="nil"/>
            </w:tcBorders>
            <w:shd w:val="clear" w:color="auto" w:fill="auto"/>
          </w:tcPr>
          <w:p w14:paraId="4E657C18" w14:textId="77777777" w:rsidR="00212A77" w:rsidRDefault="00212A77" w:rsidP="00C44B39">
            <w:pPr>
              <w:pStyle w:val="Figurespace"/>
            </w:pPr>
          </w:p>
        </w:tc>
      </w:tr>
      <w:tr w:rsidR="00212A77" w:rsidRPr="000863A5" w14:paraId="5D4633A7" w14:textId="77777777" w:rsidTr="00C44B39">
        <w:tc>
          <w:tcPr>
            <w:tcW w:w="8771" w:type="dxa"/>
            <w:tcBorders>
              <w:top w:val="single" w:sz="6" w:space="0" w:color="78A22F"/>
              <w:left w:val="nil"/>
              <w:bottom w:val="nil"/>
              <w:right w:val="nil"/>
            </w:tcBorders>
          </w:tcPr>
          <w:p w14:paraId="6055F934" w14:textId="20AB1A91" w:rsidR="00212A77" w:rsidRPr="00626D32" w:rsidRDefault="00212A77" w:rsidP="00C44B39">
            <w:pPr>
              <w:pStyle w:val="BoxSpaceBelow"/>
            </w:pPr>
          </w:p>
        </w:tc>
      </w:tr>
    </w:tbl>
    <w:p w14:paraId="69387FDB" w14:textId="61B66FE4" w:rsidR="000B2D3B" w:rsidRPr="003C1878" w:rsidRDefault="00BA75CB" w:rsidP="00525FF8">
      <w:pPr>
        <w:pStyle w:val="Drad"/>
        <w:rPr>
          <w:i/>
        </w:rPr>
      </w:pPr>
      <w:r>
        <w:rPr>
          <w:i/>
        </w:rPr>
        <w:lastRenderedPageBreak/>
        <w:t>H</w:t>
      </w:r>
      <w:r w:rsidR="004E652A" w:rsidRPr="003C1878">
        <w:rPr>
          <w:i/>
        </w:rPr>
        <w:t xml:space="preserve">ousing assistance recipients </w:t>
      </w:r>
      <w:r w:rsidR="004D2550">
        <w:rPr>
          <w:i/>
        </w:rPr>
        <w:t>a</w:t>
      </w:r>
      <w:r w:rsidR="004B13BC">
        <w:rPr>
          <w:i/>
        </w:rPr>
        <w:t>re</w:t>
      </w:r>
      <w:r w:rsidR="004E652A" w:rsidRPr="003C1878">
        <w:rPr>
          <w:i/>
        </w:rPr>
        <w:t xml:space="preserve"> concentrated in major c</w:t>
      </w:r>
      <w:r w:rsidR="000B2D3B" w:rsidRPr="003C1878">
        <w:rPr>
          <w:i/>
        </w:rPr>
        <w:t>ities and inner regional areas</w:t>
      </w:r>
      <w:r w:rsidR="00935A28">
        <w:rPr>
          <w:i/>
        </w:rPr>
        <w:t xml:space="preserve"> …</w:t>
      </w:r>
    </w:p>
    <w:p w14:paraId="378DEDDE" w14:textId="7AF4965B" w:rsidR="00212A77" w:rsidRDefault="00212A77" w:rsidP="00BA75CB">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212A77" w14:paraId="0D2CA30B" w14:textId="77777777" w:rsidTr="00C44B39">
        <w:tc>
          <w:tcPr>
            <w:tcW w:w="8771" w:type="dxa"/>
            <w:tcBorders>
              <w:top w:val="single" w:sz="6" w:space="0" w:color="78A22F"/>
              <w:left w:val="nil"/>
              <w:bottom w:val="nil"/>
              <w:right w:val="nil"/>
            </w:tcBorders>
            <w:shd w:val="clear" w:color="auto" w:fill="auto"/>
          </w:tcPr>
          <w:p w14:paraId="5AEB3A69" w14:textId="77777777" w:rsidR="00212A77" w:rsidRPr="00176D3F" w:rsidRDefault="00212A77" w:rsidP="006B5511">
            <w:pPr>
              <w:pStyle w:val="FigureTitle"/>
            </w:pPr>
            <w:r w:rsidRPr="00784A05">
              <w:rPr>
                <w:b w:val="0"/>
              </w:rPr>
              <w:t xml:space="preserve">Figure </w:t>
            </w:r>
            <w:r w:rsidRPr="00784A05">
              <w:fldChar w:fldCharType="begin"/>
            </w:r>
            <w:r w:rsidRPr="00784A05">
              <w:rPr>
                <w:b w:val="0"/>
              </w:rPr>
              <w:instrText xml:space="preserve"> SEQ Figure \* ARABIC </w:instrText>
            </w:r>
            <w:r w:rsidRPr="00784A05">
              <w:fldChar w:fldCharType="separate"/>
            </w:r>
            <w:r w:rsidR="00B5435E">
              <w:rPr>
                <w:b w:val="0"/>
                <w:noProof/>
              </w:rPr>
              <w:t>20</w:t>
            </w:r>
            <w:r w:rsidRPr="00784A05">
              <w:fldChar w:fldCharType="end"/>
            </w:r>
            <w:r>
              <w:tab/>
            </w:r>
            <w:r w:rsidR="00604F44">
              <w:t>Income support payment recipients by region and tenure type, 2013</w:t>
            </w:r>
            <w:proofErr w:type="spellStart"/>
            <w:r w:rsidR="00604F44" w:rsidRPr="00F35E94">
              <w:rPr>
                <w:rStyle w:val="NoteLabel"/>
                <w:b/>
              </w:rPr>
              <w:t>a</w:t>
            </w:r>
            <w:r w:rsidR="004D2550">
              <w:rPr>
                <w:rStyle w:val="NoteLabel"/>
                <w:b/>
              </w:rPr>
              <w:t>,b</w:t>
            </w:r>
            <w:proofErr w:type="spellEnd"/>
          </w:p>
        </w:tc>
      </w:tr>
      <w:tr w:rsidR="00212A77" w14:paraId="78C630F2" w14:textId="77777777" w:rsidTr="00806E45">
        <w:tblPrEx>
          <w:tblCellMar>
            <w:left w:w="108" w:type="dxa"/>
            <w:right w:w="108" w:type="dxa"/>
          </w:tblCellMar>
        </w:tblPrEx>
        <w:tc>
          <w:tcPr>
            <w:tcW w:w="8771" w:type="dxa"/>
            <w:tcBorders>
              <w:top w:val="nil"/>
              <w:left w:val="nil"/>
              <w:bottom w:val="nil"/>
              <w:right w:val="nil"/>
            </w:tcBorders>
            <w:shd w:val="clear" w:color="auto" w:fill="auto"/>
          </w:tcPr>
          <w:p w14:paraId="047788C2" w14:textId="7B7C2EB2" w:rsidR="00212A77" w:rsidRDefault="00806E45" w:rsidP="00C44B39">
            <w:pPr>
              <w:pStyle w:val="Figure"/>
            </w:pPr>
            <w:r>
              <w:rPr>
                <w:noProof/>
              </w:rPr>
              <w:drawing>
                <wp:inline distT="0" distB="0" distL="0" distR="0" wp14:anchorId="6D2035A3" wp14:editId="5F4C7D55">
                  <wp:extent cx="5400000" cy="2088000"/>
                  <wp:effectExtent l="0" t="0" r="0" b="7620"/>
                  <wp:docPr id="82" name="Chart 82" descr="This figure shows the per cent of people living in major cities, inner regional areas, outer regional areas and remote or very remote locations, by housing assistance status. Housing assistance recipients are concentrated in major cities and inner regional areas." title="Figure 20 – Income support payment recipients by region and tenure type,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tc>
      </w:tr>
      <w:tr w:rsidR="00212A77" w:rsidRPr="00176D3F" w14:paraId="4168513B" w14:textId="77777777" w:rsidTr="00C44B39">
        <w:tc>
          <w:tcPr>
            <w:tcW w:w="8771" w:type="dxa"/>
            <w:tcBorders>
              <w:top w:val="nil"/>
              <w:left w:val="nil"/>
              <w:bottom w:val="nil"/>
              <w:right w:val="nil"/>
            </w:tcBorders>
            <w:shd w:val="clear" w:color="auto" w:fill="auto"/>
          </w:tcPr>
          <w:p w14:paraId="6650B623" w14:textId="22156436" w:rsidR="00212A77" w:rsidRPr="00176D3F" w:rsidRDefault="00212A77" w:rsidP="004D2550">
            <w:pPr>
              <w:pStyle w:val="Note"/>
            </w:pPr>
            <w:r>
              <w:rPr>
                <w:rStyle w:val="NoteLabel"/>
              </w:rPr>
              <w:t>a</w:t>
            </w:r>
            <w:r>
              <w:t xml:space="preserve"> ISP recipients aged 15–65 at 30</w:t>
            </w:r>
            <w:r w:rsidR="00935A28">
              <w:t> </w:t>
            </w:r>
            <w:r>
              <w:t xml:space="preserve">June 2013. This figure does not include </w:t>
            </w:r>
            <w:proofErr w:type="spellStart"/>
            <w:r w:rsidR="00FF2726">
              <w:t>FTB</w:t>
            </w:r>
            <w:proofErr w:type="spellEnd"/>
            <w:r w:rsidR="00FF2726">
              <w:t xml:space="preserve"> A</w:t>
            </w:r>
            <w:r w:rsidR="00935A28">
              <w:noBreakHyphen/>
            </w:r>
            <w:r>
              <w:t xml:space="preserve">only recipients of </w:t>
            </w:r>
            <w:proofErr w:type="spellStart"/>
            <w:r>
              <w:t>CRA</w:t>
            </w:r>
            <w:proofErr w:type="spellEnd"/>
            <w:r>
              <w:t>.</w:t>
            </w:r>
            <w:r w:rsidR="00604F44">
              <w:t xml:space="preserve"> </w:t>
            </w:r>
            <w:r w:rsidR="004D2550" w:rsidRPr="00F02807">
              <w:rPr>
                <w:rStyle w:val="NoteLabel"/>
              </w:rPr>
              <w:t>b</w:t>
            </w:r>
            <w:r w:rsidR="004D2550">
              <w:t xml:space="preserve"> </w:t>
            </w:r>
            <w:r w:rsidR="00604F44">
              <w:t>Figures for the general population are from the 2011 Census.</w:t>
            </w:r>
          </w:p>
        </w:tc>
      </w:tr>
      <w:tr w:rsidR="00212A77" w:rsidRPr="00176D3F" w14:paraId="74CB7970" w14:textId="77777777" w:rsidTr="00C44B39">
        <w:tc>
          <w:tcPr>
            <w:tcW w:w="8771" w:type="dxa"/>
            <w:tcBorders>
              <w:top w:val="nil"/>
              <w:left w:val="nil"/>
              <w:bottom w:val="nil"/>
              <w:right w:val="nil"/>
            </w:tcBorders>
            <w:shd w:val="clear" w:color="auto" w:fill="auto"/>
          </w:tcPr>
          <w:p w14:paraId="5A010937" w14:textId="1F88A56C" w:rsidR="00212A77" w:rsidRPr="00176D3F" w:rsidRDefault="00306456" w:rsidP="00C44B39">
            <w:pPr>
              <w:pStyle w:val="Source"/>
            </w:pPr>
            <w:r>
              <w:rPr>
                <w:i/>
              </w:rPr>
              <w:t>Source</w:t>
            </w:r>
            <w:r w:rsidR="00A77BCA">
              <w:rPr>
                <w:i/>
              </w:rPr>
              <w:t>s</w:t>
            </w:r>
            <w:r w:rsidR="00604F44">
              <w:t>: Department of Human Services, ad</w:t>
            </w:r>
            <w:r w:rsidR="00BA75CB">
              <w:t>ministrative data (unpublished);</w:t>
            </w:r>
            <w:r w:rsidR="00604F44">
              <w:t xml:space="preserve"> 2011 Census of Population and Housing.</w:t>
            </w:r>
          </w:p>
        </w:tc>
      </w:tr>
      <w:tr w:rsidR="00212A77" w14:paraId="14C779FE" w14:textId="77777777" w:rsidTr="00C44B39">
        <w:tc>
          <w:tcPr>
            <w:tcW w:w="8771" w:type="dxa"/>
            <w:tcBorders>
              <w:top w:val="nil"/>
              <w:left w:val="nil"/>
              <w:bottom w:val="single" w:sz="6" w:space="0" w:color="78A22F"/>
              <w:right w:val="nil"/>
            </w:tcBorders>
            <w:shd w:val="clear" w:color="auto" w:fill="auto"/>
          </w:tcPr>
          <w:p w14:paraId="3CFEC48F" w14:textId="77777777" w:rsidR="00212A77" w:rsidRDefault="00212A77" w:rsidP="00C44B39">
            <w:pPr>
              <w:pStyle w:val="Figurespace"/>
            </w:pPr>
          </w:p>
        </w:tc>
      </w:tr>
      <w:tr w:rsidR="00212A77" w:rsidRPr="000863A5" w14:paraId="63F4F319" w14:textId="77777777" w:rsidTr="00C44B39">
        <w:tc>
          <w:tcPr>
            <w:tcW w:w="8771" w:type="dxa"/>
            <w:tcBorders>
              <w:top w:val="single" w:sz="6" w:space="0" w:color="78A22F"/>
              <w:left w:val="nil"/>
              <w:bottom w:val="nil"/>
              <w:right w:val="nil"/>
            </w:tcBorders>
          </w:tcPr>
          <w:p w14:paraId="439FC929" w14:textId="5F26FC9F" w:rsidR="00212A77" w:rsidRPr="00626D32" w:rsidRDefault="00212A77" w:rsidP="00C44B39">
            <w:pPr>
              <w:pStyle w:val="BoxSpaceBelow"/>
            </w:pPr>
          </w:p>
        </w:tc>
      </w:tr>
    </w:tbl>
    <w:p w14:paraId="471EF1AE" w14:textId="77777777" w:rsidR="000B2D3B" w:rsidRPr="00BA75CB" w:rsidRDefault="004B13BC" w:rsidP="000B2D3B">
      <w:pPr>
        <w:pStyle w:val="Drad"/>
        <w:rPr>
          <w:i/>
        </w:rPr>
      </w:pPr>
      <w:r>
        <w:rPr>
          <w:i/>
        </w:rPr>
        <w:t>… and in</w:t>
      </w:r>
      <w:r w:rsidR="00BA75CB" w:rsidRPr="00BA75CB">
        <w:rPr>
          <w:i/>
        </w:rPr>
        <w:t xml:space="preserve"> areas of higher socioeconomic disadvantage.</w:t>
      </w:r>
    </w:p>
    <w:p w14:paraId="092A73C2" w14:textId="143919C5" w:rsidR="00212A77" w:rsidRDefault="00212A77" w:rsidP="00BA75CB">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212A77" w14:paraId="530874D2" w14:textId="77777777" w:rsidTr="00C44B39">
        <w:tc>
          <w:tcPr>
            <w:tcW w:w="8771" w:type="dxa"/>
            <w:tcBorders>
              <w:top w:val="single" w:sz="6" w:space="0" w:color="78A22F"/>
              <w:left w:val="nil"/>
              <w:bottom w:val="nil"/>
              <w:right w:val="nil"/>
            </w:tcBorders>
            <w:shd w:val="clear" w:color="auto" w:fill="auto"/>
          </w:tcPr>
          <w:p w14:paraId="3CA7A142" w14:textId="77777777" w:rsidR="00934046" w:rsidRDefault="00212A77" w:rsidP="00934046">
            <w:pPr>
              <w:pStyle w:val="FigureTitle"/>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21</w:t>
            </w:r>
            <w:r w:rsidRPr="00784A05">
              <w:rPr>
                <w:b w:val="0"/>
              </w:rPr>
              <w:fldChar w:fldCharType="end"/>
            </w:r>
            <w:r>
              <w:tab/>
            </w:r>
            <w:r w:rsidR="00934046">
              <w:t>Housing assistance recipients living in areas of high disadvantage, 2011</w:t>
            </w:r>
            <w:r w:rsidR="00934046" w:rsidRPr="00FC289E">
              <w:rPr>
                <w:rStyle w:val="NoteLabel"/>
                <w:b/>
              </w:rPr>
              <w:t>a</w:t>
            </w:r>
          </w:p>
          <w:p w14:paraId="05E23B45" w14:textId="77777777" w:rsidR="00212A77" w:rsidRPr="00176D3F" w:rsidRDefault="00934046" w:rsidP="00934046">
            <w:pPr>
              <w:pStyle w:val="Subtitle"/>
            </w:pPr>
            <w:r>
              <w:t>Per cent in bottom quintile (dark shading) and second quintile (light shading) of the Index of Relative Socioeconomic Disadvantage</w:t>
            </w:r>
          </w:p>
        </w:tc>
      </w:tr>
      <w:tr w:rsidR="00212A77" w14:paraId="0B988AE7" w14:textId="77777777" w:rsidTr="00BA75CB">
        <w:tblPrEx>
          <w:tblCellMar>
            <w:left w:w="108" w:type="dxa"/>
            <w:right w:w="108" w:type="dxa"/>
          </w:tblCellMar>
        </w:tblPrEx>
        <w:tc>
          <w:tcPr>
            <w:tcW w:w="8771" w:type="dxa"/>
            <w:tcBorders>
              <w:top w:val="nil"/>
              <w:left w:val="nil"/>
              <w:bottom w:val="nil"/>
              <w:right w:val="nil"/>
            </w:tcBorders>
            <w:shd w:val="clear" w:color="auto" w:fill="auto"/>
          </w:tcPr>
          <w:p w14:paraId="06768352" w14:textId="77777777" w:rsidR="00212A77" w:rsidRDefault="00BA75CB" w:rsidP="00C44B39">
            <w:pPr>
              <w:pStyle w:val="Figure"/>
            </w:pPr>
            <w:r>
              <w:rPr>
                <w:noProof/>
              </w:rPr>
              <w:drawing>
                <wp:inline distT="0" distB="0" distL="0" distR="0" wp14:anchorId="293BB735" wp14:editId="008F6DBA">
                  <wp:extent cx="5400000" cy="2016000"/>
                  <wp:effectExtent l="0" t="0" r="0" b="3810"/>
                  <wp:docPr id="76" name="Chart 76" descr="This figure shows the number of CRA recipients and public housing tenants that reside in disadvantaged neighbourhoods. Disadvantaged neighbourhoods are those ranked in the lowest two quintiles of the index of relative socioeconomic disadvantage. Housing assistance recipients are more likely than others to live in areas with higher socioeconomic disadvantage." title="Figure 21 – Housing assistance recipients living in areas of high disadvantage, 201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tc>
      </w:tr>
      <w:tr w:rsidR="00212A77" w:rsidRPr="00176D3F" w14:paraId="307175EF" w14:textId="77777777" w:rsidTr="00C44B39">
        <w:tc>
          <w:tcPr>
            <w:tcW w:w="8771" w:type="dxa"/>
            <w:tcBorders>
              <w:top w:val="nil"/>
              <w:left w:val="nil"/>
              <w:bottom w:val="nil"/>
              <w:right w:val="nil"/>
            </w:tcBorders>
            <w:shd w:val="clear" w:color="auto" w:fill="auto"/>
          </w:tcPr>
          <w:p w14:paraId="7615768A" w14:textId="4F1A47C9" w:rsidR="00212A77" w:rsidRPr="00176D3F" w:rsidRDefault="00934046" w:rsidP="00BA75CB">
            <w:pPr>
              <w:pStyle w:val="Note"/>
            </w:pPr>
            <w:r>
              <w:rPr>
                <w:rStyle w:val="NoteLabel"/>
              </w:rPr>
              <w:t>a</w:t>
            </w:r>
            <w:r>
              <w:t xml:space="preserve"> ISP recipients aged 15–65 at 30</w:t>
            </w:r>
            <w:r w:rsidR="00935A28">
              <w:t> </w:t>
            </w:r>
            <w:r>
              <w:t xml:space="preserve">June 2011. This figure does not include </w:t>
            </w:r>
            <w:proofErr w:type="spellStart"/>
            <w:r w:rsidR="00FF2726">
              <w:t>FTB</w:t>
            </w:r>
            <w:proofErr w:type="spellEnd"/>
            <w:r w:rsidR="00FF2726">
              <w:t xml:space="preserve"> A</w:t>
            </w:r>
            <w:r w:rsidR="00935A28">
              <w:noBreakHyphen/>
            </w:r>
            <w:r>
              <w:t xml:space="preserve">only recipients of </w:t>
            </w:r>
            <w:proofErr w:type="spellStart"/>
            <w:r>
              <w:t>CRA</w:t>
            </w:r>
            <w:proofErr w:type="spellEnd"/>
            <w:r>
              <w:t>.</w:t>
            </w:r>
          </w:p>
        </w:tc>
      </w:tr>
      <w:tr w:rsidR="00212A77" w:rsidRPr="00176D3F" w14:paraId="49838D17" w14:textId="77777777" w:rsidTr="00C44B39">
        <w:tc>
          <w:tcPr>
            <w:tcW w:w="8771" w:type="dxa"/>
            <w:tcBorders>
              <w:top w:val="nil"/>
              <w:left w:val="nil"/>
              <w:bottom w:val="nil"/>
              <w:right w:val="nil"/>
            </w:tcBorders>
            <w:shd w:val="clear" w:color="auto" w:fill="auto"/>
          </w:tcPr>
          <w:p w14:paraId="0BC61796" w14:textId="7E94700B" w:rsidR="00212A77" w:rsidRPr="00176D3F" w:rsidRDefault="00306456" w:rsidP="009602BA">
            <w:pPr>
              <w:pStyle w:val="Source"/>
            </w:pPr>
            <w:r>
              <w:rPr>
                <w:i/>
              </w:rPr>
              <w:t>Source</w:t>
            </w:r>
            <w:r w:rsidR="00A77BCA">
              <w:rPr>
                <w:i/>
              </w:rPr>
              <w:t>s</w:t>
            </w:r>
            <w:r w:rsidR="00212A77">
              <w:t xml:space="preserve">: </w:t>
            </w:r>
            <w:r w:rsidR="009602BA" w:rsidRPr="00D507CF">
              <w:t>ABS (</w:t>
            </w:r>
            <w:r w:rsidR="009602BA" w:rsidRPr="007353E0">
              <w:t>Census of Population and Housing: Socio</w:t>
            </w:r>
            <w:r w:rsidR="00935A28" w:rsidRPr="007353E0">
              <w:noBreakHyphen/>
            </w:r>
            <w:r w:rsidR="009602BA" w:rsidRPr="007353E0">
              <w:t>Economic Indexes for Areas (</w:t>
            </w:r>
            <w:proofErr w:type="spellStart"/>
            <w:r w:rsidR="009602BA" w:rsidRPr="007353E0">
              <w:t>SEIFA</w:t>
            </w:r>
            <w:proofErr w:type="spellEnd"/>
            <w:r w:rsidR="009602BA" w:rsidRPr="007353E0">
              <w:t xml:space="preserve">), 2011, </w:t>
            </w:r>
            <w:r w:rsidR="009602BA" w:rsidRPr="00D507CF">
              <w:t xml:space="preserve">Cat no. 2033.0.55.001); </w:t>
            </w:r>
            <w:r w:rsidR="00212A77" w:rsidRPr="001964B7">
              <w:t>Department of Human Services, ad</w:t>
            </w:r>
            <w:r w:rsidR="00BA75CB" w:rsidRPr="001964B7">
              <w:t>ministrative data (unpublished).</w:t>
            </w:r>
          </w:p>
        </w:tc>
      </w:tr>
      <w:tr w:rsidR="00212A77" w14:paraId="6462EF94" w14:textId="77777777" w:rsidTr="00C44B39">
        <w:tc>
          <w:tcPr>
            <w:tcW w:w="8771" w:type="dxa"/>
            <w:tcBorders>
              <w:top w:val="nil"/>
              <w:left w:val="nil"/>
              <w:bottom w:val="single" w:sz="6" w:space="0" w:color="78A22F"/>
              <w:right w:val="nil"/>
            </w:tcBorders>
            <w:shd w:val="clear" w:color="auto" w:fill="auto"/>
          </w:tcPr>
          <w:p w14:paraId="56C87CA7" w14:textId="77777777" w:rsidR="00212A77" w:rsidRDefault="00212A77" w:rsidP="00C44B39">
            <w:pPr>
              <w:pStyle w:val="Figurespace"/>
            </w:pPr>
          </w:p>
        </w:tc>
      </w:tr>
      <w:tr w:rsidR="00212A77" w:rsidRPr="000863A5" w14:paraId="58612E76" w14:textId="77777777" w:rsidTr="00C44B39">
        <w:tc>
          <w:tcPr>
            <w:tcW w:w="8771" w:type="dxa"/>
            <w:tcBorders>
              <w:top w:val="single" w:sz="6" w:space="0" w:color="78A22F"/>
              <w:left w:val="nil"/>
              <w:bottom w:val="nil"/>
              <w:right w:val="nil"/>
            </w:tcBorders>
          </w:tcPr>
          <w:p w14:paraId="428DE399" w14:textId="75B658B1" w:rsidR="00212A77" w:rsidRPr="00626D32" w:rsidRDefault="00212A77" w:rsidP="00C44B39">
            <w:pPr>
              <w:pStyle w:val="BoxSpaceBelow"/>
            </w:pPr>
          </w:p>
        </w:tc>
      </w:tr>
    </w:tbl>
    <w:p w14:paraId="23404274" w14:textId="5CE43DD7" w:rsidR="003E2234" w:rsidRDefault="003E2234" w:rsidP="003E2234">
      <w:pPr>
        <w:pStyle w:val="Drad"/>
        <w:rPr>
          <w:i/>
        </w:rPr>
      </w:pPr>
      <w:proofErr w:type="spellStart"/>
      <w:r>
        <w:rPr>
          <w:i/>
        </w:rPr>
        <w:lastRenderedPageBreak/>
        <w:t>CRA</w:t>
      </w:r>
      <w:proofErr w:type="spellEnd"/>
      <w:r>
        <w:rPr>
          <w:i/>
        </w:rPr>
        <w:t xml:space="preserve"> recipients are spread in a broad range of locations across all capital cities and are </w:t>
      </w:r>
      <w:r w:rsidR="0096361E">
        <w:rPr>
          <w:i/>
        </w:rPr>
        <w:t>often</w:t>
      </w:r>
      <w:r>
        <w:rPr>
          <w:i/>
        </w:rPr>
        <w:t xml:space="preserve"> found in areas </w:t>
      </w:r>
      <w:r w:rsidR="0096361E">
        <w:rPr>
          <w:i/>
        </w:rPr>
        <w:t>that provide opportunities for employment</w:t>
      </w:r>
      <w:r>
        <w:rPr>
          <w:i/>
        </w:rPr>
        <w:t xml:space="preserve">. In contrast, public housing residents </w:t>
      </w:r>
      <w:r w:rsidR="0096361E">
        <w:rPr>
          <w:i/>
        </w:rPr>
        <w:t xml:space="preserve">are often located in </w:t>
      </w:r>
      <w:r>
        <w:rPr>
          <w:i/>
        </w:rPr>
        <w:t>areas with few</w:t>
      </w:r>
      <w:r w:rsidR="0096361E">
        <w:rPr>
          <w:i/>
        </w:rPr>
        <w:t>er</w:t>
      </w:r>
      <w:r>
        <w:rPr>
          <w:i/>
        </w:rPr>
        <w:t xml:space="preserve"> low skilled jobs.</w:t>
      </w:r>
    </w:p>
    <w:p w14:paraId="734230F5" w14:textId="77777777" w:rsidR="003E2234" w:rsidRPr="0096361E" w:rsidRDefault="003E2234">
      <w:pPr>
        <w:pStyle w:val="Drad"/>
        <w:rPr>
          <w:i/>
        </w:rPr>
      </w:pPr>
      <w:r>
        <w:rPr>
          <w:i/>
        </w:rPr>
        <w:t>In Sydney</w:t>
      </w:r>
      <w:r w:rsidR="0096361E">
        <w:rPr>
          <w:i/>
        </w:rPr>
        <w:t>,</w:t>
      </w:r>
      <w:r>
        <w:rPr>
          <w:i/>
        </w:rPr>
        <w:t xml:space="preserve"> public housing tenants and </w:t>
      </w:r>
      <w:proofErr w:type="spellStart"/>
      <w:r>
        <w:rPr>
          <w:i/>
        </w:rPr>
        <w:t>CRA</w:t>
      </w:r>
      <w:proofErr w:type="spellEnd"/>
      <w:r>
        <w:rPr>
          <w:i/>
        </w:rPr>
        <w:t xml:space="preserve"> recipients </w:t>
      </w:r>
      <w:r w:rsidR="0096361E">
        <w:rPr>
          <w:i/>
        </w:rPr>
        <w:t xml:space="preserve">tend to </w:t>
      </w:r>
      <w:r>
        <w:rPr>
          <w:i/>
        </w:rPr>
        <w:t>live in different areas</w:t>
      </w:r>
      <w:r w:rsidR="0096361E">
        <w:rPr>
          <w:i/>
        </w:rPr>
        <w:t>, and i</w:t>
      </w:r>
      <w:r>
        <w:rPr>
          <w:i/>
        </w:rPr>
        <w:t xml:space="preserve">n comparison to other major cities, public housing tenants and </w:t>
      </w:r>
      <w:proofErr w:type="spellStart"/>
      <w:r>
        <w:rPr>
          <w:i/>
        </w:rPr>
        <w:t>CRA</w:t>
      </w:r>
      <w:proofErr w:type="spellEnd"/>
      <w:r>
        <w:rPr>
          <w:i/>
        </w:rPr>
        <w:t xml:space="preserve"> recipients are located in areas with fewer low skill jobs. </w:t>
      </w:r>
    </w:p>
    <w:p w14:paraId="4D5D1885" w14:textId="6D9E6604" w:rsidR="00151BCA" w:rsidRDefault="00151BCA" w:rsidP="007310DB">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67"/>
      </w:tblGrid>
      <w:tr w:rsidR="00151BCA" w14:paraId="542869C8" w14:textId="77777777" w:rsidTr="00C44B39">
        <w:tc>
          <w:tcPr>
            <w:tcW w:w="8767" w:type="dxa"/>
            <w:tcBorders>
              <w:top w:val="single" w:sz="6" w:space="0" w:color="78A22F"/>
              <w:left w:val="nil"/>
              <w:bottom w:val="single" w:sz="4" w:space="0" w:color="B5B5B5" w:themeColor="accent4" w:themeShade="BF"/>
              <w:right w:val="nil"/>
            </w:tcBorders>
            <w:shd w:val="clear" w:color="auto" w:fill="auto"/>
          </w:tcPr>
          <w:p w14:paraId="0782875A" w14:textId="455900E9" w:rsidR="00151BCA" w:rsidRDefault="00151BCA" w:rsidP="00C44B39">
            <w:pPr>
              <w:pStyle w:val="FigureTitle"/>
            </w:pPr>
            <w:r w:rsidRPr="00784A05">
              <w:rPr>
                <w:b w:val="0"/>
              </w:rPr>
              <w:t xml:space="preserve">Figure </w:t>
            </w:r>
            <w:bookmarkStart w:id="3" w:name="OLE_LINK26"/>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22</w:t>
            </w:r>
            <w:r w:rsidRPr="00784A05">
              <w:rPr>
                <w:b w:val="0"/>
              </w:rPr>
              <w:fldChar w:fldCharType="end"/>
            </w:r>
            <w:bookmarkEnd w:id="3"/>
            <w:r>
              <w:tab/>
              <w:t>Housing assistance and low</w:t>
            </w:r>
            <w:r w:rsidR="00EA139F">
              <w:t xml:space="preserve">er </w:t>
            </w:r>
            <w:r>
              <w:t>skill jobs around Sydney</w:t>
            </w:r>
            <w:proofErr w:type="spellStart"/>
            <w:r w:rsidRPr="00005FB3">
              <w:rPr>
                <w:rStyle w:val="NoteLabel"/>
                <w:b/>
              </w:rPr>
              <w:t>a</w:t>
            </w:r>
            <w:r w:rsidR="0071184F">
              <w:rPr>
                <w:rStyle w:val="NoteLabel"/>
                <w:b/>
              </w:rPr>
              <w:t>,b</w:t>
            </w:r>
            <w:r w:rsidR="007310DB">
              <w:rPr>
                <w:rStyle w:val="NoteLabel"/>
                <w:b/>
              </w:rPr>
              <w:t>,c</w:t>
            </w:r>
            <w:proofErr w:type="spellEnd"/>
          </w:p>
          <w:p w14:paraId="358F43CA" w14:textId="77777777" w:rsidR="00151BCA" w:rsidRPr="00176D3F" w:rsidRDefault="00151BCA" w:rsidP="00C44B39">
            <w:pPr>
              <w:pStyle w:val="Subtitle"/>
            </w:pPr>
            <w:r>
              <w:t xml:space="preserve">Per cent located in each </w:t>
            </w:r>
            <w:proofErr w:type="spellStart"/>
            <w:r>
              <w:t>SA2</w:t>
            </w:r>
            <w:proofErr w:type="spellEnd"/>
            <w:r>
              <w:t xml:space="preserve"> area, 2011</w:t>
            </w:r>
          </w:p>
        </w:tc>
      </w:tr>
      <w:tr w:rsidR="00151BCA" w:rsidRPr="00176D3F" w14:paraId="10D3110F" w14:textId="77777777" w:rsidTr="003737D9">
        <w:trPr>
          <w:trHeight w:val="2612"/>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2D6F0FD9" w14:textId="77777777" w:rsidR="00151BCA" w:rsidRDefault="00151BCA" w:rsidP="00C44B39">
            <w:pPr>
              <w:pStyle w:val="Note"/>
              <w:jc w:val="center"/>
              <w:rPr>
                <w:b/>
                <w:noProof/>
                <w:position w:val="6"/>
              </w:rPr>
            </w:pPr>
            <w:r>
              <w:rPr>
                <w:b/>
                <w:noProof/>
                <w:position w:val="6"/>
              </w:rPr>
              <mc:AlternateContent>
                <mc:Choice Requires="wps">
                  <w:drawing>
                    <wp:anchor distT="0" distB="0" distL="114300" distR="114300" simplePos="0" relativeHeight="251672576" behindDoc="0" locked="0" layoutInCell="1" allowOverlap="1" wp14:anchorId="03F7D857" wp14:editId="563322CC">
                      <wp:simplePos x="0" y="0"/>
                      <wp:positionH relativeFrom="column">
                        <wp:posOffset>-43918</wp:posOffset>
                      </wp:positionH>
                      <wp:positionV relativeFrom="paragraph">
                        <wp:posOffset>63707</wp:posOffset>
                      </wp:positionV>
                      <wp:extent cx="1754372" cy="542260"/>
                      <wp:effectExtent l="0" t="0" r="0" b="0"/>
                      <wp:wrapNone/>
                      <wp:docPr id="107" name="Text Box 107"/>
                      <wp:cNvGraphicFramePr/>
                      <a:graphic xmlns:a="http://schemas.openxmlformats.org/drawingml/2006/main">
                        <a:graphicData uri="http://schemas.microsoft.com/office/word/2010/wordprocessingShape">
                          <wps:wsp>
                            <wps:cNvSpPr txBox="1"/>
                            <wps:spPr>
                              <a:xfrm>
                                <a:off x="0" y="0"/>
                                <a:ext cx="1754372" cy="5422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DC13138" w14:textId="77777777" w:rsidR="009A5CAA" w:rsidRPr="00C94C4F" w:rsidRDefault="009A5CAA" w:rsidP="00151BCA">
                                  <w:pPr>
                                    <w:rPr>
                                      <w:rFonts w:ascii="Arial" w:hAnsi="Arial" w:cs="Arial"/>
                                      <w:b/>
                                    </w:rPr>
                                  </w:pPr>
                                  <w:proofErr w:type="spellStart"/>
                                  <w:r w:rsidRPr="00C94C4F">
                                    <w:rPr>
                                      <w:rFonts w:ascii="Arial" w:hAnsi="Arial" w:cs="Arial"/>
                                      <w:b/>
                                    </w:rPr>
                                    <w:t>CRA</w:t>
                                  </w:r>
                                  <w:proofErr w:type="spellEnd"/>
                                  <w:r w:rsidRPr="00C94C4F">
                                    <w:rPr>
                                      <w:rFonts w:ascii="Arial" w:hAnsi="Arial" w:cs="Arial"/>
                                      <w:b/>
                                    </w:rPr>
                                    <w:t xml:space="preserve"> </w:t>
                                  </w:r>
                                  <w:r>
                                    <w:rPr>
                                      <w:rFonts w:ascii="Arial" w:hAnsi="Arial" w:cs="Arial"/>
                                      <w:b/>
                                    </w:rPr>
                                    <w:t>r</w:t>
                                  </w:r>
                                  <w:r w:rsidRPr="00C94C4F">
                                    <w:rPr>
                                      <w:rFonts w:ascii="Arial" w:hAnsi="Arial" w:cs="Arial"/>
                                      <w:b/>
                                    </w:rPr>
                                    <w:t>ecipients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07" o:spid="_x0000_s1032" type="#_x0000_t202" style="position:absolute;left:0;text-align:left;margin-left:-3.45pt;margin-top:5pt;width:138.15pt;height:42.7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" fillcolor="white [3201]" stroked="f" strokeweight=".5pt">
                      <v:textbox>
                        <w:txbxContent>
                          <w:p w14:paraId="7DC13138" w14:textId="77777777" w:rsidR="009A5CAA" w:rsidRPr="00C94C4F" w:rsidRDefault="009A5CAA" w:rsidP="00151BCA">
                            <w:pPr>
                              <w:rPr>
                                <w:rFonts w:ascii="Arial" w:hAnsi="Arial" w:cs="Arial"/>
                                <w:b/>
                              </w:rPr>
                            </w:pPr>
                            <w:proofErr w:type="spellStart"/>
                            <w:r w:rsidRPr="00C94C4F">
                              <w:rPr>
                                <w:rFonts w:ascii="Arial" w:hAnsi="Arial" w:cs="Arial"/>
                                <w:b/>
                              </w:rPr>
                              <w:t>CRA</w:t>
                            </w:r>
                            <w:proofErr w:type="spellEnd"/>
                            <w:r w:rsidRPr="00C94C4F">
                              <w:rPr>
                                <w:rFonts w:ascii="Arial" w:hAnsi="Arial" w:cs="Arial"/>
                                <w:b/>
                              </w:rPr>
                              <w:t xml:space="preserve"> </w:t>
                            </w:r>
                            <w:r>
                              <w:rPr>
                                <w:rFonts w:ascii="Arial" w:hAnsi="Arial" w:cs="Arial"/>
                                <w:b/>
                              </w:rPr>
                              <w:t>r</w:t>
                            </w:r>
                            <w:r w:rsidRPr="00C94C4F">
                              <w:rPr>
                                <w:rFonts w:ascii="Arial" w:hAnsi="Arial" w:cs="Arial"/>
                                <w:b/>
                              </w:rPr>
                              <w:t>ecipients</w:t>
                            </w:r>
                          </w:p>
                        </w:txbxContent>
                      </v:textbox>
                    </v:shape>
                  </w:pict>
                </mc:Fallback>
              </mc:AlternateContent>
            </w:r>
          </w:p>
          <w:p w14:paraId="18BFCAC8" w14:textId="77777777" w:rsidR="00151BCA" w:rsidRDefault="00151BCA" w:rsidP="00C44B39">
            <w:pPr>
              <w:pStyle w:val="Note"/>
              <w:rPr>
                <w:rStyle w:val="NoteLabel"/>
              </w:rPr>
            </w:pPr>
            <w:r>
              <w:rPr>
                <w:b/>
                <w:noProof/>
                <w:position w:val="6"/>
              </w:rPr>
              <w:drawing>
                <wp:anchor distT="0" distB="0" distL="114300" distR="114300" simplePos="0" relativeHeight="251677696" behindDoc="1" locked="0" layoutInCell="1" allowOverlap="1" wp14:anchorId="02CAD7DC" wp14:editId="387D1731">
                  <wp:simplePos x="0" y="0"/>
                  <wp:positionH relativeFrom="column">
                    <wp:posOffset>1598295</wp:posOffset>
                  </wp:positionH>
                  <wp:positionV relativeFrom="page">
                    <wp:align>center</wp:align>
                  </wp:positionV>
                  <wp:extent cx="4406400" cy="1854000"/>
                  <wp:effectExtent l="0" t="0" r="0" b="0"/>
                  <wp:wrapThrough wrapText="bothSides">
                    <wp:wrapPolygon edited="0">
                      <wp:start x="0" y="0"/>
                      <wp:lineTo x="0" y="21311"/>
                      <wp:lineTo x="21479" y="21311"/>
                      <wp:lineTo x="21479" y="0"/>
                      <wp:lineTo x="0" y="0"/>
                    </wp:wrapPolygon>
                  </wp:wrapThrough>
                  <wp:docPr id="79" name="Picture 79" descr="A summary of this figure can be found within the text immediately before this figure." title="Figure 22, Panel 1 – The proportion of CRA recipients, public housing tenants and low skilled jobs located in each SA2 within Sydney in 201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ydney+cra+insert+updated.jpe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406400" cy="1854000"/>
                          </a:xfrm>
                          <a:prstGeom prst="rect">
                            <a:avLst/>
                          </a:prstGeom>
                        </pic:spPr>
                      </pic:pic>
                    </a:graphicData>
                  </a:graphic>
                  <wp14:sizeRelH relativeFrom="margin">
                    <wp14:pctWidth>0</wp14:pctWidth>
                  </wp14:sizeRelH>
                  <wp14:sizeRelV relativeFrom="margin">
                    <wp14:pctHeight>0</wp14:pctHeight>
                  </wp14:sizeRelV>
                </wp:anchor>
              </w:drawing>
            </w:r>
          </w:p>
        </w:tc>
      </w:tr>
      <w:tr w:rsidR="00151BCA" w:rsidRPr="00176D3F" w14:paraId="5F11E14E" w14:textId="77777777" w:rsidTr="0096361E">
        <w:trPr>
          <w:trHeight w:val="2956"/>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0C421AFC" w14:textId="77777777" w:rsidR="00151BCA" w:rsidRDefault="00151BCA" w:rsidP="00C44B39">
            <w:pPr>
              <w:pStyle w:val="Note"/>
              <w:rPr>
                <w:rStyle w:val="NoteLabel"/>
              </w:rPr>
            </w:pPr>
            <w:r>
              <w:rPr>
                <w:b/>
                <w:noProof/>
                <w:position w:val="6"/>
              </w:rPr>
              <w:drawing>
                <wp:anchor distT="0" distB="0" distL="114300" distR="114300" simplePos="0" relativeHeight="251675648" behindDoc="1" locked="0" layoutInCell="1" allowOverlap="1" wp14:anchorId="1E383B8A" wp14:editId="4BF78643">
                  <wp:simplePos x="1254125" y="2327910"/>
                  <wp:positionH relativeFrom="column">
                    <wp:posOffset>1598295</wp:posOffset>
                  </wp:positionH>
                  <wp:positionV relativeFrom="page">
                    <wp:align>center</wp:align>
                  </wp:positionV>
                  <wp:extent cx="4406400" cy="1854000"/>
                  <wp:effectExtent l="0" t="0" r="0" b="0"/>
                  <wp:wrapThrough wrapText="bothSides">
                    <wp:wrapPolygon edited="0">
                      <wp:start x="0" y="0"/>
                      <wp:lineTo x="0" y="21311"/>
                      <wp:lineTo x="21479" y="21311"/>
                      <wp:lineTo x="21479" y="0"/>
                      <wp:lineTo x="0" y="0"/>
                    </wp:wrapPolygon>
                  </wp:wrapThrough>
                  <wp:docPr id="113" name="Picture 113" descr="Please refer to the description of figure 22 found in the first panel.&#10;" title="Figure 22, Panel 2 – This panel is part of figure 2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ydney+ph+insert.jpe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4406400" cy="1854000"/>
                          </a:xfrm>
                          <a:prstGeom prst="rect">
                            <a:avLst/>
                          </a:prstGeom>
                        </pic:spPr>
                      </pic:pic>
                    </a:graphicData>
                  </a:graphic>
                  <wp14:sizeRelH relativeFrom="margin">
                    <wp14:pctWidth>0</wp14:pctWidth>
                  </wp14:sizeRelH>
                  <wp14:sizeRelV relativeFrom="margin">
                    <wp14:pctHeight>0</wp14:pctHeight>
                  </wp14:sizeRelV>
                </wp:anchor>
              </w:drawing>
            </w:r>
            <w:r>
              <w:rPr>
                <w:b/>
                <w:noProof/>
                <w:position w:val="6"/>
              </w:rPr>
              <mc:AlternateContent>
                <mc:Choice Requires="wps">
                  <w:drawing>
                    <wp:anchor distT="0" distB="0" distL="114300" distR="114300" simplePos="0" relativeHeight="251673600" behindDoc="0" locked="0" layoutInCell="1" allowOverlap="1" wp14:anchorId="31003893" wp14:editId="70871E1D">
                      <wp:simplePos x="0" y="0"/>
                      <wp:positionH relativeFrom="column">
                        <wp:posOffset>-32385</wp:posOffset>
                      </wp:positionH>
                      <wp:positionV relativeFrom="paragraph">
                        <wp:posOffset>72863</wp:posOffset>
                      </wp:positionV>
                      <wp:extent cx="2339163" cy="541655"/>
                      <wp:effectExtent l="0" t="0" r="0" b="0"/>
                      <wp:wrapNone/>
                      <wp:docPr id="111" name="Text Box 111"/>
                      <wp:cNvGraphicFramePr/>
                      <a:graphic xmlns:a="http://schemas.openxmlformats.org/drawingml/2006/main">
                        <a:graphicData uri="http://schemas.microsoft.com/office/word/2010/wordprocessingShape">
                          <wps:wsp>
                            <wps:cNvSpPr txBox="1"/>
                            <wps:spPr>
                              <a:xfrm>
                                <a:off x="0" y="0"/>
                                <a:ext cx="2339163" cy="541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B1FFF19" w14:textId="77777777" w:rsidR="009A5CAA" w:rsidRPr="00C94C4F" w:rsidRDefault="009A5CAA" w:rsidP="00151BCA">
                                  <w:pPr>
                                    <w:rPr>
                                      <w:rFonts w:ascii="Arial" w:hAnsi="Arial" w:cs="Arial"/>
                                      <w:b/>
                                    </w:rPr>
                                  </w:pPr>
                                  <w:r>
                                    <w:rPr>
                                      <w:rFonts w:ascii="Arial" w:hAnsi="Arial" w:cs="Arial"/>
                                      <w:b/>
                                    </w:rPr>
                                    <w:t>Public housing residents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11" o:spid="_x0000_s1033" type="#_x0000_t202" style="position:absolute;left:0;text-align:left;margin-left:-2.55pt;margin-top:5.75pt;width:184.2pt;height:42.65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" filled="f" stroked="f" strokeweight=".5pt">
                      <v:textbox>
                        <w:txbxContent>
                          <w:p w14:paraId="0B1FFF19" w14:textId="77777777" w:rsidR="009A5CAA" w:rsidRPr="00C94C4F" w:rsidRDefault="009A5CAA" w:rsidP="00151BCA">
                            <w:pPr>
                              <w:rPr>
                                <w:rFonts w:ascii="Arial" w:hAnsi="Arial" w:cs="Arial"/>
                                <w:b/>
                              </w:rPr>
                            </w:pPr>
                            <w:r>
                              <w:rPr>
                                <w:rFonts w:ascii="Arial" w:hAnsi="Arial" w:cs="Arial"/>
                                <w:b/>
                              </w:rPr>
                              <w:t>Public housing residents</w:t>
                            </w:r>
                          </w:p>
                        </w:txbxContent>
                      </v:textbox>
                    </v:shape>
                  </w:pict>
                </mc:Fallback>
              </mc:AlternateContent>
            </w:r>
          </w:p>
        </w:tc>
      </w:tr>
      <w:tr w:rsidR="00151BCA" w:rsidRPr="00176D3F" w14:paraId="33D133D5" w14:textId="77777777" w:rsidTr="0096361E">
        <w:trPr>
          <w:trHeight w:val="2972"/>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4BFD4A2C" w14:textId="77777777" w:rsidR="00151BCA" w:rsidRDefault="00151BCA" w:rsidP="00C44B39">
            <w:pPr>
              <w:pStyle w:val="Note"/>
              <w:rPr>
                <w:b/>
                <w:noProof/>
                <w:position w:val="6"/>
              </w:rPr>
            </w:pPr>
            <w:r>
              <w:rPr>
                <w:b/>
                <w:noProof/>
                <w:position w:val="6"/>
              </w:rPr>
              <mc:AlternateContent>
                <mc:Choice Requires="wps">
                  <w:drawing>
                    <wp:anchor distT="0" distB="0" distL="114300" distR="114300" simplePos="0" relativeHeight="251674624" behindDoc="0" locked="0" layoutInCell="1" allowOverlap="1" wp14:anchorId="0A9B4004" wp14:editId="00F38823">
                      <wp:simplePos x="0" y="0"/>
                      <wp:positionH relativeFrom="column">
                        <wp:posOffset>-39370</wp:posOffset>
                      </wp:positionH>
                      <wp:positionV relativeFrom="paragraph">
                        <wp:posOffset>75403</wp:posOffset>
                      </wp:positionV>
                      <wp:extent cx="2338705" cy="541655"/>
                      <wp:effectExtent l="0" t="0" r="0" b="0"/>
                      <wp:wrapNone/>
                      <wp:docPr id="112" name="Text Box 112"/>
                      <wp:cNvGraphicFramePr/>
                      <a:graphic xmlns:a="http://schemas.openxmlformats.org/drawingml/2006/main">
                        <a:graphicData uri="http://schemas.microsoft.com/office/word/2010/wordprocessingShape">
                          <wps:wsp>
                            <wps:cNvSpPr txBox="1"/>
                            <wps:spPr>
                              <a:xfrm>
                                <a:off x="0" y="0"/>
                                <a:ext cx="2338705" cy="541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B2AFA7C" w14:textId="77777777" w:rsidR="009A5CAA" w:rsidRPr="00C94C4F" w:rsidRDefault="009A5CAA" w:rsidP="00151BCA">
                                  <w:pPr>
                                    <w:rPr>
                                      <w:rFonts w:ascii="Arial" w:hAnsi="Arial" w:cs="Arial"/>
                                      <w:b/>
                                    </w:rPr>
                                  </w:pPr>
                                  <w:r>
                                    <w:rPr>
                                      <w:rFonts w:ascii="Arial" w:hAnsi="Arial" w:cs="Arial"/>
                                      <w:b/>
                                    </w:rPr>
                                    <w:t>Lower skilled employment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12" o:spid="_x0000_s1034" type="#_x0000_t202" style="position:absolute;left:0;text-align:left;margin-left:-3.1pt;margin-top:5.95pt;width:184.15pt;height:42.65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" filled="f" stroked="f" strokeweight=".5pt">
                      <v:textbox>
                        <w:txbxContent>
                          <w:p w14:paraId="7B2AFA7C" w14:textId="77777777" w:rsidR="009A5CAA" w:rsidRPr="00C94C4F" w:rsidRDefault="009A5CAA" w:rsidP="00151BCA">
                            <w:pPr>
                              <w:rPr>
                                <w:rFonts w:ascii="Arial" w:hAnsi="Arial" w:cs="Arial"/>
                                <w:b/>
                              </w:rPr>
                            </w:pPr>
                            <w:r>
                              <w:rPr>
                                <w:rFonts w:ascii="Arial" w:hAnsi="Arial" w:cs="Arial"/>
                                <w:b/>
                              </w:rPr>
                              <w:t>Lower skilled employment</w:t>
                            </w:r>
                          </w:p>
                        </w:txbxContent>
                      </v:textbox>
                    </v:shape>
                  </w:pict>
                </mc:Fallback>
              </mc:AlternateContent>
            </w:r>
          </w:p>
          <w:p w14:paraId="4F1355D9" w14:textId="77777777" w:rsidR="00151BCA" w:rsidRDefault="00151BCA" w:rsidP="00C44B39">
            <w:pPr>
              <w:pStyle w:val="Note"/>
              <w:rPr>
                <w:rStyle w:val="NoteLabel"/>
              </w:rPr>
            </w:pPr>
            <w:r>
              <w:rPr>
                <w:b/>
                <w:noProof/>
                <w:position w:val="6"/>
              </w:rPr>
              <w:drawing>
                <wp:anchor distT="0" distB="0" distL="114300" distR="114300" simplePos="0" relativeHeight="251676672" behindDoc="1" locked="0" layoutInCell="1" allowOverlap="1" wp14:anchorId="19BA606A" wp14:editId="7D8B0197">
                  <wp:simplePos x="1254125" y="4901565"/>
                  <wp:positionH relativeFrom="column">
                    <wp:posOffset>1598295</wp:posOffset>
                  </wp:positionH>
                  <wp:positionV relativeFrom="page">
                    <wp:align>center</wp:align>
                  </wp:positionV>
                  <wp:extent cx="4406400" cy="1854000"/>
                  <wp:effectExtent l="0" t="0" r="0" b="0"/>
                  <wp:wrapThrough wrapText="bothSides">
                    <wp:wrapPolygon edited="0">
                      <wp:start x="0" y="0"/>
                      <wp:lineTo x="0" y="21311"/>
                      <wp:lineTo x="21479" y="21311"/>
                      <wp:lineTo x="21479" y="0"/>
                      <wp:lineTo x="0" y="0"/>
                    </wp:wrapPolygon>
                  </wp:wrapThrough>
                  <wp:docPr id="114" name="Picture 114" descr="Please refer to the description of figure 22 found in the first panel.&#10;" title="Figure 22, Panel 3 – This panel is part of fig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ydney+skill+insert.jpe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4406400" cy="1854000"/>
                          </a:xfrm>
                          <a:prstGeom prst="rect">
                            <a:avLst/>
                          </a:prstGeom>
                        </pic:spPr>
                      </pic:pic>
                    </a:graphicData>
                  </a:graphic>
                  <wp14:sizeRelH relativeFrom="margin">
                    <wp14:pctWidth>0</wp14:pctWidth>
                  </wp14:sizeRelH>
                  <wp14:sizeRelV relativeFrom="margin">
                    <wp14:pctHeight>0</wp14:pctHeight>
                  </wp14:sizeRelV>
                </wp:anchor>
              </w:drawing>
            </w:r>
          </w:p>
        </w:tc>
      </w:tr>
      <w:tr w:rsidR="00151BCA" w:rsidRPr="00176D3F" w14:paraId="4F002C32" w14:textId="77777777" w:rsidTr="00C44B39">
        <w:tc>
          <w:tcPr>
            <w:tcW w:w="8767" w:type="dxa"/>
            <w:tcBorders>
              <w:top w:val="single" w:sz="4" w:space="0" w:color="B5B5B5" w:themeColor="accent4" w:themeShade="BF"/>
              <w:left w:val="nil"/>
              <w:bottom w:val="nil"/>
              <w:right w:val="nil"/>
            </w:tcBorders>
            <w:shd w:val="clear" w:color="auto" w:fill="auto"/>
          </w:tcPr>
          <w:p w14:paraId="7BBE4F96" w14:textId="77607546" w:rsidR="00151BCA" w:rsidRPr="00176D3F" w:rsidRDefault="00151BCA" w:rsidP="007310DB">
            <w:pPr>
              <w:pStyle w:val="Note"/>
            </w:pPr>
            <w:r>
              <w:rPr>
                <w:rStyle w:val="NoteLabel"/>
              </w:rPr>
              <w:t>a</w:t>
            </w:r>
            <w:r w:rsidR="0088609E">
              <w:t xml:space="preserve"> </w:t>
            </w:r>
            <w:r w:rsidR="00790BE4">
              <w:t>ISP recipients aged 15–65 at 30</w:t>
            </w:r>
            <w:r w:rsidR="00935A28">
              <w:t> </w:t>
            </w:r>
            <w:r w:rsidR="00790BE4">
              <w:t xml:space="preserve">June 2011. </w:t>
            </w:r>
            <w:proofErr w:type="spellStart"/>
            <w:r w:rsidR="001D70CD">
              <w:t>CRA</w:t>
            </w:r>
            <w:proofErr w:type="spellEnd"/>
            <w:r w:rsidR="001D70CD">
              <w:t xml:space="preserve"> recipients do not include </w:t>
            </w:r>
            <w:proofErr w:type="spellStart"/>
            <w:r w:rsidR="00FF2726">
              <w:t>FTB</w:t>
            </w:r>
            <w:proofErr w:type="spellEnd"/>
            <w:r w:rsidR="00FF2726">
              <w:t xml:space="preserve"> A</w:t>
            </w:r>
            <w:r w:rsidR="00935A28">
              <w:noBreakHyphen/>
            </w:r>
            <w:r w:rsidR="001D70CD">
              <w:t xml:space="preserve">only recipients of </w:t>
            </w:r>
            <w:proofErr w:type="spellStart"/>
            <w:r w:rsidR="001D70CD">
              <w:t>CRA</w:t>
            </w:r>
            <w:proofErr w:type="spellEnd"/>
            <w:r w:rsidR="001D70CD">
              <w:t xml:space="preserve">. </w:t>
            </w:r>
            <w:r w:rsidR="0071184F" w:rsidRPr="0071184F">
              <w:rPr>
                <w:rStyle w:val="NoteLabel"/>
              </w:rPr>
              <w:t>b</w:t>
            </w:r>
            <w:r w:rsidR="0071184F">
              <w:t xml:space="preserve"> </w:t>
            </w:r>
            <w:r>
              <w:t>Low</w:t>
            </w:r>
            <w:r w:rsidR="0075316F">
              <w:t xml:space="preserve">er </w:t>
            </w:r>
            <w:r>
              <w:t>skill</w:t>
            </w:r>
            <w:r w:rsidR="00790BE4">
              <w:t xml:space="preserve">ed employment refers to people in jobs </w:t>
            </w:r>
            <w:r>
              <w:t xml:space="preserve">classified as </w:t>
            </w:r>
            <w:proofErr w:type="spellStart"/>
            <w:r>
              <w:t>ANZSCO</w:t>
            </w:r>
            <w:proofErr w:type="spellEnd"/>
            <w:r>
              <w:t xml:space="preserve"> skill </w:t>
            </w:r>
            <w:r w:rsidR="001B4BD4">
              <w:t xml:space="preserve">level </w:t>
            </w:r>
            <w:r>
              <w:t>4 or 5.</w:t>
            </w:r>
            <w:r w:rsidR="009D0B0A">
              <w:t xml:space="preserve"> </w:t>
            </w:r>
            <w:r w:rsidR="005B3B30">
              <w:rPr>
                <w:rStyle w:val="NoteLabel"/>
              </w:rPr>
              <w:t xml:space="preserve">c </w:t>
            </w:r>
            <w:proofErr w:type="spellStart"/>
            <w:r w:rsidR="007310DB">
              <w:t>SA2s</w:t>
            </w:r>
            <w:proofErr w:type="spellEnd"/>
            <w:r w:rsidR="007310DB">
              <w:t xml:space="preserve"> are an ABS</w:t>
            </w:r>
            <w:r w:rsidR="00E209F1">
              <w:noBreakHyphen/>
            </w:r>
            <w:r w:rsidR="007310DB">
              <w:t xml:space="preserve">defined </w:t>
            </w:r>
            <w:r w:rsidR="005B3B30" w:rsidRPr="005B3B30">
              <w:t>medium</w:t>
            </w:r>
            <w:r w:rsidR="00E209F1">
              <w:noBreakHyphen/>
            </w:r>
            <w:r w:rsidR="005B3B30" w:rsidRPr="005B3B30">
              <w:t xml:space="preserve">sized geographic unit </w:t>
            </w:r>
            <w:r w:rsidR="007310DB">
              <w:t>that include</w:t>
            </w:r>
            <w:r w:rsidR="00306456">
              <w:t>s</w:t>
            </w:r>
            <w:r w:rsidR="007310DB">
              <w:t xml:space="preserve"> an </w:t>
            </w:r>
            <w:r w:rsidR="005B3B30" w:rsidRPr="00751247">
              <w:t xml:space="preserve">average of </w:t>
            </w:r>
            <w:r w:rsidR="007310DB">
              <w:t xml:space="preserve">around </w:t>
            </w:r>
            <w:r w:rsidR="005B3B30" w:rsidRPr="00751247">
              <w:t>10 000 people.</w:t>
            </w:r>
          </w:p>
        </w:tc>
      </w:tr>
      <w:tr w:rsidR="00151BCA" w:rsidRPr="00176D3F" w14:paraId="730571B0" w14:textId="77777777" w:rsidTr="00C44B39">
        <w:tc>
          <w:tcPr>
            <w:tcW w:w="8767" w:type="dxa"/>
            <w:tcBorders>
              <w:top w:val="nil"/>
              <w:left w:val="nil"/>
              <w:bottom w:val="nil"/>
              <w:right w:val="nil"/>
            </w:tcBorders>
            <w:shd w:val="clear" w:color="auto" w:fill="auto"/>
          </w:tcPr>
          <w:p w14:paraId="54AC59FF" w14:textId="23CB4559" w:rsidR="00151BCA" w:rsidRPr="00176D3F" w:rsidRDefault="00306456" w:rsidP="009602BA">
            <w:pPr>
              <w:pStyle w:val="Source"/>
            </w:pPr>
            <w:r>
              <w:rPr>
                <w:i/>
              </w:rPr>
              <w:t>Source</w:t>
            </w:r>
            <w:r w:rsidR="00EA139F">
              <w:rPr>
                <w:i/>
              </w:rPr>
              <w:t>s</w:t>
            </w:r>
            <w:r w:rsidR="00151BCA" w:rsidRPr="00176D3F">
              <w:t xml:space="preserve">: </w:t>
            </w:r>
            <w:r w:rsidR="009602BA">
              <w:t>ABS (</w:t>
            </w:r>
            <w:proofErr w:type="spellStart"/>
            <w:r w:rsidR="009602BA" w:rsidRPr="00905139">
              <w:rPr>
                <w:i/>
              </w:rPr>
              <w:t>TableBuilder</w:t>
            </w:r>
            <w:proofErr w:type="spellEnd"/>
            <w:r w:rsidR="009602BA" w:rsidRPr="00905139">
              <w:rPr>
                <w:i/>
              </w:rPr>
              <w:t xml:space="preserve"> Pro, 2011</w:t>
            </w:r>
            <w:r w:rsidR="009602BA">
              <w:t xml:space="preserve">, Cat. no. 2073.0); </w:t>
            </w:r>
            <w:r w:rsidR="00151BCA" w:rsidRPr="00BF0589">
              <w:t>Department of Employment, Research and Evaluation Database</w:t>
            </w:r>
            <w:r w:rsidR="00151BCA">
              <w:t>.</w:t>
            </w:r>
          </w:p>
        </w:tc>
      </w:tr>
      <w:tr w:rsidR="00151BCA" w14:paraId="6FD7B7EA" w14:textId="77777777" w:rsidTr="00C44B39">
        <w:tc>
          <w:tcPr>
            <w:tcW w:w="8767" w:type="dxa"/>
            <w:tcBorders>
              <w:top w:val="nil"/>
              <w:left w:val="nil"/>
              <w:bottom w:val="single" w:sz="6" w:space="0" w:color="78A22F"/>
              <w:right w:val="nil"/>
            </w:tcBorders>
            <w:shd w:val="clear" w:color="auto" w:fill="auto"/>
          </w:tcPr>
          <w:p w14:paraId="32E755EA" w14:textId="77777777" w:rsidR="00151BCA" w:rsidRDefault="00151BCA" w:rsidP="00C44B39">
            <w:pPr>
              <w:pStyle w:val="Figurespace"/>
            </w:pPr>
          </w:p>
        </w:tc>
      </w:tr>
      <w:tr w:rsidR="00151BCA" w:rsidRPr="000863A5" w14:paraId="367FC856" w14:textId="77777777" w:rsidTr="00C44B39">
        <w:tc>
          <w:tcPr>
            <w:tcW w:w="8767" w:type="dxa"/>
            <w:tcBorders>
              <w:top w:val="single" w:sz="6" w:space="0" w:color="78A22F"/>
              <w:left w:val="nil"/>
              <w:bottom w:val="nil"/>
              <w:right w:val="nil"/>
            </w:tcBorders>
          </w:tcPr>
          <w:p w14:paraId="41B777E8" w14:textId="6F7584F2" w:rsidR="00151BCA" w:rsidRPr="00626D32" w:rsidRDefault="00151BCA" w:rsidP="00C44B39">
            <w:pPr>
              <w:pStyle w:val="BoxSpaceBelow"/>
            </w:pPr>
          </w:p>
        </w:tc>
      </w:tr>
    </w:tbl>
    <w:p w14:paraId="5F3568E7" w14:textId="77777777" w:rsidR="003E2234" w:rsidRPr="00D77965" w:rsidRDefault="003E2234" w:rsidP="00D77965">
      <w:pPr>
        <w:pStyle w:val="BodyText"/>
        <w:rPr>
          <w:i/>
        </w:rPr>
      </w:pPr>
      <w:r>
        <w:rPr>
          <w:i/>
        </w:rPr>
        <w:lastRenderedPageBreak/>
        <w:t xml:space="preserve"> Public housing tenants in Melbourne are </w:t>
      </w:r>
      <w:r w:rsidR="0096361E">
        <w:rPr>
          <w:i/>
        </w:rPr>
        <w:t xml:space="preserve">centrally </w:t>
      </w:r>
      <w:r>
        <w:rPr>
          <w:i/>
        </w:rPr>
        <w:t xml:space="preserve">located. </w:t>
      </w:r>
      <w:proofErr w:type="spellStart"/>
      <w:r>
        <w:rPr>
          <w:i/>
        </w:rPr>
        <w:t>CRA</w:t>
      </w:r>
      <w:proofErr w:type="spellEnd"/>
      <w:r>
        <w:rPr>
          <w:i/>
        </w:rPr>
        <w:t xml:space="preserve"> recipients in Melbourne are distributed more widely and are more likely than public housing tenants to live in areas with low skilled jobs.</w:t>
      </w:r>
    </w:p>
    <w:p w14:paraId="1F0641B5" w14:textId="70BCA448" w:rsidR="00151BCA" w:rsidRDefault="00151BCA" w:rsidP="007310DB">
      <w:pPr>
        <w:pStyle w:val="BodyText"/>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67"/>
      </w:tblGrid>
      <w:tr w:rsidR="00151BCA" w14:paraId="4DC22FA9" w14:textId="77777777" w:rsidTr="00C44B39">
        <w:tc>
          <w:tcPr>
            <w:tcW w:w="8767" w:type="dxa"/>
            <w:tcBorders>
              <w:top w:val="single" w:sz="6" w:space="0" w:color="78A22F"/>
              <w:left w:val="nil"/>
              <w:bottom w:val="single" w:sz="4" w:space="0" w:color="B5B5B5" w:themeColor="accent4" w:themeShade="BF"/>
              <w:right w:val="nil"/>
            </w:tcBorders>
            <w:shd w:val="clear" w:color="auto" w:fill="auto"/>
          </w:tcPr>
          <w:p w14:paraId="4E1383C9" w14:textId="52CBB225" w:rsidR="00151BCA" w:rsidRDefault="00151BCA" w:rsidP="00C44B39">
            <w:pPr>
              <w:pStyle w:val="FigureTitle"/>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23</w:t>
            </w:r>
            <w:r w:rsidRPr="00784A05">
              <w:rPr>
                <w:b w:val="0"/>
              </w:rPr>
              <w:fldChar w:fldCharType="end"/>
            </w:r>
            <w:r>
              <w:tab/>
              <w:t>Housing assistance and low</w:t>
            </w:r>
            <w:r w:rsidR="00206729">
              <w:t xml:space="preserve">er </w:t>
            </w:r>
            <w:r>
              <w:t>skill jobs around</w:t>
            </w:r>
            <w:r w:rsidR="007310DB">
              <w:t xml:space="preserve"> </w:t>
            </w:r>
            <w:r>
              <w:t>Melbourne</w:t>
            </w:r>
            <w:proofErr w:type="spellStart"/>
            <w:r w:rsidRPr="007310DB">
              <w:rPr>
                <w:rStyle w:val="NoteLabel"/>
                <w:b/>
              </w:rPr>
              <w:t>a</w:t>
            </w:r>
            <w:r w:rsidR="0071184F" w:rsidRPr="007310DB">
              <w:rPr>
                <w:rStyle w:val="NoteLabel"/>
                <w:b/>
              </w:rPr>
              <w:t>,b</w:t>
            </w:r>
            <w:r w:rsidR="007310DB" w:rsidRPr="007310DB">
              <w:rPr>
                <w:rStyle w:val="NoteLabel"/>
                <w:b/>
              </w:rPr>
              <w:t>,c</w:t>
            </w:r>
            <w:proofErr w:type="spellEnd"/>
          </w:p>
          <w:p w14:paraId="5DB3975A" w14:textId="77777777" w:rsidR="00151BCA" w:rsidRPr="00176D3F" w:rsidRDefault="00151BCA" w:rsidP="00C44B39">
            <w:pPr>
              <w:pStyle w:val="Subtitle"/>
            </w:pPr>
            <w:r>
              <w:t xml:space="preserve">Per cent located in each </w:t>
            </w:r>
            <w:proofErr w:type="spellStart"/>
            <w:r>
              <w:t>SA2</w:t>
            </w:r>
            <w:proofErr w:type="spellEnd"/>
            <w:r>
              <w:t xml:space="preserve"> area, 2011</w:t>
            </w:r>
          </w:p>
        </w:tc>
      </w:tr>
      <w:tr w:rsidR="00151BCA" w:rsidRPr="00176D3F" w14:paraId="7F226634" w14:textId="77777777" w:rsidTr="003737D9">
        <w:trPr>
          <w:trHeight w:val="3037"/>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2DAB49AD" w14:textId="77777777" w:rsidR="00151BCA" w:rsidRDefault="00151BCA" w:rsidP="00C44B39">
            <w:pPr>
              <w:pStyle w:val="Note"/>
              <w:jc w:val="center"/>
              <w:rPr>
                <w:b/>
                <w:noProof/>
                <w:position w:val="6"/>
              </w:rPr>
            </w:pPr>
            <w:r>
              <w:rPr>
                <w:b/>
                <w:noProof/>
                <w:position w:val="6"/>
              </w:rPr>
              <mc:AlternateContent>
                <mc:Choice Requires="wps">
                  <w:drawing>
                    <wp:anchor distT="0" distB="0" distL="114300" distR="114300" simplePos="0" relativeHeight="251678720" behindDoc="0" locked="0" layoutInCell="1" allowOverlap="1" wp14:anchorId="1E1EEAC7" wp14:editId="2321838A">
                      <wp:simplePos x="0" y="0"/>
                      <wp:positionH relativeFrom="column">
                        <wp:posOffset>-43918</wp:posOffset>
                      </wp:positionH>
                      <wp:positionV relativeFrom="paragraph">
                        <wp:posOffset>63707</wp:posOffset>
                      </wp:positionV>
                      <wp:extent cx="1552353" cy="478465"/>
                      <wp:effectExtent l="0" t="0" r="0" b="0"/>
                      <wp:wrapNone/>
                      <wp:docPr id="115" name="Text Box 115"/>
                      <wp:cNvGraphicFramePr/>
                      <a:graphic xmlns:a="http://schemas.openxmlformats.org/drawingml/2006/main">
                        <a:graphicData uri="http://schemas.microsoft.com/office/word/2010/wordprocessingShape">
                          <wps:wsp>
                            <wps:cNvSpPr txBox="1"/>
                            <wps:spPr>
                              <a:xfrm>
                                <a:off x="0" y="0"/>
                                <a:ext cx="1552353" cy="47846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7F5B6EB" w14:textId="77777777" w:rsidR="009A5CAA" w:rsidRPr="00C94C4F" w:rsidRDefault="009A5CAA" w:rsidP="00151BCA">
                                  <w:pPr>
                                    <w:rPr>
                                      <w:rFonts w:ascii="Arial" w:hAnsi="Arial" w:cs="Arial"/>
                                      <w:b/>
                                    </w:rPr>
                                  </w:pPr>
                                  <w:proofErr w:type="spellStart"/>
                                  <w:r w:rsidRPr="00C94C4F">
                                    <w:rPr>
                                      <w:rFonts w:ascii="Arial" w:hAnsi="Arial" w:cs="Arial"/>
                                      <w:b/>
                                    </w:rPr>
                                    <w:t>CRA</w:t>
                                  </w:r>
                                  <w:proofErr w:type="spellEnd"/>
                                  <w:r w:rsidRPr="00C94C4F">
                                    <w:rPr>
                                      <w:rFonts w:ascii="Arial" w:hAnsi="Arial" w:cs="Arial"/>
                                      <w:b/>
                                    </w:rPr>
                                    <w:t xml:space="preserve"> </w:t>
                                  </w:r>
                                  <w:r>
                                    <w:rPr>
                                      <w:rFonts w:ascii="Arial" w:hAnsi="Arial" w:cs="Arial"/>
                                      <w:b/>
                                    </w:rPr>
                                    <w:t>r</w:t>
                                  </w:r>
                                  <w:r w:rsidRPr="00C94C4F">
                                    <w:rPr>
                                      <w:rFonts w:ascii="Arial" w:hAnsi="Arial" w:cs="Arial"/>
                                      <w:b/>
                                    </w:rPr>
                                    <w:t>ecipients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5" o:spid="_x0000_s1035" type="#_x0000_t202" style="position:absolute;left:0;text-align:left;margin-left:-3.45pt;margin-top:5pt;width:122.25pt;height:37.6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" fillcolor="white [3201]" stroked="f" strokeweight=".5pt">
                      <v:textbox>
                        <w:txbxContent>
                          <w:p w14:paraId="17F5B6EB" w14:textId="77777777" w:rsidR="009A5CAA" w:rsidRPr="00C94C4F" w:rsidRDefault="009A5CAA" w:rsidP="00151BCA">
                            <w:pPr>
                              <w:rPr>
                                <w:rFonts w:ascii="Arial" w:hAnsi="Arial" w:cs="Arial"/>
                                <w:b/>
                              </w:rPr>
                            </w:pPr>
                            <w:proofErr w:type="spellStart"/>
                            <w:r w:rsidRPr="00C94C4F">
                              <w:rPr>
                                <w:rFonts w:ascii="Arial" w:hAnsi="Arial" w:cs="Arial"/>
                                <w:b/>
                              </w:rPr>
                              <w:t>CRA</w:t>
                            </w:r>
                            <w:proofErr w:type="spellEnd"/>
                            <w:r w:rsidRPr="00C94C4F">
                              <w:rPr>
                                <w:rFonts w:ascii="Arial" w:hAnsi="Arial" w:cs="Arial"/>
                                <w:b/>
                              </w:rPr>
                              <w:t xml:space="preserve"> </w:t>
                            </w:r>
                            <w:r>
                              <w:rPr>
                                <w:rFonts w:ascii="Arial" w:hAnsi="Arial" w:cs="Arial"/>
                                <w:b/>
                              </w:rPr>
                              <w:t>r</w:t>
                            </w:r>
                            <w:r w:rsidRPr="00C94C4F">
                              <w:rPr>
                                <w:rFonts w:ascii="Arial" w:hAnsi="Arial" w:cs="Arial"/>
                                <w:b/>
                              </w:rPr>
                              <w:t>ecipients</w:t>
                            </w:r>
                          </w:p>
                        </w:txbxContent>
                      </v:textbox>
                    </v:shape>
                  </w:pict>
                </mc:Fallback>
              </mc:AlternateContent>
            </w:r>
          </w:p>
          <w:p w14:paraId="1F363F2D" w14:textId="77777777" w:rsidR="00151BCA" w:rsidRDefault="00151BCA" w:rsidP="00C44B39">
            <w:pPr>
              <w:pStyle w:val="Note"/>
              <w:rPr>
                <w:rStyle w:val="NoteLabel"/>
              </w:rPr>
            </w:pPr>
            <w:r>
              <w:rPr>
                <w:b/>
                <w:noProof/>
                <w:position w:val="6"/>
              </w:rPr>
              <w:drawing>
                <wp:anchor distT="0" distB="0" distL="114300" distR="114300" simplePos="0" relativeHeight="251683840" behindDoc="1" locked="0" layoutInCell="1" allowOverlap="1" wp14:anchorId="57BFF98B" wp14:editId="559B0E36">
                  <wp:simplePos x="1254125" y="127000"/>
                  <wp:positionH relativeFrom="column">
                    <wp:posOffset>1598295</wp:posOffset>
                  </wp:positionH>
                  <wp:positionV relativeFrom="page">
                    <wp:align>center</wp:align>
                  </wp:positionV>
                  <wp:extent cx="4406400" cy="1854000"/>
                  <wp:effectExtent l="0" t="0" r="0" b="0"/>
                  <wp:wrapThrough wrapText="bothSides">
                    <wp:wrapPolygon edited="0">
                      <wp:start x="0" y="0"/>
                      <wp:lineTo x="0" y="21311"/>
                      <wp:lineTo x="21479" y="21311"/>
                      <wp:lineTo x="21479" y="0"/>
                      <wp:lineTo x="0" y="0"/>
                    </wp:wrapPolygon>
                  </wp:wrapThrough>
                  <wp:docPr id="80" name="Picture 80" descr="A summary of this figure can be found within the text immediately before this figure." title="Figure 23, Panel 1 – The proportion of CRA recipients, public housing tenants and low skilled jobs located in each SA2 within Melbourne in 201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lbourne+cra+insert+updated.jpe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4406400" cy="1854000"/>
                          </a:xfrm>
                          <a:prstGeom prst="rect">
                            <a:avLst/>
                          </a:prstGeom>
                        </pic:spPr>
                      </pic:pic>
                    </a:graphicData>
                  </a:graphic>
                  <wp14:sizeRelH relativeFrom="margin">
                    <wp14:pctWidth>0</wp14:pctWidth>
                  </wp14:sizeRelH>
                  <wp14:sizeRelV relativeFrom="margin">
                    <wp14:pctHeight>0</wp14:pctHeight>
                  </wp14:sizeRelV>
                </wp:anchor>
              </w:drawing>
            </w:r>
          </w:p>
        </w:tc>
      </w:tr>
      <w:tr w:rsidR="00151BCA" w:rsidRPr="00176D3F" w14:paraId="58A5E453" w14:textId="77777777" w:rsidTr="003737D9">
        <w:trPr>
          <w:trHeight w:val="3096"/>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65B7D652" w14:textId="77777777" w:rsidR="00151BCA" w:rsidRDefault="00151BCA" w:rsidP="00C44B39">
            <w:pPr>
              <w:pStyle w:val="Note"/>
              <w:rPr>
                <w:rStyle w:val="NoteLabel"/>
              </w:rPr>
            </w:pPr>
            <w:r>
              <w:rPr>
                <w:b/>
                <w:noProof/>
                <w:position w:val="6"/>
              </w:rPr>
              <w:drawing>
                <wp:anchor distT="0" distB="0" distL="114300" distR="114300" simplePos="0" relativeHeight="251681792" behindDoc="1" locked="0" layoutInCell="1" allowOverlap="1" wp14:anchorId="60EE1707" wp14:editId="1D95ADEE">
                  <wp:simplePos x="1254125" y="2327910"/>
                  <wp:positionH relativeFrom="column">
                    <wp:posOffset>1598295</wp:posOffset>
                  </wp:positionH>
                  <wp:positionV relativeFrom="page">
                    <wp:align>center</wp:align>
                  </wp:positionV>
                  <wp:extent cx="4406400" cy="1854000"/>
                  <wp:effectExtent l="0" t="0" r="0" b="0"/>
                  <wp:wrapThrough wrapText="bothSides">
                    <wp:wrapPolygon edited="0">
                      <wp:start x="0" y="0"/>
                      <wp:lineTo x="0" y="21311"/>
                      <wp:lineTo x="21479" y="21311"/>
                      <wp:lineTo x="21479" y="0"/>
                      <wp:lineTo x="0" y="0"/>
                    </wp:wrapPolygon>
                  </wp:wrapThrough>
                  <wp:docPr id="11" name="Picture 11" descr="Please refer to the description of figure 23 found in the first panel.&#10;" title="Figure 23, Panel 2 – This panel is part of fig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lbourne+ph+insert.jpe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4406400" cy="1854000"/>
                          </a:xfrm>
                          <a:prstGeom prst="rect">
                            <a:avLst/>
                          </a:prstGeom>
                        </pic:spPr>
                      </pic:pic>
                    </a:graphicData>
                  </a:graphic>
                  <wp14:sizeRelH relativeFrom="margin">
                    <wp14:pctWidth>0</wp14:pctWidth>
                  </wp14:sizeRelH>
                  <wp14:sizeRelV relativeFrom="margin">
                    <wp14:pctHeight>0</wp14:pctHeight>
                  </wp14:sizeRelV>
                </wp:anchor>
              </w:drawing>
            </w:r>
            <w:r>
              <w:rPr>
                <w:b/>
                <w:noProof/>
                <w:position w:val="6"/>
              </w:rPr>
              <mc:AlternateContent>
                <mc:Choice Requires="wps">
                  <w:drawing>
                    <wp:anchor distT="0" distB="0" distL="114300" distR="114300" simplePos="0" relativeHeight="251679744" behindDoc="0" locked="0" layoutInCell="1" allowOverlap="1" wp14:anchorId="0C9882DC" wp14:editId="51E0EDA4">
                      <wp:simplePos x="0" y="0"/>
                      <wp:positionH relativeFrom="column">
                        <wp:posOffset>-32385</wp:posOffset>
                      </wp:positionH>
                      <wp:positionV relativeFrom="paragraph">
                        <wp:posOffset>72863</wp:posOffset>
                      </wp:positionV>
                      <wp:extent cx="2339163" cy="541655"/>
                      <wp:effectExtent l="0" t="0" r="0" b="0"/>
                      <wp:wrapNone/>
                      <wp:docPr id="116" name="Text Box 116"/>
                      <wp:cNvGraphicFramePr/>
                      <a:graphic xmlns:a="http://schemas.openxmlformats.org/drawingml/2006/main">
                        <a:graphicData uri="http://schemas.microsoft.com/office/word/2010/wordprocessingShape">
                          <wps:wsp>
                            <wps:cNvSpPr txBox="1"/>
                            <wps:spPr>
                              <a:xfrm>
                                <a:off x="0" y="0"/>
                                <a:ext cx="2339163" cy="541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A9B12FF" w14:textId="77777777" w:rsidR="009A5CAA" w:rsidRPr="00C94C4F" w:rsidRDefault="009A5CAA" w:rsidP="00151BCA">
                                  <w:pPr>
                                    <w:rPr>
                                      <w:rFonts w:ascii="Arial" w:hAnsi="Arial" w:cs="Arial"/>
                                      <w:b/>
                                    </w:rPr>
                                  </w:pPr>
                                  <w:r>
                                    <w:rPr>
                                      <w:rFonts w:ascii="Arial" w:hAnsi="Arial" w:cs="Arial"/>
                                      <w:b/>
                                    </w:rPr>
                                    <w:t>Public housing residents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16" o:spid="_x0000_s1036" type="#_x0000_t202" style="position:absolute;left:0;text-align:left;margin-left:-2.55pt;margin-top:5.75pt;width:184.2pt;height:42.65pt;z-index:251679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" filled="f" stroked="f" strokeweight=".5pt">
                      <v:textbox>
                        <w:txbxContent>
                          <w:p w14:paraId="1A9B12FF" w14:textId="77777777" w:rsidR="009A5CAA" w:rsidRPr="00C94C4F" w:rsidRDefault="009A5CAA" w:rsidP="00151BCA">
                            <w:pPr>
                              <w:rPr>
                                <w:rFonts w:ascii="Arial" w:hAnsi="Arial" w:cs="Arial"/>
                                <w:b/>
                              </w:rPr>
                            </w:pPr>
                            <w:r>
                              <w:rPr>
                                <w:rFonts w:ascii="Arial" w:hAnsi="Arial" w:cs="Arial"/>
                                <w:b/>
                              </w:rPr>
                              <w:t>Public housing residents</w:t>
                            </w:r>
                          </w:p>
                        </w:txbxContent>
                      </v:textbox>
                    </v:shape>
                  </w:pict>
                </mc:Fallback>
              </mc:AlternateContent>
            </w:r>
          </w:p>
        </w:tc>
      </w:tr>
      <w:tr w:rsidR="00151BCA" w:rsidRPr="00176D3F" w14:paraId="241EB31F" w14:textId="77777777" w:rsidTr="003737D9">
        <w:trPr>
          <w:trHeight w:val="2901"/>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6F352A80" w14:textId="77777777" w:rsidR="00151BCA" w:rsidRDefault="00151BCA" w:rsidP="00C44B39">
            <w:pPr>
              <w:pStyle w:val="Note"/>
              <w:rPr>
                <w:b/>
                <w:noProof/>
                <w:position w:val="6"/>
              </w:rPr>
            </w:pPr>
            <w:r>
              <w:rPr>
                <w:b/>
                <w:noProof/>
                <w:position w:val="6"/>
              </w:rPr>
              <mc:AlternateContent>
                <mc:Choice Requires="wps">
                  <w:drawing>
                    <wp:anchor distT="0" distB="0" distL="114300" distR="114300" simplePos="0" relativeHeight="251680768" behindDoc="0" locked="0" layoutInCell="1" allowOverlap="1" wp14:anchorId="3D097D80" wp14:editId="302077EF">
                      <wp:simplePos x="0" y="0"/>
                      <wp:positionH relativeFrom="column">
                        <wp:posOffset>-39370</wp:posOffset>
                      </wp:positionH>
                      <wp:positionV relativeFrom="paragraph">
                        <wp:posOffset>75403</wp:posOffset>
                      </wp:positionV>
                      <wp:extent cx="2338705" cy="541655"/>
                      <wp:effectExtent l="0" t="0" r="0" b="0"/>
                      <wp:wrapNone/>
                      <wp:docPr id="117" name="Text Box 117"/>
                      <wp:cNvGraphicFramePr/>
                      <a:graphic xmlns:a="http://schemas.openxmlformats.org/drawingml/2006/main">
                        <a:graphicData uri="http://schemas.microsoft.com/office/word/2010/wordprocessingShape">
                          <wps:wsp>
                            <wps:cNvSpPr txBox="1"/>
                            <wps:spPr>
                              <a:xfrm>
                                <a:off x="0" y="0"/>
                                <a:ext cx="2338705" cy="541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BCCD1E2" w14:textId="77777777" w:rsidR="009A5CAA" w:rsidRPr="00C94C4F" w:rsidRDefault="009A5CAA" w:rsidP="00151BCA">
                                  <w:pPr>
                                    <w:rPr>
                                      <w:rFonts w:ascii="Arial" w:hAnsi="Arial" w:cs="Arial"/>
                                      <w:b/>
                                    </w:rPr>
                                  </w:pPr>
                                  <w:r>
                                    <w:rPr>
                                      <w:rFonts w:ascii="Arial" w:hAnsi="Arial" w:cs="Arial"/>
                                      <w:b/>
                                    </w:rPr>
                                    <w:t>Lower skilled employment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17" o:spid="_x0000_s1037" type="#_x0000_t202" style="position:absolute;left:0;text-align:left;margin-left:-3.1pt;margin-top:5.95pt;width:184.15pt;height:42.65pt;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" filled="f" stroked="f" strokeweight=".5pt">
                      <v:textbox>
                        <w:txbxContent>
                          <w:p w14:paraId="5BCCD1E2" w14:textId="77777777" w:rsidR="009A5CAA" w:rsidRPr="00C94C4F" w:rsidRDefault="009A5CAA" w:rsidP="00151BCA">
                            <w:pPr>
                              <w:rPr>
                                <w:rFonts w:ascii="Arial" w:hAnsi="Arial" w:cs="Arial"/>
                                <w:b/>
                              </w:rPr>
                            </w:pPr>
                            <w:r>
                              <w:rPr>
                                <w:rFonts w:ascii="Arial" w:hAnsi="Arial" w:cs="Arial"/>
                                <w:b/>
                              </w:rPr>
                              <w:t>Lower skilled employment</w:t>
                            </w:r>
                          </w:p>
                        </w:txbxContent>
                      </v:textbox>
                    </v:shape>
                  </w:pict>
                </mc:Fallback>
              </mc:AlternateContent>
            </w:r>
          </w:p>
          <w:p w14:paraId="65AC7559" w14:textId="77777777" w:rsidR="00151BCA" w:rsidRDefault="00151BCA" w:rsidP="00C44B39">
            <w:pPr>
              <w:pStyle w:val="Note"/>
              <w:rPr>
                <w:rStyle w:val="NoteLabel"/>
              </w:rPr>
            </w:pPr>
            <w:r>
              <w:rPr>
                <w:b/>
                <w:noProof/>
                <w:position w:val="6"/>
              </w:rPr>
              <w:drawing>
                <wp:anchor distT="0" distB="0" distL="114300" distR="114300" simplePos="0" relativeHeight="251682816" behindDoc="1" locked="0" layoutInCell="1" allowOverlap="1" wp14:anchorId="68A5DCE5" wp14:editId="7D092F8D">
                  <wp:simplePos x="1254125" y="4901565"/>
                  <wp:positionH relativeFrom="column">
                    <wp:posOffset>1598295</wp:posOffset>
                  </wp:positionH>
                  <wp:positionV relativeFrom="page">
                    <wp:align>center</wp:align>
                  </wp:positionV>
                  <wp:extent cx="4406400" cy="1854000"/>
                  <wp:effectExtent l="0" t="0" r="0" b="0"/>
                  <wp:wrapThrough wrapText="bothSides">
                    <wp:wrapPolygon edited="0">
                      <wp:start x="0" y="0"/>
                      <wp:lineTo x="0" y="21311"/>
                      <wp:lineTo x="21479" y="21311"/>
                      <wp:lineTo x="21479" y="0"/>
                      <wp:lineTo x="0" y="0"/>
                    </wp:wrapPolygon>
                  </wp:wrapThrough>
                  <wp:docPr id="118" name="Picture 118" descr=" Please refer to the description of figure 23 found in the first panel." title="Figure 23, Panel 3 – This panel is part of fig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lbourne+sk+insert.jpe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406400" cy="1854000"/>
                          </a:xfrm>
                          <a:prstGeom prst="rect">
                            <a:avLst/>
                          </a:prstGeom>
                        </pic:spPr>
                      </pic:pic>
                    </a:graphicData>
                  </a:graphic>
                  <wp14:sizeRelH relativeFrom="margin">
                    <wp14:pctWidth>0</wp14:pctWidth>
                  </wp14:sizeRelH>
                  <wp14:sizeRelV relativeFrom="margin">
                    <wp14:pctHeight>0</wp14:pctHeight>
                  </wp14:sizeRelV>
                </wp:anchor>
              </w:drawing>
            </w:r>
          </w:p>
        </w:tc>
      </w:tr>
      <w:tr w:rsidR="009602BA" w:rsidRPr="00176D3F" w14:paraId="19B5E595" w14:textId="77777777" w:rsidTr="00C44B39">
        <w:tc>
          <w:tcPr>
            <w:tcW w:w="8767" w:type="dxa"/>
            <w:tcBorders>
              <w:top w:val="single" w:sz="4" w:space="0" w:color="B5B5B5" w:themeColor="accent4" w:themeShade="BF"/>
              <w:left w:val="nil"/>
              <w:bottom w:val="nil"/>
              <w:right w:val="nil"/>
            </w:tcBorders>
            <w:shd w:val="clear" w:color="auto" w:fill="auto"/>
          </w:tcPr>
          <w:p w14:paraId="48CA734B" w14:textId="4A7FEA1A" w:rsidR="009602BA" w:rsidRPr="00176D3F" w:rsidRDefault="009602BA" w:rsidP="0071184F">
            <w:pPr>
              <w:pStyle w:val="Note"/>
            </w:pPr>
            <w:r>
              <w:rPr>
                <w:rStyle w:val="NoteLabel"/>
              </w:rPr>
              <w:t>a</w:t>
            </w:r>
            <w:r w:rsidR="0088609E">
              <w:t xml:space="preserve"> </w:t>
            </w:r>
            <w:r>
              <w:t>ISP recipients aged 15–65 at 30</w:t>
            </w:r>
            <w:r w:rsidR="00935A28">
              <w:t> </w:t>
            </w:r>
            <w:r>
              <w:t xml:space="preserve">June 2011. </w:t>
            </w:r>
            <w:proofErr w:type="spellStart"/>
            <w:r>
              <w:t>CRA</w:t>
            </w:r>
            <w:proofErr w:type="spellEnd"/>
            <w:r>
              <w:t xml:space="preserve"> recipients do not include </w:t>
            </w:r>
            <w:proofErr w:type="spellStart"/>
            <w:r w:rsidR="00FF2726">
              <w:t>FTB</w:t>
            </w:r>
            <w:proofErr w:type="spellEnd"/>
            <w:r w:rsidR="00FF2726">
              <w:t xml:space="preserve"> A</w:t>
            </w:r>
            <w:r w:rsidR="00935A28">
              <w:noBreakHyphen/>
            </w:r>
            <w:r>
              <w:t xml:space="preserve">only recipients of </w:t>
            </w:r>
            <w:proofErr w:type="spellStart"/>
            <w:r>
              <w:t>CRA</w:t>
            </w:r>
            <w:proofErr w:type="spellEnd"/>
            <w:r>
              <w:t xml:space="preserve">. </w:t>
            </w:r>
            <w:r w:rsidRPr="0071184F">
              <w:rPr>
                <w:rStyle w:val="NoteLabel"/>
              </w:rPr>
              <w:t>b</w:t>
            </w:r>
            <w:r>
              <w:t xml:space="preserve"> Lower skilled employment refers to people in jobs classified as </w:t>
            </w:r>
            <w:proofErr w:type="spellStart"/>
            <w:r>
              <w:t>ANZSCO</w:t>
            </w:r>
            <w:proofErr w:type="spellEnd"/>
            <w:r>
              <w:t xml:space="preserve"> skill level 4 or 5.</w:t>
            </w:r>
            <w:r w:rsidR="007310DB">
              <w:t xml:space="preserve"> </w:t>
            </w:r>
            <w:r w:rsidR="007310DB">
              <w:rPr>
                <w:rStyle w:val="NoteLabel"/>
              </w:rPr>
              <w:t xml:space="preserve">c </w:t>
            </w:r>
            <w:proofErr w:type="spellStart"/>
            <w:r w:rsidR="007310DB">
              <w:t>SA2s</w:t>
            </w:r>
            <w:proofErr w:type="spellEnd"/>
            <w:r w:rsidR="007310DB">
              <w:t xml:space="preserve"> are an ABS</w:t>
            </w:r>
            <w:r w:rsidR="00E209F1">
              <w:noBreakHyphen/>
            </w:r>
            <w:r w:rsidR="007310DB">
              <w:t xml:space="preserve">defined </w:t>
            </w:r>
            <w:r w:rsidR="007310DB" w:rsidRPr="005B3B30">
              <w:t>medium</w:t>
            </w:r>
            <w:r w:rsidR="00E209F1">
              <w:noBreakHyphen/>
            </w:r>
            <w:r w:rsidR="007310DB" w:rsidRPr="005B3B30">
              <w:t xml:space="preserve">sized geographic unit </w:t>
            </w:r>
            <w:r w:rsidR="007310DB">
              <w:t>that include</w:t>
            </w:r>
            <w:r w:rsidR="00306456">
              <w:t>s</w:t>
            </w:r>
            <w:r w:rsidR="007310DB">
              <w:t xml:space="preserve"> an </w:t>
            </w:r>
            <w:r w:rsidR="007310DB" w:rsidRPr="00751247">
              <w:t xml:space="preserve">average of </w:t>
            </w:r>
            <w:r w:rsidR="007310DB">
              <w:t xml:space="preserve">around </w:t>
            </w:r>
            <w:r w:rsidR="007310DB" w:rsidRPr="00751247">
              <w:t>10 000 people.</w:t>
            </w:r>
          </w:p>
        </w:tc>
      </w:tr>
      <w:tr w:rsidR="009602BA" w:rsidRPr="00176D3F" w14:paraId="7E818736" w14:textId="77777777" w:rsidTr="00C44B39">
        <w:tc>
          <w:tcPr>
            <w:tcW w:w="8767" w:type="dxa"/>
            <w:tcBorders>
              <w:top w:val="nil"/>
              <w:left w:val="nil"/>
              <w:bottom w:val="nil"/>
              <w:right w:val="nil"/>
            </w:tcBorders>
            <w:shd w:val="clear" w:color="auto" w:fill="auto"/>
          </w:tcPr>
          <w:p w14:paraId="723536BB" w14:textId="7A83D1B8" w:rsidR="009602BA" w:rsidRPr="00176D3F" w:rsidRDefault="00306456" w:rsidP="00C44B39">
            <w:pPr>
              <w:pStyle w:val="Source"/>
            </w:pPr>
            <w:r>
              <w:rPr>
                <w:i/>
              </w:rPr>
              <w:t>Source</w:t>
            </w:r>
            <w:r w:rsidR="009602BA">
              <w:rPr>
                <w:i/>
              </w:rPr>
              <w:t>s</w:t>
            </w:r>
            <w:r w:rsidR="009602BA" w:rsidRPr="00176D3F">
              <w:t xml:space="preserve">: </w:t>
            </w:r>
            <w:r w:rsidR="009602BA">
              <w:t>ABS (</w:t>
            </w:r>
            <w:proofErr w:type="spellStart"/>
            <w:r w:rsidR="009602BA" w:rsidRPr="00905139">
              <w:rPr>
                <w:i/>
              </w:rPr>
              <w:t>TableBuilder</w:t>
            </w:r>
            <w:proofErr w:type="spellEnd"/>
            <w:r w:rsidR="009602BA" w:rsidRPr="00905139">
              <w:rPr>
                <w:i/>
              </w:rPr>
              <w:t xml:space="preserve"> Pro, 2011</w:t>
            </w:r>
            <w:r w:rsidR="009602BA">
              <w:t xml:space="preserve">, Cat. no. 2073.0); </w:t>
            </w:r>
            <w:r w:rsidR="009602BA" w:rsidRPr="00BF0589">
              <w:t>Department of Employment, Research and Evaluation Database</w:t>
            </w:r>
            <w:r w:rsidR="009602BA">
              <w:t>.</w:t>
            </w:r>
          </w:p>
        </w:tc>
      </w:tr>
      <w:tr w:rsidR="00151BCA" w14:paraId="3EC07981" w14:textId="77777777" w:rsidTr="00C44B39">
        <w:tc>
          <w:tcPr>
            <w:tcW w:w="8767" w:type="dxa"/>
            <w:tcBorders>
              <w:top w:val="nil"/>
              <w:left w:val="nil"/>
              <w:bottom w:val="single" w:sz="6" w:space="0" w:color="78A22F"/>
              <w:right w:val="nil"/>
            </w:tcBorders>
            <w:shd w:val="clear" w:color="auto" w:fill="auto"/>
          </w:tcPr>
          <w:p w14:paraId="4A2D1662" w14:textId="77777777" w:rsidR="00151BCA" w:rsidRDefault="00151BCA" w:rsidP="00C44B39">
            <w:pPr>
              <w:pStyle w:val="Figurespace"/>
            </w:pPr>
          </w:p>
        </w:tc>
      </w:tr>
      <w:tr w:rsidR="00151BCA" w:rsidRPr="000863A5" w14:paraId="622361EE" w14:textId="77777777" w:rsidTr="00C44B39">
        <w:tc>
          <w:tcPr>
            <w:tcW w:w="8767" w:type="dxa"/>
            <w:tcBorders>
              <w:top w:val="single" w:sz="6" w:space="0" w:color="78A22F"/>
              <w:left w:val="nil"/>
              <w:bottom w:val="nil"/>
              <w:right w:val="nil"/>
            </w:tcBorders>
          </w:tcPr>
          <w:p w14:paraId="790223C6" w14:textId="0A7A217E" w:rsidR="00151BCA" w:rsidRPr="00626D32" w:rsidRDefault="00151BCA" w:rsidP="00C44B39">
            <w:pPr>
              <w:pStyle w:val="BoxSpaceBelow"/>
            </w:pPr>
          </w:p>
        </w:tc>
      </w:tr>
    </w:tbl>
    <w:p w14:paraId="0270E32C" w14:textId="77777777" w:rsidR="003E2234" w:rsidRDefault="003E2234">
      <w:pPr>
        <w:rPr>
          <w:i/>
          <w:szCs w:val="20"/>
        </w:rPr>
      </w:pPr>
      <w:r>
        <w:rPr>
          <w:i/>
        </w:rPr>
        <w:br w:type="page"/>
      </w:r>
    </w:p>
    <w:p w14:paraId="3FC7BE31" w14:textId="77777777" w:rsidR="003E2234" w:rsidRPr="001D0700" w:rsidRDefault="003E2234" w:rsidP="001D0700">
      <w:pPr>
        <w:pStyle w:val="BodyText"/>
        <w:rPr>
          <w:i/>
        </w:rPr>
      </w:pPr>
      <w:r>
        <w:rPr>
          <w:i/>
        </w:rPr>
        <w:lastRenderedPageBreak/>
        <w:t xml:space="preserve">In Brisbane </w:t>
      </w:r>
      <w:proofErr w:type="spellStart"/>
      <w:r>
        <w:rPr>
          <w:i/>
        </w:rPr>
        <w:t>CRA</w:t>
      </w:r>
      <w:proofErr w:type="spellEnd"/>
      <w:r>
        <w:rPr>
          <w:i/>
        </w:rPr>
        <w:t xml:space="preserve"> recipients and public housing tenants live in similar areas and</w:t>
      </w:r>
      <w:r w:rsidR="0096361E">
        <w:rPr>
          <w:i/>
        </w:rPr>
        <w:t xml:space="preserve"> so</w:t>
      </w:r>
      <w:r>
        <w:rPr>
          <w:i/>
        </w:rPr>
        <w:t xml:space="preserve"> have </w:t>
      </w:r>
      <w:r w:rsidR="0096361E">
        <w:rPr>
          <w:i/>
        </w:rPr>
        <w:t xml:space="preserve">a </w:t>
      </w:r>
      <w:r>
        <w:rPr>
          <w:i/>
        </w:rPr>
        <w:t xml:space="preserve">similar exposure to low skilled jobs. </w:t>
      </w:r>
    </w:p>
    <w:p w14:paraId="6CD821E9" w14:textId="0FF74F87" w:rsidR="00151BCA" w:rsidRDefault="00151BCA" w:rsidP="00245021">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67"/>
      </w:tblGrid>
      <w:tr w:rsidR="00151BCA" w14:paraId="700B734D" w14:textId="77777777" w:rsidTr="00C44B39">
        <w:tc>
          <w:tcPr>
            <w:tcW w:w="8767" w:type="dxa"/>
            <w:tcBorders>
              <w:top w:val="single" w:sz="6" w:space="0" w:color="78A22F"/>
              <w:left w:val="nil"/>
              <w:bottom w:val="single" w:sz="4" w:space="0" w:color="B5B5B5" w:themeColor="accent4" w:themeShade="BF"/>
              <w:right w:val="nil"/>
            </w:tcBorders>
            <w:shd w:val="clear" w:color="auto" w:fill="auto"/>
          </w:tcPr>
          <w:p w14:paraId="3A99DCC2" w14:textId="78F49ABB" w:rsidR="00151BCA" w:rsidRDefault="00151BCA" w:rsidP="00C44B39">
            <w:pPr>
              <w:pStyle w:val="FigureTitle"/>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24</w:t>
            </w:r>
            <w:r w:rsidRPr="00784A05">
              <w:rPr>
                <w:b w:val="0"/>
              </w:rPr>
              <w:fldChar w:fldCharType="end"/>
            </w:r>
            <w:r>
              <w:tab/>
              <w:t>Housing assistance and low</w:t>
            </w:r>
            <w:r w:rsidR="00206729">
              <w:t xml:space="preserve">er </w:t>
            </w:r>
            <w:r>
              <w:t>skill jobs around Brisbane</w:t>
            </w:r>
            <w:proofErr w:type="spellStart"/>
            <w:r w:rsidRPr="00005FB3">
              <w:rPr>
                <w:rStyle w:val="NoteLabel"/>
                <w:b/>
              </w:rPr>
              <w:t>a</w:t>
            </w:r>
            <w:r w:rsidR="0071184F">
              <w:rPr>
                <w:rStyle w:val="NoteLabel"/>
                <w:b/>
              </w:rPr>
              <w:t>,b</w:t>
            </w:r>
            <w:r w:rsidR="0037186B">
              <w:rPr>
                <w:rStyle w:val="NoteLabel"/>
                <w:b/>
              </w:rPr>
              <w:t>,c</w:t>
            </w:r>
            <w:proofErr w:type="spellEnd"/>
          </w:p>
          <w:p w14:paraId="3BB6D4B8" w14:textId="77777777" w:rsidR="00151BCA" w:rsidRPr="00176D3F" w:rsidRDefault="00151BCA" w:rsidP="00C44B39">
            <w:pPr>
              <w:pStyle w:val="Subtitle"/>
            </w:pPr>
            <w:r>
              <w:t xml:space="preserve">Per cent located in each </w:t>
            </w:r>
            <w:proofErr w:type="spellStart"/>
            <w:r>
              <w:t>SA2</w:t>
            </w:r>
            <w:proofErr w:type="spellEnd"/>
            <w:r>
              <w:t xml:space="preserve"> area, 2011</w:t>
            </w:r>
          </w:p>
        </w:tc>
      </w:tr>
      <w:tr w:rsidR="00151BCA" w:rsidRPr="00176D3F" w14:paraId="7E1DFDFC" w14:textId="77777777" w:rsidTr="003737D9">
        <w:trPr>
          <w:trHeight w:val="2896"/>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025356B9" w14:textId="77777777" w:rsidR="00151BCA" w:rsidRDefault="00151BCA" w:rsidP="00C44B39">
            <w:pPr>
              <w:pStyle w:val="Note"/>
              <w:jc w:val="center"/>
              <w:rPr>
                <w:b/>
                <w:noProof/>
                <w:position w:val="6"/>
              </w:rPr>
            </w:pPr>
            <w:r>
              <w:rPr>
                <w:b/>
                <w:noProof/>
                <w:position w:val="6"/>
              </w:rPr>
              <mc:AlternateContent>
                <mc:Choice Requires="wps">
                  <w:drawing>
                    <wp:anchor distT="0" distB="0" distL="114300" distR="114300" simplePos="0" relativeHeight="251684864" behindDoc="0" locked="0" layoutInCell="1" allowOverlap="1" wp14:anchorId="404BFC25" wp14:editId="3E14E032">
                      <wp:simplePos x="0" y="0"/>
                      <wp:positionH relativeFrom="column">
                        <wp:posOffset>-43918</wp:posOffset>
                      </wp:positionH>
                      <wp:positionV relativeFrom="paragraph">
                        <wp:posOffset>63707</wp:posOffset>
                      </wp:positionV>
                      <wp:extent cx="1754372" cy="542260"/>
                      <wp:effectExtent l="0" t="0" r="0" b="0"/>
                      <wp:wrapNone/>
                      <wp:docPr id="119" name="Text Box 119"/>
                      <wp:cNvGraphicFramePr/>
                      <a:graphic xmlns:a="http://schemas.openxmlformats.org/drawingml/2006/main">
                        <a:graphicData uri="http://schemas.microsoft.com/office/word/2010/wordprocessingShape">
                          <wps:wsp>
                            <wps:cNvSpPr txBox="1"/>
                            <wps:spPr>
                              <a:xfrm>
                                <a:off x="0" y="0"/>
                                <a:ext cx="1754372" cy="5422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619C493" w14:textId="77777777" w:rsidR="009A5CAA" w:rsidRPr="00C94C4F" w:rsidRDefault="009A5CAA" w:rsidP="00151BCA">
                                  <w:pPr>
                                    <w:rPr>
                                      <w:rFonts w:ascii="Arial" w:hAnsi="Arial" w:cs="Arial"/>
                                      <w:b/>
                                    </w:rPr>
                                  </w:pPr>
                                  <w:proofErr w:type="spellStart"/>
                                  <w:r w:rsidRPr="00C94C4F">
                                    <w:rPr>
                                      <w:rFonts w:ascii="Arial" w:hAnsi="Arial" w:cs="Arial"/>
                                      <w:b/>
                                    </w:rPr>
                                    <w:t>CRA</w:t>
                                  </w:r>
                                  <w:proofErr w:type="spellEnd"/>
                                  <w:r w:rsidRPr="00C94C4F">
                                    <w:rPr>
                                      <w:rFonts w:ascii="Arial" w:hAnsi="Arial" w:cs="Arial"/>
                                      <w:b/>
                                    </w:rPr>
                                    <w:t xml:space="preserve"> </w:t>
                                  </w:r>
                                  <w:r>
                                    <w:rPr>
                                      <w:rFonts w:ascii="Arial" w:hAnsi="Arial" w:cs="Arial"/>
                                      <w:b/>
                                    </w:rPr>
                                    <w:t>r</w:t>
                                  </w:r>
                                  <w:r w:rsidRPr="00C94C4F">
                                    <w:rPr>
                                      <w:rFonts w:ascii="Arial" w:hAnsi="Arial" w:cs="Arial"/>
                                      <w:b/>
                                    </w:rPr>
                                    <w:t>ecipients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19" o:spid="_x0000_s1038" type="#_x0000_t202" style="position:absolute;left:0;text-align:left;margin-left:-3.45pt;margin-top:5pt;width:138.15pt;height:42.7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" fillcolor="white [3201]" stroked="f" strokeweight=".5pt">
                      <v:textbox>
                        <w:txbxContent>
                          <w:p w14:paraId="2619C493" w14:textId="77777777" w:rsidR="009A5CAA" w:rsidRPr="00C94C4F" w:rsidRDefault="009A5CAA" w:rsidP="00151BCA">
                            <w:pPr>
                              <w:rPr>
                                <w:rFonts w:ascii="Arial" w:hAnsi="Arial" w:cs="Arial"/>
                                <w:b/>
                              </w:rPr>
                            </w:pPr>
                            <w:proofErr w:type="spellStart"/>
                            <w:r w:rsidRPr="00C94C4F">
                              <w:rPr>
                                <w:rFonts w:ascii="Arial" w:hAnsi="Arial" w:cs="Arial"/>
                                <w:b/>
                              </w:rPr>
                              <w:t>CRA</w:t>
                            </w:r>
                            <w:proofErr w:type="spellEnd"/>
                            <w:r w:rsidRPr="00C94C4F">
                              <w:rPr>
                                <w:rFonts w:ascii="Arial" w:hAnsi="Arial" w:cs="Arial"/>
                                <w:b/>
                              </w:rPr>
                              <w:t xml:space="preserve"> </w:t>
                            </w:r>
                            <w:r>
                              <w:rPr>
                                <w:rFonts w:ascii="Arial" w:hAnsi="Arial" w:cs="Arial"/>
                                <w:b/>
                              </w:rPr>
                              <w:t>r</w:t>
                            </w:r>
                            <w:r w:rsidRPr="00C94C4F">
                              <w:rPr>
                                <w:rFonts w:ascii="Arial" w:hAnsi="Arial" w:cs="Arial"/>
                                <w:b/>
                              </w:rPr>
                              <w:t>ecipients</w:t>
                            </w:r>
                          </w:p>
                        </w:txbxContent>
                      </v:textbox>
                    </v:shape>
                  </w:pict>
                </mc:Fallback>
              </mc:AlternateContent>
            </w:r>
          </w:p>
          <w:p w14:paraId="5232B386" w14:textId="77777777" w:rsidR="00151BCA" w:rsidRDefault="00151BCA" w:rsidP="00C44B39">
            <w:pPr>
              <w:pStyle w:val="Note"/>
              <w:rPr>
                <w:rStyle w:val="NoteLabel"/>
              </w:rPr>
            </w:pPr>
            <w:r>
              <w:rPr>
                <w:b/>
                <w:noProof/>
                <w:position w:val="6"/>
              </w:rPr>
              <w:drawing>
                <wp:anchor distT="0" distB="0" distL="114300" distR="114300" simplePos="0" relativeHeight="251689984" behindDoc="1" locked="0" layoutInCell="1" allowOverlap="1" wp14:anchorId="41E9C651" wp14:editId="73105BB4">
                  <wp:simplePos x="0" y="0"/>
                  <wp:positionH relativeFrom="column">
                    <wp:posOffset>1598295</wp:posOffset>
                  </wp:positionH>
                  <wp:positionV relativeFrom="page">
                    <wp:align>center</wp:align>
                  </wp:positionV>
                  <wp:extent cx="4791600" cy="2016000"/>
                  <wp:effectExtent l="0" t="0" r="0" b="3810"/>
                  <wp:wrapThrough wrapText="bothSides">
                    <wp:wrapPolygon edited="0">
                      <wp:start x="0" y="0"/>
                      <wp:lineTo x="0" y="21437"/>
                      <wp:lineTo x="21471" y="21437"/>
                      <wp:lineTo x="21471" y="0"/>
                      <wp:lineTo x="0" y="0"/>
                    </wp:wrapPolygon>
                  </wp:wrapThrough>
                  <wp:docPr id="122" name="Picture 122" descr="A summary of this figure can be found within the text immediately before this figure.&#10;" title="Figure 24, Panel 1 – The proportion of CRA recipients, public housing tenants and low skilled jobs located in each SA2 within Brisbane in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isbane+cra+insert+updated.jpe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4791600" cy="2016000"/>
                          </a:xfrm>
                          <a:prstGeom prst="rect">
                            <a:avLst/>
                          </a:prstGeom>
                        </pic:spPr>
                      </pic:pic>
                    </a:graphicData>
                  </a:graphic>
                  <wp14:sizeRelH relativeFrom="margin">
                    <wp14:pctWidth>0</wp14:pctWidth>
                  </wp14:sizeRelH>
                  <wp14:sizeRelV relativeFrom="margin">
                    <wp14:pctHeight>0</wp14:pctHeight>
                  </wp14:sizeRelV>
                </wp:anchor>
              </w:drawing>
            </w:r>
          </w:p>
        </w:tc>
      </w:tr>
      <w:tr w:rsidR="00151BCA" w:rsidRPr="00176D3F" w14:paraId="715FB964" w14:textId="77777777" w:rsidTr="003737D9">
        <w:trPr>
          <w:trHeight w:val="2954"/>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5FA5A960" w14:textId="77777777" w:rsidR="00151BCA" w:rsidRDefault="00151BCA" w:rsidP="00C44B39">
            <w:pPr>
              <w:pStyle w:val="Note"/>
              <w:rPr>
                <w:rStyle w:val="NoteLabel"/>
              </w:rPr>
            </w:pPr>
            <w:r>
              <w:rPr>
                <w:b/>
                <w:noProof/>
                <w:position w:val="6"/>
              </w:rPr>
              <w:drawing>
                <wp:anchor distT="0" distB="0" distL="114300" distR="114300" simplePos="0" relativeHeight="251688960" behindDoc="1" locked="0" layoutInCell="1" allowOverlap="1" wp14:anchorId="3776C3C7" wp14:editId="7FBC7A27">
                  <wp:simplePos x="1254125" y="2327910"/>
                  <wp:positionH relativeFrom="column">
                    <wp:posOffset>1598295</wp:posOffset>
                  </wp:positionH>
                  <wp:positionV relativeFrom="page">
                    <wp:align>center</wp:align>
                  </wp:positionV>
                  <wp:extent cx="4791600" cy="2016000"/>
                  <wp:effectExtent l="0" t="0" r="0" b="3810"/>
                  <wp:wrapThrough wrapText="bothSides">
                    <wp:wrapPolygon edited="0">
                      <wp:start x="0" y="0"/>
                      <wp:lineTo x="0" y="21437"/>
                      <wp:lineTo x="21471" y="21437"/>
                      <wp:lineTo x="21471" y="0"/>
                      <wp:lineTo x="0" y="0"/>
                    </wp:wrapPolygon>
                  </wp:wrapThrough>
                  <wp:docPr id="123" name="Picture 123" descr="Please refer to the description of figure 24 found in the first panel.&#10;" title="Figure 24, Panel 2 – This panel is part of figure 24.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isbane_insert_ph.jpe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4791600" cy="2016000"/>
                          </a:xfrm>
                          <a:prstGeom prst="rect">
                            <a:avLst/>
                          </a:prstGeom>
                        </pic:spPr>
                      </pic:pic>
                    </a:graphicData>
                  </a:graphic>
                  <wp14:sizeRelH relativeFrom="margin">
                    <wp14:pctWidth>0</wp14:pctWidth>
                  </wp14:sizeRelH>
                  <wp14:sizeRelV relativeFrom="margin">
                    <wp14:pctHeight>0</wp14:pctHeight>
                  </wp14:sizeRelV>
                </wp:anchor>
              </w:drawing>
            </w:r>
            <w:r>
              <w:rPr>
                <w:b/>
                <w:noProof/>
                <w:position w:val="6"/>
              </w:rPr>
              <mc:AlternateContent>
                <mc:Choice Requires="wps">
                  <w:drawing>
                    <wp:anchor distT="0" distB="0" distL="114300" distR="114300" simplePos="0" relativeHeight="251685888" behindDoc="0" locked="0" layoutInCell="1" allowOverlap="1" wp14:anchorId="03CC9DFF" wp14:editId="5BD5F50F">
                      <wp:simplePos x="0" y="0"/>
                      <wp:positionH relativeFrom="column">
                        <wp:posOffset>-32385</wp:posOffset>
                      </wp:positionH>
                      <wp:positionV relativeFrom="paragraph">
                        <wp:posOffset>72863</wp:posOffset>
                      </wp:positionV>
                      <wp:extent cx="2339163" cy="541655"/>
                      <wp:effectExtent l="0" t="0" r="0" b="0"/>
                      <wp:wrapNone/>
                      <wp:docPr id="120" name="Text Box 120"/>
                      <wp:cNvGraphicFramePr/>
                      <a:graphic xmlns:a="http://schemas.openxmlformats.org/drawingml/2006/main">
                        <a:graphicData uri="http://schemas.microsoft.com/office/word/2010/wordprocessingShape">
                          <wps:wsp>
                            <wps:cNvSpPr txBox="1"/>
                            <wps:spPr>
                              <a:xfrm>
                                <a:off x="0" y="0"/>
                                <a:ext cx="2339163" cy="541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61FC5D" w14:textId="77777777" w:rsidR="009A5CAA" w:rsidRPr="00C94C4F" w:rsidRDefault="009A5CAA" w:rsidP="00151BCA">
                                  <w:pPr>
                                    <w:rPr>
                                      <w:rFonts w:ascii="Arial" w:hAnsi="Arial" w:cs="Arial"/>
                                      <w:b/>
                                    </w:rPr>
                                  </w:pPr>
                                  <w:r>
                                    <w:rPr>
                                      <w:rFonts w:ascii="Arial" w:hAnsi="Arial" w:cs="Arial"/>
                                      <w:b/>
                                    </w:rPr>
                                    <w:t>Public housing residents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20" o:spid="_x0000_s1039" type="#_x0000_t202" style="position:absolute;left:0;text-align:left;margin-left:-2.55pt;margin-top:5.75pt;width:184.2pt;height:42.65pt;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" filled="f" stroked="f" strokeweight=".5pt">
                      <v:textbox>
                        <w:txbxContent>
                          <w:p w14:paraId="4D61FC5D" w14:textId="77777777" w:rsidR="009A5CAA" w:rsidRPr="00C94C4F" w:rsidRDefault="009A5CAA" w:rsidP="00151BCA">
                            <w:pPr>
                              <w:rPr>
                                <w:rFonts w:ascii="Arial" w:hAnsi="Arial" w:cs="Arial"/>
                                <w:b/>
                              </w:rPr>
                            </w:pPr>
                            <w:r>
                              <w:rPr>
                                <w:rFonts w:ascii="Arial" w:hAnsi="Arial" w:cs="Arial"/>
                                <w:b/>
                              </w:rPr>
                              <w:t>Public housing residents</w:t>
                            </w:r>
                          </w:p>
                        </w:txbxContent>
                      </v:textbox>
                    </v:shape>
                  </w:pict>
                </mc:Fallback>
              </mc:AlternateContent>
            </w:r>
          </w:p>
        </w:tc>
      </w:tr>
      <w:tr w:rsidR="00151BCA" w:rsidRPr="00176D3F" w14:paraId="4DC25628" w14:textId="77777777" w:rsidTr="003737D9">
        <w:trPr>
          <w:trHeight w:val="2759"/>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0058124A" w14:textId="77777777" w:rsidR="00151BCA" w:rsidRDefault="00151BCA" w:rsidP="00C44B39">
            <w:pPr>
              <w:pStyle w:val="Note"/>
              <w:rPr>
                <w:rStyle w:val="NoteLabel"/>
              </w:rPr>
            </w:pPr>
            <w:r>
              <w:rPr>
                <w:b/>
                <w:noProof/>
                <w:position w:val="6"/>
              </w:rPr>
              <mc:AlternateContent>
                <mc:Choice Requires="wps">
                  <w:drawing>
                    <wp:anchor distT="0" distB="0" distL="114300" distR="114300" simplePos="0" relativeHeight="251686912" behindDoc="0" locked="0" layoutInCell="1" allowOverlap="1" wp14:anchorId="3A272DD8" wp14:editId="0C1698CE">
                      <wp:simplePos x="0" y="0"/>
                      <wp:positionH relativeFrom="column">
                        <wp:posOffset>-44450</wp:posOffset>
                      </wp:positionH>
                      <wp:positionV relativeFrom="paragraph">
                        <wp:posOffset>72390</wp:posOffset>
                      </wp:positionV>
                      <wp:extent cx="2338705" cy="541655"/>
                      <wp:effectExtent l="0" t="0" r="0" b="0"/>
                      <wp:wrapNone/>
                      <wp:docPr id="121" name="Text Box 121"/>
                      <wp:cNvGraphicFramePr/>
                      <a:graphic xmlns:a="http://schemas.openxmlformats.org/drawingml/2006/main">
                        <a:graphicData uri="http://schemas.microsoft.com/office/word/2010/wordprocessingShape">
                          <wps:wsp>
                            <wps:cNvSpPr txBox="1"/>
                            <wps:spPr>
                              <a:xfrm>
                                <a:off x="0" y="0"/>
                                <a:ext cx="2338705" cy="541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9FB94F3" w14:textId="77777777" w:rsidR="009A5CAA" w:rsidRPr="00C94C4F" w:rsidRDefault="009A5CAA" w:rsidP="00151BCA">
                                  <w:pPr>
                                    <w:rPr>
                                      <w:rFonts w:ascii="Arial" w:hAnsi="Arial" w:cs="Arial"/>
                                      <w:b/>
                                    </w:rPr>
                                  </w:pPr>
                                  <w:r>
                                    <w:rPr>
                                      <w:rFonts w:ascii="Arial" w:hAnsi="Arial" w:cs="Arial"/>
                                      <w:b/>
                                    </w:rPr>
                                    <w:t>Lower skilled employment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21" o:spid="_x0000_s1040" type="#_x0000_t202" style="position:absolute;left:0;text-align:left;margin-left:-3.5pt;margin-top:5.7pt;width:184.15pt;height:42.65pt;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" filled="f" stroked="f" strokeweight=".5pt">
                      <v:textbox>
                        <w:txbxContent>
                          <w:p w14:paraId="09FB94F3" w14:textId="77777777" w:rsidR="009A5CAA" w:rsidRPr="00C94C4F" w:rsidRDefault="009A5CAA" w:rsidP="00151BCA">
                            <w:pPr>
                              <w:rPr>
                                <w:rFonts w:ascii="Arial" w:hAnsi="Arial" w:cs="Arial"/>
                                <w:b/>
                              </w:rPr>
                            </w:pPr>
                            <w:r>
                              <w:rPr>
                                <w:rFonts w:ascii="Arial" w:hAnsi="Arial" w:cs="Arial"/>
                                <w:b/>
                              </w:rPr>
                              <w:t>Lower skilled employment</w:t>
                            </w:r>
                          </w:p>
                        </w:txbxContent>
                      </v:textbox>
                    </v:shape>
                  </w:pict>
                </mc:Fallback>
              </mc:AlternateContent>
            </w:r>
            <w:r>
              <w:rPr>
                <w:b/>
                <w:noProof/>
                <w:position w:val="6"/>
              </w:rPr>
              <w:drawing>
                <wp:anchor distT="0" distB="0" distL="114300" distR="114300" simplePos="0" relativeHeight="251687936" behindDoc="1" locked="0" layoutInCell="1" allowOverlap="1" wp14:anchorId="59F0C870" wp14:editId="167BF453">
                  <wp:simplePos x="1254125" y="4709795"/>
                  <wp:positionH relativeFrom="column">
                    <wp:posOffset>1598295</wp:posOffset>
                  </wp:positionH>
                  <wp:positionV relativeFrom="page">
                    <wp:align>center</wp:align>
                  </wp:positionV>
                  <wp:extent cx="4791600" cy="2016000"/>
                  <wp:effectExtent l="0" t="0" r="0" b="3810"/>
                  <wp:wrapThrough wrapText="bothSides">
                    <wp:wrapPolygon edited="0">
                      <wp:start x="0" y="0"/>
                      <wp:lineTo x="0" y="21437"/>
                      <wp:lineTo x="21471" y="21437"/>
                      <wp:lineTo x="21471" y="0"/>
                      <wp:lineTo x="0" y="0"/>
                    </wp:wrapPolygon>
                  </wp:wrapThrough>
                  <wp:docPr id="124" name="Picture 124" descr="Please refer to the description of figure 24 found in the first panel.&#10;" title="Figure 24, Panel 3 – This panel is part of fig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isbane_insert_skills.jpeg"/>
                          <pic:cNvPicPr/>
                        </pic:nvPicPr>
                        <pic:blipFill>
                          <a:blip r:embed="rId53" cstate="print">
                            <a:extLst>
                              <a:ext uri="{28A0092B-C50C-407E-A947-70E740481C1C}">
                                <a14:useLocalDpi xmlns:a14="http://schemas.microsoft.com/office/drawing/2010/main" val="0"/>
                              </a:ext>
                            </a:extLst>
                          </a:blip>
                          <a:stretch>
                            <a:fillRect/>
                          </a:stretch>
                        </pic:blipFill>
                        <pic:spPr>
                          <a:xfrm>
                            <a:off x="0" y="0"/>
                            <a:ext cx="4791600" cy="2016000"/>
                          </a:xfrm>
                          <a:prstGeom prst="rect">
                            <a:avLst/>
                          </a:prstGeom>
                        </pic:spPr>
                      </pic:pic>
                    </a:graphicData>
                  </a:graphic>
                  <wp14:sizeRelH relativeFrom="margin">
                    <wp14:pctWidth>0</wp14:pctWidth>
                  </wp14:sizeRelH>
                  <wp14:sizeRelV relativeFrom="margin">
                    <wp14:pctHeight>0</wp14:pctHeight>
                  </wp14:sizeRelV>
                </wp:anchor>
              </w:drawing>
            </w:r>
          </w:p>
        </w:tc>
      </w:tr>
      <w:tr w:rsidR="009602BA" w:rsidRPr="00176D3F" w14:paraId="6EEEB0DE" w14:textId="77777777" w:rsidTr="00C44B39">
        <w:tc>
          <w:tcPr>
            <w:tcW w:w="8767" w:type="dxa"/>
            <w:tcBorders>
              <w:top w:val="single" w:sz="4" w:space="0" w:color="B5B5B5" w:themeColor="accent4" w:themeShade="BF"/>
              <w:left w:val="nil"/>
              <w:bottom w:val="nil"/>
              <w:right w:val="nil"/>
            </w:tcBorders>
            <w:shd w:val="clear" w:color="auto" w:fill="auto"/>
          </w:tcPr>
          <w:p w14:paraId="33701BFE" w14:textId="2844C209" w:rsidR="009602BA" w:rsidRPr="00176D3F" w:rsidRDefault="009602BA" w:rsidP="00C44B39">
            <w:pPr>
              <w:pStyle w:val="Note"/>
            </w:pPr>
            <w:r>
              <w:rPr>
                <w:rStyle w:val="NoteLabel"/>
              </w:rPr>
              <w:t>a</w:t>
            </w:r>
            <w:r w:rsidR="0088609E">
              <w:t xml:space="preserve"> </w:t>
            </w:r>
            <w:r>
              <w:t>ISP recipients aged 15–65 at 30</w:t>
            </w:r>
            <w:r w:rsidR="00935A28">
              <w:t> </w:t>
            </w:r>
            <w:r>
              <w:t xml:space="preserve">June 2011. </w:t>
            </w:r>
            <w:proofErr w:type="spellStart"/>
            <w:r>
              <w:t>CRA</w:t>
            </w:r>
            <w:proofErr w:type="spellEnd"/>
            <w:r>
              <w:t xml:space="preserve"> recipients do not include </w:t>
            </w:r>
            <w:proofErr w:type="spellStart"/>
            <w:r w:rsidR="00FF2726">
              <w:t>FTB</w:t>
            </w:r>
            <w:proofErr w:type="spellEnd"/>
            <w:r w:rsidR="00FF2726">
              <w:t xml:space="preserve"> A</w:t>
            </w:r>
            <w:r w:rsidR="00935A28">
              <w:noBreakHyphen/>
            </w:r>
            <w:r>
              <w:t xml:space="preserve">only recipients of </w:t>
            </w:r>
            <w:proofErr w:type="spellStart"/>
            <w:r>
              <w:t>CRA</w:t>
            </w:r>
            <w:proofErr w:type="spellEnd"/>
            <w:r>
              <w:t xml:space="preserve">. </w:t>
            </w:r>
            <w:r w:rsidRPr="0071184F">
              <w:rPr>
                <w:rStyle w:val="NoteLabel"/>
              </w:rPr>
              <w:t>b</w:t>
            </w:r>
            <w:r>
              <w:t xml:space="preserve"> Lower skilled employment refers to people in jobs classified as </w:t>
            </w:r>
            <w:proofErr w:type="spellStart"/>
            <w:r>
              <w:t>ANZSCO</w:t>
            </w:r>
            <w:proofErr w:type="spellEnd"/>
            <w:r>
              <w:t xml:space="preserve"> skill level 4 or 5.</w:t>
            </w:r>
            <w:r w:rsidR="0037186B">
              <w:t xml:space="preserve"> </w:t>
            </w:r>
            <w:r w:rsidR="0037186B">
              <w:rPr>
                <w:rStyle w:val="NoteLabel"/>
              </w:rPr>
              <w:t xml:space="preserve">c </w:t>
            </w:r>
            <w:proofErr w:type="spellStart"/>
            <w:r w:rsidR="0037186B">
              <w:t>SA2s</w:t>
            </w:r>
            <w:proofErr w:type="spellEnd"/>
            <w:r w:rsidR="0037186B">
              <w:t xml:space="preserve"> are an ABS</w:t>
            </w:r>
            <w:r w:rsidR="00E209F1">
              <w:noBreakHyphen/>
            </w:r>
            <w:r w:rsidR="0037186B">
              <w:t xml:space="preserve">defined </w:t>
            </w:r>
            <w:r w:rsidR="0037186B" w:rsidRPr="005B3B30">
              <w:t>medium</w:t>
            </w:r>
            <w:r w:rsidR="00E209F1">
              <w:noBreakHyphen/>
            </w:r>
            <w:r w:rsidR="0037186B" w:rsidRPr="005B3B30">
              <w:t xml:space="preserve">sized geographic unit </w:t>
            </w:r>
            <w:r w:rsidR="0037186B">
              <w:t>that include</w:t>
            </w:r>
            <w:r w:rsidR="00306456">
              <w:t>s</w:t>
            </w:r>
            <w:r w:rsidR="0037186B">
              <w:t xml:space="preserve"> an </w:t>
            </w:r>
            <w:r w:rsidR="0037186B" w:rsidRPr="00751247">
              <w:t xml:space="preserve">average of </w:t>
            </w:r>
            <w:r w:rsidR="0037186B">
              <w:t xml:space="preserve">around </w:t>
            </w:r>
            <w:r w:rsidR="0037186B" w:rsidRPr="00751247">
              <w:t>10 000 people.</w:t>
            </w:r>
          </w:p>
        </w:tc>
      </w:tr>
      <w:tr w:rsidR="009602BA" w:rsidRPr="00176D3F" w14:paraId="794FCDAB" w14:textId="77777777" w:rsidTr="00C44B39">
        <w:tc>
          <w:tcPr>
            <w:tcW w:w="8767" w:type="dxa"/>
            <w:tcBorders>
              <w:top w:val="nil"/>
              <w:left w:val="nil"/>
              <w:bottom w:val="nil"/>
              <w:right w:val="nil"/>
            </w:tcBorders>
            <w:shd w:val="clear" w:color="auto" w:fill="auto"/>
          </w:tcPr>
          <w:p w14:paraId="56042D6F" w14:textId="6F088DF0" w:rsidR="009602BA" w:rsidRPr="00176D3F" w:rsidRDefault="00306456" w:rsidP="00C44B39">
            <w:pPr>
              <w:pStyle w:val="Source"/>
            </w:pPr>
            <w:r>
              <w:rPr>
                <w:i/>
              </w:rPr>
              <w:t>Source</w:t>
            </w:r>
            <w:r w:rsidR="009602BA">
              <w:rPr>
                <w:i/>
              </w:rPr>
              <w:t>s</w:t>
            </w:r>
            <w:r w:rsidR="009602BA" w:rsidRPr="00176D3F">
              <w:t xml:space="preserve">: </w:t>
            </w:r>
            <w:r w:rsidR="009602BA">
              <w:t>ABS (</w:t>
            </w:r>
            <w:proofErr w:type="spellStart"/>
            <w:r w:rsidR="009602BA" w:rsidRPr="00905139">
              <w:rPr>
                <w:i/>
              </w:rPr>
              <w:t>TableBuilder</w:t>
            </w:r>
            <w:proofErr w:type="spellEnd"/>
            <w:r w:rsidR="009602BA" w:rsidRPr="00905139">
              <w:rPr>
                <w:i/>
              </w:rPr>
              <w:t xml:space="preserve"> Pro, 2011</w:t>
            </w:r>
            <w:r w:rsidR="009602BA">
              <w:t xml:space="preserve">, Cat. no. 2073.0); </w:t>
            </w:r>
            <w:r w:rsidR="009602BA" w:rsidRPr="00BF0589">
              <w:t>Department of Employment, Research and Evaluation Database</w:t>
            </w:r>
            <w:r w:rsidR="009602BA">
              <w:t>.</w:t>
            </w:r>
          </w:p>
        </w:tc>
      </w:tr>
      <w:tr w:rsidR="00151BCA" w14:paraId="4EB78FEF" w14:textId="77777777" w:rsidTr="00C44B39">
        <w:tc>
          <w:tcPr>
            <w:tcW w:w="8767" w:type="dxa"/>
            <w:tcBorders>
              <w:top w:val="nil"/>
              <w:left w:val="nil"/>
              <w:bottom w:val="single" w:sz="6" w:space="0" w:color="78A22F"/>
              <w:right w:val="nil"/>
            </w:tcBorders>
            <w:shd w:val="clear" w:color="auto" w:fill="auto"/>
          </w:tcPr>
          <w:p w14:paraId="05920ADE" w14:textId="77777777" w:rsidR="00151BCA" w:rsidRDefault="00151BCA" w:rsidP="00C44B39">
            <w:pPr>
              <w:pStyle w:val="Figurespace"/>
            </w:pPr>
          </w:p>
        </w:tc>
      </w:tr>
      <w:tr w:rsidR="00151BCA" w:rsidRPr="000863A5" w14:paraId="393DEEDF" w14:textId="77777777" w:rsidTr="00C44B39">
        <w:tc>
          <w:tcPr>
            <w:tcW w:w="8767" w:type="dxa"/>
            <w:tcBorders>
              <w:top w:val="single" w:sz="6" w:space="0" w:color="78A22F"/>
              <w:left w:val="nil"/>
              <w:bottom w:val="nil"/>
              <w:right w:val="nil"/>
            </w:tcBorders>
          </w:tcPr>
          <w:p w14:paraId="7319A0E2" w14:textId="0A638FB5" w:rsidR="00151BCA" w:rsidRPr="00626D32" w:rsidRDefault="00151BCA" w:rsidP="00C44B39">
            <w:pPr>
              <w:pStyle w:val="BoxSpaceBelow"/>
            </w:pPr>
          </w:p>
        </w:tc>
      </w:tr>
    </w:tbl>
    <w:p w14:paraId="11CC7883" w14:textId="77777777" w:rsidR="003E2234" w:rsidRPr="0096361E" w:rsidRDefault="003E2234" w:rsidP="0096361E">
      <w:pPr>
        <w:pStyle w:val="BodyText"/>
        <w:rPr>
          <w:i/>
        </w:rPr>
      </w:pPr>
      <w:r>
        <w:rPr>
          <w:i/>
        </w:rPr>
        <w:lastRenderedPageBreak/>
        <w:t xml:space="preserve">As with Brisbane, in Adelaide public housing tenants and </w:t>
      </w:r>
      <w:proofErr w:type="spellStart"/>
      <w:r>
        <w:rPr>
          <w:i/>
        </w:rPr>
        <w:t>CRA</w:t>
      </w:r>
      <w:proofErr w:type="spellEnd"/>
      <w:r>
        <w:rPr>
          <w:i/>
        </w:rPr>
        <w:t xml:space="preserve"> recipients live in similar areas and have similar access to low skilled jobs.</w:t>
      </w:r>
    </w:p>
    <w:p w14:paraId="6C38033E" w14:textId="1DB29AC7" w:rsidR="00151BCA" w:rsidRDefault="00151BCA" w:rsidP="00151B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67"/>
      </w:tblGrid>
      <w:tr w:rsidR="00151BCA" w14:paraId="25BFA0B2" w14:textId="77777777" w:rsidTr="00C44B39">
        <w:tc>
          <w:tcPr>
            <w:tcW w:w="8767" w:type="dxa"/>
            <w:tcBorders>
              <w:top w:val="single" w:sz="6" w:space="0" w:color="78A22F"/>
              <w:left w:val="nil"/>
              <w:bottom w:val="single" w:sz="4" w:space="0" w:color="B5B5B5" w:themeColor="accent4" w:themeShade="BF"/>
              <w:right w:val="nil"/>
            </w:tcBorders>
            <w:shd w:val="clear" w:color="auto" w:fill="auto"/>
          </w:tcPr>
          <w:p w14:paraId="3BE15091" w14:textId="6AE608CE" w:rsidR="00151BCA" w:rsidRDefault="00151BCA" w:rsidP="00C44B39">
            <w:pPr>
              <w:pStyle w:val="FigureTitle"/>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25</w:t>
            </w:r>
            <w:r w:rsidRPr="00784A05">
              <w:rPr>
                <w:b w:val="0"/>
              </w:rPr>
              <w:fldChar w:fldCharType="end"/>
            </w:r>
            <w:r>
              <w:tab/>
              <w:t>Housing assistance and low</w:t>
            </w:r>
            <w:r w:rsidR="00206729">
              <w:t xml:space="preserve">er </w:t>
            </w:r>
            <w:r>
              <w:t>skill jobs around Adelaide</w:t>
            </w:r>
            <w:proofErr w:type="spellStart"/>
            <w:r w:rsidRPr="00005FB3">
              <w:rPr>
                <w:rStyle w:val="NoteLabel"/>
                <w:b/>
              </w:rPr>
              <w:t>a</w:t>
            </w:r>
            <w:r w:rsidR="0071184F">
              <w:rPr>
                <w:rStyle w:val="NoteLabel"/>
                <w:b/>
              </w:rPr>
              <w:t>,b</w:t>
            </w:r>
            <w:r w:rsidR="002F0DFB">
              <w:rPr>
                <w:rStyle w:val="NoteLabel"/>
                <w:b/>
              </w:rPr>
              <w:t>,c</w:t>
            </w:r>
            <w:proofErr w:type="spellEnd"/>
          </w:p>
          <w:p w14:paraId="4DDCAC02" w14:textId="77777777" w:rsidR="00151BCA" w:rsidRPr="00176D3F" w:rsidRDefault="00151BCA" w:rsidP="00C44B39">
            <w:pPr>
              <w:pStyle w:val="Subtitle"/>
            </w:pPr>
            <w:r>
              <w:t xml:space="preserve">Per cent located in each </w:t>
            </w:r>
            <w:proofErr w:type="spellStart"/>
            <w:r>
              <w:t>SA2</w:t>
            </w:r>
            <w:proofErr w:type="spellEnd"/>
            <w:r>
              <w:t xml:space="preserve"> area, 2011</w:t>
            </w:r>
          </w:p>
        </w:tc>
      </w:tr>
      <w:tr w:rsidR="00151BCA" w:rsidRPr="00176D3F" w14:paraId="40FBDB5D" w14:textId="77777777" w:rsidTr="003737D9">
        <w:trPr>
          <w:trHeight w:val="2896"/>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43848995" w14:textId="77777777" w:rsidR="00151BCA" w:rsidRDefault="00151BCA" w:rsidP="00C44B39">
            <w:pPr>
              <w:pStyle w:val="Note"/>
              <w:jc w:val="center"/>
              <w:rPr>
                <w:b/>
                <w:noProof/>
                <w:position w:val="6"/>
              </w:rPr>
            </w:pPr>
            <w:r>
              <w:rPr>
                <w:b/>
                <w:noProof/>
                <w:position w:val="6"/>
              </w:rPr>
              <mc:AlternateContent>
                <mc:Choice Requires="wps">
                  <w:drawing>
                    <wp:anchor distT="0" distB="0" distL="114300" distR="114300" simplePos="0" relativeHeight="251691008" behindDoc="0" locked="0" layoutInCell="1" allowOverlap="1" wp14:anchorId="76101E6B" wp14:editId="636BDA17">
                      <wp:simplePos x="0" y="0"/>
                      <wp:positionH relativeFrom="column">
                        <wp:posOffset>-43918</wp:posOffset>
                      </wp:positionH>
                      <wp:positionV relativeFrom="paragraph">
                        <wp:posOffset>63707</wp:posOffset>
                      </wp:positionV>
                      <wp:extent cx="1754372" cy="542260"/>
                      <wp:effectExtent l="0" t="0" r="0" b="0"/>
                      <wp:wrapNone/>
                      <wp:docPr id="126" name="Text Box 126"/>
                      <wp:cNvGraphicFramePr/>
                      <a:graphic xmlns:a="http://schemas.openxmlformats.org/drawingml/2006/main">
                        <a:graphicData uri="http://schemas.microsoft.com/office/word/2010/wordprocessingShape">
                          <wps:wsp>
                            <wps:cNvSpPr txBox="1"/>
                            <wps:spPr>
                              <a:xfrm>
                                <a:off x="0" y="0"/>
                                <a:ext cx="1754372" cy="5422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3B32AF3" w14:textId="77777777" w:rsidR="009A5CAA" w:rsidRPr="00C94C4F" w:rsidRDefault="009A5CAA" w:rsidP="00151BCA">
                                  <w:pPr>
                                    <w:rPr>
                                      <w:rFonts w:ascii="Arial" w:hAnsi="Arial" w:cs="Arial"/>
                                      <w:b/>
                                    </w:rPr>
                                  </w:pPr>
                                  <w:proofErr w:type="spellStart"/>
                                  <w:r w:rsidRPr="00C94C4F">
                                    <w:rPr>
                                      <w:rFonts w:ascii="Arial" w:hAnsi="Arial" w:cs="Arial"/>
                                      <w:b/>
                                    </w:rPr>
                                    <w:t>CRA</w:t>
                                  </w:r>
                                  <w:proofErr w:type="spellEnd"/>
                                  <w:r w:rsidRPr="00C94C4F">
                                    <w:rPr>
                                      <w:rFonts w:ascii="Arial" w:hAnsi="Arial" w:cs="Arial"/>
                                      <w:b/>
                                    </w:rPr>
                                    <w:t xml:space="preserve"> </w:t>
                                  </w:r>
                                  <w:r>
                                    <w:rPr>
                                      <w:rFonts w:ascii="Arial" w:hAnsi="Arial" w:cs="Arial"/>
                                      <w:b/>
                                    </w:rPr>
                                    <w:t>r</w:t>
                                  </w:r>
                                  <w:r w:rsidRPr="00C94C4F">
                                    <w:rPr>
                                      <w:rFonts w:ascii="Arial" w:hAnsi="Arial" w:cs="Arial"/>
                                      <w:b/>
                                    </w:rPr>
                                    <w:t>ecipients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26" o:spid="_x0000_s1041" type="#_x0000_t202" style="position:absolute;left:0;text-align:left;margin-left:-3.45pt;margin-top:5pt;width:138.15pt;height:42.7pt;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" fillcolor="white [3201]" stroked="f" strokeweight=".5pt">
                      <v:textbox>
                        <w:txbxContent>
                          <w:p w14:paraId="43B32AF3" w14:textId="77777777" w:rsidR="009A5CAA" w:rsidRPr="00C94C4F" w:rsidRDefault="009A5CAA" w:rsidP="00151BCA">
                            <w:pPr>
                              <w:rPr>
                                <w:rFonts w:ascii="Arial" w:hAnsi="Arial" w:cs="Arial"/>
                                <w:b/>
                              </w:rPr>
                            </w:pPr>
                            <w:proofErr w:type="spellStart"/>
                            <w:r w:rsidRPr="00C94C4F">
                              <w:rPr>
                                <w:rFonts w:ascii="Arial" w:hAnsi="Arial" w:cs="Arial"/>
                                <w:b/>
                              </w:rPr>
                              <w:t>CRA</w:t>
                            </w:r>
                            <w:proofErr w:type="spellEnd"/>
                            <w:r w:rsidRPr="00C94C4F">
                              <w:rPr>
                                <w:rFonts w:ascii="Arial" w:hAnsi="Arial" w:cs="Arial"/>
                                <w:b/>
                              </w:rPr>
                              <w:t xml:space="preserve"> </w:t>
                            </w:r>
                            <w:r>
                              <w:rPr>
                                <w:rFonts w:ascii="Arial" w:hAnsi="Arial" w:cs="Arial"/>
                                <w:b/>
                              </w:rPr>
                              <w:t>r</w:t>
                            </w:r>
                            <w:r w:rsidRPr="00C94C4F">
                              <w:rPr>
                                <w:rFonts w:ascii="Arial" w:hAnsi="Arial" w:cs="Arial"/>
                                <w:b/>
                              </w:rPr>
                              <w:t>ecipients</w:t>
                            </w:r>
                          </w:p>
                        </w:txbxContent>
                      </v:textbox>
                    </v:shape>
                  </w:pict>
                </mc:Fallback>
              </mc:AlternateContent>
            </w:r>
          </w:p>
          <w:p w14:paraId="4E9EE674" w14:textId="77777777" w:rsidR="00151BCA" w:rsidRDefault="00151BCA" w:rsidP="00C44B39">
            <w:pPr>
              <w:pStyle w:val="Note"/>
              <w:rPr>
                <w:rStyle w:val="NoteLabel"/>
              </w:rPr>
            </w:pPr>
            <w:r>
              <w:rPr>
                <w:b/>
                <w:noProof/>
                <w:position w:val="6"/>
              </w:rPr>
              <w:drawing>
                <wp:anchor distT="0" distB="0" distL="114300" distR="114300" simplePos="0" relativeHeight="251696128" behindDoc="1" locked="0" layoutInCell="1" allowOverlap="1" wp14:anchorId="3B9AA1DC" wp14:editId="26BB1B3B">
                  <wp:simplePos x="1254125" y="127000"/>
                  <wp:positionH relativeFrom="column">
                    <wp:posOffset>1598295</wp:posOffset>
                  </wp:positionH>
                  <wp:positionV relativeFrom="page">
                    <wp:align>center</wp:align>
                  </wp:positionV>
                  <wp:extent cx="4791600" cy="2016000"/>
                  <wp:effectExtent l="0" t="0" r="0" b="3810"/>
                  <wp:wrapThrough wrapText="bothSides">
                    <wp:wrapPolygon edited="0">
                      <wp:start x="0" y="0"/>
                      <wp:lineTo x="0" y="21437"/>
                      <wp:lineTo x="21471" y="21437"/>
                      <wp:lineTo x="21471" y="0"/>
                      <wp:lineTo x="0" y="0"/>
                    </wp:wrapPolygon>
                  </wp:wrapThrough>
                  <wp:docPr id="129" name="Picture 129" descr="A summary of this figure can be found within the text immediately before this figure." title="Figure 25, Panel 1 – The proportion of CRA recipients, public housing tenants and low skilled jobs located in each SA2 within Adelaide in 201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elaide+cra+insert+updated.jpe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4791600" cy="2016000"/>
                          </a:xfrm>
                          <a:prstGeom prst="rect">
                            <a:avLst/>
                          </a:prstGeom>
                        </pic:spPr>
                      </pic:pic>
                    </a:graphicData>
                  </a:graphic>
                  <wp14:sizeRelH relativeFrom="margin">
                    <wp14:pctWidth>0</wp14:pctWidth>
                  </wp14:sizeRelH>
                  <wp14:sizeRelV relativeFrom="margin">
                    <wp14:pctHeight>0</wp14:pctHeight>
                  </wp14:sizeRelV>
                </wp:anchor>
              </w:drawing>
            </w:r>
          </w:p>
        </w:tc>
      </w:tr>
      <w:tr w:rsidR="00151BCA" w:rsidRPr="00176D3F" w14:paraId="48B96895" w14:textId="77777777" w:rsidTr="003737D9">
        <w:trPr>
          <w:trHeight w:val="3096"/>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191B55DB" w14:textId="77777777" w:rsidR="00151BCA" w:rsidRDefault="00151BCA" w:rsidP="00C44B39">
            <w:pPr>
              <w:pStyle w:val="Note"/>
              <w:rPr>
                <w:rStyle w:val="NoteLabel"/>
              </w:rPr>
            </w:pPr>
            <w:r>
              <w:rPr>
                <w:b/>
                <w:noProof/>
                <w:position w:val="6"/>
              </w:rPr>
              <w:drawing>
                <wp:anchor distT="0" distB="0" distL="114300" distR="114300" simplePos="0" relativeHeight="251694080" behindDoc="1" locked="0" layoutInCell="1" allowOverlap="1" wp14:anchorId="5D877016" wp14:editId="76B9D09F">
                  <wp:simplePos x="1254125" y="2327910"/>
                  <wp:positionH relativeFrom="column">
                    <wp:posOffset>1598295</wp:posOffset>
                  </wp:positionH>
                  <wp:positionV relativeFrom="page">
                    <wp:align>center</wp:align>
                  </wp:positionV>
                  <wp:extent cx="4791600" cy="2016000"/>
                  <wp:effectExtent l="0" t="0" r="0" b="3810"/>
                  <wp:wrapThrough wrapText="bothSides">
                    <wp:wrapPolygon edited="0">
                      <wp:start x="0" y="0"/>
                      <wp:lineTo x="0" y="21437"/>
                      <wp:lineTo x="21471" y="21437"/>
                      <wp:lineTo x="21471" y="0"/>
                      <wp:lineTo x="0" y="0"/>
                    </wp:wrapPolygon>
                  </wp:wrapThrough>
                  <wp:docPr id="8" name="Picture 8" descr="Please refer to the description of figure 25 found in the first panel.&#10;" title="Figure 25, Panel 2 – This panel is part of figure 25.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elaide+ph+insert.jpe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4791600" cy="2016000"/>
                          </a:xfrm>
                          <a:prstGeom prst="rect">
                            <a:avLst/>
                          </a:prstGeom>
                        </pic:spPr>
                      </pic:pic>
                    </a:graphicData>
                  </a:graphic>
                  <wp14:sizeRelH relativeFrom="margin">
                    <wp14:pctWidth>0</wp14:pctWidth>
                  </wp14:sizeRelH>
                  <wp14:sizeRelV relativeFrom="margin">
                    <wp14:pctHeight>0</wp14:pctHeight>
                  </wp14:sizeRelV>
                </wp:anchor>
              </w:drawing>
            </w:r>
            <w:r>
              <w:rPr>
                <w:b/>
                <w:noProof/>
                <w:position w:val="6"/>
              </w:rPr>
              <mc:AlternateContent>
                <mc:Choice Requires="wps">
                  <w:drawing>
                    <wp:anchor distT="0" distB="0" distL="114300" distR="114300" simplePos="0" relativeHeight="251692032" behindDoc="0" locked="0" layoutInCell="1" allowOverlap="1" wp14:anchorId="548BE729" wp14:editId="162FE8C3">
                      <wp:simplePos x="0" y="0"/>
                      <wp:positionH relativeFrom="column">
                        <wp:posOffset>-32385</wp:posOffset>
                      </wp:positionH>
                      <wp:positionV relativeFrom="paragraph">
                        <wp:posOffset>72863</wp:posOffset>
                      </wp:positionV>
                      <wp:extent cx="2339163" cy="541655"/>
                      <wp:effectExtent l="0" t="0" r="0" b="0"/>
                      <wp:wrapNone/>
                      <wp:docPr id="127" name="Text Box 127"/>
                      <wp:cNvGraphicFramePr/>
                      <a:graphic xmlns:a="http://schemas.openxmlformats.org/drawingml/2006/main">
                        <a:graphicData uri="http://schemas.microsoft.com/office/word/2010/wordprocessingShape">
                          <wps:wsp>
                            <wps:cNvSpPr txBox="1"/>
                            <wps:spPr>
                              <a:xfrm>
                                <a:off x="0" y="0"/>
                                <a:ext cx="2339163" cy="541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214307" w14:textId="77777777" w:rsidR="009A5CAA" w:rsidRPr="00C94C4F" w:rsidRDefault="009A5CAA" w:rsidP="00151BCA">
                                  <w:pPr>
                                    <w:rPr>
                                      <w:rFonts w:ascii="Arial" w:hAnsi="Arial" w:cs="Arial"/>
                                      <w:b/>
                                    </w:rPr>
                                  </w:pPr>
                                  <w:r>
                                    <w:rPr>
                                      <w:rFonts w:ascii="Arial" w:hAnsi="Arial" w:cs="Arial"/>
                                      <w:b/>
                                    </w:rPr>
                                    <w:t>Public housing residents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27" o:spid="_x0000_s1042" type="#_x0000_t202" style="position:absolute;left:0;text-align:left;margin-left:-2.55pt;margin-top:5.75pt;width:184.2pt;height:42.65pt;z-index:251692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" filled="f" stroked="f" strokeweight=".5pt">
                      <v:textbox>
                        <w:txbxContent>
                          <w:p w14:paraId="12214307" w14:textId="77777777" w:rsidR="009A5CAA" w:rsidRPr="00C94C4F" w:rsidRDefault="009A5CAA" w:rsidP="00151BCA">
                            <w:pPr>
                              <w:rPr>
                                <w:rFonts w:ascii="Arial" w:hAnsi="Arial" w:cs="Arial"/>
                                <w:b/>
                              </w:rPr>
                            </w:pPr>
                            <w:r>
                              <w:rPr>
                                <w:rFonts w:ascii="Arial" w:hAnsi="Arial" w:cs="Arial"/>
                                <w:b/>
                              </w:rPr>
                              <w:t>Public housing residents</w:t>
                            </w:r>
                          </w:p>
                        </w:txbxContent>
                      </v:textbox>
                    </v:shape>
                  </w:pict>
                </mc:Fallback>
              </mc:AlternateContent>
            </w:r>
          </w:p>
        </w:tc>
      </w:tr>
      <w:tr w:rsidR="00151BCA" w:rsidRPr="00176D3F" w14:paraId="0F10E8AC" w14:textId="77777777" w:rsidTr="003737D9">
        <w:trPr>
          <w:trHeight w:val="2900"/>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0BEDF48C" w14:textId="77777777" w:rsidR="00151BCA" w:rsidRDefault="00151BCA" w:rsidP="00C44B39">
            <w:pPr>
              <w:pStyle w:val="Note"/>
              <w:rPr>
                <w:b/>
                <w:noProof/>
                <w:position w:val="6"/>
              </w:rPr>
            </w:pPr>
            <w:r>
              <w:rPr>
                <w:b/>
                <w:noProof/>
                <w:position w:val="6"/>
              </w:rPr>
              <mc:AlternateContent>
                <mc:Choice Requires="wps">
                  <w:drawing>
                    <wp:anchor distT="0" distB="0" distL="114300" distR="114300" simplePos="0" relativeHeight="251693056" behindDoc="0" locked="0" layoutInCell="1" allowOverlap="1" wp14:anchorId="470144A6" wp14:editId="16B37CE8">
                      <wp:simplePos x="0" y="0"/>
                      <wp:positionH relativeFrom="column">
                        <wp:posOffset>-39370</wp:posOffset>
                      </wp:positionH>
                      <wp:positionV relativeFrom="paragraph">
                        <wp:posOffset>75403</wp:posOffset>
                      </wp:positionV>
                      <wp:extent cx="2338705" cy="541655"/>
                      <wp:effectExtent l="0" t="0" r="0" b="0"/>
                      <wp:wrapNone/>
                      <wp:docPr id="128" name="Text Box 128"/>
                      <wp:cNvGraphicFramePr/>
                      <a:graphic xmlns:a="http://schemas.openxmlformats.org/drawingml/2006/main">
                        <a:graphicData uri="http://schemas.microsoft.com/office/word/2010/wordprocessingShape">
                          <wps:wsp>
                            <wps:cNvSpPr txBox="1"/>
                            <wps:spPr>
                              <a:xfrm>
                                <a:off x="0" y="0"/>
                                <a:ext cx="2338705" cy="541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1BF0560" w14:textId="77777777" w:rsidR="009A5CAA" w:rsidRPr="00C94C4F" w:rsidRDefault="009A5CAA" w:rsidP="00151BCA">
                                  <w:pPr>
                                    <w:rPr>
                                      <w:rFonts w:ascii="Arial" w:hAnsi="Arial" w:cs="Arial"/>
                                      <w:b/>
                                    </w:rPr>
                                  </w:pPr>
                                  <w:r>
                                    <w:rPr>
                                      <w:rFonts w:ascii="Arial" w:hAnsi="Arial" w:cs="Arial"/>
                                      <w:b/>
                                    </w:rPr>
                                    <w:t>Lower skilled employment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28" o:spid="_x0000_s1043" type="#_x0000_t202" style="position:absolute;left:0;text-align:left;margin-left:-3.1pt;margin-top:5.95pt;width:184.15pt;height:42.65pt;z-index:251693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" filled="f" stroked="f" strokeweight=".5pt">
                      <v:textbox>
                        <w:txbxContent>
                          <w:p w14:paraId="41BF0560" w14:textId="77777777" w:rsidR="009A5CAA" w:rsidRPr="00C94C4F" w:rsidRDefault="009A5CAA" w:rsidP="00151BCA">
                            <w:pPr>
                              <w:rPr>
                                <w:rFonts w:ascii="Arial" w:hAnsi="Arial" w:cs="Arial"/>
                                <w:b/>
                              </w:rPr>
                            </w:pPr>
                            <w:r>
                              <w:rPr>
                                <w:rFonts w:ascii="Arial" w:hAnsi="Arial" w:cs="Arial"/>
                                <w:b/>
                              </w:rPr>
                              <w:t>Lower skilled employment</w:t>
                            </w:r>
                          </w:p>
                        </w:txbxContent>
                      </v:textbox>
                    </v:shape>
                  </w:pict>
                </mc:Fallback>
              </mc:AlternateContent>
            </w:r>
          </w:p>
          <w:p w14:paraId="42CB5F39" w14:textId="77777777" w:rsidR="00151BCA" w:rsidRDefault="00151BCA" w:rsidP="00C44B39">
            <w:pPr>
              <w:pStyle w:val="Note"/>
              <w:rPr>
                <w:rStyle w:val="NoteLabel"/>
              </w:rPr>
            </w:pPr>
            <w:r>
              <w:rPr>
                <w:b/>
                <w:noProof/>
                <w:position w:val="6"/>
              </w:rPr>
              <w:drawing>
                <wp:anchor distT="0" distB="0" distL="114300" distR="114300" simplePos="0" relativeHeight="251695104" behindDoc="1" locked="0" layoutInCell="1" allowOverlap="1" wp14:anchorId="7ECB99A2" wp14:editId="44A82D6D">
                  <wp:simplePos x="1254125" y="4901565"/>
                  <wp:positionH relativeFrom="column">
                    <wp:posOffset>1598295</wp:posOffset>
                  </wp:positionH>
                  <wp:positionV relativeFrom="page">
                    <wp:align>center</wp:align>
                  </wp:positionV>
                  <wp:extent cx="4791600" cy="2016000"/>
                  <wp:effectExtent l="0" t="0" r="0" b="3810"/>
                  <wp:wrapThrough wrapText="bothSides">
                    <wp:wrapPolygon edited="0">
                      <wp:start x="0" y="0"/>
                      <wp:lineTo x="0" y="21437"/>
                      <wp:lineTo x="21471" y="21437"/>
                      <wp:lineTo x="21471" y="0"/>
                      <wp:lineTo x="0" y="0"/>
                    </wp:wrapPolygon>
                  </wp:wrapThrough>
                  <wp:docPr id="130" name="Picture 130" descr="Please refer to the description of figure 25 found in the first panel.&#10;" title="Figure 25, Panel 3 – This panel is part of figure 25.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elaide+skill+insert.jpe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4791600" cy="2016000"/>
                          </a:xfrm>
                          <a:prstGeom prst="rect">
                            <a:avLst/>
                          </a:prstGeom>
                        </pic:spPr>
                      </pic:pic>
                    </a:graphicData>
                  </a:graphic>
                  <wp14:sizeRelH relativeFrom="margin">
                    <wp14:pctWidth>0</wp14:pctWidth>
                  </wp14:sizeRelH>
                  <wp14:sizeRelV relativeFrom="margin">
                    <wp14:pctHeight>0</wp14:pctHeight>
                  </wp14:sizeRelV>
                </wp:anchor>
              </w:drawing>
            </w:r>
          </w:p>
        </w:tc>
      </w:tr>
      <w:tr w:rsidR="009602BA" w:rsidRPr="00176D3F" w14:paraId="18A0EA29" w14:textId="77777777" w:rsidTr="00C44B39">
        <w:tc>
          <w:tcPr>
            <w:tcW w:w="8767" w:type="dxa"/>
            <w:tcBorders>
              <w:top w:val="single" w:sz="4" w:space="0" w:color="B5B5B5" w:themeColor="accent4" w:themeShade="BF"/>
              <w:left w:val="nil"/>
              <w:bottom w:val="nil"/>
              <w:right w:val="nil"/>
            </w:tcBorders>
            <w:shd w:val="clear" w:color="auto" w:fill="auto"/>
          </w:tcPr>
          <w:p w14:paraId="16BAD598" w14:textId="70D49DE5" w:rsidR="009602BA" w:rsidRPr="00176D3F" w:rsidRDefault="009602BA" w:rsidP="00C44B39">
            <w:pPr>
              <w:pStyle w:val="Note"/>
            </w:pPr>
            <w:r>
              <w:rPr>
                <w:rStyle w:val="NoteLabel"/>
              </w:rPr>
              <w:t>a</w:t>
            </w:r>
            <w:r w:rsidR="0088609E">
              <w:t xml:space="preserve"> </w:t>
            </w:r>
            <w:r>
              <w:t>ISP recipients aged 15–65 at 30</w:t>
            </w:r>
            <w:r w:rsidR="00935A28">
              <w:t> </w:t>
            </w:r>
            <w:r>
              <w:t xml:space="preserve">June 2011. </w:t>
            </w:r>
            <w:proofErr w:type="spellStart"/>
            <w:r>
              <w:t>CRA</w:t>
            </w:r>
            <w:proofErr w:type="spellEnd"/>
            <w:r>
              <w:t xml:space="preserve"> recipients do not include </w:t>
            </w:r>
            <w:proofErr w:type="spellStart"/>
            <w:r w:rsidR="00FF2726">
              <w:t>FTB</w:t>
            </w:r>
            <w:proofErr w:type="spellEnd"/>
            <w:r w:rsidR="00FF2726">
              <w:t xml:space="preserve"> A</w:t>
            </w:r>
            <w:r w:rsidR="00935A28">
              <w:noBreakHyphen/>
            </w:r>
            <w:r>
              <w:t xml:space="preserve">only recipients of </w:t>
            </w:r>
            <w:proofErr w:type="spellStart"/>
            <w:r>
              <w:t>CRA</w:t>
            </w:r>
            <w:proofErr w:type="spellEnd"/>
            <w:r>
              <w:t xml:space="preserve">. </w:t>
            </w:r>
            <w:r w:rsidRPr="0071184F">
              <w:rPr>
                <w:rStyle w:val="NoteLabel"/>
              </w:rPr>
              <w:t>b</w:t>
            </w:r>
            <w:r>
              <w:t xml:space="preserve"> Lower skilled employment refers to people in jobs classified as </w:t>
            </w:r>
            <w:proofErr w:type="spellStart"/>
            <w:r>
              <w:t>ANZSCO</w:t>
            </w:r>
            <w:proofErr w:type="spellEnd"/>
            <w:r>
              <w:t xml:space="preserve"> skill level 4 or 5.</w:t>
            </w:r>
            <w:r w:rsidR="0037186B">
              <w:t xml:space="preserve"> </w:t>
            </w:r>
            <w:r w:rsidR="0037186B">
              <w:rPr>
                <w:rStyle w:val="NoteLabel"/>
              </w:rPr>
              <w:t xml:space="preserve">c </w:t>
            </w:r>
            <w:proofErr w:type="spellStart"/>
            <w:r w:rsidR="0037186B">
              <w:t>SA2s</w:t>
            </w:r>
            <w:proofErr w:type="spellEnd"/>
            <w:r w:rsidR="0037186B">
              <w:t xml:space="preserve"> are an ABS</w:t>
            </w:r>
            <w:r w:rsidR="00E209F1">
              <w:noBreakHyphen/>
            </w:r>
            <w:r w:rsidR="0037186B">
              <w:t xml:space="preserve">defined </w:t>
            </w:r>
            <w:r w:rsidR="0037186B" w:rsidRPr="005B3B30">
              <w:t>medium</w:t>
            </w:r>
            <w:r w:rsidR="00E209F1">
              <w:noBreakHyphen/>
            </w:r>
            <w:r w:rsidR="0037186B" w:rsidRPr="005B3B30">
              <w:t xml:space="preserve">sized geographic unit </w:t>
            </w:r>
            <w:r w:rsidR="0037186B">
              <w:t>that include</w:t>
            </w:r>
            <w:r w:rsidR="00306456">
              <w:t>s</w:t>
            </w:r>
            <w:r w:rsidR="0037186B">
              <w:t xml:space="preserve"> an </w:t>
            </w:r>
            <w:r w:rsidR="0037186B" w:rsidRPr="00751247">
              <w:t xml:space="preserve">average of </w:t>
            </w:r>
            <w:r w:rsidR="0037186B">
              <w:t xml:space="preserve">around </w:t>
            </w:r>
            <w:r w:rsidR="0037186B" w:rsidRPr="00751247">
              <w:t>10 000 people.</w:t>
            </w:r>
          </w:p>
        </w:tc>
      </w:tr>
      <w:tr w:rsidR="009602BA" w:rsidRPr="00176D3F" w14:paraId="75374A87" w14:textId="77777777" w:rsidTr="00C44B39">
        <w:tc>
          <w:tcPr>
            <w:tcW w:w="8767" w:type="dxa"/>
            <w:tcBorders>
              <w:top w:val="nil"/>
              <w:left w:val="nil"/>
              <w:bottom w:val="nil"/>
              <w:right w:val="nil"/>
            </w:tcBorders>
            <w:shd w:val="clear" w:color="auto" w:fill="auto"/>
          </w:tcPr>
          <w:p w14:paraId="7043D460" w14:textId="6CC792E4" w:rsidR="009602BA" w:rsidRPr="00176D3F" w:rsidRDefault="00306456" w:rsidP="00C44B39">
            <w:pPr>
              <w:pStyle w:val="Source"/>
            </w:pPr>
            <w:r>
              <w:rPr>
                <w:i/>
              </w:rPr>
              <w:t>Source</w:t>
            </w:r>
            <w:r w:rsidR="009602BA">
              <w:rPr>
                <w:i/>
              </w:rPr>
              <w:t>s</w:t>
            </w:r>
            <w:r w:rsidR="009602BA" w:rsidRPr="00176D3F">
              <w:t xml:space="preserve">: </w:t>
            </w:r>
            <w:r w:rsidR="009602BA">
              <w:t>ABS (</w:t>
            </w:r>
            <w:proofErr w:type="spellStart"/>
            <w:r w:rsidR="009602BA" w:rsidRPr="00905139">
              <w:rPr>
                <w:i/>
              </w:rPr>
              <w:t>TableBuilder</w:t>
            </w:r>
            <w:proofErr w:type="spellEnd"/>
            <w:r w:rsidR="009602BA" w:rsidRPr="00905139">
              <w:rPr>
                <w:i/>
              </w:rPr>
              <w:t xml:space="preserve"> Pro, 2011</w:t>
            </w:r>
            <w:r w:rsidR="009602BA">
              <w:t xml:space="preserve">, Cat. no. 2073.0); </w:t>
            </w:r>
            <w:r w:rsidR="009602BA" w:rsidRPr="00BF0589">
              <w:t>Department of Employment, Research and Evaluation Database</w:t>
            </w:r>
            <w:r w:rsidR="009602BA">
              <w:t>.</w:t>
            </w:r>
          </w:p>
        </w:tc>
      </w:tr>
      <w:tr w:rsidR="00151BCA" w14:paraId="7294670C" w14:textId="77777777" w:rsidTr="00C44B39">
        <w:tc>
          <w:tcPr>
            <w:tcW w:w="8767" w:type="dxa"/>
            <w:tcBorders>
              <w:top w:val="nil"/>
              <w:left w:val="nil"/>
              <w:bottom w:val="single" w:sz="6" w:space="0" w:color="78A22F"/>
              <w:right w:val="nil"/>
            </w:tcBorders>
            <w:shd w:val="clear" w:color="auto" w:fill="auto"/>
          </w:tcPr>
          <w:p w14:paraId="65330D5C" w14:textId="77777777" w:rsidR="00151BCA" w:rsidRDefault="00151BCA" w:rsidP="00C44B39">
            <w:pPr>
              <w:pStyle w:val="Figurespace"/>
            </w:pPr>
          </w:p>
        </w:tc>
      </w:tr>
      <w:tr w:rsidR="00151BCA" w:rsidRPr="000863A5" w14:paraId="010704E4" w14:textId="77777777" w:rsidTr="00C44B39">
        <w:tc>
          <w:tcPr>
            <w:tcW w:w="8767" w:type="dxa"/>
            <w:tcBorders>
              <w:top w:val="single" w:sz="6" w:space="0" w:color="78A22F"/>
              <w:left w:val="nil"/>
              <w:bottom w:val="nil"/>
              <w:right w:val="nil"/>
            </w:tcBorders>
          </w:tcPr>
          <w:p w14:paraId="42423564" w14:textId="288CB752" w:rsidR="00151BCA" w:rsidRPr="00626D32" w:rsidRDefault="00151BCA" w:rsidP="00C44B39">
            <w:pPr>
              <w:pStyle w:val="BoxSpaceBelow"/>
            </w:pPr>
          </w:p>
        </w:tc>
      </w:tr>
    </w:tbl>
    <w:p w14:paraId="05533DDA" w14:textId="77777777" w:rsidR="003E2234" w:rsidRDefault="003E2234" w:rsidP="003E2234">
      <w:pPr>
        <w:pStyle w:val="BodyText"/>
        <w:rPr>
          <w:i/>
        </w:rPr>
      </w:pPr>
    </w:p>
    <w:p w14:paraId="65788F50" w14:textId="77777777" w:rsidR="003E2234" w:rsidRPr="0096361E" w:rsidRDefault="003E2234" w:rsidP="0096361E">
      <w:pPr>
        <w:pStyle w:val="BodyText"/>
        <w:rPr>
          <w:i/>
        </w:rPr>
      </w:pPr>
      <w:r>
        <w:rPr>
          <w:i/>
        </w:rPr>
        <w:lastRenderedPageBreak/>
        <w:t xml:space="preserve">Public housing tenants in Perth are more likely to reside on the urban fringe. </w:t>
      </w:r>
      <w:r w:rsidR="0096361E">
        <w:rPr>
          <w:i/>
        </w:rPr>
        <w:t xml:space="preserve">This is </w:t>
      </w:r>
      <w:r>
        <w:rPr>
          <w:i/>
        </w:rPr>
        <w:t xml:space="preserve">also </w:t>
      </w:r>
      <w:r w:rsidR="0096361E">
        <w:rPr>
          <w:i/>
        </w:rPr>
        <w:t>where</w:t>
      </w:r>
      <w:r>
        <w:rPr>
          <w:i/>
        </w:rPr>
        <w:t xml:space="preserve"> </w:t>
      </w:r>
      <w:proofErr w:type="spellStart"/>
      <w:r>
        <w:rPr>
          <w:i/>
        </w:rPr>
        <w:t>CRA</w:t>
      </w:r>
      <w:proofErr w:type="spellEnd"/>
      <w:r>
        <w:rPr>
          <w:i/>
        </w:rPr>
        <w:t xml:space="preserve"> recipients </w:t>
      </w:r>
      <w:r w:rsidR="0096361E">
        <w:rPr>
          <w:i/>
        </w:rPr>
        <w:t xml:space="preserve">tend to live, and where low skill jobs are found. </w:t>
      </w:r>
    </w:p>
    <w:p w14:paraId="5D1EE176" w14:textId="67E888A0" w:rsidR="00151BCA" w:rsidRDefault="00151BCA" w:rsidP="00151B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67"/>
      </w:tblGrid>
      <w:tr w:rsidR="00151BCA" w14:paraId="7A6A68F5" w14:textId="77777777" w:rsidTr="00C44B39">
        <w:tc>
          <w:tcPr>
            <w:tcW w:w="8767" w:type="dxa"/>
            <w:tcBorders>
              <w:top w:val="single" w:sz="6" w:space="0" w:color="78A22F"/>
              <w:left w:val="nil"/>
              <w:bottom w:val="single" w:sz="4" w:space="0" w:color="B5B5B5" w:themeColor="accent4" w:themeShade="BF"/>
              <w:right w:val="nil"/>
            </w:tcBorders>
            <w:shd w:val="clear" w:color="auto" w:fill="auto"/>
          </w:tcPr>
          <w:p w14:paraId="04BC4DF4" w14:textId="1AF7C146" w:rsidR="00151BCA" w:rsidRDefault="00151BCA" w:rsidP="00C44B39">
            <w:pPr>
              <w:pStyle w:val="FigureTitle"/>
            </w:pPr>
            <w:r w:rsidRPr="00784A05">
              <w:rPr>
                <w:b w:val="0"/>
              </w:rPr>
              <w:t xml:space="preserve">Figure </w:t>
            </w:r>
            <w:bookmarkStart w:id="4" w:name="OLE_LINK27"/>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26</w:t>
            </w:r>
            <w:r w:rsidRPr="00784A05">
              <w:rPr>
                <w:b w:val="0"/>
              </w:rPr>
              <w:fldChar w:fldCharType="end"/>
            </w:r>
            <w:bookmarkEnd w:id="4"/>
            <w:r>
              <w:tab/>
              <w:t>Housing assistance and low</w:t>
            </w:r>
            <w:r w:rsidR="00206729">
              <w:t xml:space="preserve">er </w:t>
            </w:r>
            <w:r>
              <w:t>skill jobs around Perth</w:t>
            </w:r>
            <w:proofErr w:type="spellStart"/>
            <w:r w:rsidRPr="00005FB3">
              <w:rPr>
                <w:rStyle w:val="NoteLabel"/>
                <w:b/>
              </w:rPr>
              <w:t>a</w:t>
            </w:r>
            <w:r w:rsidR="0071184F">
              <w:rPr>
                <w:rStyle w:val="NoteLabel"/>
                <w:b/>
              </w:rPr>
              <w:t>,b</w:t>
            </w:r>
            <w:r w:rsidR="0037186B">
              <w:rPr>
                <w:rStyle w:val="NoteLabel"/>
                <w:b/>
              </w:rPr>
              <w:t>,c</w:t>
            </w:r>
            <w:proofErr w:type="spellEnd"/>
          </w:p>
          <w:p w14:paraId="47073433" w14:textId="77777777" w:rsidR="00151BCA" w:rsidRPr="00176D3F" w:rsidRDefault="00151BCA" w:rsidP="00C44B39">
            <w:pPr>
              <w:pStyle w:val="Subtitle"/>
            </w:pPr>
            <w:r>
              <w:t xml:space="preserve">Per cent located in each </w:t>
            </w:r>
            <w:proofErr w:type="spellStart"/>
            <w:r>
              <w:t>SA2</w:t>
            </w:r>
            <w:proofErr w:type="spellEnd"/>
            <w:r>
              <w:t xml:space="preserve"> area, 2011</w:t>
            </w:r>
          </w:p>
        </w:tc>
      </w:tr>
      <w:tr w:rsidR="00151BCA" w:rsidRPr="00176D3F" w14:paraId="74D5E905" w14:textId="77777777" w:rsidTr="003737D9">
        <w:trPr>
          <w:trHeight w:val="2896"/>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5F497670" w14:textId="77777777" w:rsidR="00151BCA" w:rsidRDefault="00151BCA" w:rsidP="00C44B39">
            <w:pPr>
              <w:pStyle w:val="Note"/>
              <w:jc w:val="center"/>
              <w:rPr>
                <w:b/>
                <w:noProof/>
                <w:position w:val="6"/>
              </w:rPr>
            </w:pPr>
            <w:r>
              <w:rPr>
                <w:b/>
                <w:noProof/>
                <w:position w:val="6"/>
              </w:rPr>
              <mc:AlternateContent>
                <mc:Choice Requires="wps">
                  <w:drawing>
                    <wp:anchor distT="0" distB="0" distL="114300" distR="114300" simplePos="0" relativeHeight="251697152" behindDoc="0" locked="0" layoutInCell="1" allowOverlap="1" wp14:anchorId="03F4026C" wp14:editId="430D9957">
                      <wp:simplePos x="0" y="0"/>
                      <wp:positionH relativeFrom="column">
                        <wp:posOffset>-44450</wp:posOffset>
                      </wp:positionH>
                      <wp:positionV relativeFrom="paragraph">
                        <wp:posOffset>63500</wp:posOffset>
                      </wp:positionV>
                      <wp:extent cx="1753870" cy="435610"/>
                      <wp:effectExtent l="0" t="0" r="0" b="2540"/>
                      <wp:wrapNone/>
                      <wp:docPr id="131" name="Text Box 131"/>
                      <wp:cNvGraphicFramePr/>
                      <a:graphic xmlns:a="http://schemas.openxmlformats.org/drawingml/2006/main">
                        <a:graphicData uri="http://schemas.microsoft.com/office/word/2010/wordprocessingShape">
                          <wps:wsp>
                            <wps:cNvSpPr txBox="1"/>
                            <wps:spPr>
                              <a:xfrm>
                                <a:off x="0" y="0"/>
                                <a:ext cx="1753870" cy="43561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016D1D9" w14:textId="77777777" w:rsidR="009A5CAA" w:rsidRPr="00C94C4F" w:rsidRDefault="009A5CAA" w:rsidP="00151BCA">
                                  <w:pPr>
                                    <w:rPr>
                                      <w:rFonts w:ascii="Arial" w:hAnsi="Arial" w:cs="Arial"/>
                                      <w:b/>
                                    </w:rPr>
                                  </w:pPr>
                                  <w:proofErr w:type="spellStart"/>
                                  <w:r w:rsidRPr="00C94C4F">
                                    <w:rPr>
                                      <w:rFonts w:ascii="Arial" w:hAnsi="Arial" w:cs="Arial"/>
                                      <w:b/>
                                    </w:rPr>
                                    <w:t>CRA</w:t>
                                  </w:r>
                                  <w:proofErr w:type="spellEnd"/>
                                  <w:r w:rsidRPr="00C94C4F">
                                    <w:rPr>
                                      <w:rFonts w:ascii="Arial" w:hAnsi="Arial" w:cs="Arial"/>
                                      <w:b/>
                                    </w:rPr>
                                    <w:t xml:space="preserve"> </w:t>
                                  </w:r>
                                  <w:r>
                                    <w:rPr>
                                      <w:rFonts w:ascii="Arial" w:hAnsi="Arial" w:cs="Arial"/>
                                      <w:b/>
                                    </w:rPr>
                                    <w:t>r</w:t>
                                  </w:r>
                                  <w:r w:rsidRPr="00C94C4F">
                                    <w:rPr>
                                      <w:rFonts w:ascii="Arial" w:hAnsi="Arial" w:cs="Arial"/>
                                      <w:b/>
                                    </w:rPr>
                                    <w:t>ecipients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31" o:spid="_x0000_s1044" type="#_x0000_t202" style="position:absolute;left:0;text-align:left;margin-left:-3.5pt;margin-top:5pt;width:138.1pt;height:34.3pt;z-index:25169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" fillcolor="white [3201]" stroked="f" strokeweight=".5pt">
                      <v:textbox>
                        <w:txbxContent>
                          <w:p w14:paraId="6016D1D9" w14:textId="77777777" w:rsidR="009A5CAA" w:rsidRPr="00C94C4F" w:rsidRDefault="009A5CAA" w:rsidP="00151BCA">
                            <w:pPr>
                              <w:rPr>
                                <w:rFonts w:ascii="Arial" w:hAnsi="Arial" w:cs="Arial"/>
                                <w:b/>
                              </w:rPr>
                            </w:pPr>
                            <w:proofErr w:type="spellStart"/>
                            <w:r w:rsidRPr="00C94C4F">
                              <w:rPr>
                                <w:rFonts w:ascii="Arial" w:hAnsi="Arial" w:cs="Arial"/>
                                <w:b/>
                              </w:rPr>
                              <w:t>CRA</w:t>
                            </w:r>
                            <w:proofErr w:type="spellEnd"/>
                            <w:r w:rsidRPr="00C94C4F">
                              <w:rPr>
                                <w:rFonts w:ascii="Arial" w:hAnsi="Arial" w:cs="Arial"/>
                                <w:b/>
                              </w:rPr>
                              <w:t xml:space="preserve"> </w:t>
                            </w:r>
                            <w:r>
                              <w:rPr>
                                <w:rFonts w:ascii="Arial" w:hAnsi="Arial" w:cs="Arial"/>
                                <w:b/>
                              </w:rPr>
                              <w:t>r</w:t>
                            </w:r>
                            <w:r w:rsidRPr="00C94C4F">
                              <w:rPr>
                                <w:rFonts w:ascii="Arial" w:hAnsi="Arial" w:cs="Arial"/>
                                <w:b/>
                              </w:rPr>
                              <w:t>ecipients</w:t>
                            </w:r>
                          </w:p>
                        </w:txbxContent>
                      </v:textbox>
                    </v:shape>
                  </w:pict>
                </mc:Fallback>
              </mc:AlternateContent>
            </w:r>
            <w:r>
              <w:rPr>
                <w:b/>
                <w:noProof/>
                <w:position w:val="6"/>
              </w:rPr>
              <w:drawing>
                <wp:anchor distT="0" distB="0" distL="114300" distR="114300" simplePos="0" relativeHeight="251702272" behindDoc="1" locked="0" layoutInCell="1" allowOverlap="1" wp14:anchorId="7BC0699B" wp14:editId="720436E6">
                  <wp:simplePos x="1254125" y="-52705"/>
                  <wp:positionH relativeFrom="column">
                    <wp:posOffset>1598295</wp:posOffset>
                  </wp:positionH>
                  <wp:positionV relativeFrom="page">
                    <wp:align>center</wp:align>
                  </wp:positionV>
                  <wp:extent cx="4791600" cy="2016000"/>
                  <wp:effectExtent l="0" t="0" r="0" b="3810"/>
                  <wp:wrapThrough wrapText="bothSides">
                    <wp:wrapPolygon edited="0">
                      <wp:start x="0" y="0"/>
                      <wp:lineTo x="0" y="21437"/>
                      <wp:lineTo x="21471" y="21437"/>
                      <wp:lineTo x="21471" y="0"/>
                      <wp:lineTo x="0" y="0"/>
                    </wp:wrapPolygon>
                  </wp:wrapThrough>
                  <wp:docPr id="134" name="Picture 134" descr="A summary of this figure can be found within the text immediately before this figure.&#10;" title="Figure 26, Panel 1 – The proportion of CRA recipients, public housing tenants and low skilled jobs located in each SA2 within Perth in 201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th+cra+insert+updated.jpe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4791600" cy="2016000"/>
                          </a:xfrm>
                          <a:prstGeom prst="rect">
                            <a:avLst/>
                          </a:prstGeom>
                        </pic:spPr>
                      </pic:pic>
                    </a:graphicData>
                  </a:graphic>
                  <wp14:sizeRelH relativeFrom="margin">
                    <wp14:pctWidth>0</wp14:pctWidth>
                  </wp14:sizeRelH>
                  <wp14:sizeRelV relativeFrom="margin">
                    <wp14:pctHeight>0</wp14:pctHeight>
                  </wp14:sizeRelV>
                </wp:anchor>
              </w:drawing>
            </w:r>
          </w:p>
          <w:p w14:paraId="20519536" w14:textId="77777777" w:rsidR="00151BCA" w:rsidRDefault="00151BCA" w:rsidP="00C44B39">
            <w:pPr>
              <w:pStyle w:val="Note"/>
              <w:rPr>
                <w:rStyle w:val="NoteLabel"/>
              </w:rPr>
            </w:pPr>
          </w:p>
        </w:tc>
      </w:tr>
      <w:tr w:rsidR="00151BCA" w:rsidRPr="00176D3F" w14:paraId="75B9AE46" w14:textId="77777777" w:rsidTr="003737D9">
        <w:trPr>
          <w:trHeight w:val="2812"/>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4D594BB1" w14:textId="77777777" w:rsidR="00151BCA" w:rsidRDefault="00151BCA" w:rsidP="00C44B39">
            <w:pPr>
              <w:pStyle w:val="Note"/>
              <w:rPr>
                <w:rStyle w:val="NoteLabel"/>
              </w:rPr>
            </w:pPr>
            <w:r>
              <w:rPr>
                <w:b/>
                <w:noProof/>
                <w:position w:val="6"/>
              </w:rPr>
              <w:drawing>
                <wp:anchor distT="0" distB="0" distL="114300" distR="114300" simplePos="0" relativeHeight="251700224" behindDoc="1" locked="0" layoutInCell="1" allowOverlap="1" wp14:anchorId="65776207" wp14:editId="1B1CDD91">
                  <wp:simplePos x="1254125" y="2327910"/>
                  <wp:positionH relativeFrom="column">
                    <wp:posOffset>1598295</wp:posOffset>
                  </wp:positionH>
                  <wp:positionV relativeFrom="page">
                    <wp:align>center</wp:align>
                  </wp:positionV>
                  <wp:extent cx="4791600" cy="2016000"/>
                  <wp:effectExtent l="0" t="0" r="0" b="3810"/>
                  <wp:wrapThrough wrapText="bothSides">
                    <wp:wrapPolygon edited="0">
                      <wp:start x="0" y="0"/>
                      <wp:lineTo x="0" y="21437"/>
                      <wp:lineTo x="21471" y="21437"/>
                      <wp:lineTo x="21471" y="0"/>
                      <wp:lineTo x="0" y="0"/>
                    </wp:wrapPolygon>
                  </wp:wrapThrough>
                  <wp:docPr id="135" name="Picture 135" descr="Please refer to the description of figure 26 found in the first panel.&#10;" title="Figure 26, Panel 2 – This panel is part of figure 26.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th_ph_insert.jpe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4791600" cy="2016000"/>
                          </a:xfrm>
                          <a:prstGeom prst="rect">
                            <a:avLst/>
                          </a:prstGeom>
                        </pic:spPr>
                      </pic:pic>
                    </a:graphicData>
                  </a:graphic>
                  <wp14:sizeRelH relativeFrom="margin">
                    <wp14:pctWidth>0</wp14:pctWidth>
                  </wp14:sizeRelH>
                  <wp14:sizeRelV relativeFrom="margin">
                    <wp14:pctHeight>0</wp14:pctHeight>
                  </wp14:sizeRelV>
                </wp:anchor>
              </w:drawing>
            </w:r>
            <w:r>
              <w:rPr>
                <w:b/>
                <w:noProof/>
                <w:position w:val="6"/>
              </w:rPr>
              <mc:AlternateContent>
                <mc:Choice Requires="wps">
                  <w:drawing>
                    <wp:anchor distT="0" distB="0" distL="114300" distR="114300" simplePos="0" relativeHeight="251698176" behindDoc="0" locked="0" layoutInCell="1" allowOverlap="1" wp14:anchorId="6FC5EEB4" wp14:editId="17636F12">
                      <wp:simplePos x="0" y="0"/>
                      <wp:positionH relativeFrom="column">
                        <wp:posOffset>-32385</wp:posOffset>
                      </wp:positionH>
                      <wp:positionV relativeFrom="paragraph">
                        <wp:posOffset>72863</wp:posOffset>
                      </wp:positionV>
                      <wp:extent cx="2339163" cy="541655"/>
                      <wp:effectExtent l="0" t="0" r="0" b="0"/>
                      <wp:wrapNone/>
                      <wp:docPr id="132" name="Text Box 132"/>
                      <wp:cNvGraphicFramePr/>
                      <a:graphic xmlns:a="http://schemas.openxmlformats.org/drawingml/2006/main">
                        <a:graphicData uri="http://schemas.microsoft.com/office/word/2010/wordprocessingShape">
                          <wps:wsp>
                            <wps:cNvSpPr txBox="1"/>
                            <wps:spPr>
                              <a:xfrm>
                                <a:off x="0" y="0"/>
                                <a:ext cx="2339163" cy="541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328507C" w14:textId="77777777" w:rsidR="009A5CAA" w:rsidRPr="00C94C4F" w:rsidRDefault="009A5CAA" w:rsidP="00151BCA">
                                  <w:pPr>
                                    <w:rPr>
                                      <w:rFonts w:ascii="Arial" w:hAnsi="Arial" w:cs="Arial"/>
                                      <w:b/>
                                    </w:rPr>
                                  </w:pPr>
                                  <w:r>
                                    <w:rPr>
                                      <w:rFonts w:ascii="Arial" w:hAnsi="Arial" w:cs="Arial"/>
                                      <w:b/>
                                    </w:rPr>
                                    <w:t>Public housing residents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32" o:spid="_x0000_s1045" type="#_x0000_t202" style="position:absolute;left:0;text-align:left;margin-left:-2.55pt;margin-top:5.75pt;width:184.2pt;height:42.65pt;z-index:251698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" filled="f" stroked="f" strokeweight=".5pt">
                      <v:textbox>
                        <w:txbxContent>
                          <w:p w14:paraId="7328507C" w14:textId="77777777" w:rsidR="009A5CAA" w:rsidRPr="00C94C4F" w:rsidRDefault="009A5CAA" w:rsidP="00151BCA">
                            <w:pPr>
                              <w:rPr>
                                <w:rFonts w:ascii="Arial" w:hAnsi="Arial" w:cs="Arial"/>
                                <w:b/>
                              </w:rPr>
                            </w:pPr>
                            <w:r>
                              <w:rPr>
                                <w:rFonts w:ascii="Arial" w:hAnsi="Arial" w:cs="Arial"/>
                                <w:b/>
                              </w:rPr>
                              <w:t>Public housing residents</w:t>
                            </w:r>
                          </w:p>
                        </w:txbxContent>
                      </v:textbox>
                    </v:shape>
                  </w:pict>
                </mc:Fallback>
              </mc:AlternateContent>
            </w:r>
          </w:p>
        </w:tc>
      </w:tr>
      <w:tr w:rsidR="00151BCA" w:rsidRPr="00176D3F" w14:paraId="427BA20E" w14:textId="77777777" w:rsidTr="003737D9">
        <w:trPr>
          <w:trHeight w:val="3042"/>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6F5F9FA0" w14:textId="77777777" w:rsidR="00151BCA" w:rsidRDefault="00151BCA" w:rsidP="00C44B39">
            <w:pPr>
              <w:pStyle w:val="Note"/>
              <w:rPr>
                <w:rStyle w:val="NoteLabel"/>
              </w:rPr>
            </w:pPr>
            <w:r>
              <w:rPr>
                <w:b/>
                <w:noProof/>
                <w:position w:val="6"/>
              </w:rPr>
              <mc:AlternateContent>
                <mc:Choice Requires="wps">
                  <w:drawing>
                    <wp:anchor distT="0" distB="0" distL="114300" distR="114300" simplePos="0" relativeHeight="251699200" behindDoc="0" locked="0" layoutInCell="1" allowOverlap="1" wp14:anchorId="5CA8CCCB" wp14:editId="52C57DFB">
                      <wp:simplePos x="0" y="0"/>
                      <wp:positionH relativeFrom="column">
                        <wp:posOffset>-39370</wp:posOffset>
                      </wp:positionH>
                      <wp:positionV relativeFrom="paragraph">
                        <wp:posOffset>75403</wp:posOffset>
                      </wp:positionV>
                      <wp:extent cx="2338705" cy="541655"/>
                      <wp:effectExtent l="0" t="0" r="0" b="0"/>
                      <wp:wrapNone/>
                      <wp:docPr id="133" name="Text Box 133"/>
                      <wp:cNvGraphicFramePr/>
                      <a:graphic xmlns:a="http://schemas.openxmlformats.org/drawingml/2006/main">
                        <a:graphicData uri="http://schemas.microsoft.com/office/word/2010/wordprocessingShape">
                          <wps:wsp>
                            <wps:cNvSpPr txBox="1"/>
                            <wps:spPr>
                              <a:xfrm>
                                <a:off x="0" y="0"/>
                                <a:ext cx="2338705" cy="541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2A3C297" w14:textId="77777777" w:rsidR="009A5CAA" w:rsidRPr="00C94C4F" w:rsidRDefault="009A5CAA" w:rsidP="00151BCA">
                                  <w:pPr>
                                    <w:rPr>
                                      <w:rFonts w:ascii="Arial" w:hAnsi="Arial" w:cs="Arial"/>
                                      <w:b/>
                                    </w:rPr>
                                  </w:pPr>
                                  <w:r>
                                    <w:rPr>
                                      <w:rFonts w:ascii="Arial" w:hAnsi="Arial" w:cs="Arial"/>
                                      <w:b/>
                                    </w:rPr>
                                    <w:t>Lower skilled employment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33" o:spid="_x0000_s1046" type="#_x0000_t202" style="position:absolute;left:0;text-align:left;margin-left:-3.1pt;margin-top:5.95pt;width:184.15pt;height:42.65pt;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" filled="f" stroked="f" strokeweight=".5pt">
                      <v:textbox>
                        <w:txbxContent>
                          <w:p w14:paraId="02A3C297" w14:textId="77777777" w:rsidR="009A5CAA" w:rsidRPr="00C94C4F" w:rsidRDefault="009A5CAA" w:rsidP="00151BCA">
                            <w:pPr>
                              <w:rPr>
                                <w:rFonts w:ascii="Arial" w:hAnsi="Arial" w:cs="Arial"/>
                                <w:b/>
                              </w:rPr>
                            </w:pPr>
                            <w:r>
                              <w:rPr>
                                <w:rFonts w:ascii="Arial" w:hAnsi="Arial" w:cs="Arial"/>
                                <w:b/>
                              </w:rPr>
                              <w:t>Lower skilled employment</w:t>
                            </w:r>
                          </w:p>
                        </w:txbxContent>
                      </v:textbox>
                    </v:shape>
                  </w:pict>
                </mc:Fallback>
              </mc:AlternateContent>
            </w:r>
            <w:r>
              <w:rPr>
                <w:b/>
                <w:noProof/>
                <w:position w:val="6"/>
              </w:rPr>
              <w:drawing>
                <wp:anchor distT="0" distB="0" distL="114300" distR="114300" simplePos="0" relativeHeight="251701248" behindDoc="1" locked="0" layoutInCell="1" allowOverlap="1" wp14:anchorId="7D7EF825" wp14:editId="20D92D1C">
                  <wp:simplePos x="1254125" y="4709795"/>
                  <wp:positionH relativeFrom="column">
                    <wp:posOffset>1598295</wp:posOffset>
                  </wp:positionH>
                  <wp:positionV relativeFrom="page">
                    <wp:align>center</wp:align>
                  </wp:positionV>
                  <wp:extent cx="4791600" cy="2016000"/>
                  <wp:effectExtent l="0" t="0" r="0" b="3810"/>
                  <wp:wrapThrough wrapText="bothSides">
                    <wp:wrapPolygon edited="0">
                      <wp:start x="0" y="0"/>
                      <wp:lineTo x="0" y="21437"/>
                      <wp:lineTo x="21471" y="21437"/>
                      <wp:lineTo x="21471" y="0"/>
                      <wp:lineTo x="0" y="0"/>
                    </wp:wrapPolygon>
                  </wp:wrapThrough>
                  <wp:docPr id="136" name="Picture 136" descr="Please refer to the description of figure 26 found in the first panel.&#10;" title="Figure 26, Panel 3 – This panel is part of fig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th+insert+skills.jpe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4791600" cy="2016000"/>
                          </a:xfrm>
                          <a:prstGeom prst="rect">
                            <a:avLst/>
                          </a:prstGeom>
                        </pic:spPr>
                      </pic:pic>
                    </a:graphicData>
                  </a:graphic>
                  <wp14:sizeRelH relativeFrom="margin">
                    <wp14:pctWidth>0</wp14:pctWidth>
                  </wp14:sizeRelH>
                  <wp14:sizeRelV relativeFrom="margin">
                    <wp14:pctHeight>0</wp14:pctHeight>
                  </wp14:sizeRelV>
                </wp:anchor>
              </w:drawing>
            </w:r>
          </w:p>
        </w:tc>
      </w:tr>
      <w:tr w:rsidR="00147D6A" w:rsidRPr="00176D3F" w14:paraId="7D53877E" w14:textId="77777777" w:rsidTr="00C44B39">
        <w:tc>
          <w:tcPr>
            <w:tcW w:w="8767" w:type="dxa"/>
            <w:tcBorders>
              <w:top w:val="single" w:sz="4" w:space="0" w:color="B5B5B5" w:themeColor="accent4" w:themeShade="BF"/>
              <w:left w:val="nil"/>
              <w:bottom w:val="nil"/>
              <w:right w:val="nil"/>
            </w:tcBorders>
            <w:shd w:val="clear" w:color="auto" w:fill="auto"/>
          </w:tcPr>
          <w:p w14:paraId="1C04C057" w14:textId="27BA5719" w:rsidR="00147D6A" w:rsidRPr="00176D3F" w:rsidRDefault="00147D6A" w:rsidP="00C44B39">
            <w:pPr>
              <w:pStyle w:val="Note"/>
            </w:pPr>
            <w:r>
              <w:rPr>
                <w:rStyle w:val="NoteLabel"/>
              </w:rPr>
              <w:t>a</w:t>
            </w:r>
            <w:r w:rsidR="0088609E">
              <w:t xml:space="preserve"> </w:t>
            </w:r>
            <w:r>
              <w:t>ISP recipients aged 15–65 at 30</w:t>
            </w:r>
            <w:r w:rsidR="00935A28">
              <w:t> </w:t>
            </w:r>
            <w:r>
              <w:t xml:space="preserve">June 2011. </w:t>
            </w:r>
            <w:proofErr w:type="spellStart"/>
            <w:r>
              <w:t>CRA</w:t>
            </w:r>
            <w:proofErr w:type="spellEnd"/>
            <w:r>
              <w:t xml:space="preserve"> recipients do not include </w:t>
            </w:r>
            <w:proofErr w:type="spellStart"/>
            <w:r w:rsidR="00FF2726">
              <w:t>FTB</w:t>
            </w:r>
            <w:proofErr w:type="spellEnd"/>
            <w:r w:rsidR="00FF2726">
              <w:t xml:space="preserve"> A</w:t>
            </w:r>
            <w:r w:rsidR="00935A28">
              <w:noBreakHyphen/>
            </w:r>
            <w:r>
              <w:t xml:space="preserve">only recipients of </w:t>
            </w:r>
            <w:proofErr w:type="spellStart"/>
            <w:r>
              <w:t>CRA</w:t>
            </w:r>
            <w:proofErr w:type="spellEnd"/>
            <w:r>
              <w:t xml:space="preserve">. </w:t>
            </w:r>
            <w:r w:rsidRPr="0071184F">
              <w:rPr>
                <w:rStyle w:val="NoteLabel"/>
              </w:rPr>
              <w:t>b</w:t>
            </w:r>
            <w:r>
              <w:t xml:space="preserve"> Lower skilled employment refers to people in jobs classified as </w:t>
            </w:r>
            <w:proofErr w:type="spellStart"/>
            <w:r>
              <w:t>ANZSCO</w:t>
            </w:r>
            <w:proofErr w:type="spellEnd"/>
            <w:r>
              <w:t xml:space="preserve"> skill level 4 or 5.</w:t>
            </w:r>
            <w:r w:rsidR="0037186B">
              <w:t xml:space="preserve"> </w:t>
            </w:r>
            <w:r w:rsidR="0037186B">
              <w:rPr>
                <w:rStyle w:val="NoteLabel"/>
              </w:rPr>
              <w:t xml:space="preserve">c </w:t>
            </w:r>
            <w:proofErr w:type="spellStart"/>
            <w:r w:rsidR="0037186B">
              <w:t>SA2s</w:t>
            </w:r>
            <w:proofErr w:type="spellEnd"/>
            <w:r w:rsidR="0037186B">
              <w:t xml:space="preserve"> are an ABS</w:t>
            </w:r>
            <w:r w:rsidR="00E209F1">
              <w:noBreakHyphen/>
            </w:r>
            <w:r w:rsidR="0037186B">
              <w:t xml:space="preserve">defined </w:t>
            </w:r>
            <w:r w:rsidR="0037186B" w:rsidRPr="005B3B30">
              <w:t>medium</w:t>
            </w:r>
            <w:r w:rsidR="00E209F1">
              <w:noBreakHyphen/>
            </w:r>
            <w:r w:rsidR="0037186B" w:rsidRPr="005B3B30">
              <w:t xml:space="preserve">sized geographic unit </w:t>
            </w:r>
            <w:r w:rsidR="0037186B">
              <w:t>that include</w:t>
            </w:r>
            <w:r w:rsidR="00306456">
              <w:t>s</w:t>
            </w:r>
            <w:r w:rsidR="0037186B">
              <w:t xml:space="preserve"> an </w:t>
            </w:r>
            <w:r w:rsidR="0037186B" w:rsidRPr="00751247">
              <w:t xml:space="preserve">average of </w:t>
            </w:r>
            <w:r w:rsidR="0037186B">
              <w:t xml:space="preserve">around </w:t>
            </w:r>
            <w:r w:rsidR="0037186B" w:rsidRPr="00751247">
              <w:t>10 000 people.</w:t>
            </w:r>
          </w:p>
        </w:tc>
      </w:tr>
      <w:tr w:rsidR="00147D6A" w:rsidRPr="00176D3F" w14:paraId="7BA0C23C" w14:textId="77777777" w:rsidTr="00C44B39">
        <w:tc>
          <w:tcPr>
            <w:tcW w:w="8767" w:type="dxa"/>
            <w:tcBorders>
              <w:top w:val="nil"/>
              <w:left w:val="nil"/>
              <w:bottom w:val="nil"/>
              <w:right w:val="nil"/>
            </w:tcBorders>
            <w:shd w:val="clear" w:color="auto" w:fill="auto"/>
          </w:tcPr>
          <w:p w14:paraId="0881EE54" w14:textId="289E2AA0" w:rsidR="00147D6A" w:rsidRPr="00176D3F" w:rsidRDefault="00306456" w:rsidP="00C44B39">
            <w:pPr>
              <w:pStyle w:val="Source"/>
            </w:pPr>
            <w:r>
              <w:rPr>
                <w:i/>
              </w:rPr>
              <w:t>Source</w:t>
            </w:r>
            <w:r w:rsidR="00147D6A">
              <w:rPr>
                <w:i/>
              </w:rPr>
              <w:t>s</w:t>
            </w:r>
            <w:r w:rsidR="00147D6A" w:rsidRPr="00176D3F">
              <w:t xml:space="preserve">: </w:t>
            </w:r>
            <w:r w:rsidR="00147D6A">
              <w:t>ABS (</w:t>
            </w:r>
            <w:proofErr w:type="spellStart"/>
            <w:r w:rsidR="00147D6A" w:rsidRPr="00905139">
              <w:rPr>
                <w:i/>
              </w:rPr>
              <w:t>TableBuilder</w:t>
            </w:r>
            <w:proofErr w:type="spellEnd"/>
            <w:r w:rsidR="00147D6A" w:rsidRPr="00905139">
              <w:rPr>
                <w:i/>
              </w:rPr>
              <w:t xml:space="preserve"> Pro, 2011</w:t>
            </w:r>
            <w:r w:rsidR="00147D6A">
              <w:t xml:space="preserve">, Cat. no. 2073.0); </w:t>
            </w:r>
            <w:r w:rsidR="00147D6A" w:rsidRPr="00BF0589">
              <w:t>Department of Employment, Research and Evaluation Database</w:t>
            </w:r>
            <w:r w:rsidR="00147D6A">
              <w:t>.</w:t>
            </w:r>
          </w:p>
        </w:tc>
      </w:tr>
      <w:tr w:rsidR="00151BCA" w14:paraId="358C3A06" w14:textId="77777777" w:rsidTr="00C44B39">
        <w:tc>
          <w:tcPr>
            <w:tcW w:w="8767" w:type="dxa"/>
            <w:tcBorders>
              <w:top w:val="nil"/>
              <w:left w:val="nil"/>
              <w:bottom w:val="single" w:sz="6" w:space="0" w:color="78A22F"/>
              <w:right w:val="nil"/>
            </w:tcBorders>
            <w:shd w:val="clear" w:color="auto" w:fill="auto"/>
          </w:tcPr>
          <w:p w14:paraId="61488110" w14:textId="77777777" w:rsidR="00151BCA" w:rsidRDefault="00151BCA" w:rsidP="00C44B39">
            <w:pPr>
              <w:pStyle w:val="Figurespace"/>
            </w:pPr>
          </w:p>
        </w:tc>
      </w:tr>
      <w:tr w:rsidR="00151BCA" w:rsidRPr="000863A5" w14:paraId="51697C22" w14:textId="77777777" w:rsidTr="00C44B39">
        <w:tc>
          <w:tcPr>
            <w:tcW w:w="8767" w:type="dxa"/>
            <w:tcBorders>
              <w:top w:val="single" w:sz="6" w:space="0" w:color="78A22F"/>
              <w:left w:val="nil"/>
              <w:bottom w:val="nil"/>
              <w:right w:val="nil"/>
            </w:tcBorders>
          </w:tcPr>
          <w:p w14:paraId="5F9AD1A4" w14:textId="396190D8" w:rsidR="00151BCA" w:rsidRPr="00626D32" w:rsidRDefault="00151BCA" w:rsidP="00C44B39">
            <w:pPr>
              <w:pStyle w:val="BoxSpaceBelow"/>
            </w:pPr>
          </w:p>
        </w:tc>
      </w:tr>
    </w:tbl>
    <w:p w14:paraId="56CC1258" w14:textId="77777777" w:rsidR="003E2234" w:rsidRDefault="003E2234" w:rsidP="003E2234">
      <w:pPr>
        <w:pStyle w:val="BodyText"/>
        <w:rPr>
          <w:i/>
        </w:rPr>
      </w:pPr>
    </w:p>
    <w:p w14:paraId="6DE8ACAE" w14:textId="77777777" w:rsidR="003E2234" w:rsidRPr="0096361E" w:rsidRDefault="003E2234" w:rsidP="0096361E">
      <w:pPr>
        <w:pStyle w:val="BodyText"/>
        <w:rPr>
          <w:i/>
        </w:rPr>
      </w:pPr>
      <w:r>
        <w:rPr>
          <w:i/>
        </w:rPr>
        <w:lastRenderedPageBreak/>
        <w:t>In Hobart</w:t>
      </w:r>
      <w:r w:rsidR="0096361E">
        <w:rPr>
          <w:i/>
        </w:rPr>
        <w:t>,</w:t>
      </w:r>
      <w:r>
        <w:rPr>
          <w:i/>
        </w:rPr>
        <w:t xml:space="preserve"> </w:t>
      </w:r>
      <w:proofErr w:type="spellStart"/>
      <w:r>
        <w:rPr>
          <w:i/>
        </w:rPr>
        <w:t>CRA</w:t>
      </w:r>
      <w:proofErr w:type="spellEnd"/>
      <w:r>
        <w:rPr>
          <w:i/>
        </w:rPr>
        <w:t xml:space="preserve"> recipients and public housing tenants live in similar areas</w:t>
      </w:r>
      <w:r w:rsidR="002349F9">
        <w:rPr>
          <w:i/>
        </w:rPr>
        <w:t>, which are also where many low skill jobs are found.</w:t>
      </w:r>
      <w:r w:rsidR="0088609E">
        <w:rPr>
          <w:i/>
        </w:rPr>
        <w:t xml:space="preserve"> </w:t>
      </w:r>
    </w:p>
    <w:p w14:paraId="123592F0" w14:textId="5ECE5523" w:rsidR="000B362C" w:rsidRDefault="000B362C" w:rsidP="000B362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67"/>
      </w:tblGrid>
      <w:tr w:rsidR="000B362C" w14:paraId="2D3165FC" w14:textId="77777777" w:rsidTr="00A20B09">
        <w:tc>
          <w:tcPr>
            <w:tcW w:w="8767" w:type="dxa"/>
            <w:tcBorders>
              <w:top w:val="single" w:sz="6" w:space="0" w:color="78A22F"/>
              <w:left w:val="nil"/>
              <w:bottom w:val="single" w:sz="4" w:space="0" w:color="B5B5B5" w:themeColor="accent4" w:themeShade="BF"/>
              <w:right w:val="nil"/>
            </w:tcBorders>
            <w:shd w:val="clear" w:color="auto" w:fill="auto"/>
          </w:tcPr>
          <w:p w14:paraId="2C52C141" w14:textId="2DBE48BD" w:rsidR="000B362C" w:rsidRDefault="000B362C" w:rsidP="00A20B09">
            <w:pPr>
              <w:pStyle w:val="FigureTitle"/>
            </w:pPr>
            <w:r>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27</w:t>
            </w:r>
            <w:r w:rsidRPr="00784A05">
              <w:rPr>
                <w:b w:val="0"/>
              </w:rPr>
              <w:fldChar w:fldCharType="end"/>
            </w:r>
            <w:r>
              <w:tab/>
              <w:t>Housing assistance and low</w:t>
            </w:r>
            <w:r w:rsidR="00206729">
              <w:t xml:space="preserve">er </w:t>
            </w:r>
            <w:r>
              <w:t>skill jobs around Hobart</w:t>
            </w:r>
            <w:proofErr w:type="spellStart"/>
            <w:r w:rsidRPr="00005FB3">
              <w:rPr>
                <w:rStyle w:val="NoteLabel"/>
                <w:b/>
              </w:rPr>
              <w:t>a</w:t>
            </w:r>
            <w:r w:rsidR="005D57A5">
              <w:rPr>
                <w:rStyle w:val="NoteLabel"/>
                <w:b/>
              </w:rPr>
              <w:t>,b</w:t>
            </w:r>
            <w:r w:rsidR="0037186B">
              <w:rPr>
                <w:rStyle w:val="NoteLabel"/>
                <w:b/>
              </w:rPr>
              <w:t>,c</w:t>
            </w:r>
            <w:proofErr w:type="spellEnd"/>
          </w:p>
          <w:p w14:paraId="7DCC99B3" w14:textId="77777777" w:rsidR="000B362C" w:rsidRPr="00176D3F" w:rsidRDefault="000B362C" w:rsidP="00A20B09">
            <w:pPr>
              <w:pStyle w:val="Subtitle"/>
            </w:pPr>
            <w:r>
              <w:t xml:space="preserve">Per cent located in each </w:t>
            </w:r>
            <w:proofErr w:type="spellStart"/>
            <w:r>
              <w:t>SA2</w:t>
            </w:r>
            <w:proofErr w:type="spellEnd"/>
            <w:r>
              <w:t xml:space="preserve"> area, 2011</w:t>
            </w:r>
          </w:p>
        </w:tc>
      </w:tr>
      <w:tr w:rsidR="000B362C" w:rsidRPr="00176D3F" w14:paraId="09886090" w14:textId="77777777" w:rsidTr="000B362C">
        <w:trPr>
          <w:trHeight w:val="3038"/>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5B22350F" w14:textId="77777777" w:rsidR="000B362C" w:rsidRDefault="000B362C" w:rsidP="00A20B09">
            <w:pPr>
              <w:pStyle w:val="Note"/>
              <w:jc w:val="center"/>
              <w:rPr>
                <w:b/>
                <w:noProof/>
                <w:position w:val="6"/>
              </w:rPr>
            </w:pPr>
            <w:r>
              <w:rPr>
                <w:b/>
                <w:noProof/>
                <w:position w:val="6"/>
              </w:rPr>
              <mc:AlternateContent>
                <mc:Choice Requires="wps">
                  <w:drawing>
                    <wp:anchor distT="0" distB="0" distL="114300" distR="114300" simplePos="0" relativeHeight="251704320" behindDoc="0" locked="0" layoutInCell="1" allowOverlap="1" wp14:anchorId="00E21062" wp14:editId="7B9B2D01">
                      <wp:simplePos x="0" y="0"/>
                      <wp:positionH relativeFrom="column">
                        <wp:posOffset>-43918</wp:posOffset>
                      </wp:positionH>
                      <wp:positionV relativeFrom="paragraph">
                        <wp:posOffset>63707</wp:posOffset>
                      </wp:positionV>
                      <wp:extent cx="1552353" cy="47846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1552353" cy="47846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D485823" w14:textId="77777777" w:rsidR="009A5CAA" w:rsidRPr="00C94C4F" w:rsidRDefault="009A5CAA" w:rsidP="000B362C">
                                  <w:pPr>
                                    <w:rPr>
                                      <w:rFonts w:ascii="Arial" w:hAnsi="Arial" w:cs="Arial"/>
                                      <w:b/>
                                    </w:rPr>
                                  </w:pPr>
                                  <w:proofErr w:type="spellStart"/>
                                  <w:r w:rsidRPr="00C94C4F">
                                    <w:rPr>
                                      <w:rFonts w:ascii="Arial" w:hAnsi="Arial" w:cs="Arial"/>
                                      <w:b/>
                                    </w:rPr>
                                    <w:t>CRA</w:t>
                                  </w:r>
                                  <w:proofErr w:type="spellEnd"/>
                                  <w:r w:rsidRPr="00C94C4F">
                                    <w:rPr>
                                      <w:rFonts w:ascii="Arial" w:hAnsi="Arial" w:cs="Arial"/>
                                      <w:b/>
                                    </w:rPr>
                                    <w:t xml:space="preserve"> </w:t>
                                  </w:r>
                                  <w:r>
                                    <w:rPr>
                                      <w:rFonts w:ascii="Arial" w:hAnsi="Arial" w:cs="Arial"/>
                                      <w:b/>
                                    </w:rPr>
                                    <w:t>r</w:t>
                                  </w:r>
                                  <w:r w:rsidRPr="00C94C4F">
                                    <w:rPr>
                                      <w:rFonts w:ascii="Arial" w:hAnsi="Arial" w:cs="Arial"/>
                                      <w:b/>
                                    </w:rPr>
                                    <w:t>ecipients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47" type="#_x0000_t202" style="position:absolute;left:0;text-align:left;margin-left:-3.45pt;margin-top:5pt;width:122.25pt;height:37.6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" fillcolor="white [3201]" stroked="f" strokeweight=".5pt">
                      <v:textbox>
                        <w:txbxContent>
                          <w:p w14:paraId="6D485823" w14:textId="77777777" w:rsidR="009A5CAA" w:rsidRPr="00C94C4F" w:rsidRDefault="009A5CAA" w:rsidP="000B362C">
                            <w:pPr>
                              <w:rPr>
                                <w:rFonts w:ascii="Arial" w:hAnsi="Arial" w:cs="Arial"/>
                                <w:b/>
                              </w:rPr>
                            </w:pPr>
                            <w:proofErr w:type="spellStart"/>
                            <w:r w:rsidRPr="00C94C4F">
                              <w:rPr>
                                <w:rFonts w:ascii="Arial" w:hAnsi="Arial" w:cs="Arial"/>
                                <w:b/>
                              </w:rPr>
                              <w:t>CRA</w:t>
                            </w:r>
                            <w:proofErr w:type="spellEnd"/>
                            <w:r w:rsidRPr="00C94C4F">
                              <w:rPr>
                                <w:rFonts w:ascii="Arial" w:hAnsi="Arial" w:cs="Arial"/>
                                <w:b/>
                              </w:rPr>
                              <w:t xml:space="preserve"> </w:t>
                            </w:r>
                            <w:r>
                              <w:rPr>
                                <w:rFonts w:ascii="Arial" w:hAnsi="Arial" w:cs="Arial"/>
                                <w:b/>
                              </w:rPr>
                              <w:t>r</w:t>
                            </w:r>
                            <w:r w:rsidRPr="00C94C4F">
                              <w:rPr>
                                <w:rFonts w:ascii="Arial" w:hAnsi="Arial" w:cs="Arial"/>
                                <w:b/>
                              </w:rPr>
                              <w:t>ecipients</w:t>
                            </w:r>
                          </w:p>
                        </w:txbxContent>
                      </v:textbox>
                    </v:shape>
                  </w:pict>
                </mc:Fallback>
              </mc:AlternateContent>
            </w:r>
          </w:p>
          <w:p w14:paraId="4A5A6959" w14:textId="77777777" w:rsidR="000B362C" w:rsidRDefault="000B362C" w:rsidP="00A20B09">
            <w:pPr>
              <w:pStyle w:val="Note"/>
              <w:rPr>
                <w:rStyle w:val="NoteLabel"/>
              </w:rPr>
            </w:pPr>
            <w:r>
              <w:rPr>
                <w:b/>
                <w:noProof/>
                <w:position w:val="6"/>
              </w:rPr>
              <w:drawing>
                <wp:anchor distT="0" distB="0" distL="114300" distR="114300" simplePos="0" relativeHeight="251707392" behindDoc="1" locked="0" layoutInCell="1" allowOverlap="1" wp14:anchorId="0B1A826B" wp14:editId="324D1FCA">
                  <wp:simplePos x="1254125" y="127000"/>
                  <wp:positionH relativeFrom="column">
                    <wp:posOffset>1598295</wp:posOffset>
                  </wp:positionH>
                  <wp:positionV relativeFrom="page">
                    <wp:align>center</wp:align>
                  </wp:positionV>
                  <wp:extent cx="4792131" cy="2016000"/>
                  <wp:effectExtent l="0" t="0" r="0" b="3810"/>
                  <wp:wrapThrough wrapText="bothSides">
                    <wp:wrapPolygon edited="0">
                      <wp:start x="0" y="0"/>
                      <wp:lineTo x="0" y="21437"/>
                      <wp:lineTo x="21468" y="21437"/>
                      <wp:lineTo x="21468" y="0"/>
                      <wp:lineTo x="0" y="0"/>
                    </wp:wrapPolygon>
                  </wp:wrapThrough>
                  <wp:docPr id="41" name="Picture 41" descr="A summary of this figure can be found within the text immediately before this figure.&#10;" title="Figure 27, Panel 1 – The proportion of CRA recipients, public housing tenants and low skilled jobs located in each SA2 within Hobart in 201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bart+cra+insert+updated.jpe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4792131" cy="2016000"/>
                          </a:xfrm>
                          <a:prstGeom prst="rect">
                            <a:avLst/>
                          </a:prstGeom>
                        </pic:spPr>
                      </pic:pic>
                    </a:graphicData>
                  </a:graphic>
                  <wp14:sizeRelH relativeFrom="margin">
                    <wp14:pctWidth>0</wp14:pctWidth>
                  </wp14:sizeRelH>
                  <wp14:sizeRelV relativeFrom="margin">
                    <wp14:pctHeight>0</wp14:pctHeight>
                  </wp14:sizeRelV>
                </wp:anchor>
              </w:drawing>
            </w:r>
          </w:p>
        </w:tc>
      </w:tr>
      <w:tr w:rsidR="000B362C" w:rsidRPr="00176D3F" w14:paraId="5A63C7CD" w14:textId="77777777" w:rsidTr="000B362C">
        <w:trPr>
          <w:trHeight w:val="2671"/>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4FED36FF" w14:textId="77777777" w:rsidR="000B362C" w:rsidRDefault="000B362C" w:rsidP="00A20B09">
            <w:pPr>
              <w:pStyle w:val="Note"/>
              <w:rPr>
                <w:rStyle w:val="NoteLabel"/>
              </w:rPr>
            </w:pPr>
            <w:r>
              <w:rPr>
                <w:b/>
                <w:noProof/>
                <w:position w:val="6"/>
              </w:rPr>
              <w:drawing>
                <wp:anchor distT="0" distB="0" distL="114300" distR="114300" simplePos="0" relativeHeight="251708416" behindDoc="1" locked="0" layoutInCell="1" allowOverlap="1" wp14:anchorId="00310687" wp14:editId="3A39E435">
                  <wp:simplePos x="1254125" y="2327910"/>
                  <wp:positionH relativeFrom="column">
                    <wp:posOffset>1598295</wp:posOffset>
                  </wp:positionH>
                  <wp:positionV relativeFrom="page">
                    <wp:align>center</wp:align>
                  </wp:positionV>
                  <wp:extent cx="4792131" cy="2016000"/>
                  <wp:effectExtent l="0" t="0" r="0" b="3810"/>
                  <wp:wrapThrough wrapText="bothSides">
                    <wp:wrapPolygon edited="0">
                      <wp:start x="0" y="0"/>
                      <wp:lineTo x="0" y="21437"/>
                      <wp:lineTo x="21468" y="21437"/>
                      <wp:lineTo x="21468" y="0"/>
                      <wp:lineTo x="0" y="0"/>
                    </wp:wrapPolygon>
                  </wp:wrapThrough>
                  <wp:docPr id="43" name="Picture 43" descr="Please refer to the description of figure 27 found in the first panel.&#10;" title="Figure 27, Panel 2 – This panel is part of figure 27.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bart+ph+insert.jpe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4792131" cy="2016000"/>
                          </a:xfrm>
                          <a:prstGeom prst="rect">
                            <a:avLst/>
                          </a:prstGeom>
                        </pic:spPr>
                      </pic:pic>
                    </a:graphicData>
                  </a:graphic>
                  <wp14:sizeRelH relativeFrom="margin">
                    <wp14:pctWidth>0</wp14:pctWidth>
                  </wp14:sizeRelH>
                  <wp14:sizeRelV relativeFrom="margin">
                    <wp14:pctHeight>0</wp14:pctHeight>
                  </wp14:sizeRelV>
                </wp:anchor>
              </w:drawing>
            </w:r>
            <w:r>
              <w:rPr>
                <w:b/>
                <w:noProof/>
                <w:position w:val="6"/>
              </w:rPr>
              <mc:AlternateContent>
                <mc:Choice Requires="wps">
                  <w:drawing>
                    <wp:anchor distT="0" distB="0" distL="114300" distR="114300" simplePos="0" relativeHeight="251705344" behindDoc="0" locked="0" layoutInCell="1" allowOverlap="1" wp14:anchorId="27FE5288" wp14:editId="62B0ED44">
                      <wp:simplePos x="0" y="0"/>
                      <wp:positionH relativeFrom="column">
                        <wp:posOffset>-32385</wp:posOffset>
                      </wp:positionH>
                      <wp:positionV relativeFrom="paragraph">
                        <wp:posOffset>72863</wp:posOffset>
                      </wp:positionV>
                      <wp:extent cx="2339163" cy="541655"/>
                      <wp:effectExtent l="0" t="0" r="0" b="0"/>
                      <wp:wrapNone/>
                      <wp:docPr id="33" name="Text Box 33"/>
                      <wp:cNvGraphicFramePr/>
                      <a:graphic xmlns:a="http://schemas.openxmlformats.org/drawingml/2006/main">
                        <a:graphicData uri="http://schemas.microsoft.com/office/word/2010/wordprocessingShape">
                          <wps:wsp>
                            <wps:cNvSpPr txBox="1"/>
                            <wps:spPr>
                              <a:xfrm>
                                <a:off x="0" y="0"/>
                                <a:ext cx="2339163" cy="541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9F3707" w14:textId="77777777" w:rsidR="009A5CAA" w:rsidRPr="00C94C4F" w:rsidRDefault="009A5CAA" w:rsidP="000B362C">
                                  <w:pPr>
                                    <w:rPr>
                                      <w:rFonts w:ascii="Arial" w:hAnsi="Arial" w:cs="Arial"/>
                                      <w:b/>
                                    </w:rPr>
                                  </w:pPr>
                                  <w:r>
                                    <w:rPr>
                                      <w:rFonts w:ascii="Arial" w:hAnsi="Arial" w:cs="Arial"/>
                                      <w:b/>
                                    </w:rPr>
                                    <w:t>Public housing residents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3" o:spid="_x0000_s1048" type="#_x0000_t202" style="position:absolute;left:0;text-align:left;margin-left:-2.55pt;margin-top:5.75pt;width:184.2pt;height:42.65pt;z-index:251705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" filled="f" stroked="f" strokeweight=".5pt">
                      <v:textbox>
                        <w:txbxContent>
                          <w:p w14:paraId="009F3707" w14:textId="77777777" w:rsidR="009A5CAA" w:rsidRPr="00C94C4F" w:rsidRDefault="009A5CAA" w:rsidP="000B362C">
                            <w:pPr>
                              <w:rPr>
                                <w:rFonts w:ascii="Arial" w:hAnsi="Arial" w:cs="Arial"/>
                                <w:b/>
                              </w:rPr>
                            </w:pPr>
                            <w:r>
                              <w:rPr>
                                <w:rFonts w:ascii="Arial" w:hAnsi="Arial" w:cs="Arial"/>
                                <w:b/>
                              </w:rPr>
                              <w:t>Public housing residents</w:t>
                            </w:r>
                          </w:p>
                        </w:txbxContent>
                      </v:textbox>
                    </v:shape>
                  </w:pict>
                </mc:Fallback>
              </mc:AlternateContent>
            </w:r>
          </w:p>
        </w:tc>
      </w:tr>
      <w:tr w:rsidR="000B362C" w:rsidRPr="00176D3F" w14:paraId="5BBED884" w14:textId="77777777" w:rsidTr="000B362C">
        <w:trPr>
          <w:trHeight w:val="3042"/>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40F4E448" w14:textId="77777777" w:rsidR="000B362C" w:rsidRDefault="000B362C" w:rsidP="00A20B09">
            <w:pPr>
              <w:pStyle w:val="Note"/>
              <w:rPr>
                <w:b/>
                <w:noProof/>
                <w:position w:val="6"/>
              </w:rPr>
            </w:pPr>
            <w:r>
              <w:rPr>
                <w:b/>
                <w:noProof/>
                <w:position w:val="6"/>
              </w:rPr>
              <mc:AlternateContent>
                <mc:Choice Requires="wps">
                  <w:drawing>
                    <wp:anchor distT="0" distB="0" distL="114300" distR="114300" simplePos="0" relativeHeight="251706368" behindDoc="0" locked="0" layoutInCell="1" allowOverlap="1" wp14:anchorId="388B3CF2" wp14:editId="50ADD153">
                      <wp:simplePos x="0" y="0"/>
                      <wp:positionH relativeFrom="column">
                        <wp:posOffset>-39370</wp:posOffset>
                      </wp:positionH>
                      <wp:positionV relativeFrom="paragraph">
                        <wp:posOffset>75403</wp:posOffset>
                      </wp:positionV>
                      <wp:extent cx="2338705" cy="541655"/>
                      <wp:effectExtent l="0" t="0" r="0" b="0"/>
                      <wp:wrapNone/>
                      <wp:docPr id="37" name="Text Box 37"/>
                      <wp:cNvGraphicFramePr/>
                      <a:graphic xmlns:a="http://schemas.openxmlformats.org/drawingml/2006/main">
                        <a:graphicData uri="http://schemas.microsoft.com/office/word/2010/wordprocessingShape">
                          <wps:wsp>
                            <wps:cNvSpPr txBox="1"/>
                            <wps:spPr>
                              <a:xfrm>
                                <a:off x="0" y="0"/>
                                <a:ext cx="2338705" cy="541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40AAF8" w14:textId="77777777" w:rsidR="009A5CAA" w:rsidRPr="00C94C4F" w:rsidRDefault="009A5CAA" w:rsidP="000B362C">
                                  <w:pPr>
                                    <w:rPr>
                                      <w:rFonts w:ascii="Arial" w:hAnsi="Arial" w:cs="Arial"/>
                                      <w:b/>
                                    </w:rPr>
                                  </w:pPr>
                                  <w:r>
                                    <w:rPr>
                                      <w:rFonts w:ascii="Arial" w:hAnsi="Arial" w:cs="Arial"/>
                                      <w:b/>
                                    </w:rPr>
                                    <w:t>Lower skilled employment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7" o:spid="_x0000_s1049" type="#_x0000_t202" style="position:absolute;left:0;text-align:left;margin-left:-3.1pt;margin-top:5.95pt;width:184.15pt;height:42.65pt;z-index:251706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" filled="f" stroked="f" strokeweight=".5pt">
                      <v:textbox>
                        <w:txbxContent>
                          <w:p w14:paraId="0A40AAF8" w14:textId="77777777" w:rsidR="009A5CAA" w:rsidRPr="00C94C4F" w:rsidRDefault="009A5CAA" w:rsidP="000B362C">
                            <w:pPr>
                              <w:rPr>
                                <w:rFonts w:ascii="Arial" w:hAnsi="Arial" w:cs="Arial"/>
                                <w:b/>
                              </w:rPr>
                            </w:pPr>
                            <w:r>
                              <w:rPr>
                                <w:rFonts w:ascii="Arial" w:hAnsi="Arial" w:cs="Arial"/>
                                <w:b/>
                              </w:rPr>
                              <w:t>Lower skilled employment</w:t>
                            </w:r>
                          </w:p>
                        </w:txbxContent>
                      </v:textbox>
                    </v:shape>
                  </w:pict>
                </mc:Fallback>
              </mc:AlternateContent>
            </w:r>
          </w:p>
          <w:p w14:paraId="0DE66BB6" w14:textId="77777777" w:rsidR="000B362C" w:rsidRDefault="000B362C" w:rsidP="00A20B09">
            <w:pPr>
              <w:pStyle w:val="Note"/>
              <w:rPr>
                <w:rStyle w:val="NoteLabel"/>
              </w:rPr>
            </w:pPr>
            <w:r>
              <w:rPr>
                <w:b/>
                <w:noProof/>
                <w:position w:val="6"/>
              </w:rPr>
              <w:drawing>
                <wp:anchor distT="0" distB="0" distL="114300" distR="114300" simplePos="0" relativeHeight="251709440" behindDoc="1" locked="0" layoutInCell="1" allowOverlap="1" wp14:anchorId="37444CF2" wp14:editId="1009D09A">
                  <wp:simplePos x="1254125" y="4901565"/>
                  <wp:positionH relativeFrom="column">
                    <wp:posOffset>1598295</wp:posOffset>
                  </wp:positionH>
                  <wp:positionV relativeFrom="page">
                    <wp:align>center</wp:align>
                  </wp:positionV>
                  <wp:extent cx="4792131" cy="2016000"/>
                  <wp:effectExtent l="0" t="0" r="0" b="3810"/>
                  <wp:wrapThrough wrapText="bothSides">
                    <wp:wrapPolygon edited="0">
                      <wp:start x="0" y="0"/>
                      <wp:lineTo x="0" y="21437"/>
                      <wp:lineTo x="21468" y="21437"/>
                      <wp:lineTo x="21468" y="0"/>
                      <wp:lineTo x="0" y="0"/>
                    </wp:wrapPolygon>
                  </wp:wrapThrough>
                  <wp:docPr id="46" name="Picture 46" descr="Please refer to the description of figure 27 found in the first panel.&#10;" title="Figure 27, Panel 3 – This panel is part of fig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bart+skills+insert.jpeg"/>
                          <pic:cNvPicPr/>
                        </pic:nvPicPr>
                        <pic:blipFill>
                          <a:blip r:embed="rId62" cstate="print">
                            <a:extLst>
                              <a:ext uri="{28A0092B-C50C-407E-A947-70E740481C1C}">
                                <a14:useLocalDpi xmlns:a14="http://schemas.microsoft.com/office/drawing/2010/main" val="0"/>
                              </a:ext>
                            </a:extLst>
                          </a:blip>
                          <a:stretch>
                            <a:fillRect/>
                          </a:stretch>
                        </pic:blipFill>
                        <pic:spPr>
                          <a:xfrm>
                            <a:off x="0" y="0"/>
                            <a:ext cx="4792131" cy="2016000"/>
                          </a:xfrm>
                          <a:prstGeom prst="rect">
                            <a:avLst/>
                          </a:prstGeom>
                        </pic:spPr>
                      </pic:pic>
                    </a:graphicData>
                  </a:graphic>
                  <wp14:sizeRelH relativeFrom="margin">
                    <wp14:pctWidth>0</wp14:pctWidth>
                  </wp14:sizeRelH>
                  <wp14:sizeRelV relativeFrom="margin">
                    <wp14:pctHeight>0</wp14:pctHeight>
                  </wp14:sizeRelV>
                </wp:anchor>
              </w:drawing>
            </w:r>
          </w:p>
        </w:tc>
      </w:tr>
      <w:tr w:rsidR="00147D6A" w:rsidRPr="00176D3F" w14:paraId="67B66A53" w14:textId="77777777" w:rsidTr="00A20B09">
        <w:tc>
          <w:tcPr>
            <w:tcW w:w="8767" w:type="dxa"/>
            <w:tcBorders>
              <w:top w:val="single" w:sz="4" w:space="0" w:color="B5B5B5" w:themeColor="accent4" w:themeShade="BF"/>
              <w:left w:val="nil"/>
              <w:bottom w:val="nil"/>
              <w:right w:val="nil"/>
            </w:tcBorders>
            <w:shd w:val="clear" w:color="auto" w:fill="auto"/>
          </w:tcPr>
          <w:p w14:paraId="43853105" w14:textId="32AC2C21" w:rsidR="00147D6A" w:rsidRPr="00176D3F" w:rsidRDefault="00147D6A" w:rsidP="00A20B09">
            <w:pPr>
              <w:pStyle w:val="Note"/>
            </w:pPr>
            <w:r>
              <w:rPr>
                <w:rStyle w:val="NoteLabel"/>
              </w:rPr>
              <w:t>a</w:t>
            </w:r>
            <w:r w:rsidR="0088609E">
              <w:t xml:space="preserve"> </w:t>
            </w:r>
            <w:r>
              <w:t>ISP recipients aged 15–65 at 30</w:t>
            </w:r>
            <w:r w:rsidR="00935A28">
              <w:t> </w:t>
            </w:r>
            <w:r>
              <w:t xml:space="preserve">June 2011. </w:t>
            </w:r>
            <w:proofErr w:type="spellStart"/>
            <w:r>
              <w:t>CRA</w:t>
            </w:r>
            <w:proofErr w:type="spellEnd"/>
            <w:r>
              <w:t xml:space="preserve"> recipients do not include </w:t>
            </w:r>
            <w:proofErr w:type="spellStart"/>
            <w:r w:rsidR="00FF2726">
              <w:t>FTB</w:t>
            </w:r>
            <w:proofErr w:type="spellEnd"/>
            <w:r w:rsidR="00FF2726">
              <w:t xml:space="preserve"> A</w:t>
            </w:r>
            <w:r w:rsidR="00935A28">
              <w:noBreakHyphen/>
            </w:r>
            <w:r>
              <w:t xml:space="preserve">only recipients of </w:t>
            </w:r>
            <w:proofErr w:type="spellStart"/>
            <w:r>
              <w:t>CRA</w:t>
            </w:r>
            <w:proofErr w:type="spellEnd"/>
            <w:r>
              <w:t xml:space="preserve">. </w:t>
            </w:r>
            <w:r w:rsidRPr="0071184F">
              <w:rPr>
                <w:rStyle w:val="NoteLabel"/>
              </w:rPr>
              <w:t>b</w:t>
            </w:r>
            <w:r>
              <w:t xml:space="preserve"> Lower skilled employment refers to people in jobs classified as </w:t>
            </w:r>
            <w:proofErr w:type="spellStart"/>
            <w:r>
              <w:t>ANZSCO</w:t>
            </w:r>
            <w:proofErr w:type="spellEnd"/>
            <w:r>
              <w:t xml:space="preserve"> skill level 4 or 5.</w:t>
            </w:r>
            <w:r w:rsidR="0037186B">
              <w:t xml:space="preserve"> </w:t>
            </w:r>
            <w:r w:rsidR="0037186B">
              <w:rPr>
                <w:rStyle w:val="NoteLabel"/>
              </w:rPr>
              <w:t xml:space="preserve">c </w:t>
            </w:r>
            <w:proofErr w:type="spellStart"/>
            <w:r w:rsidR="0037186B">
              <w:t>SA2s</w:t>
            </w:r>
            <w:proofErr w:type="spellEnd"/>
            <w:r w:rsidR="0037186B">
              <w:t xml:space="preserve"> are an ABS</w:t>
            </w:r>
            <w:r w:rsidR="00E209F1">
              <w:noBreakHyphen/>
            </w:r>
            <w:r w:rsidR="0037186B">
              <w:t xml:space="preserve">defined </w:t>
            </w:r>
            <w:r w:rsidR="0037186B" w:rsidRPr="005B3B30">
              <w:t>medium</w:t>
            </w:r>
            <w:r w:rsidR="00E209F1">
              <w:noBreakHyphen/>
            </w:r>
            <w:r w:rsidR="0037186B" w:rsidRPr="005B3B30">
              <w:t xml:space="preserve">sized geographic unit </w:t>
            </w:r>
            <w:r w:rsidR="0037186B">
              <w:t>that include</w:t>
            </w:r>
            <w:r w:rsidR="00306456">
              <w:t>s</w:t>
            </w:r>
            <w:r w:rsidR="0037186B">
              <w:t xml:space="preserve"> an </w:t>
            </w:r>
            <w:r w:rsidR="0037186B" w:rsidRPr="00751247">
              <w:t xml:space="preserve">average of </w:t>
            </w:r>
            <w:r w:rsidR="0037186B">
              <w:t xml:space="preserve">around </w:t>
            </w:r>
            <w:r w:rsidR="0037186B" w:rsidRPr="00751247">
              <w:t>10 000 people.</w:t>
            </w:r>
          </w:p>
        </w:tc>
      </w:tr>
      <w:tr w:rsidR="00147D6A" w:rsidRPr="00176D3F" w14:paraId="68A7736C" w14:textId="77777777" w:rsidTr="00A20B09">
        <w:tc>
          <w:tcPr>
            <w:tcW w:w="8767" w:type="dxa"/>
            <w:tcBorders>
              <w:top w:val="nil"/>
              <w:left w:val="nil"/>
              <w:bottom w:val="nil"/>
              <w:right w:val="nil"/>
            </w:tcBorders>
            <w:shd w:val="clear" w:color="auto" w:fill="auto"/>
          </w:tcPr>
          <w:p w14:paraId="5C19E65D" w14:textId="695B4CD9" w:rsidR="00147D6A" w:rsidRPr="00176D3F" w:rsidRDefault="00306456" w:rsidP="00A20B09">
            <w:pPr>
              <w:pStyle w:val="Source"/>
            </w:pPr>
            <w:r>
              <w:rPr>
                <w:i/>
              </w:rPr>
              <w:t>Source</w:t>
            </w:r>
            <w:r w:rsidR="00147D6A">
              <w:rPr>
                <w:i/>
              </w:rPr>
              <w:t>s</w:t>
            </w:r>
            <w:r w:rsidR="00147D6A" w:rsidRPr="00176D3F">
              <w:t xml:space="preserve">: </w:t>
            </w:r>
            <w:r w:rsidR="00147D6A">
              <w:t>ABS (</w:t>
            </w:r>
            <w:proofErr w:type="spellStart"/>
            <w:r w:rsidR="00147D6A" w:rsidRPr="00905139">
              <w:rPr>
                <w:i/>
              </w:rPr>
              <w:t>TableBuilder</w:t>
            </w:r>
            <w:proofErr w:type="spellEnd"/>
            <w:r w:rsidR="00147D6A" w:rsidRPr="00905139">
              <w:rPr>
                <w:i/>
              </w:rPr>
              <w:t xml:space="preserve"> Pro, 2011</w:t>
            </w:r>
            <w:r w:rsidR="00147D6A">
              <w:t xml:space="preserve">, Cat. no. 2073.0); </w:t>
            </w:r>
            <w:r w:rsidR="00147D6A" w:rsidRPr="00BF0589">
              <w:t>Department of Employment, Research and Evaluation Database</w:t>
            </w:r>
            <w:r w:rsidR="00147D6A">
              <w:t>.</w:t>
            </w:r>
          </w:p>
        </w:tc>
      </w:tr>
      <w:tr w:rsidR="000B362C" w14:paraId="5D54EEEF" w14:textId="77777777" w:rsidTr="00A20B09">
        <w:tc>
          <w:tcPr>
            <w:tcW w:w="8767" w:type="dxa"/>
            <w:tcBorders>
              <w:top w:val="nil"/>
              <w:left w:val="nil"/>
              <w:bottom w:val="single" w:sz="6" w:space="0" w:color="78A22F"/>
              <w:right w:val="nil"/>
            </w:tcBorders>
            <w:shd w:val="clear" w:color="auto" w:fill="auto"/>
          </w:tcPr>
          <w:p w14:paraId="7B03D6D0" w14:textId="77777777" w:rsidR="000B362C" w:rsidRDefault="000B362C" w:rsidP="00A20B09">
            <w:pPr>
              <w:pStyle w:val="Figurespace"/>
            </w:pPr>
          </w:p>
        </w:tc>
      </w:tr>
      <w:tr w:rsidR="000B362C" w:rsidRPr="000863A5" w14:paraId="444C5638" w14:textId="77777777" w:rsidTr="00A20B09">
        <w:tc>
          <w:tcPr>
            <w:tcW w:w="8767" w:type="dxa"/>
            <w:tcBorders>
              <w:top w:val="single" w:sz="6" w:space="0" w:color="78A22F"/>
              <w:left w:val="nil"/>
              <w:bottom w:val="nil"/>
              <w:right w:val="nil"/>
            </w:tcBorders>
          </w:tcPr>
          <w:p w14:paraId="1E5F2CF4" w14:textId="6EFE6FF4" w:rsidR="000B362C" w:rsidRPr="00626D32" w:rsidRDefault="000B362C" w:rsidP="00A20B09">
            <w:pPr>
              <w:pStyle w:val="BoxSpaceBelow"/>
            </w:pPr>
          </w:p>
        </w:tc>
      </w:tr>
    </w:tbl>
    <w:p w14:paraId="3F948A6B" w14:textId="77777777" w:rsidR="003E2234" w:rsidRDefault="003E2234">
      <w:pPr>
        <w:rPr>
          <w:i/>
          <w:szCs w:val="20"/>
        </w:rPr>
      </w:pPr>
      <w:r>
        <w:rPr>
          <w:i/>
        </w:rPr>
        <w:br w:type="page"/>
      </w:r>
    </w:p>
    <w:p w14:paraId="408F102D" w14:textId="77777777" w:rsidR="003E2234" w:rsidRPr="002349F9" w:rsidRDefault="003E2234" w:rsidP="002349F9">
      <w:pPr>
        <w:pStyle w:val="BodyText"/>
        <w:rPr>
          <w:i/>
        </w:rPr>
      </w:pPr>
      <w:proofErr w:type="spellStart"/>
      <w:r>
        <w:rPr>
          <w:i/>
        </w:rPr>
        <w:lastRenderedPageBreak/>
        <w:t>CRA</w:t>
      </w:r>
      <w:proofErr w:type="spellEnd"/>
      <w:r>
        <w:rPr>
          <w:i/>
        </w:rPr>
        <w:t xml:space="preserve"> recipients in Darwin are spread in a range of locations. </w:t>
      </w:r>
      <w:r w:rsidR="002349F9">
        <w:rPr>
          <w:i/>
        </w:rPr>
        <w:t>I</w:t>
      </w:r>
      <w:r>
        <w:rPr>
          <w:i/>
        </w:rPr>
        <w:t xml:space="preserve">n contrast with public housing tenants, the areas that </w:t>
      </w:r>
      <w:proofErr w:type="spellStart"/>
      <w:r>
        <w:rPr>
          <w:i/>
        </w:rPr>
        <w:t>CRA</w:t>
      </w:r>
      <w:proofErr w:type="spellEnd"/>
      <w:r>
        <w:rPr>
          <w:i/>
        </w:rPr>
        <w:t xml:space="preserve"> recipients live in are likely to be areas with low skilled jobs.</w:t>
      </w:r>
    </w:p>
    <w:p w14:paraId="4B6C5800" w14:textId="2CA518F3" w:rsidR="000B362C" w:rsidRDefault="000B362C" w:rsidP="000B362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67"/>
      </w:tblGrid>
      <w:tr w:rsidR="000B362C" w14:paraId="57DD18BD" w14:textId="77777777" w:rsidTr="00A20B09">
        <w:tc>
          <w:tcPr>
            <w:tcW w:w="8767" w:type="dxa"/>
            <w:tcBorders>
              <w:top w:val="single" w:sz="6" w:space="0" w:color="78A22F"/>
              <w:left w:val="nil"/>
              <w:bottom w:val="single" w:sz="4" w:space="0" w:color="B5B5B5" w:themeColor="accent4" w:themeShade="BF"/>
              <w:right w:val="nil"/>
            </w:tcBorders>
            <w:shd w:val="clear" w:color="auto" w:fill="auto"/>
          </w:tcPr>
          <w:p w14:paraId="1678E70C" w14:textId="1A686325" w:rsidR="000B362C" w:rsidRDefault="000B362C" w:rsidP="00A20B09">
            <w:pPr>
              <w:pStyle w:val="FigureTitle"/>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28</w:t>
            </w:r>
            <w:r w:rsidRPr="00784A05">
              <w:rPr>
                <w:b w:val="0"/>
              </w:rPr>
              <w:fldChar w:fldCharType="end"/>
            </w:r>
            <w:r>
              <w:tab/>
              <w:t>Housing assistance and low</w:t>
            </w:r>
            <w:r w:rsidR="00600F36">
              <w:t xml:space="preserve">er </w:t>
            </w:r>
            <w:r>
              <w:t>skill jobs around Darwin</w:t>
            </w:r>
            <w:proofErr w:type="spellStart"/>
            <w:r w:rsidRPr="00005FB3">
              <w:rPr>
                <w:rStyle w:val="NoteLabel"/>
                <w:b/>
              </w:rPr>
              <w:t>a</w:t>
            </w:r>
            <w:r w:rsidR="007110E3">
              <w:rPr>
                <w:rStyle w:val="NoteLabel"/>
                <w:b/>
              </w:rPr>
              <w:t>,b</w:t>
            </w:r>
            <w:r w:rsidR="0037186B">
              <w:rPr>
                <w:rStyle w:val="NoteLabel"/>
                <w:b/>
              </w:rPr>
              <w:t>,c</w:t>
            </w:r>
            <w:proofErr w:type="spellEnd"/>
          </w:p>
          <w:p w14:paraId="3744722E" w14:textId="77777777" w:rsidR="000B362C" w:rsidRPr="00176D3F" w:rsidRDefault="000B362C" w:rsidP="00A20B09">
            <w:pPr>
              <w:pStyle w:val="Subtitle"/>
            </w:pPr>
            <w:r>
              <w:t xml:space="preserve">Per cent located in each </w:t>
            </w:r>
            <w:proofErr w:type="spellStart"/>
            <w:r>
              <w:t>SA2</w:t>
            </w:r>
            <w:proofErr w:type="spellEnd"/>
            <w:r>
              <w:t xml:space="preserve"> area, 2011</w:t>
            </w:r>
          </w:p>
        </w:tc>
      </w:tr>
      <w:tr w:rsidR="000B362C" w:rsidRPr="00176D3F" w14:paraId="257E1393" w14:textId="77777777" w:rsidTr="000B362C">
        <w:trPr>
          <w:trHeight w:val="2896"/>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580AF62E" w14:textId="77777777" w:rsidR="000B362C" w:rsidRDefault="000B362C" w:rsidP="00A20B09">
            <w:pPr>
              <w:pStyle w:val="Note"/>
              <w:jc w:val="center"/>
              <w:rPr>
                <w:b/>
                <w:noProof/>
                <w:position w:val="6"/>
              </w:rPr>
            </w:pPr>
            <w:r>
              <w:rPr>
                <w:b/>
                <w:noProof/>
                <w:position w:val="6"/>
              </w:rPr>
              <mc:AlternateContent>
                <mc:Choice Requires="wps">
                  <w:drawing>
                    <wp:anchor distT="0" distB="0" distL="114300" distR="114300" simplePos="0" relativeHeight="251711488" behindDoc="0" locked="0" layoutInCell="1" allowOverlap="1" wp14:anchorId="4B167244" wp14:editId="372A89F9">
                      <wp:simplePos x="0" y="0"/>
                      <wp:positionH relativeFrom="column">
                        <wp:posOffset>-43918</wp:posOffset>
                      </wp:positionH>
                      <wp:positionV relativeFrom="paragraph">
                        <wp:posOffset>63707</wp:posOffset>
                      </wp:positionV>
                      <wp:extent cx="1414130" cy="329609"/>
                      <wp:effectExtent l="0" t="0" r="0" b="0"/>
                      <wp:wrapNone/>
                      <wp:docPr id="47" name="Text Box 47"/>
                      <wp:cNvGraphicFramePr/>
                      <a:graphic xmlns:a="http://schemas.openxmlformats.org/drawingml/2006/main">
                        <a:graphicData uri="http://schemas.microsoft.com/office/word/2010/wordprocessingShape">
                          <wps:wsp>
                            <wps:cNvSpPr txBox="1"/>
                            <wps:spPr>
                              <a:xfrm>
                                <a:off x="0" y="0"/>
                                <a:ext cx="1414130" cy="329609"/>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349F63B" w14:textId="77777777" w:rsidR="009A5CAA" w:rsidRPr="00C94C4F" w:rsidRDefault="009A5CAA" w:rsidP="000B362C">
                                  <w:pPr>
                                    <w:rPr>
                                      <w:rFonts w:ascii="Arial" w:hAnsi="Arial" w:cs="Arial"/>
                                      <w:b/>
                                    </w:rPr>
                                  </w:pPr>
                                  <w:proofErr w:type="spellStart"/>
                                  <w:r w:rsidRPr="00C94C4F">
                                    <w:rPr>
                                      <w:rFonts w:ascii="Arial" w:hAnsi="Arial" w:cs="Arial"/>
                                      <w:b/>
                                    </w:rPr>
                                    <w:t>CRA</w:t>
                                  </w:r>
                                  <w:proofErr w:type="spellEnd"/>
                                  <w:r w:rsidRPr="00C94C4F">
                                    <w:rPr>
                                      <w:rFonts w:ascii="Arial" w:hAnsi="Arial" w:cs="Arial"/>
                                      <w:b/>
                                    </w:rPr>
                                    <w:t xml:space="preserve"> </w:t>
                                  </w:r>
                                  <w:r>
                                    <w:rPr>
                                      <w:rFonts w:ascii="Arial" w:hAnsi="Arial" w:cs="Arial"/>
                                      <w:b/>
                                    </w:rPr>
                                    <w:t>r</w:t>
                                  </w:r>
                                  <w:r w:rsidRPr="00C94C4F">
                                    <w:rPr>
                                      <w:rFonts w:ascii="Arial" w:hAnsi="Arial" w:cs="Arial"/>
                                      <w:b/>
                                    </w:rPr>
                                    <w:t>ecipients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50" type="#_x0000_t202" style="position:absolute;left:0;text-align:left;margin-left:-3.45pt;margin-top:5pt;width:111.35pt;height:25.9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" fillcolor="white [3201]" stroked="f" strokeweight=".5pt">
                      <v:textbox>
                        <w:txbxContent>
                          <w:p w14:paraId="0349F63B" w14:textId="77777777" w:rsidR="009A5CAA" w:rsidRPr="00C94C4F" w:rsidRDefault="009A5CAA" w:rsidP="000B362C">
                            <w:pPr>
                              <w:rPr>
                                <w:rFonts w:ascii="Arial" w:hAnsi="Arial" w:cs="Arial"/>
                                <w:b/>
                              </w:rPr>
                            </w:pPr>
                            <w:proofErr w:type="spellStart"/>
                            <w:r w:rsidRPr="00C94C4F">
                              <w:rPr>
                                <w:rFonts w:ascii="Arial" w:hAnsi="Arial" w:cs="Arial"/>
                                <w:b/>
                              </w:rPr>
                              <w:t>CRA</w:t>
                            </w:r>
                            <w:proofErr w:type="spellEnd"/>
                            <w:r w:rsidRPr="00C94C4F">
                              <w:rPr>
                                <w:rFonts w:ascii="Arial" w:hAnsi="Arial" w:cs="Arial"/>
                                <w:b/>
                              </w:rPr>
                              <w:t xml:space="preserve"> </w:t>
                            </w:r>
                            <w:r>
                              <w:rPr>
                                <w:rFonts w:ascii="Arial" w:hAnsi="Arial" w:cs="Arial"/>
                                <w:b/>
                              </w:rPr>
                              <w:t>r</w:t>
                            </w:r>
                            <w:r w:rsidRPr="00C94C4F">
                              <w:rPr>
                                <w:rFonts w:ascii="Arial" w:hAnsi="Arial" w:cs="Arial"/>
                                <w:b/>
                              </w:rPr>
                              <w:t>ecipients</w:t>
                            </w:r>
                          </w:p>
                        </w:txbxContent>
                      </v:textbox>
                    </v:shape>
                  </w:pict>
                </mc:Fallback>
              </mc:AlternateContent>
            </w:r>
          </w:p>
          <w:p w14:paraId="379335A7" w14:textId="77777777" w:rsidR="000B362C" w:rsidRDefault="000B362C" w:rsidP="00A20B09">
            <w:pPr>
              <w:pStyle w:val="Note"/>
              <w:rPr>
                <w:rStyle w:val="NoteLabel"/>
              </w:rPr>
            </w:pPr>
            <w:r>
              <w:rPr>
                <w:b/>
                <w:noProof/>
                <w:position w:val="6"/>
              </w:rPr>
              <w:drawing>
                <wp:anchor distT="0" distB="0" distL="114300" distR="114300" simplePos="0" relativeHeight="251716608" behindDoc="1" locked="0" layoutInCell="1" allowOverlap="1" wp14:anchorId="75FBE52E" wp14:editId="31A5CE9D">
                  <wp:simplePos x="1254125" y="127000"/>
                  <wp:positionH relativeFrom="column">
                    <wp:posOffset>1598295</wp:posOffset>
                  </wp:positionH>
                  <wp:positionV relativeFrom="page">
                    <wp:align>center</wp:align>
                  </wp:positionV>
                  <wp:extent cx="4792131" cy="2016000"/>
                  <wp:effectExtent l="0" t="0" r="0" b="3810"/>
                  <wp:wrapThrough wrapText="bothSides">
                    <wp:wrapPolygon edited="0">
                      <wp:start x="0" y="0"/>
                      <wp:lineTo x="0" y="21437"/>
                      <wp:lineTo x="21468" y="21437"/>
                      <wp:lineTo x="21468" y="0"/>
                      <wp:lineTo x="0" y="0"/>
                    </wp:wrapPolygon>
                  </wp:wrapThrough>
                  <wp:docPr id="25" name="Picture 25" descr="A summary of this figure can be found within the text immediately before this figure.&#10;&#10;" title="Figure 28, Panel 1 – The proportion of CRA recipients, public housing tenants and low skilled jobs located in each SA2 within Darwin in 201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rwin+cra+insert+updated.jpe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4792131" cy="2016000"/>
                          </a:xfrm>
                          <a:prstGeom prst="rect">
                            <a:avLst/>
                          </a:prstGeom>
                        </pic:spPr>
                      </pic:pic>
                    </a:graphicData>
                  </a:graphic>
                  <wp14:sizeRelH relativeFrom="margin">
                    <wp14:pctWidth>0</wp14:pctWidth>
                  </wp14:sizeRelH>
                  <wp14:sizeRelV relativeFrom="margin">
                    <wp14:pctHeight>0</wp14:pctHeight>
                  </wp14:sizeRelV>
                </wp:anchor>
              </w:drawing>
            </w:r>
          </w:p>
        </w:tc>
      </w:tr>
      <w:tr w:rsidR="000B362C" w:rsidRPr="00176D3F" w14:paraId="4F6EE648" w14:textId="77777777" w:rsidTr="000B362C">
        <w:trPr>
          <w:trHeight w:val="3096"/>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70C1A1F3" w14:textId="77777777" w:rsidR="000B362C" w:rsidRDefault="000B362C" w:rsidP="00A20B09">
            <w:pPr>
              <w:pStyle w:val="Note"/>
              <w:rPr>
                <w:rStyle w:val="NoteLabel"/>
              </w:rPr>
            </w:pPr>
            <w:r>
              <w:rPr>
                <w:b/>
                <w:noProof/>
                <w:position w:val="6"/>
              </w:rPr>
              <w:drawing>
                <wp:anchor distT="0" distB="0" distL="114300" distR="114300" simplePos="0" relativeHeight="251714560" behindDoc="1" locked="0" layoutInCell="1" allowOverlap="1" wp14:anchorId="56E0B461" wp14:editId="2A92BF2A">
                  <wp:simplePos x="1254125" y="2327910"/>
                  <wp:positionH relativeFrom="column">
                    <wp:posOffset>1598295</wp:posOffset>
                  </wp:positionH>
                  <wp:positionV relativeFrom="page">
                    <wp:align>center</wp:align>
                  </wp:positionV>
                  <wp:extent cx="4792131" cy="2016000"/>
                  <wp:effectExtent l="0" t="0" r="0" b="3810"/>
                  <wp:wrapThrough wrapText="bothSides">
                    <wp:wrapPolygon edited="0">
                      <wp:start x="0" y="0"/>
                      <wp:lineTo x="0" y="21437"/>
                      <wp:lineTo x="21468" y="21437"/>
                      <wp:lineTo x="21468" y="0"/>
                      <wp:lineTo x="0" y="0"/>
                    </wp:wrapPolygon>
                  </wp:wrapThrough>
                  <wp:docPr id="52" name="Picture 52" descr="Please refer to the description of figure 28 found in the first panel.&#10;" title="Figure 28, Panel 2 – This panel is part of figure 28.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rwin+ph+insert.jpe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4792131" cy="2016000"/>
                          </a:xfrm>
                          <a:prstGeom prst="rect">
                            <a:avLst/>
                          </a:prstGeom>
                        </pic:spPr>
                      </pic:pic>
                    </a:graphicData>
                  </a:graphic>
                  <wp14:sizeRelH relativeFrom="margin">
                    <wp14:pctWidth>0</wp14:pctWidth>
                  </wp14:sizeRelH>
                  <wp14:sizeRelV relativeFrom="margin">
                    <wp14:pctHeight>0</wp14:pctHeight>
                  </wp14:sizeRelV>
                </wp:anchor>
              </w:drawing>
            </w:r>
            <w:r>
              <w:rPr>
                <w:b/>
                <w:noProof/>
                <w:position w:val="6"/>
              </w:rPr>
              <mc:AlternateContent>
                <mc:Choice Requires="wps">
                  <w:drawing>
                    <wp:anchor distT="0" distB="0" distL="114300" distR="114300" simplePos="0" relativeHeight="251712512" behindDoc="0" locked="0" layoutInCell="1" allowOverlap="1" wp14:anchorId="6F3F16D2" wp14:editId="625B5632">
                      <wp:simplePos x="0" y="0"/>
                      <wp:positionH relativeFrom="column">
                        <wp:posOffset>-32385</wp:posOffset>
                      </wp:positionH>
                      <wp:positionV relativeFrom="paragraph">
                        <wp:posOffset>72863</wp:posOffset>
                      </wp:positionV>
                      <wp:extent cx="2339163" cy="541655"/>
                      <wp:effectExtent l="0" t="0" r="0" b="0"/>
                      <wp:wrapNone/>
                      <wp:docPr id="48" name="Text Box 48"/>
                      <wp:cNvGraphicFramePr/>
                      <a:graphic xmlns:a="http://schemas.openxmlformats.org/drawingml/2006/main">
                        <a:graphicData uri="http://schemas.microsoft.com/office/word/2010/wordprocessingShape">
                          <wps:wsp>
                            <wps:cNvSpPr txBox="1"/>
                            <wps:spPr>
                              <a:xfrm>
                                <a:off x="0" y="0"/>
                                <a:ext cx="2339163" cy="541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09BE862" w14:textId="77777777" w:rsidR="009A5CAA" w:rsidRPr="00C94C4F" w:rsidRDefault="009A5CAA" w:rsidP="000B362C">
                                  <w:pPr>
                                    <w:rPr>
                                      <w:rFonts w:ascii="Arial" w:hAnsi="Arial" w:cs="Arial"/>
                                      <w:b/>
                                    </w:rPr>
                                  </w:pPr>
                                  <w:r>
                                    <w:rPr>
                                      <w:rFonts w:ascii="Arial" w:hAnsi="Arial" w:cs="Arial"/>
                                      <w:b/>
                                    </w:rPr>
                                    <w:t>Public housing residents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8" o:spid="_x0000_s1051" type="#_x0000_t202" style="position:absolute;left:0;text-align:left;margin-left:-2.55pt;margin-top:5.75pt;width:184.2pt;height:42.65pt;z-index:2517125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" filled="f" stroked="f" strokeweight=".5pt">
                      <v:textbox>
                        <w:txbxContent>
                          <w:p w14:paraId="609BE862" w14:textId="77777777" w:rsidR="009A5CAA" w:rsidRPr="00C94C4F" w:rsidRDefault="009A5CAA" w:rsidP="000B362C">
                            <w:pPr>
                              <w:rPr>
                                <w:rFonts w:ascii="Arial" w:hAnsi="Arial" w:cs="Arial"/>
                                <w:b/>
                              </w:rPr>
                            </w:pPr>
                            <w:r>
                              <w:rPr>
                                <w:rFonts w:ascii="Arial" w:hAnsi="Arial" w:cs="Arial"/>
                                <w:b/>
                              </w:rPr>
                              <w:t>Public housing residents</w:t>
                            </w:r>
                          </w:p>
                        </w:txbxContent>
                      </v:textbox>
                    </v:shape>
                  </w:pict>
                </mc:Fallback>
              </mc:AlternateContent>
            </w:r>
          </w:p>
        </w:tc>
      </w:tr>
      <w:tr w:rsidR="000B362C" w:rsidRPr="00176D3F" w14:paraId="50123FCC" w14:textId="77777777" w:rsidTr="000B362C">
        <w:trPr>
          <w:trHeight w:val="3184"/>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6C852D7F" w14:textId="77777777" w:rsidR="000B362C" w:rsidRDefault="000B362C" w:rsidP="00A20B09">
            <w:pPr>
              <w:pStyle w:val="Note"/>
              <w:rPr>
                <w:b/>
                <w:noProof/>
                <w:position w:val="6"/>
              </w:rPr>
            </w:pPr>
            <w:r>
              <w:rPr>
                <w:b/>
                <w:noProof/>
                <w:position w:val="6"/>
              </w:rPr>
              <mc:AlternateContent>
                <mc:Choice Requires="wps">
                  <w:drawing>
                    <wp:anchor distT="0" distB="0" distL="114300" distR="114300" simplePos="0" relativeHeight="251713536" behindDoc="0" locked="0" layoutInCell="1" allowOverlap="1" wp14:anchorId="6506A92F" wp14:editId="4B9554ED">
                      <wp:simplePos x="0" y="0"/>
                      <wp:positionH relativeFrom="column">
                        <wp:posOffset>-39370</wp:posOffset>
                      </wp:positionH>
                      <wp:positionV relativeFrom="paragraph">
                        <wp:posOffset>75403</wp:posOffset>
                      </wp:positionV>
                      <wp:extent cx="2338705" cy="541655"/>
                      <wp:effectExtent l="0" t="0" r="0" b="0"/>
                      <wp:wrapNone/>
                      <wp:docPr id="49" name="Text Box 49"/>
                      <wp:cNvGraphicFramePr/>
                      <a:graphic xmlns:a="http://schemas.openxmlformats.org/drawingml/2006/main">
                        <a:graphicData uri="http://schemas.microsoft.com/office/word/2010/wordprocessingShape">
                          <wps:wsp>
                            <wps:cNvSpPr txBox="1"/>
                            <wps:spPr>
                              <a:xfrm>
                                <a:off x="0" y="0"/>
                                <a:ext cx="2338705" cy="541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95BF440" w14:textId="77777777" w:rsidR="009A5CAA" w:rsidRPr="00C94C4F" w:rsidRDefault="009A5CAA" w:rsidP="000B362C">
                                  <w:pPr>
                                    <w:rPr>
                                      <w:rFonts w:ascii="Arial" w:hAnsi="Arial" w:cs="Arial"/>
                                      <w:b/>
                                    </w:rPr>
                                  </w:pPr>
                                  <w:r>
                                    <w:rPr>
                                      <w:rFonts w:ascii="Arial" w:hAnsi="Arial" w:cs="Arial"/>
                                      <w:b/>
                                    </w:rPr>
                                    <w:t>Lower skilled employment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9" o:spid="_x0000_s1052" type="#_x0000_t202" style="position:absolute;left:0;text-align:left;margin-left:-3.1pt;margin-top:5.95pt;width:184.15pt;height:42.65pt;z-index:251713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" filled="f" stroked="f" strokeweight=".5pt">
                      <v:textbox>
                        <w:txbxContent>
                          <w:p w14:paraId="195BF440" w14:textId="77777777" w:rsidR="009A5CAA" w:rsidRPr="00C94C4F" w:rsidRDefault="009A5CAA" w:rsidP="000B362C">
                            <w:pPr>
                              <w:rPr>
                                <w:rFonts w:ascii="Arial" w:hAnsi="Arial" w:cs="Arial"/>
                                <w:b/>
                              </w:rPr>
                            </w:pPr>
                            <w:r>
                              <w:rPr>
                                <w:rFonts w:ascii="Arial" w:hAnsi="Arial" w:cs="Arial"/>
                                <w:b/>
                              </w:rPr>
                              <w:t>Lower skilled employment</w:t>
                            </w:r>
                          </w:p>
                        </w:txbxContent>
                      </v:textbox>
                    </v:shape>
                  </w:pict>
                </mc:Fallback>
              </mc:AlternateContent>
            </w:r>
          </w:p>
          <w:p w14:paraId="4C2F5D11" w14:textId="77777777" w:rsidR="000B362C" w:rsidRDefault="000B362C" w:rsidP="00A20B09">
            <w:pPr>
              <w:pStyle w:val="Note"/>
              <w:rPr>
                <w:rStyle w:val="NoteLabel"/>
              </w:rPr>
            </w:pPr>
            <w:r>
              <w:rPr>
                <w:b/>
                <w:noProof/>
                <w:position w:val="6"/>
              </w:rPr>
              <w:drawing>
                <wp:anchor distT="0" distB="0" distL="114300" distR="114300" simplePos="0" relativeHeight="251715584" behindDoc="1" locked="0" layoutInCell="1" allowOverlap="1" wp14:anchorId="3AE7F4AB" wp14:editId="6BE07BCE">
                  <wp:simplePos x="1254125" y="4901565"/>
                  <wp:positionH relativeFrom="column">
                    <wp:posOffset>1598295</wp:posOffset>
                  </wp:positionH>
                  <wp:positionV relativeFrom="page">
                    <wp:align>center</wp:align>
                  </wp:positionV>
                  <wp:extent cx="4792131" cy="2016000"/>
                  <wp:effectExtent l="0" t="0" r="0" b="3810"/>
                  <wp:wrapThrough wrapText="bothSides">
                    <wp:wrapPolygon edited="0">
                      <wp:start x="0" y="0"/>
                      <wp:lineTo x="0" y="21437"/>
                      <wp:lineTo x="21468" y="21437"/>
                      <wp:lineTo x="21468" y="0"/>
                      <wp:lineTo x="0" y="0"/>
                    </wp:wrapPolygon>
                  </wp:wrapThrough>
                  <wp:docPr id="53" name="Picture 53" descr="Please refer to the description of figure 28 found in the first panel.&#10;" title="Figure 28, Panel 3 – This panel is part of figure 28.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rwin+skills+insert.jpe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4792131" cy="2016000"/>
                          </a:xfrm>
                          <a:prstGeom prst="rect">
                            <a:avLst/>
                          </a:prstGeom>
                        </pic:spPr>
                      </pic:pic>
                    </a:graphicData>
                  </a:graphic>
                  <wp14:sizeRelH relativeFrom="margin">
                    <wp14:pctWidth>0</wp14:pctWidth>
                  </wp14:sizeRelH>
                  <wp14:sizeRelV relativeFrom="margin">
                    <wp14:pctHeight>0</wp14:pctHeight>
                  </wp14:sizeRelV>
                </wp:anchor>
              </w:drawing>
            </w:r>
          </w:p>
        </w:tc>
      </w:tr>
      <w:tr w:rsidR="00147D6A" w:rsidRPr="00176D3F" w14:paraId="466A1286" w14:textId="77777777" w:rsidTr="00A20B09">
        <w:tc>
          <w:tcPr>
            <w:tcW w:w="8767" w:type="dxa"/>
            <w:tcBorders>
              <w:top w:val="single" w:sz="4" w:space="0" w:color="B5B5B5" w:themeColor="accent4" w:themeShade="BF"/>
              <w:left w:val="nil"/>
              <w:bottom w:val="nil"/>
              <w:right w:val="nil"/>
            </w:tcBorders>
            <w:shd w:val="clear" w:color="auto" w:fill="auto"/>
          </w:tcPr>
          <w:p w14:paraId="67266127" w14:textId="1225C3DC" w:rsidR="00147D6A" w:rsidRPr="00176D3F" w:rsidRDefault="00147D6A" w:rsidP="00A20B09">
            <w:pPr>
              <w:pStyle w:val="Note"/>
            </w:pPr>
            <w:r>
              <w:rPr>
                <w:rStyle w:val="NoteLabel"/>
              </w:rPr>
              <w:t>a</w:t>
            </w:r>
            <w:r w:rsidR="0088609E">
              <w:t xml:space="preserve"> </w:t>
            </w:r>
            <w:r>
              <w:t>ISP recipients aged 15–65 at 30</w:t>
            </w:r>
            <w:r w:rsidR="00935A28">
              <w:t> </w:t>
            </w:r>
            <w:r>
              <w:t xml:space="preserve">June 2011. </w:t>
            </w:r>
            <w:proofErr w:type="spellStart"/>
            <w:r>
              <w:t>CRA</w:t>
            </w:r>
            <w:proofErr w:type="spellEnd"/>
            <w:r>
              <w:t xml:space="preserve"> recipients do not include </w:t>
            </w:r>
            <w:proofErr w:type="spellStart"/>
            <w:r w:rsidR="00FF2726">
              <w:t>FTB</w:t>
            </w:r>
            <w:proofErr w:type="spellEnd"/>
            <w:r w:rsidR="00FF2726">
              <w:t xml:space="preserve"> A</w:t>
            </w:r>
            <w:r w:rsidR="00935A28">
              <w:noBreakHyphen/>
            </w:r>
            <w:r>
              <w:t xml:space="preserve">only recipients of </w:t>
            </w:r>
            <w:proofErr w:type="spellStart"/>
            <w:r>
              <w:t>CRA</w:t>
            </w:r>
            <w:proofErr w:type="spellEnd"/>
            <w:r>
              <w:t xml:space="preserve">. </w:t>
            </w:r>
            <w:r w:rsidRPr="0071184F">
              <w:rPr>
                <w:rStyle w:val="NoteLabel"/>
              </w:rPr>
              <w:t>b</w:t>
            </w:r>
            <w:r>
              <w:t xml:space="preserve"> Lower skilled employment refers to people in jobs classified as </w:t>
            </w:r>
            <w:proofErr w:type="spellStart"/>
            <w:r>
              <w:t>ANZSCO</w:t>
            </w:r>
            <w:proofErr w:type="spellEnd"/>
            <w:r>
              <w:t xml:space="preserve"> skill level 4 or 5.</w:t>
            </w:r>
            <w:r w:rsidR="0037186B">
              <w:t xml:space="preserve"> </w:t>
            </w:r>
            <w:r w:rsidR="0037186B">
              <w:rPr>
                <w:rStyle w:val="NoteLabel"/>
              </w:rPr>
              <w:t xml:space="preserve">c </w:t>
            </w:r>
            <w:proofErr w:type="spellStart"/>
            <w:r w:rsidR="0037186B">
              <w:t>SA2s</w:t>
            </w:r>
            <w:proofErr w:type="spellEnd"/>
            <w:r w:rsidR="0037186B">
              <w:t xml:space="preserve"> are an ABS</w:t>
            </w:r>
            <w:r w:rsidR="00E209F1">
              <w:noBreakHyphen/>
            </w:r>
            <w:r w:rsidR="0037186B">
              <w:t xml:space="preserve">defined </w:t>
            </w:r>
            <w:r w:rsidR="0037186B" w:rsidRPr="005B3B30">
              <w:t>medium</w:t>
            </w:r>
            <w:r w:rsidR="00E209F1">
              <w:noBreakHyphen/>
            </w:r>
            <w:r w:rsidR="0037186B" w:rsidRPr="005B3B30">
              <w:t xml:space="preserve">sized geographic unit </w:t>
            </w:r>
            <w:r w:rsidR="0037186B">
              <w:t>that include</w:t>
            </w:r>
            <w:r w:rsidR="00306456">
              <w:t>s</w:t>
            </w:r>
            <w:r w:rsidR="0037186B">
              <w:t xml:space="preserve"> an </w:t>
            </w:r>
            <w:r w:rsidR="0037186B" w:rsidRPr="00751247">
              <w:t xml:space="preserve">average of </w:t>
            </w:r>
            <w:r w:rsidR="0037186B">
              <w:t xml:space="preserve">around </w:t>
            </w:r>
            <w:r w:rsidR="0037186B" w:rsidRPr="00751247">
              <w:t>10 000 people.</w:t>
            </w:r>
          </w:p>
        </w:tc>
      </w:tr>
      <w:tr w:rsidR="00147D6A" w:rsidRPr="00176D3F" w14:paraId="5F53BF9E" w14:textId="77777777" w:rsidTr="00A20B09">
        <w:tc>
          <w:tcPr>
            <w:tcW w:w="8767" w:type="dxa"/>
            <w:tcBorders>
              <w:top w:val="nil"/>
              <w:left w:val="nil"/>
              <w:bottom w:val="nil"/>
              <w:right w:val="nil"/>
            </w:tcBorders>
            <w:shd w:val="clear" w:color="auto" w:fill="auto"/>
          </w:tcPr>
          <w:p w14:paraId="6E557418" w14:textId="0B99BC10" w:rsidR="00147D6A" w:rsidRPr="00176D3F" w:rsidRDefault="00306456" w:rsidP="00A20B09">
            <w:pPr>
              <w:pStyle w:val="Source"/>
            </w:pPr>
            <w:r>
              <w:rPr>
                <w:i/>
              </w:rPr>
              <w:t>Source</w:t>
            </w:r>
            <w:r w:rsidR="00147D6A">
              <w:rPr>
                <w:i/>
              </w:rPr>
              <w:t>s</w:t>
            </w:r>
            <w:r w:rsidR="00147D6A" w:rsidRPr="00176D3F">
              <w:t xml:space="preserve">: </w:t>
            </w:r>
            <w:r w:rsidR="00147D6A">
              <w:t>ABS (</w:t>
            </w:r>
            <w:proofErr w:type="spellStart"/>
            <w:r w:rsidR="00147D6A" w:rsidRPr="00905139">
              <w:rPr>
                <w:i/>
              </w:rPr>
              <w:t>TableBuilder</w:t>
            </w:r>
            <w:proofErr w:type="spellEnd"/>
            <w:r w:rsidR="00147D6A" w:rsidRPr="00905139">
              <w:rPr>
                <w:i/>
              </w:rPr>
              <w:t xml:space="preserve"> Pro, 2011</w:t>
            </w:r>
            <w:r w:rsidR="00147D6A">
              <w:t xml:space="preserve">, Cat. no. 2073.0); </w:t>
            </w:r>
            <w:r w:rsidR="00147D6A" w:rsidRPr="00BF0589">
              <w:t>Department of Employment, Research and Evaluation Database</w:t>
            </w:r>
            <w:r w:rsidR="00147D6A">
              <w:t>.</w:t>
            </w:r>
          </w:p>
        </w:tc>
      </w:tr>
      <w:tr w:rsidR="000B362C" w14:paraId="130BE21C" w14:textId="77777777" w:rsidTr="00A20B09">
        <w:tc>
          <w:tcPr>
            <w:tcW w:w="8767" w:type="dxa"/>
            <w:tcBorders>
              <w:top w:val="nil"/>
              <w:left w:val="nil"/>
              <w:bottom w:val="single" w:sz="6" w:space="0" w:color="78A22F"/>
              <w:right w:val="nil"/>
            </w:tcBorders>
            <w:shd w:val="clear" w:color="auto" w:fill="auto"/>
          </w:tcPr>
          <w:p w14:paraId="2AEAF6D4" w14:textId="77777777" w:rsidR="000B362C" w:rsidRDefault="000B362C" w:rsidP="00A20B09">
            <w:pPr>
              <w:pStyle w:val="Figurespace"/>
            </w:pPr>
          </w:p>
        </w:tc>
      </w:tr>
      <w:tr w:rsidR="000B362C" w:rsidRPr="000863A5" w14:paraId="4A1F18DB" w14:textId="77777777" w:rsidTr="00A20B09">
        <w:tc>
          <w:tcPr>
            <w:tcW w:w="8767" w:type="dxa"/>
            <w:tcBorders>
              <w:top w:val="single" w:sz="6" w:space="0" w:color="78A22F"/>
              <w:left w:val="nil"/>
              <w:bottom w:val="nil"/>
              <w:right w:val="nil"/>
            </w:tcBorders>
          </w:tcPr>
          <w:p w14:paraId="49EDFD66" w14:textId="3219DA67" w:rsidR="000B362C" w:rsidRPr="00626D32" w:rsidRDefault="000B362C" w:rsidP="00A20B09">
            <w:pPr>
              <w:pStyle w:val="BoxSpaceBelow"/>
            </w:pPr>
          </w:p>
        </w:tc>
      </w:tr>
    </w:tbl>
    <w:p w14:paraId="26096B7E" w14:textId="39448081" w:rsidR="003E2234" w:rsidRPr="002349F9" w:rsidRDefault="003E2234" w:rsidP="002349F9">
      <w:pPr>
        <w:pStyle w:val="BodyText"/>
        <w:rPr>
          <w:i/>
        </w:rPr>
      </w:pPr>
      <w:r>
        <w:rPr>
          <w:i/>
        </w:rPr>
        <w:lastRenderedPageBreak/>
        <w:t xml:space="preserve">Public housing tenants in the </w:t>
      </w:r>
      <w:r w:rsidR="00B16D56">
        <w:rPr>
          <w:i/>
        </w:rPr>
        <w:t xml:space="preserve">Australian Capital Territory </w:t>
      </w:r>
      <w:r>
        <w:rPr>
          <w:i/>
        </w:rPr>
        <w:t xml:space="preserve">live in similar areas to </w:t>
      </w:r>
      <w:proofErr w:type="spellStart"/>
      <w:r>
        <w:rPr>
          <w:i/>
        </w:rPr>
        <w:t>CRA</w:t>
      </w:r>
      <w:proofErr w:type="spellEnd"/>
      <w:r>
        <w:rPr>
          <w:i/>
        </w:rPr>
        <w:t xml:space="preserve"> recipients. In </w:t>
      </w:r>
      <w:r w:rsidR="002349F9">
        <w:rPr>
          <w:i/>
        </w:rPr>
        <w:t>contrast</w:t>
      </w:r>
      <w:r>
        <w:rPr>
          <w:i/>
        </w:rPr>
        <w:t xml:space="preserve"> to other major cities, both public housing tenants and </w:t>
      </w:r>
      <w:proofErr w:type="spellStart"/>
      <w:r>
        <w:rPr>
          <w:i/>
        </w:rPr>
        <w:t>CRA</w:t>
      </w:r>
      <w:proofErr w:type="spellEnd"/>
      <w:r>
        <w:rPr>
          <w:i/>
        </w:rPr>
        <w:t xml:space="preserve"> recipients live in areas </w:t>
      </w:r>
      <w:r w:rsidR="002349F9">
        <w:rPr>
          <w:i/>
        </w:rPr>
        <w:t xml:space="preserve">where there are </w:t>
      </w:r>
      <w:r>
        <w:rPr>
          <w:i/>
        </w:rPr>
        <w:t>relatively few low skilled jobs.</w:t>
      </w:r>
    </w:p>
    <w:p w14:paraId="526D83C2" w14:textId="54BAF812" w:rsidR="000B362C" w:rsidRDefault="000B362C" w:rsidP="000B362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67"/>
      </w:tblGrid>
      <w:tr w:rsidR="000B362C" w14:paraId="70975AD2" w14:textId="77777777" w:rsidTr="00A20B09">
        <w:tc>
          <w:tcPr>
            <w:tcW w:w="8767" w:type="dxa"/>
            <w:tcBorders>
              <w:top w:val="single" w:sz="6" w:space="0" w:color="78A22F"/>
              <w:left w:val="nil"/>
              <w:bottom w:val="single" w:sz="4" w:space="0" w:color="B5B5B5" w:themeColor="accent4" w:themeShade="BF"/>
              <w:right w:val="nil"/>
            </w:tcBorders>
            <w:shd w:val="clear" w:color="auto" w:fill="auto"/>
          </w:tcPr>
          <w:p w14:paraId="4E649227" w14:textId="6113935B" w:rsidR="000B362C" w:rsidRDefault="000B362C" w:rsidP="00A20B09">
            <w:pPr>
              <w:pStyle w:val="FigureTitle"/>
            </w:pPr>
            <w:r w:rsidRPr="00784A05">
              <w:rPr>
                <w:b w:val="0"/>
              </w:rPr>
              <w:t xml:space="preserve">Figure </w:t>
            </w:r>
            <w:r w:rsidRPr="00784A05">
              <w:rPr>
                <w:b w:val="0"/>
              </w:rPr>
              <w:fldChar w:fldCharType="begin"/>
            </w:r>
            <w:r w:rsidRPr="00784A05">
              <w:rPr>
                <w:b w:val="0"/>
              </w:rPr>
              <w:instrText xml:space="preserve"> SEQ Figure \* ARABIC </w:instrText>
            </w:r>
            <w:r w:rsidRPr="00784A05">
              <w:rPr>
                <w:b w:val="0"/>
              </w:rPr>
              <w:fldChar w:fldCharType="separate"/>
            </w:r>
            <w:r w:rsidR="00B5435E">
              <w:rPr>
                <w:b w:val="0"/>
                <w:noProof/>
              </w:rPr>
              <w:t>29</w:t>
            </w:r>
            <w:r w:rsidRPr="00784A05">
              <w:rPr>
                <w:b w:val="0"/>
              </w:rPr>
              <w:fldChar w:fldCharType="end"/>
            </w:r>
            <w:r>
              <w:tab/>
              <w:t>Housing assistance and low</w:t>
            </w:r>
            <w:r w:rsidR="00D507CF">
              <w:t xml:space="preserve">er </w:t>
            </w:r>
            <w:r>
              <w:t>skill jobs around the Australian Capital Territory</w:t>
            </w:r>
            <w:proofErr w:type="spellStart"/>
            <w:r w:rsidRPr="00005FB3">
              <w:rPr>
                <w:rStyle w:val="NoteLabel"/>
                <w:b/>
              </w:rPr>
              <w:t>a</w:t>
            </w:r>
            <w:r w:rsidR="007110E3">
              <w:rPr>
                <w:rStyle w:val="NoteLabel"/>
                <w:b/>
              </w:rPr>
              <w:t>,b</w:t>
            </w:r>
            <w:r w:rsidR="0037186B">
              <w:rPr>
                <w:rStyle w:val="NoteLabel"/>
                <w:b/>
              </w:rPr>
              <w:t>,c</w:t>
            </w:r>
            <w:proofErr w:type="spellEnd"/>
          </w:p>
          <w:p w14:paraId="0347B27F" w14:textId="77777777" w:rsidR="000B362C" w:rsidRPr="00176D3F" w:rsidRDefault="000B362C" w:rsidP="00A20B09">
            <w:pPr>
              <w:pStyle w:val="Subtitle"/>
            </w:pPr>
            <w:r>
              <w:t xml:space="preserve">Per cent located in each </w:t>
            </w:r>
            <w:proofErr w:type="spellStart"/>
            <w:r>
              <w:t>SA2</w:t>
            </w:r>
            <w:proofErr w:type="spellEnd"/>
            <w:r>
              <w:t xml:space="preserve"> area, 2011</w:t>
            </w:r>
          </w:p>
        </w:tc>
      </w:tr>
      <w:tr w:rsidR="000B362C" w:rsidRPr="00176D3F" w14:paraId="15741AB7" w14:textId="77777777" w:rsidTr="000B362C">
        <w:trPr>
          <w:trHeight w:val="3169"/>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79841C54" w14:textId="77777777" w:rsidR="000B362C" w:rsidRDefault="000B362C" w:rsidP="00A20B09">
            <w:pPr>
              <w:pStyle w:val="Note"/>
              <w:jc w:val="center"/>
              <w:rPr>
                <w:b/>
                <w:noProof/>
                <w:position w:val="6"/>
              </w:rPr>
            </w:pPr>
            <w:r>
              <w:rPr>
                <w:b/>
                <w:noProof/>
                <w:position w:val="6"/>
              </w:rPr>
              <mc:AlternateContent>
                <mc:Choice Requires="wps">
                  <w:drawing>
                    <wp:anchor distT="0" distB="0" distL="114300" distR="114300" simplePos="0" relativeHeight="251718656" behindDoc="0" locked="0" layoutInCell="1" allowOverlap="1" wp14:anchorId="3A868AFA" wp14:editId="568E780E">
                      <wp:simplePos x="0" y="0"/>
                      <wp:positionH relativeFrom="column">
                        <wp:posOffset>-43918</wp:posOffset>
                      </wp:positionH>
                      <wp:positionV relativeFrom="paragraph">
                        <wp:posOffset>63707</wp:posOffset>
                      </wp:positionV>
                      <wp:extent cx="1414130" cy="329609"/>
                      <wp:effectExtent l="0" t="0" r="0" b="0"/>
                      <wp:wrapNone/>
                      <wp:docPr id="54" name="Text Box 54"/>
                      <wp:cNvGraphicFramePr/>
                      <a:graphic xmlns:a="http://schemas.openxmlformats.org/drawingml/2006/main">
                        <a:graphicData uri="http://schemas.microsoft.com/office/word/2010/wordprocessingShape">
                          <wps:wsp>
                            <wps:cNvSpPr txBox="1"/>
                            <wps:spPr>
                              <a:xfrm>
                                <a:off x="0" y="0"/>
                                <a:ext cx="1414130" cy="329609"/>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89452C1" w14:textId="77777777" w:rsidR="009A5CAA" w:rsidRPr="00C94C4F" w:rsidRDefault="009A5CAA" w:rsidP="000B362C">
                                  <w:pPr>
                                    <w:rPr>
                                      <w:rFonts w:ascii="Arial" w:hAnsi="Arial" w:cs="Arial"/>
                                      <w:b/>
                                    </w:rPr>
                                  </w:pPr>
                                  <w:proofErr w:type="spellStart"/>
                                  <w:r w:rsidRPr="00C94C4F">
                                    <w:rPr>
                                      <w:rFonts w:ascii="Arial" w:hAnsi="Arial" w:cs="Arial"/>
                                      <w:b/>
                                    </w:rPr>
                                    <w:t>CRA</w:t>
                                  </w:r>
                                  <w:proofErr w:type="spellEnd"/>
                                  <w:r w:rsidRPr="00C94C4F">
                                    <w:rPr>
                                      <w:rFonts w:ascii="Arial" w:hAnsi="Arial" w:cs="Arial"/>
                                      <w:b/>
                                    </w:rPr>
                                    <w:t xml:space="preserve"> </w:t>
                                  </w:r>
                                  <w:r>
                                    <w:rPr>
                                      <w:rFonts w:ascii="Arial" w:hAnsi="Arial" w:cs="Arial"/>
                                      <w:b/>
                                    </w:rPr>
                                    <w:t>r</w:t>
                                  </w:r>
                                  <w:r w:rsidRPr="00C94C4F">
                                    <w:rPr>
                                      <w:rFonts w:ascii="Arial" w:hAnsi="Arial" w:cs="Arial"/>
                                      <w:b/>
                                    </w:rPr>
                                    <w:t>ecipients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53" type="#_x0000_t202" style="position:absolute;left:0;text-align:left;margin-left:-3.45pt;margin-top:5pt;width:111.35pt;height:25.9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" fillcolor="white [3201]" stroked="f" strokeweight=".5pt">
                      <v:textbox>
                        <w:txbxContent>
                          <w:p w14:paraId="189452C1" w14:textId="77777777" w:rsidR="009A5CAA" w:rsidRPr="00C94C4F" w:rsidRDefault="009A5CAA" w:rsidP="000B362C">
                            <w:pPr>
                              <w:rPr>
                                <w:rFonts w:ascii="Arial" w:hAnsi="Arial" w:cs="Arial"/>
                                <w:b/>
                              </w:rPr>
                            </w:pPr>
                            <w:proofErr w:type="spellStart"/>
                            <w:r w:rsidRPr="00C94C4F">
                              <w:rPr>
                                <w:rFonts w:ascii="Arial" w:hAnsi="Arial" w:cs="Arial"/>
                                <w:b/>
                              </w:rPr>
                              <w:t>CRA</w:t>
                            </w:r>
                            <w:proofErr w:type="spellEnd"/>
                            <w:r w:rsidRPr="00C94C4F">
                              <w:rPr>
                                <w:rFonts w:ascii="Arial" w:hAnsi="Arial" w:cs="Arial"/>
                                <w:b/>
                              </w:rPr>
                              <w:t xml:space="preserve"> </w:t>
                            </w:r>
                            <w:r>
                              <w:rPr>
                                <w:rFonts w:ascii="Arial" w:hAnsi="Arial" w:cs="Arial"/>
                                <w:b/>
                              </w:rPr>
                              <w:t>r</w:t>
                            </w:r>
                            <w:r w:rsidRPr="00C94C4F">
                              <w:rPr>
                                <w:rFonts w:ascii="Arial" w:hAnsi="Arial" w:cs="Arial"/>
                                <w:b/>
                              </w:rPr>
                              <w:t>ecipients</w:t>
                            </w:r>
                          </w:p>
                        </w:txbxContent>
                      </v:textbox>
                    </v:shape>
                  </w:pict>
                </mc:Fallback>
              </mc:AlternateContent>
            </w:r>
          </w:p>
          <w:p w14:paraId="5C3FC4F7" w14:textId="77777777" w:rsidR="000B362C" w:rsidRDefault="000B362C" w:rsidP="00A20B09">
            <w:pPr>
              <w:pStyle w:val="Note"/>
              <w:rPr>
                <w:rStyle w:val="NoteLabel"/>
              </w:rPr>
            </w:pPr>
            <w:r>
              <w:rPr>
                <w:b/>
                <w:noProof/>
                <w:position w:val="6"/>
              </w:rPr>
              <w:drawing>
                <wp:anchor distT="0" distB="0" distL="114300" distR="114300" simplePos="0" relativeHeight="251723776" behindDoc="1" locked="0" layoutInCell="1" allowOverlap="1" wp14:anchorId="32A085C2" wp14:editId="6FC8B47A">
                  <wp:simplePos x="1254125" y="127000"/>
                  <wp:positionH relativeFrom="column">
                    <wp:posOffset>1598295</wp:posOffset>
                  </wp:positionH>
                  <wp:positionV relativeFrom="page">
                    <wp:align>center</wp:align>
                  </wp:positionV>
                  <wp:extent cx="4406400" cy="1854000"/>
                  <wp:effectExtent l="0" t="0" r="0" b="0"/>
                  <wp:wrapThrough wrapText="bothSides">
                    <wp:wrapPolygon edited="0">
                      <wp:start x="0" y="0"/>
                      <wp:lineTo x="0" y="21311"/>
                      <wp:lineTo x="21479" y="21311"/>
                      <wp:lineTo x="21479" y="0"/>
                      <wp:lineTo x="0" y="0"/>
                    </wp:wrapPolygon>
                  </wp:wrapThrough>
                  <wp:docPr id="64" name="Picture 64" descr="A summary of this figure can be found within the text immediately before this figure." title="Figure 29, Panel 1 – The proportion of CRA recipients, public housing tenants and low skilled jobs located in each SA2 within the ACT in 201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nberra+cra+insert+updated.jpeg"/>
                          <pic:cNvPicPr/>
                        </pic:nvPicPr>
                        <pic:blipFill>
                          <a:blip r:embed="rId66" cstate="print">
                            <a:extLst>
                              <a:ext uri="{28A0092B-C50C-407E-A947-70E740481C1C}">
                                <a14:useLocalDpi xmlns:a14="http://schemas.microsoft.com/office/drawing/2010/main" val="0"/>
                              </a:ext>
                            </a:extLst>
                          </a:blip>
                          <a:stretch>
                            <a:fillRect/>
                          </a:stretch>
                        </pic:blipFill>
                        <pic:spPr>
                          <a:xfrm>
                            <a:off x="0" y="0"/>
                            <a:ext cx="4406400" cy="1854000"/>
                          </a:xfrm>
                          <a:prstGeom prst="rect">
                            <a:avLst/>
                          </a:prstGeom>
                        </pic:spPr>
                      </pic:pic>
                    </a:graphicData>
                  </a:graphic>
                  <wp14:sizeRelH relativeFrom="margin">
                    <wp14:pctWidth>0</wp14:pctWidth>
                  </wp14:sizeRelH>
                  <wp14:sizeRelV relativeFrom="margin">
                    <wp14:pctHeight>0</wp14:pctHeight>
                  </wp14:sizeRelV>
                </wp:anchor>
              </w:drawing>
            </w:r>
          </w:p>
        </w:tc>
      </w:tr>
      <w:tr w:rsidR="000B362C" w:rsidRPr="00176D3F" w14:paraId="626B992A" w14:textId="77777777" w:rsidTr="000B362C">
        <w:trPr>
          <w:trHeight w:val="3108"/>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22318FEF" w14:textId="77777777" w:rsidR="000B362C" w:rsidRDefault="000B362C" w:rsidP="00A20B09">
            <w:pPr>
              <w:pStyle w:val="Note"/>
              <w:rPr>
                <w:rStyle w:val="NoteLabel"/>
              </w:rPr>
            </w:pPr>
            <w:r>
              <w:rPr>
                <w:b/>
                <w:noProof/>
                <w:position w:val="6"/>
              </w:rPr>
              <w:drawing>
                <wp:anchor distT="0" distB="0" distL="114300" distR="114300" simplePos="0" relativeHeight="251721728" behindDoc="1" locked="0" layoutInCell="1" allowOverlap="1" wp14:anchorId="2B4B0F80" wp14:editId="008AB611">
                  <wp:simplePos x="1254125" y="2327910"/>
                  <wp:positionH relativeFrom="column">
                    <wp:posOffset>1598295</wp:posOffset>
                  </wp:positionH>
                  <wp:positionV relativeFrom="page">
                    <wp:align>center</wp:align>
                  </wp:positionV>
                  <wp:extent cx="4406400" cy="1854000"/>
                  <wp:effectExtent l="0" t="0" r="0" b="0"/>
                  <wp:wrapThrough wrapText="bothSides">
                    <wp:wrapPolygon edited="0">
                      <wp:start x="0" y="0"/>
                      <wp:lineTo x="0" y="21311"/>
                      <wp:lineTo x="21479" y="21311"/>
                      <wp:lineTo x="21479" y="0"/>
                      <wp:lineTo x="0" y="0"/>
                    </wp:wrapPolygon>
                  </wp:wrapThrough>
                  <wp:docPr id="65" name="Picture 65" descr="Please refer to the description of figure 28 found in the first panel.&#10;" title="Figure 29, Panel 2 – This panel is part of figure 28.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nberra+ph+insert.jpeg"/>
                          <pic:cNvPicPr/>
                        </pic:nvPicPr>
                        <pic:blipFill>
                          <a:blip r:embed="rId67" cstate="print">
                            <a:extLst>
                              <a:ext uri="{28A0092B-C50C-407E-A947-70E740481C1C}">
                                <a14:useLocalDpi xmlns:a14="http://schemas.microsoft.com/office/drawing/2010/main" val="0"/>
                              </a:ext>
                            </a:extLst>
                          </a:blip>
                          <a:stretch>
                            <a:fillRect/>
                          </a:stretch>
                        </pic:blipFill>
                        <pic:spPr>
                          <a:xfrm>
                            <a:off x="0" y="0"/>
                            <a:ext cx="4406400" cy="1854000"/>
                          </a:xfrm>
                          <a:prstGeom prst="rect">
                            <a:avLst/>
                          </a:prstGeom>
                        </pic:spPr>
                      </pic:pic>
                    </a:graphicData>
                  </a:graphic>
                  <wp14:sizeRelH relativeFrom="margin">
                    <wp14:pctWidth>0</wp14:pctWidth>
                  </wp14:sizeRelH>
                  <wp14:sizeRelV relativeFrom="margin">
                    <wp14:pctHeight>0</wp14:pctHeight>
                  </wp14:sizeRelV>
                </wp:anchor>
              </w:drawing>
            </w:r>
            <w:r>
              <w:rPr>
                <w:b/>
                <w:noProof/>
                <w:position w:val="6"/>
              </w:rPr>
              <mc:AlternateContent>
                <mc:Choice Requires="wps">
                  <w:drawing>
                    <wp:anchor distT="0" distB="0" distL="114300" distR="114300" simplePos="0" relativeHeight="251719680" behindDoc="0" locked="0" layoutInCell="1" allowOverlap="1" wp14:anchorId="501108BA" wp14:editId="38889605">
                      <wp:simplePos x="0" y="0"/>
                      <wp:positionH relativeFrom="column">
                        <wp:posOffset>-32385</wp:posOffset>
                      </wp:positionH>
                      <wp:positionV relativeFrom="paragraph">
                        <wp:posOffset>72863</wp:posOffset>
                      </wp:positionV>
                      <wp:extent cx="2339163" cy="541655"/>
                      <wp:effectExtent l="0" t="0" r="0" b="0"/>
                      <wp:wrapNone/>
                      <wp:docPr id="57" name="Text Box 57"/>
                      <wp:cNvGraphicFramePr/>
                      <a:graphic xmlns:a="http://schemas.openxmlformats.org/drawingml/2006/main">
                        <a:graphicData uri="http://schemas.microsoft.com/office/word/2010/wordprocessingShape">
                          <wps:wsp>
                            <wps:cNvSpPr txBox="1"/>
                            <wps:spPr>
                              <a:xfrm>
                                <a:off x="0" y="0"/>
                                <a:ext cx="2339163" cy="541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505330F" w14:textId="77777777" w:rsidR="009A5CAA" w:rsidRPr="00C94C4F" w:rsidRDefault="009A5CAA" w:rsidP="000B362C">
                                  <w:pPr>
                                    <w:rPr>
                                      <w:rFonts w:ascii="Arial" w:hAnsi="Arial" w:cs="Arial"/>
                                      <w:b/>
                                    </w:rPr>
                                  </w:pPr>
                                  <w:r>
                                    <w:rPr>
                                      <w:rFonts w:ascii="Arial" w:hAnsi="Arial" w:cs="Arial"/>
                                      <w:b/>
                                    </w:rPr>
                                    <w:t>Public housing residents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7" o:spid="_x0000_s1054" type="#_x0000_t202" style="position:absolute;left:0;text-align:left;margin-left:-2.55pt;margin-top:5.75pt;width:184.2pt;height:42.65pt;z-index:251719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" filled="f" stroked="f" strokeweight=".5pt">
                      <v:textbox>
                        <w:txbxContent>
                          <w:p w14:paraId="2505330F" w14:textId="77777777" w:rsidR="009A5CAA" w:rsidRPr="00C94C4F" w:rsidRDefault="009A5CAA" w:rsidP="000B362C">
                            <w:pPr>
                              <w:rPr>
                                <w:rFonts w:ascii="Arial" w:hAnsi="Arial" w:cs="Arial"/>
                                <w:b/>
                              </w:rPr>
                            </w:pPr>
                            <w:r>
                              <w:rPr>
                                <w:rFonts w:ascii="Arial" w:hAnsi="Arial" w:cs="Arial"/>
                                <w:b/>
                              </w:rPr>
                              <w:t>Public housing residents</w:t>
                            </w:r>
                          </w:p>
                        </w:txbxContent>
                      </v:textbox>
                    </v:shape>
                  </w:pict>
                </mc:Fallback>
              </mc:AlternateContent>
            </w:r>
          </w:p>
        </w:tc>
      </w:tr>
      <w:tr w:rsidR="000B362C" w:rsidRPr="00176D3F" w14:paraId="7AAF53C0" w14:textId="77777777" w:rsidTr="000B362C">
        <w:trPr>
          <w:trHeight w:val="3189"/>
        </w:trPr>
        <w:tc>
          <w:tcPr>
            <w:tcW w:w="8767" w:type="dxa"/>
            <w:tcBorders>
              <w:top w:val="single" w:sz="4" w:space="0" w:color="B5B5B5" w:themeColor="accent4" w:themeShade="BF"/>
              <w:left w:val="nil"/>
              <w:bottom w:val="single" w:sz="4" w:space="0" w:color="B5B5B5" w:themeColor="accent4" w:themeShade="BF"/>
              <w:right w:val="nil"/>
            </w:tcBorders>
            <w:shd w:val="clear" w:color="auto" w:fill="auto"/>
          </w:tcPr>
          <w:p w14:paraId="54DFDC30" w14:textId="77777777" w:rsidR="000B362C" w:rsidRDefault="000B362C" w:rsidP="00A20B09">
            <w:pPr>
              <w:pStyle w:val="Note"/>
              <w:rPr>
                <w:b/>
                <w:noProof/>
                <w:position w:val="6"/>
              </w:rPr>
            </w:pPr>
            <w:r>
              <w:rPr>
                <w:b/>
                <w:noProof/>
                <w:position w:val="6"/>
              </w:rPr>
              <mc:AlternateContent>
                <mc:Choice Requires="wps">
                  <w:drawing>
                    <wp:anchor distT="0" distB="0" distL="114300" distR="114300" simplePos="0" relativeHeight="251720704" behindDoc="0" locked="0" layoutInCell="1" allowOverlap="1" wp14:anchorId="6AF01E79" wp14:editId="18CDEDF0">
                      <wp:simplePos x="0" y="0"/>
                      <wp:positionH relativeFrom="column">
                        <wp:posOffset>-39370</wp:posOffset>
                      </wp:positionH>
                      <wp:positionV relativeFrom="paragraph">
                        <wp:posOffset>75403</wp:posOffset>
                      </wp:positionV>
                      <wp:extent cx="2338705" cy="541655"/>
                      <wp:effectExtent l="0" t="0" r="0" b="0"/>
                      <wp:wrapNone/>
                      <wp:docPr id="58" name="Text Box 58"/>
                      <wp:cNvGraphicFramePr/>
                      <a:graphic xmlns:a="http://schemas.openxmlformats.org/drawingml/2006/main">
                        <a:graphicData uri="http://schemas.microsoft.com/office/word/2010/wordprocessingShape">
                          <wps:wsp>
                            <wps:cNvSpPr txBox="1"/>
                            <wps:spPr>
                              <a:xfrm>
                                <a:off x="0" y="0"/>
                                <a:ext cx="2338705" cy="541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0459CBB" w14:textId="77777777" w:rsidR="009A5CAA" w:rsidRPr="00C94C4F" w:rsidRDefault="009A5CAA" w:rsidP="000B362C">
                                  <w:pPr>
                                    <w:rPr>
                                      <w:rFonts w:ascii="Arial" w:hAnsi="Arial" w:cs="Arial"/>
                                      <w:b/>
                                    </w:rPr>
                                  </w:pPr>
                                  <w:r>
                                    <w:rPr>
                                      <w:rFonts w:ascii="Arial" w:hAnsi="Arial" w:cs="Arial"/>
                                      <w:b/>
                                    </w:rPr>
                                    <w:t>Lower skilled employment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8" o:spid="_x0000_s1055" type="#_x0000_t202" style="position:absolute;left:0;text-align:left;margin-left:-3.1pt;margin-top:5.95pt;width:184.15pt;height:42.65pt;z-index:251720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" filled="f" stroked="f" strokeweight=".5pt">
                      <v:textbox>
                        <w:txbxContent>
                          <w:p w14:paraId="20459CBB" w14:textId="77777777" w:rsidR="009A5CAA" w:rsidRPr="00C94C4F" w:rsidRDefault="009A5CAA" w:rsidP="000B362C">
                            <w:pPr>
                              <w:rPr>
                                <w:rFonts w:ascii="Arial" w:hAnsi="Arial" w:cs="Arial"/>
                                <w:b/>
                              </w:rPr>
                            </w:pPr>
                            <w:r>
                              <w:rPr>
                                <w:rFonts w:ascii="Arial" w:hAnsi="Arial" w:cs="Arial"/>
                                <w:b/>
                              </w:rPr>
                              <w:t>Lower skilled employment</w:t>
                            </w:r>
                          </w:p>
                        </w:txbxContent>
                      </v:textbox>
                    </v:shape>
                  </w:pict>
                </mc:Fallback>
              </mc:AlternateContent>
            </w:r>
          </w:p>
          <w:p w14:paraId="2B0F07EA" w14:textId="77777777" w:rsidR="000B362C" w:rsidRDefault="000B362C" w:rsidP="00A20B09">
            <w:pPr>
              <w:pStyle w:val="Note"/>
              <w:rPr>
                <w:rStyle w:val="NoteLabel"/>
              </w:rPr>
            </w:pPr>
            <w:r>
              <w:rPr>
                <w:b/>
                <w:noProof/>
                <w:position w:val="6"/>
              </w:rPr>
              <w:drawing>
                <wp:anchor distT="0" distB="0" distL="114300" distR="114300" simplePos="0" relativeHeight="251722752" behindDoc="1" locked="0" layoutInCell="1" allowOverlap="1" wp14:anchorId="2F2DCBE8" wp14:editId="00B9C64C">
                  <wp:simplePos x="1254125" y="4901565"/>
                  <wp:positionH relativeFrom="column">
                    <wp:posOffset>1598295</wp:posOffset>
                  </wp:positionH>
                  <wp:positionV relativeFrom="page">
                    <wp:align>center</wp:align>
                  </wp:positionV>
                  <wp:extent cx="4406400" cy="1854000"/>
                  <wp:effectExtent l="0" t="0" r="0" b="0"/>
                  <wp:wrapThrough wrapText="bothSides">
                    <wp:wrapPolygon edited="0">
                      <wp:start x="0" y="0"/>
                      <wp:lineTo x="0" y="21311"/>
                      <wp:lineTo x="21479" y="21311"/>
                      <wp:lineTo x="21479" y="0"/>
                      <wp:lineTo x="0" y="0"/>
                    </wp:wrapPolygon>
                  </wp:wrapThrough>
                  <wp:docPr id="21" name="Picture 21" descr="Please refer to the description of figure 29 found in the first panel.&#10;" title="Figure 29, Panel 3 – This panel is part of figure 29.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nberra+skills+insert.jpeg"/>
                          <pic:cNvPicPr/>
                        </pic:nvPicPr>
                        <pic:blipFill>
                          <a:blip r:embed="rId68" cstate="print">
                            <a:extLst>
                              <a:ext uri="{28A0092B-C50C-407E-A947-70E740481C1C}">
                                <a14:useLocalDpi xmlns:a14="http://schemas.microsoft.com/office/drawing/2010/main" val="0"/>
                              </a:ext>
                            </a:extLst>
                          </a:blip>
                          <a:stretch>
                            <a:fillRect/>
                          </a:stretch>
                        </pic:blipFill>
                        <pic:spPr>
                          <a:xfrm>
                            <a:off x="0" y="0"/>
                            <a:ext cx="4406400" cy="1854000"/>
                          </a:xfrm>
                          <a:prstGeom prst="rect">
                            <a:avLst/>
                          </a:prstGeom>
                        </pic:spPr>
                      </pic:pic>
                    </a:graphicData>
                  </a:graphic>
                  <wp14:sizeRelH relativeFrom="margin">
                    <wp14:pctWidth>0</wp14:pctWidth>
                  </wp14:sizeRelH>
                  <wp14:sizeRelV relativeFrom="margin">
                    <wp14:pctHeight>0</wp14:pctHeight>
                  </wp14:sizeRelV>
                </wp:anchor>
              </w:drawing>
            </w:r>
          </w:p>
        </w:tc>
      </w:tr>
      <w:tr w:rsidR="00147D6A" w:rsidRPr="00176D3F" w14:paraId="5E5A1513" w14:textId="77777777" w:rsidTr="00A20B09">
        <w:tc>
          <w:tcPr>
            <w:tcW w:w="8767" w:type="dxa"/>
            <w:tcBorders>
              <w:top w:val="single" w:sz="4" w:space="0" w:color="B5B5B5" w:themeColor="accent4" w:themeShade="BF"/>
              <w:left w:val="nil"/>
              <w:bottom w:val="nil"/>
              <w:right w:val="nil"/>
            </w:tcBorders>
            <w:shd w:val="clear" w:color="auto" w:fill="auto"/>
          </w:tcPr>
          <w:p w14:paraId="332CF259" w14:textId="4DD7888B" w:rsidR="00147D6A" w:rsidRPr="00176D3F" w:rsidRDefault="00147D6A" w:rsidP="00A20B09">
            <w:pPr>
              <w:pStyle w:val="Note"/>
            </w:pPr>
            <w:r>
              <w:rPr>
                <w:rStyle w:val="NoteLabel"/>
              </w:rPr>
              <w:t>a</w:t>
            </w:r>
            <w:r w:rsidR="0088609E">
              <w:t xml:space="preserve"> </w:t>
            </w:r>
            <w:r>
              <w:t>ISP recipients aged 15–65 at 30</w:t>
            </w:r>
            <w:r w:rsidR="00935A28">
              <w:t> </w:t>
            </w:r>
            <w:r>
              <w:t xml:space="preserve">June 2011. </w:t>
            </w:r>
            <w:proofErr w:type="spellStart"/>
            <w:r>
              <w:t>CRA</w:t>
            </w:r>
            <w:proofErr w:type="spellEnd"/>
            <w:r>
              <w:t xml:space="preserve"> recipients do not include </w:t>
            </w:r>
            <w:proofErr w:type="spellStart"/>
            <w:r w:rsidR="00FF2726">
              <w:t>FTB</w:t>
            </w:r>
            <w:proofErr w:type="spellEnd"/>
            <w:r w:rsidR="00FF2726">
              <w:t xml:space="preserve"> A</w:t>
            </w:r>
            <w:r w:rsidR="00935A28">
              <w:noBreakHyphen/>
            </w:r>
            <w:r>
              <w:t xml:space="preserve">only recipients of </w:t>
            </w:r>
            <w:proofErr w:type="spellStart"/>
            <w:r>
              <w:t>CRA</w:t>
            </w:r>
            <w:proofErr w:type="spellEnd"/>
            <w:r>
              <w:t xml:space="preserve">. </w:t>
            </w:r>
            <w:r w:rsidRPr="0071184F">
              <w:rPr>
                <w:rStyle w:val="NoteLabel"/>
              </w:rPr>
              <w:t>b</w:t>
            </w:r>
            <w:r>
              <w:t xml:space="preserve"> Lower skilled employment refers to people in jobs classified as </w:t>
            </w:r>
            <w:proofErr w:type="spellStart"/>
            <w:r>
              <w:t>ANZSCO</w:t>
            </w:r>
            <w:proofErr w:type="spellEnd"/>
            <w:r>
              <w:t xml:space="preserve"> skill level 4 or 5.</w:t>
            </w:r>
            <w:r w:rsidR="0037186B">
              <w:t xml:space="preserve"> </w:t>
            </w:r>
            <w:r w:rsidR="0037186B">
              <w:rPr>
                <w:rStyle w:val="NoteLabel"/>
              </w:rPr>
              <w:t xml:space="preserve">c </w:t>
            </w:r>
            <w:proofErr w:type="spellStart"/>
            <w:r w:rsidR="0037186B">
              <w:t>SA2s</w:t>
            </w:r>
            <w:proofErr w:type="spellEnd"/>
            <w:r w:rsidR="0037186B">
              <w:t xml:space="preserve"> are an ABS</w:t>
            </w:r>
            <w:r w:rsidR="00E209F1">
              <w:noBreakHyphen/>
            </w:r>
            <w:r w:rsidR="0037186B">
              <w:t xml:space="preserve">defined </w:t>
            </w:r>
            <w:r w:rsidR="0037186B" w:rsidRPr="005B3B30">
              <w:t>medium</w:t>
            </w:r>
            <w:r w:rsidR="00E209F1">
              <w:noBreakHyphen/>
            </w:r>
            <w:r w:rsidR="0037186B" w:rsidRPr="005B3B30">
              <w:t xml:space="preserve">sized geographic unit </w:t>
            </w:r>
            <w:r w:rsidR="0037186B">
              <w:t>that include</w:t>
            </w:r>
            <w:r w:rsidR="00306456">
              <w:t>s</w:t>
            </w:r>
            <w:r w:rsidR="0037186B">
              <w:t xml:space="preserve"> an </w:t>
            </w:r>
            <w:r w:rsidR="0037186B" w:rsidRPr="00751247">
              <w:t xml:space="preserve">average of </w:t>
            </w:r>
            <w:r w:rsidR="0037186B">
              <w:t xml:space="preserve">around </w:t>
            </w:r>
            <w:r w:rsidR="0037186B" w:rsidRPr="00751247">
              <w:t>10 000 people.</w:t>
            </w:r>
          </w:p>
        </w:tc>
      </w:tr>
      <w:tr w:rsidR="00147D6A" w:rsidRPr="00176D3F" w14:paraId="080574DC" w14:textId="77777777" w:rsidTr="00A20B09">
        <w:tc>
          <w:tcPr>
            <w:tcW w:w="8767" w:type="dxa"/>
            <w:tcBorders>
              <w:top w:val="nil"/>
              <w:left w:val="nil"/>
              <w:bottom w:val="nil"/>
              <w:right w:val="nil"/>
            </w:tcBorders>
            <w:shd w:val="clear" w:color="auto" w:fill="auto"/>
          </w:tcPr>
          <w:p w14:paraId="40E76473" w14:textId="0E6886EF" w:rsidR="00147D6A" w:rsidRPr="00176D3F" w:rsidRDefault="00306456" w:rsidP="00A20B09">
            <w:pPr>
              <w:pStyle w:val="Source"/>
            </w:pPr>
            <w:r>
              <w:rPr>
                <w:i/>
              </w:rPr>
              <w:t>Source</w:t>
            </w:r>
            <w:r w:rsidR="00147D6A">
              <w:rPr>
                <w:i/>
              </w:rPr>
              <w:t>s</w:t>
            </w:r>
            <w:r w:rsidR="00147D6A" w:rsidRPr="00176D3F">
              <w:t xml:space="preserve">: </w:t>
            </w:r>
            <w:r w:rsidR="00147D6A">
              <w:t>ABS (</w:t>
            </w:r>
            <w:proofErr w:type="spellStart"/>
            <w:r w:rsidR="00147D6A" w:rsidRPr="00905139">
              <w:rPr>
                <w:i/>
              </w:rPr>
              <w:t>TableBuilder</w:t>
            </w:r>
            <w:proofErr w:type="spellEnd"/>
            <w:r w:rsidR="00147D6A" w:rsidRPr="00905139">
              <w:rPr>
                <w:i/>
              </w:rPr>
              <w:t xml:space="preserve"> Pro, 2011</w:t>
            </w:r>
            <w:r w:rsidR="00147D6A">
              <w:t xml:space="preserve">, Cat. no. 2073.0); </w:t>
            </w:r>
            <w:r w:rsidR="00147D6A" w:rsidRPr="00BF0589">
              <w:t>Department of Employment, Research and Evaluation Database</w:t>
            </w:r>
            <w:r w:rsidR="00147D6A">
              <w:t>.</w:t>
            </w:r>
          </w:p>
        </w:tc>
      </w:tr>
      <w:tr w:rsidR="000B362C" w14:paraId="21322B88" w14:textId="77777777" w:rsidTr="00A20B09">
        <w:tc>
          <w:tcPr>
            <w:tcW w:w="8767" w:type="dxa"/>
            <w:tcBorders>
              <w:top w:val="nil"/>
              <w:left w:val="nil"/>
              <w:bottom w:val="single" w:sz="6" w:space="0" w:color="78A22F"/>
              <w:right w:val="nil"/>
            </w:tcBorders>
            <w:shd w:val="clear" w:color="auto" w:fill="auto"/>
          </w:tcPr>
          <w:p w14:paraId="5460D0AC" w14:textId="77777777" w:rsidR="000B362C" w:rsidRDefault="000B362C" w:rsidP="00A20B09">
            <w:pPr>
              <w:pStyle w:val="Figurespace"/>
            </w:pPr>
          </w:p>
        </w:tc>
      </w:tr>
      <w:tr w:rsidR="000B362C" w:rsidRPr="000863A5" w14:paraId="0F3C4C0B" w14:textId="77777777" w:rsidTr="00A20B09">
        <w:tc>
          <w:tcPr>
            <w:tcW w:w="8767" w:type="dxa"/>
            <w:tcBorders>
              <w:top w:val="single" w:sz="6" w:space="0" w:color="78A22F"/>
              <w:left w:val="nil"/>
              <w:bottom w:val="nil"/>
              <w:right w:val="nil"/>
            </w:tcBorders>
          </w:tcPr>
          <w:p w14:paraId="1CBCBA1B" w14:textId="24DC7783" w:rsidR="000B362C" w:rsidRPr="00626D32" w:rsidRDefault="000B362C" w:rsidP="00A20B09">
            <w:pPr>
              <w:pStyle w:val="BoxSpaceBelow"/>
            </w:pPr>
          </w:p>
        </w:tc>
      </w:tr>
    </w:tbl>
    <w:p w14:paraId="04443156" w14:textId="77777777" w:rsidR="00571DE0" w:rsidRDefault="009E4121" w:rsidP="00571DE0">
      <w:pPr>
        <w:pStyle w:val="Heading3"/>
      </w:pPr>
      <w:r>
        <w:lastRenderedPageBreak/>
        <w:t>References</w:t>
      </w:r>
    </w:p>
    <w:p w14:paraId="3EAA49FD" w14:textId="564E5055" w:rsidR="00B809B9" w:rsidRPr="00571DE0" w:rsidRDefault="00B809B9" w:rsidP="00571DE0">
      <w:pPr>
        <w:pStyle w:val="Reference"/>
      </w:pPr>
      <w:proofErr w:type="spellStart"/>
      <w:r w:rsidRPr="00571DE0">
        <w:t>AIHW</w:t>
      </w:r>
      <w:proofErr w:type="spellEnd"/>
      <w:r w:rsidRPr="00571DE0">
        <w:t xml:space="preserve"> (Australian Institute of Health and Welfare) 2014, Centrelink income unit</w:t>
      </w:r>
      <w:r w:rsidR="00E209F1">
        <w:t xml:space="preserve"> </w:t>
      </w:r>
      <w:r w:rsidRPr="00571DE0">
        <w:t>—</w:t>
      </w:r>
      <w:r w:rsidR="00E209F1">
        <w:t xml:space="preserve"> </w:t>
      </w:r>
      <w:r w:rsidRPr="00571DE0">
        <w:t>Commonwealth Rent Assistance amount, Meteor Metadata Online Registry.</w:t>
      </w:r>
    </w:p>
    <w:p w14:paraId="25E5515E" w14:textId="77777777" w:rsidR="00B809B9" w:rsidRPr="00571DE0" w:rsidRDefault="00B809B9" w:rsidP="00571DE0">
      <w:pPr>
        <w:pStyle w:val="Reference"/>
      </w:pPr>
      <w:proofErr w:type="spellStart"/>
      <w:r w:rsidRPr="00571DE0">
        <w:t>DEEWR</w:t>
      </w:r>
      <w:proofErr w:type="spellEnd"/>
      <w:r w:rsidRPr="00571DE0">
        <w:t xml:space="preserve"> (Department of Education, Employment and Workplace Relations) 2008, Welfare to Work Evaluation Report, </w:t>
      </w:r>
      <w:proofErr w:type="spellStart"/>
      <w:r w:rsidRPr="00571DE0">
        <w:t>DEEWR</w:t>
      </w:r>
      <w:proofErr w:type="spellEnd"/>
      <w:r w:rsidRPr="00571DE0">
        <w:t>, Canberra.</w:t>
      </w:r>
    </w:p>
    <w:p w14:paraId="2FB8869D" w14:textId="3FBCDD29" w:rsidR="00571DE0" w:rsidRPr="00571DE0" w:rsidRDefault="00571DE0" w:rsidP="00571DE0">
      <w:pPr>
        <w:pStyle w:val="Reference"/>
      </w:pPr>
      <w:proofErr w:type="spellStart"/>
      <w:r w:rsidRPr="00571DE0">
        <w:t>JSA</w:t>
      </w:r>
      <w:proofErr w:type="spellEnd"/>
      <w:r w:rsidRPr="00571DE0">
        <w:t xml:space="preserve"> (Job Services Australia) 2013, Job Services Australia Overview for </w:t>
      </w:r>
      <w:proofErr w:type="spellStart"/>
      <w:r w:rsidRPr="00571DE0">
        <w:t>RTOs</w:t>
      </w:r>
      <w:proofErr w:type="spellEnd"/>
      <w:r w:rsidRPr="00571DE0">
        <w:t>.</w:t>
      </w:r>
    </w:p>
    <w:p w14:paraId="696F508C" w14:textId="06B7441E" w:rsidR="00B809B9" w:rsidRPr="00571DE0" w:rsidRDefault="00B809B9" w:rsidP="00571DE0">
      <w:pPr>
        <w:pStyle w:val="Reference"/>
      </w:pPr>
      <w:proofErr w:type="spellStart"/>
      <w:r w:rsidRPr="00571DE0">
        <w:t>SCRGSP</w:t>
      </w:r>
      <w:proofErr w:type="spellEnd"/>
      <w:r w:rsidRPr="00571DE0">
        <w:t xml:space="preserve"> (Steering Committee for the Review of Government Service Provision) 2008, Report on Government Services 2008, Productivity Commission.</w:t>
      </w:r>
    </w:p>
    <w:p w14:paraId="6E71FD0C" w14:textId="4211C09F" w:rsidR="00B809B9" w:rsidRPr="00571DE0" w:rsidRDefault="00B809B9" w:rsidP="00571DE0">
      <w:pPr>
        <w:pStyle w:val="Reference"/>
      </w:pPr>
      <w:r w:rsidRPr="00571DE0">
        <w:t>——</w:t>
      </w:r>
      <w:r w:rsidR="0037186B" w:rsidRPr="00571DE0">
        <w:t xml:space="preserve"> </w:t>
      </w:r>
      <w:r w:rsidRPr="00571DE0">
        <w:t>2009, Report on Government Services 2009, Productivity Commission.</w:t>
      </w:r>
    </w:p>
    <w:p w14:paraId="2605AEAC" w14:textId="3E177B63" w:rsidR="00B809B9" w:rsidRPr="00571DE0" w:rsidRDefault="00B809B9" w:rsidP="00571DE0">
      <w:pPr>
        <w:pStyle w:val="Reference"/>
      </w:pPr>
      <w:r w:rsidRPr="00571DE0">
        <w:t>——</w:t>
      </w:r>
      <w:r w:rsidR="0037186B" w:rsidRPr="00571DE0">
        <w:t xml:space="preserve"> </w:t>
      </w:r>
      <w:r w:rsidRPr="00571DE0">
        <w:t>2014, Report on Government Services 2014, Productivity Commission.</w:t>
      </w:r>
    </w:p>
    <w:p w14:paraId="430AB2F5" w14:textId="77777777" w:rsidR="00B809B9" w:rsidRPr="00571DE0" w:rsidRDefault="00B809B9" w:rsidP="00571DE0">
      <w:pPr>
        <w:pStyle w:val="Reference"/>
      </w:pPr>
      <w:r w:rsidRPr="00571DE0">
        <w:t>Welfare Rights Centre 2011, Job Capacity Assessments, Welfare Rights Centre, Brisbane.</w:t>
      </w:r>
    </w:p>
    <w:p w14:paraId="44F8CE78" w14:textId="18159DB9" w:rsidR="009A5CAA" w:rsidRPr="00571DE0" w:rsidRDefault="00B809B9" w:rsidP="00571DE0">
      <w:pPr>
        <w:pStyle w:val="Reference"/>
      </w:pPr>
      <w:r w:rsidRPr="00571DE0">
        <w:t xml:space="preserve">Williamson, D.F., Parker, R.A. and Kendrick, </w:t>
      </w:r>
      <w:proofErr w:type="spellStart"/>
      <w:r w:rsidRPr="00571DE0">
        <w:t>J.S</w:t>
      </w:r>
      <w:proofErr w:type="spellEnd"/>
      <w:r w:rsidRPr="00571DE0">
        <w:t>. 1989, ‘The Box Plot: A Simple Visual Method to Interpret Data’, Annals of Inter</w:t>
      </w:r>
      <w:bookmarkStart w:id="5" w:name="_GoBack"/>
      <w:bookmarkEnd w:id="5"/>
      <w:r w:rsidRPr="00571DE0">
        <w:t>nal Medicine, vol. 110, no. 11, pp. 916–921.</w:t>
      </w:r>
    </w:p>
    <w:sectPr w:rsidR="009A5CAA" w:rsidRPr="00571DE0" w:rsidSect="00621AFB">
      <w:headerReference w:type="even" r:id="rId69"/>
      <w:headerReference w:type="default" r:id="rId70"/>
      <w:footerReference w:type="even" r:id="rId71"/>
      <w:footerReference w:type="default" r:id="rId72"/>
      <w:pgSz w:w="11907" w:h="16840" w:code="9"/>
      <w:pgMar w:top="1985" w:right="1304" w:bottom="1247" w:left="1814" w:header="1701" w:footer="397" w:gutter="0"/>
      <w:pgNumType w:start="101" w:chapSep="period"/>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81D4D6" w14:textId="77777777" w:rsidR="009A5CAA" w:rsidRDefault="009A5CAA">
      <w:r>
        <w:separator/>
      </w:r>
    </w:p>
  </w:endnote>
  <w:endnote w:type="continuationSeparator" w:id="0">
    <w:p w14:paraId="4AEF0040" w14:textId="77777777" w:rsidR="009A5CAA" w:rsidRDefault="009A5C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Book Antiqua">
    <w:panose1 w:val="02040602050305030304"/>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9A5CAA" w14:paraId="6C85E2B7" w14:textId="77777777" w:rsidTr="005F48ED">
      <w:trPr>
        <w:trHeight w:hRule="exact" w:val="567"/>
      </w:trPr>
      <w:tc>
        <w:tcPr>
          <w:tcW w:w="510" w:type="dxa"/>
        </w:tcPr>
        <w:p w14:paraId="6B2490E2" w14:textId="77777777" w:rsidR="009A5CAA" w:rsidRPr="00A24443" w:rsidRDefault="009A5CAA" w:rsidP="0019293B">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621AFB">
            <w:rPr>
              <w:rStyle w:val="PageNumber"/>
              <w:caps w:val="0"/>
              <w:noProof/>
            </w:rPr>
            <w:t>130</w:t>
          </w:r>
          <w:r w:rsidRPr="00A24443">
            <w:rPr>
              <w:rStyle w:val="PageNumber"/>
              <w:caps w:val="0"/>
            </w:rPr>
            <w:fldChar w:fldCharType="end"/>
          </w:r>
        </w:p>
      </w:tc>
      <w:tc>
        <w:tcPr>
          <w:tcW w:w="7767" w:type="dxa"/>
        </w:tcPr>
        <w:p w14:paraId="74D72DDA" w14:textId="23568593" w:rsidR="009A5CAA" w:rsidRPr="0013739A" w:rsidRDefault="00B5435E" w:rsidP="002E6E41">
          <w:pPr>
            <w:pStyle w:val="Footer"/>
            <w:rPr>
              <w:rFonts w:cs="Arial"/>
            </w:rPr>
          </w:pPr>
          <w:r>
            <w:rPr>
              <w:rFonts w:cs="Arial"/>
            </w:rPr>
            <w:t>Housing assistance and employment</w:t>
          </w:r>
          <w:bookmarkStart w:id="6" w:name="DraftReportEven"/>
          <w:bookmarkEnd w:id="6"/>
          <w:r w:rsidR="009A5CAA">
            <w:rPr>
              <w:rFonts w:cs="Arial"/>
            </w:rPr>
            <w:t xml:space="preserve"> </w:t>
          </w:r>
          <w:r w:rsidR="002E6E41">
            <w:rPr>
              <w:rFonts w:cs="Arial"/>
            </w:rPr>
            <w:t>in australia</w:t>
          </w:r>
        </w:p>
      </w:tc>
      <w:tc>
        <w:tcPr>
          <w:tcW w:w="510" w:type="dxa"/>
        </w:tcPr>
        <w:p w14:paraId="7E06F8DB" w14:textId="77777777" w:rsidR="009A5CAA" w:rsidRDefault="009A5CAA" w:rsidP="0019293B">
          <w:pPr>
            <w:pStyle w:val="Footer"/>
          </w:pPr>
        </w:p>
      </w:tc>
    </w:tr>
  </w:tbl>
  <w:p w14:paraId="67577BBE" w14:textId="77777777" w:rsidR="009A5CAA" w:rsidRDefault="009A5CAA" w:rsidP="0019293B">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9A5CAA" w14:paraId="068CD833" w14:textId="77777777" w:rsidTr="005F48ED">
      <w:trPr>
        <w:trHeight w:hRule="exact" w:val="567"/>
      </w:trPr>
      <w:tc>
        <w:tcPr>
          <w:tcW w:w="510" w:type="dxa"/>
        </w:tcPr>
        <w:p w14:paraId="1B67FB1D" w14:textId="77777777" w:rsidR="009A5CAA" w:rsidRDefault="009A5CAA">
          <w:pPr>
            <w:pStyle w:val="Footer"/>
            <w:ind w:right="360" w:firstLine="360"/>
          </w:pPr>
        </w:p>
      </w:tc>
      <w:tc>
        <w:tcPr>
          <w:tcW w:w="7767" w:type="dxa"/>
        </w:tcPr>
        <w:p w14:paraId="7F19414D" w14:textId="03484EC5" w:rsidR="009A5CAA" w:rsidRPr="00BA5B14" w:rsidRDefault="009A5CAA" w:rsidP="001964B7">
          <w:pPr>
            <w:pStyle w:val="Footer"/>
            <w:jc w:val="right"/>
            <w:rPr>
              <w:rFonts w:cs="Arial"/>
            </w:rPr>
          </w:pPr>
          <w:r w:rsidRPr="00BA5B14">
            <w:rPr>
              <w:rFonts w:cs="Arial"/>
            </w:rPr>
            <w:fldChar w:fldCharType="begin"/>
          </w:r>
          <w:r w:rsidRPr="00BA5B14">
            <w:rPr>
              <w:rFonts w:cs="Arial"/>
            </w:rPr>
            <w:instrText xml:space="preserve"> TITLE  \* MERGEFORMAT </w:instrText>
          </w:r>
          <w:r w:rsidRPr="00BA5B14">
            <w:rPr>
              <w:rFonts w:cs="Arial"/>
            </w:rPr>
            <w:fldChar w:fldCharType="separate"/>
          </w:r>
          <w:r w:rsidR="00B5435E">
            <w:rPr>
              <w:rFonts w:cs="Arial"/>
            </w:rPr>
            <w:t>A profile of working-age housing assistance recipients</w:t>
          </w:r>
          <w:r w:rsidRPr="00BA5B14">
            <w:rPr>
              <w:rFonts w:cs="Arial"/>
            </w:rPr>
            <w:fldChar w:fldCharType="end"/>
          </w:r>
          <w:bookmarkStart w:id="7" w:name="DraftReportOdd"/>
          <w:bookmarkEnd w:id="7"/>
        </w:p>
      </w:tc>
      <w:bookmarkStart w:id="8" w:name="begin"/>
      <w:bookmarkEnd w:id="8"/>
      <w:tc>
        <w:tcPr>
          <w:tcW w:w="510" w:type="dxa"/>
        </w:tcPr>
        <w:p w14:paraId="06EB28E7" w14:textId="77777777" w:rsidR="009A5CAA" w:rsidRPr="00A24443" w:rsidRDefault="009A5CAA">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621AFB">
            <w:rPr>
              <w:rStyle w:val="PageNumber"/>
              <w:caps w:val="0"/>
              <w:noProof/>
            </w:rPr>
            <w:t>129</w:t>
          </w:r>
          <w:r w:rsidRPr="00A24443">
            <w:rPr>
              <w:rStyle w:val="PageNumber"/>
              <w:caps w:val="0"/>
            </w:rPr>
            <w:fldChar w:fldCharType="end"/>
          </w:r>
        </w:p>
      </w:tc>
    </w:tr>
  </w:tbl>
  <w:p w14:paraId="644ECB6E" w14:textId="77777777" w:rsidR="009A5CAA" w:rsidRDefault="009A5CAA">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A4F2F52" w14:textId="77777777" w:rsidR="009A5CAA" w:rsidRDefault="009A5CAA">
      <w:r>
        <w:separator/>
      </w:r>
    </w:p>
  </w:footnote>
  <w:footnote w:type="continuationSeparator" w:id="0">
    <w:p w14:paraId="21C6FD14" w14:textId="77777777" w:rsidR="009A5CAA" w:rsidRDefault="009A5CAA">
      <w:r>
        <w:continuationSeparator/>
      </w:r>
    </w:p>
  </w:footnote>
  <w:footnote w:id="1">
    <w:p w14:paraId="11DBF741" w14:textId="77777777" w:rsidR="009A5CAA" w:rsidRDefault="009A5CAA">
      <w:pPr>
        <w:pStyle w:val="FootnoteText"/>
      </w:pPr>
      <w:r w:rsidRPr="00627E7B">
        <w:rPr>
          <w:rStyle w:val="FootnoteReference"/>
        </w:rPr>
        <w:footnoteRef/>
      </w:r>
      <w:r>
        <w:tab/>
        <w:t xml:space="preserve">The data cover all ISPs administered by the </w:t>
      </w:r>
      <w:proofErr w:type="spellStart"/>
      <w:r>
        <w:t>DHS</w:t>
      </w:r>
      <w:proofErr w:type="spellEnd"/>
      <w:r>
        <w:t>. Recipients of payments made by the Department of Veterans’ Affairs are not included in the data.</w:t>
      </w:r>
    </w:p>
  </w:footnote>
  <w:footnote w:id="2">
    <w:p w14:paraId="3EA93502" w14:textId="77777777" w:rsidR="009A5CAA" w:rsidRPr="00DD6058" w:rsidRDefault="009A5CAA">
      <w:pPr>
        <w:pStyle w:val="FootnoteText"/>
        <w:rPr>
          <w:lang w:val="en-US"/>
        </w:rPr>
      </w:pPr>
      <w:r w:rsidRPr="00627E7B">
        <w:rPr>
          <w:rStyle w:val="FootnoteReference"/>
        </w:rPr>
        <w:footnoteRef/>
      </w:r>
      <w:r>
        <w:tab/>
        <w:t>This approach reflects an assumption that a person’s employment decisions will be influenced by both their own and their partners’ unearned income, but that this income typically does not affect a child’s employment decisions.</w:t>
      </w:r>
    </w:p>
  </w:footnote>
  <w:footnote w:id="3">
    <w:p w14:paraId="7C6350A2" w14:textId="75FA4B94" w:rsidR="009A5CAA" w:rsidRDefault="009A5CAA" w:rsidP="00405324">
      <w:pPr>
        <w:pStyle w:val="FootnoteText"/>
      </w:pPr>
      <w:r w:rsidRPr="00627E7B">
        <w:rPr>
          <w:rStyle w:val="FootnoteReference"/>
        </w:rPr>
        <w:footnoteRef/>
      </w:r>
      <w:r>
        <w:tab/>
        <w:t xml:space="preserve">The </w:t>
      </w:r>
      <w:proofErr w:type="spellStart"/>
      <w:r>
        <w:t>DHS</w:t>
      </w:r>
      <w:proofErr w:type="spellEnd"/>
      <w:r>
        <w:t xml:space="preserve"> data arise from the administration of the Social Security Act. People who receive an ISP and </w:t>
      </w:r>
      <w:proofErr w:type="spellStart"/>
      <w:r>
        <w:t>CRA</w:t>
      </w:r>
      <w:proofErr w:type="spellEnd"/>
      <w:r>
        <w:t xml:space="preserve"> are paid </w:t>
      </w:r>
      <w:proofErr w:type="spellStart"/>
      <w:r>
        <w:t>CRA</w:t>
      </w:r>
      <w:proofErr w:type="spellEnd"/>
      <w:r>
        <w:t xml:space="preserve"> under the Social Security Act. People who receive </w:t>
      </w:r>
      <w:proofErr w:type="spellStart"/>
      <w:r>
        <w:t>FTB</w:t>
      </w:r>
      <w:proofErr w:type="spellEnd"/>
      <w:r w:rsidR="002900AF">
        <w:t xml:space="preserve"> </w:t>
      </w:r>
      <w:r>
        <w:t xml:space="preserve">(A) and </w:t>
      </w:r>
      <w:proofErr w:type="spellStart"/>
      <w:r>
        <w:t>CRA</w:t>
      </w:r>
      <w:proofErr w:type="spellEnd"/>
      <w:r>
        <w:t xml:space="preserve">, but do not receive an ISP, are paid under the Family Assistance Act. </w:t>
      </w:r>
    </w:p>
  </w:footnote>
  <w:footnote w:id="4">
    <w:p w14:paraId="09195EED" w14:textId="77777777" w:rsidR="009A5CAA" w:rsidRDefault="009A5CAA" w:rsidP="003A0D20">
      <w:pPr>
        <w:pStyle w:val="FootnoteText"/>
      </w:pPr>
      <w:r w:rsidRPr="00627E7B">
        <w:rPr>
          <w:rStyle w:val="FootnoteReference"/>
        </w:rPr>
        <w:footnoteRef/>
      </w:r>
      <w:r>
        <w:tab/>
        <w:t>The number of tenants who had employment at some point over the past six months would be larger.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9A5CAA" w14:paraId="6DB4C7D0" w14:textId="77777777">
      <w:tc>
        <w:tcPr>
          <w:tcW w:w="2155" w:type="dxa"/>
          <w:tcBorders>
            <w:top w:val="single" w:sz="24" w:space="0" w:color="auto"/>
          </w:tcBorders>
        </w:tcPr>
        <w:p w14:paraId="0EAFFC06" w14:textId="77777777" w:rsidR="009A5CAA" w:rsidRDefault="009A5CAA" w:rsidP="0019293B">
          <w:pPr>
            <w:pStyle w:val="HeaderEven"/>
          </w:pPr>
        </w:p>
      </w:tc>
      <w:tc>
        <w:tcPr>
          <w:tcW w:w="6634" w:type="dxa"/>
          <w:tcBorders>
            <w:top w:val="single" w:sz="6" w:space="0" w:color="auto"/>
          </w:tcBorders>
        </w:tcPr>
        <w:p w14:paraId="10642A3B" w14:textId="77777777" w:rsidR="009A5CAA" w:rsidRDefault="009A5CAA" w:rsidP="0019293B">
          <w:pPr>
            <w:pStyle w:val="HeaderEven"/>
          </w:pPr>
        </w:p>
      </w:tc>
    </w:tr>
  </w:tbl>
  <w:p w14:paraId="4B62611C" w14:textId="77777777" w:rsidR="009A5CAA" w:rsidRDefault="009A5CAA" w:rsidP="0019293B">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9A5CAA" w14:paraId="6F059F7A" w14:textId="77777777">
      <w:tc>
        <w:tcPr>
          <w:tcW w:w="6634" w:type="dxa"/>
          <w:tcBorders>
            <w:top w:val="single" w:sz="6" w:space="0" w:color="auto"/>
          </w:tcBorders>
        </w:tcPr>
        <w:p w14:paraId="2A96B61B" w14:textId="77777777" w:rsidR="009A5CAA" w:rsidRDefault="009A5CAA" w:rsidP="00E669E2">
          <w:pPr>
            <w:pStyle w:val="HeaderOdd"/>
          </w:pPr>
        </w:p>
      </w:tc>
      <w:tc>
        <w:tcPr>
          <w:tcW w:w="2155" w:type="dxa"/>
          <w:tcBorders>
            <w:top w:val="single" w:sz="24" w:space="0" w:color="auto"/>
          </w:tcBorders>
        </w:tcPr>
        <w:p w14:paraId="72D4F69B" w14:textId="77777777" w:rsidR="009A5CAA" w:rsidRDefault="009A5CAA" w:rsidP="00E669E2">
          <w:pPr>
            <w:pStyle w:val="HeaderOdd"/>
          </w:pPr>
        </w:p>
      </w:tc>
    </w:tr>
  </w:tbl>
  <w:p w14:paraId="45C3FF3C" w14:textId="77777777" w:rsidR="009A5CAA" w:rsidRDefault="009A5CAA" w:rsidP="00E669E2">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3424BDF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D0583CCA"/>
    <w:lvl w:ilvl="0">
      <w:start w:val="1"/>
      <w:numFmt w:val="decimal"/>
      <w:lvlText w:val="%1."/>
      <w:lvlJc w:val="left"/>
      <w:pPr>
        <w:tabs>
          <w:tab w:val="num" w:pos="1492"/>
        </w:tabs>
        <w:ind w:left="1492" w:hanging="360"/>
      </w:pPr>
    </w:lvl>
  </w:abstractNum>
  <w:abstractNum w:abstractNumId="2">
    <w:nsid w:val="FFFFFF7D"/>
    <w:multiLevelType w:val="singleLevel"/>
    <w:tmpl w:val="68B667BA"/>
    <w:lvl w:ilvl="0">
      <w:start w:val="1"/>
      <w:numFmt w:val="decimal"/>
      <w:lvlText w:val="%1."/>
      <w:lvlJc w:val="left"/>
      <w:pPr>
        <w:tabs>
          <w:tab w:val="num" w:pos="1209"/>
        </w:tabs>
        <w:ind w:left="1209" w:hanging="360"/>
      </w:pPr>
    </w:lvl>
  </w:abstractNum>
  <w:abstractNum w:abstractNumId="3">
    <w:nsid w:val="FFFFFF80"/>
    <w:multiLevelType w:val="singleLevel"/>
    <w:tmpl w:val="27FC4B0C"/>
    <w:lvl w:ilvl="0">
      <w:start w:val="1"/>
      <w:numFmt w:val="bullet"/>
      <w:lvlText w:val=""/>
      <w:lvlJc w:val="left"/>
      <w:pPr>
        <w:tabs>
          <w:tab w:val="num" w:pos="1492"/>
        </w:tabs>
        <w:ind w:left="1492" w:hanging="360"/>
      </w:pPr>
      <w:rPr>
        <w:rFonts w:ascii="Symbol" w:hAnsi="Symbol" w:hint="default"/>
      </w:rPr>
    </w:lvl>
  </w:abstractNum>
  <w:abstractNum w:abstractNumId="4">
    <w:nsid w:val="FFFFFF81"/>
    <w:multiLevelType w:val="singleLevel"/>
    <w:tmpl w:val="58542498"/>
    <w:lvl w:ilvl="0">
      <w:start w:val="1"/>
      <w:numFmt w:val="bullet"/>
      <w:lvlText w:val=""/>
      <w:lvlJc w:val="left"/>
      <w:pPr>
        <w:tabs>
          <w:tab w:val="num" w:pos="1209"/>
        </w:tabs>
        <w:ind w:left="1209" w:hanging="360"/>
      </w:pPr>
      <w:rPr>
        <w:rFonts w:ascii="Symbol" w:hAnsi="Symbol" w:hint="default"/>
      </w:rPr>
    </w:lvl>
  </w:abstractNum>
  <w:abstractNum w:abstractNumId="5">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6">
    <w:nsid w:val="FFFFFFFE"/>
    <w:multiLevelType w:val="singleLevel"/>
    <w:tmpl w:val="FFFFFFFF"/>
    <w:lvl w:ilvl="0">
      <w:numFmt w:val="decimal"/>
      <w:lvlText w:val="*"/>
      <w:lvlJc w:val="left"/>
    </w:lvl>
  </w:abstractNum>
  <w:abstractNum w:abstractNumId="7">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8">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9">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10">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3">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4">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5">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6">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7">
    <w:nsid w:val="3E30094A"/>
    <w:multiLevelType w:val="hybridMultilevel"/>
    <w:tmpl w:val="D7B82756"/>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0">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1">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2">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3">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6398132E"/>
    <w:multiLevelType w:val="hybridMultilevel"/>
    <w:tmpl w:val="6482697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Times New Roman"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Times New Roman"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Times New Roman" w:hint="default"/>
      </w:rPr>
    </w:lvl>
    <w:lvl w:ilvl="8" w:tplc="0C090005">
      <w:start w:val="1"/>
      <w:numFmt w:val="bullet"/>
      <w:lvlText w:val=""/>
      <w:lvlJc w:val="left"/>
      <w:pPr>
        <w:ind w:left="6480" w:hanging="360"/>
      </w:pPr>
      <w:rPr>
        <w:rFonts w:ascii="Wingdings" w:hAnsi="Wingdings" w:hint="default"/>
      </w:rPr>
    </w:lvl>
  </w:abstractNum>
  <w:abstractNum w:abstractNumId="25">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6">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7">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6"/>
  </w:num>
  <w:num w:numId="2">
    <w:abstractNumId w:val="7"/>
  </w:num>
  <w:num w:numId="3">
    <w:abstractNumId w:val="19"/>
  </w:num>
  <w:num w:numId="4">
    <w:abstractNumId w:val="8"/>
  </w:num>
  <w:num w:numId="5">
    <w:abstractNumId w:val="25"/>
  </w:num>
  <w:num w:numId="6">
    <w:abstractNumId w:val="21"/>
  </w:num>
  <w:num w:numId="7">
    <w:abstractNumId w:val="12"/>
  </w:num>
  <w:num w:numId="8">
    <w:abstractNumId w:val="20"/>
  </w:num>
  <w:num w:numId="9">
    <w:abstractNumId w:val="11"/>
  </w:num>
  <w:num w:numId="10">
    <w:abstractNumId w:val="10"/>
  </w:num>
  <w:num w:numId="11">
    <w:abstractNumId w:val="14"/>
  </w:num>
  <w:num w:numId="12">
    <w:abstractNumId w:val="15"/>
  </w:num>
  <w:num w:numId="13">
    <w:abstractNumId w:val="9"/>
  </w:num>
  <w:num w:numId="14">
    <w:abstractNumId w:val="22"/>
  </w:num>
  <w:num w:numId="15">
    <w:abstractNumId w:val="26"/>
  </w:num>
  <w:num w:numId="16">
    <w:abstractNumId w:val="18"/>
  </w:num>
  <w:num w:numId="17">
    <w:abstractNumId w:val="27"/>
  </w:num>
  <w:num w:numId="18">
    <w:abstractNumId w:val="5"/>
  </w:num>
  <w:num w:numId="19">
    <w:abstractNumId w:val="6"/>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0">
    <w:abstractNumId w:val="23"/>
  </w:num>
  <w:num w:numId="21">
    <w:abstractNumId w:val="13"/>
  </w:num>
  <w:num w:numId="22">
    <w:abstractNumId w:val="17"/>
  </w:num>
  <w:num w:numId="23">
    <w:abstractNumId w:val="24"/>
  </w:num>
  <w:num w:numId="24">
    <w:abstractNumId w:val="0"/>
  </w:num>
  <w:num w:numId="25">
    <w:abstractNumId w:val="4"/>
  </w:num>
  <w:num w:numId="26">
    <w:abstractNumId w:val="3"/>
  </w:num>
  <w:num w:numId="27">
    <w:abstractNumId w:val="2"/>
  </w:num>
  <w:num w:numId="28">
    <w:abstractNumId w:val="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proofState w:spelling="clean"/>
  <w:attachedTemplate r:id="rId1"/>
  <w:defaultTabStop w:val="720"/>
  <w:clickAndTypeStyle w:val="BodyText"/>
  <w:evenAndOddHeaders/>
  <w:characterSpacingControl w:val="doNotCompress"/>
  <w:hdrShapeDefaults>
    <o:shapedefaults v:ext="edit" spidmax="4915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A profile of working-age housing assistance recipients"/>
    <w:docVar w:name="ShortReportTitle" w:val="Housing assistance and employment"/>
  </w:docVars>
  <w:rsids>
    <w:rsidRoot w:val="00943448"/>
    <w:rsid w:val="00015FEF"/>
    <w:rsid w:val="000227D5"/>
    <w:rsid w:val="000245AA"/>
    <w:rsid w:val="00027B34"/>
    <w:rsid w:val="00033B36"/>
    <w:rsid w:val="0003664B"/>
    <w:rsid w:val="0004111F"/>
    <w:rsid w:val="00050440"/>
    <w:rsid w:val="00052E13"/>
    <w:rsid w:val="00055077"/>
    <w:rsid w:val="000565B3"/>
    <w:rsid w:val="000602F3"/>
    <w:rsid w:val="0007150B"/>
    <w:rsid w:val="00071CD7"/>
    <w:rsid w:val="00074041"/>
    <w:rsid w:val="00087ED0"/>
    <w:rsid w:val="000938F5"/>
    <w:rsid w:val="000945B6"/>
    <w:rsid w:val="00095663"/>
    <w:rsid w:val="000959B1"/>
    <w:rsid w:val="00096E55"/>
    <w:rsid w:val="0009783E"/>
    <w:rsid w:val="000A264C"/>
    <w:rsid w:val="000A2D44"/>
    <w:rsid w:val="000A5B7E"/>
    <w:rsid w:val="000B1022"/>
    <w:rsid w:val="000B2D3B"/>
    <w:rsid w:val="000B362C"/>
    <w:rsid w:val="000B601B"/>
    <w:rsid w:val="000C207E"/>
    <w:rsid w:val="000C4E38"/>
    <w:rsid w:val="000C660F"/>
    <w:rsid w:val="000D3619"/>
    <w:rsid w:val="000D37CB"/>
    <w:rsid w:val="000D41E9"/>
    <w:rsid w:val="000D4300"/>
    <w:rsid w:val="000E346C"/>
    <w:rsid w:val="000E6F54"/>
    <w:rsid w:val="000F0035"/>
    <w:rsid w:val="000F04E7"/>
    <w:rsid w:val="000F060A"/>
    <w:rsid w:val="000F15C4"/>
    <w:rsid w:val="000F3AE6"/>
    <w:rsid w:val="000F420B"/>
    <w:rsid w:val="0010261C"/>
    <w:rsid w:val="00110116"/>
    <w:rsid w:val="00111410"/>
    <w:rsid w:val="00112DBD"/>
    <w:rsid w:val="001161DC"/>
    <w:rsid w:val="00120072"/>
    <w:rsid w:val="00122677"/>
    <w:rsid w:val="00126EB8"/>
    <w:rsid w:val="001274D4"/>
    <w:rsid w:val="001363AA"/>
    <w:rsid w:val="0013739A"/>
    <w:rsid w:val="0014202E"/>
    <w:rsid w:val="00142165"/>
    <w:rsid w:val="00142369"/>
    <w:rsid w:val="00142D35"/>
    <w:rsid w:val="001462AC"/>
    <w:rsid w:val="00147961"/>
    <w:rsid w:val="00147D6A"/>
    <w:rsid w:val="00151BCA"/>
    <w:rsid w:val="00155425"/>
    <w:rsid w:val="00155953"/>
    <w:rsid w:val="001601E9"/>
    <w:rsid w:val="00162434"/>
    <w:rsid w:val="00166437"/>
    <w:rsid w:val="001811EC"/>
    <w:rsid w:val="00181201"/>
    <w:rsid w:val="00183E82"/>
    <w:rsid w:val="001878BB"/>
    <w:rsid w:val="00191AE0"/>
    <w:rsid w:val="0019293B"/>
    <w:rsid w:val="0019426B"/>
    <w:rsid w:val="00195FBA"/>
    <w:rsid w:val="001964B7"/>
    <w:rsid w:val="00197387"/>
    <w:rsid w:val="001A1F8D"/>
    <w:rsid w:val="001A6A4B"/>
    <w:rsid w:val="001B0383"/>
    <w:rsid w:val="001B4BD4"/>
    <w:rsid w:val="001C0865"/>
    <w:rsid w:val="001C0AED"/>
    <w:rsid w:val="001C3ABA"/>
    <w:rsid w:val="001C5111"/>
    <w:rsid w:val="001C75A7"/>
    <w:rsid w:val="001D01B7"/>
    <w:rsid w:val="001D0700"/>
    <w:rsid w:val="001D1A3A"/>
    <w:rsid w:val="001D1B58"/>
    <w:rsid w:val="001D70CD"/>
    <w:rsid w:val="001D76BD"/>
    <w:rsid w:val="001D7986"/>
    <w:rsid w:val="001E14BE"/>
    <w:rsid w:val="001E7BE8"/>
    <w:rsid w:val="001F0248"/>
    <w:rsid w:val="001F3BA3"/>
    <w:rsid w:val="001F3EB3"/>
    <w:rsid w:val="001F4B9B"/>
    <w:rsid w:val="001F4F86"/>
    <w:rsid w:val="00202C2C"/>
    <w:rsid w:val="00203050"/>
    <w:rsid w:val="00206729"/>
    <w:rsid w:val="002124C7"/>
    <w:rsid w:val="00212A77"/>
    <w:rsid w:val="002135AB"/>
    <w:rsid w:val="0021425B"/>
    <w:rsid w:val="002144BE"/>
    <w:rsid w:val="00214A0A"/>
    <w:rsid w:val="002213D3"/>
    <w:rsid w:val="0022394A"/>
    <w:rsid w:val="00231BAF"/>
    <w:rsid w:val="002345F0"/>
    <w:rsid w:val="002349F9"/>
    <w:rsid w:val="00237FEA"/>
    <w:rsid w:val="00240721"/>
    <w:rsid w:val="00241F17"/>
    <w:rsid w:val="00242279"/>
    <w:rsid w:val="00243997"/>
    <w:rsid w:val="002447DF"/>
    <w:rsid w:val="00245021"/>
    <w:rsid w:val="0024516C"/>
    <w:rsid w:val="00245C82"/>
    <w:rsid w:val="00265577"/>
    <w:rsid w:val="002724BA"/>
    <w:rsid w:val="0027473A"/>
    <w:rsid w:val="002873C6"/>
    <w:rsid w:val="002900AF"/>
    <w:rsid w:val="00291B40"/>
    <w:rsid w:val="00292A34"/>
    <w:rsid w:val="00293203"/>
    <w:rsid w:val="002A0C01"/>
    <w:rsid w:val="002A2110"/>
    <w:rsid w:val="002A24B2"/>
    <w:rsid w:val="002B1388"/>
    <w:rsid w:val="002B36C4"/>
    <w:rsid w:val="002B4008"/>
    <w:rsid w:val="002C0BF8"/>
    <w:rsid w:val="002C2E70"/>
    <w:rsid w:val="002C439F"/>
    <w:rsid w:val="002C7930"/>
    <w:rsid w:val="002D0C42"/>
    <w:rsid w:val="002D0E8E"/>
    <w:rsid w:val="002E52D4"/>
    <w:rsid w:val="002E5C40"/>
    <w:rsid w:val="002E6E41"/>
    <w:rsid w:val="002F0DFB"/>
    <w:rsid w:val="002F1D3A"/>
    <w:rsid w:val="002F38F1"/>
    <w:rsid w:val="002F6ABB"/>
    <w:rsid w:val="002F6DCF"/>
    <w:rsid w:val="002F6E69"/>
    <w:rsid w:val="00301062"/>
    <w:rsid w:val="00301189"/>
    <w:rsid w:val="00301E4A"/>
    <w:rsid w:val="00305C24"/>
    <w:rsid w:val="00306456"/>
    <w:rsid w:val="00306514"/>
    <w:rsid w:val="00307811"/>
    <w:rsid w:val="003156B4"/>
    <w:rsid w:val="00315C94"/>
    <w:rsid w:val="003168B8"/>
    <w:rsid w:val="003177DC"/>
    <w:rsid w:val="003219EF"/>
    <w:rsid w:val="00321B41"/>
    <w:rsid w:val="00322D64"/>
    <w:rsid w:val="00323E09"/>
    <w:rsid w:val="00327748"/>
    <w:rsid w:val="00327CFB"/>
    <w:rsid w:val="003332F1"/>
    <w:rsid w:val="00333932"/>
    <w:rsid w:val="0033414F"/>
    <w:rsid w:val="003426D1"/>
    <w:rsid w:val="0034356F"/>
    <w:rsid w:val="00344283"/>
    <w:rsid w:val="0035109A"/>
    <w:rsid w:val="003518AA"/>
    <w:rsid w:val="00352165"/>
    <w:rsid w:val="00353182"/>
    <w:rsid w:val="00355CF1"/>
    <w:rsid w:val="003565D9"/>
    <w:rsid w:val="00357888"/>
    <w:rsid w:val="003602E1"/>
    <w:rsid w:val="0037026F"/>
    <w:rsid w:val="00371240"/>
    <w:rsid w:val="0037186B"/>
    <w:rsid w:val="003737D9"/>
    <w:rsid w:val="00374731"/>
    <w:rsid w:val="00374D33"/>
    <w:rsid w:val="00376D9A"/>
    <w:rsid w:val="00376E59"/>
    <w:rsid w:val="00377EC1"/>
    <w:rsid w:val="00380340"/>
    <w:rsid w:val="003919F9"/>
    <w:rsid w:val="003920CF"/>
    <w:rsid w:val="00393490"/>
    <w:rsid w:val="003935DB"/>
    <w:rsid w:val="003937CE"/>
    <w:rsid w:val="003962BD"/>
    <w:rsid w:val="003A0D20"/>
    <w:rsid w:val="003B0F45"/>
    <w:rsid w:val="003B23C2"/>
    <w:rsid w:val="003B794D"/>
    <w:rsid w:val="003C1878"/>
    <w:rsid w:val="003C1C6E"/>
    <w:rsid w:val="003C3507"/>
    <w:rsid w:val="003C38B5"/>
    <w:rsid w:val="003C5D99"/>
    <w:rsid w:val="003D1087"/>
    <w:rsid w:val="003D4296"/>
    <w:rsid w:val="003D5592"/>
    <w:rsid w:val="003E1E5B"/>
    <w:rsid w:val="003E2234"/>
    <w:rsid w:val="003E2F59"/>
    <w:rsid w:val="003E2FEE"/>
    <w:rsid w:val="003E657C"/>
    <w:rsid w:val="003E746B"/>
    <w:rsid w:val="003F0789"/>
    <w:rsid w:val="003F1697"/>
    <w:rsid w:val="003F5061"/>
    <w:rsid w:val="003F5263"/>
    <w:rsid w:val="004012D7"/>
    <w:rsid w:val="00401882"/>
    <w:rsid w:val="00403D25"/>
    <w:rsid w:val="00404B1A"/>
    <w:rsid w:val="00405324"/>
    <w:rsid w:val="004100C8"/>
    <w:rsid w:val="00411DBD"/>
    <w:rsid w:val="00412ACE"/>
    <w:rsid w:val="004145D2"/>
    <w:rsid w:val="004147BE"/>
    <w:rsid w:val="0042236D"/>
    <w:rsid w:val="0042570F"/>
    <w:rsid w:val="00426CB4"/>
    <w:rsid w:val="00431249"/>
    <w:rsid w:val="00434C19"/>
    <w:rsid w:val="004366A2"/>
    <w:rsid w:val="00437A4A"/>
    <w:rsid w:val="0044634C"/>
    <w:rsid w:val="00450810"/>
    <w:rsid w:val="00452775"/>
    <w:rsid w:val="00457CAF"/>
    <w:rsid w:val="00462C59"/>
    <w:rsid w:val="00464790"/>
    <w:rsid w:val="00470737"/>
    <w:rsid w:val="00477144"/>
    <w:rsid w:val="00491380"/>
    <w:rsid w:val="00493314"/>
    <w:rsid w:val="004941D9"/>
    <w:rsid w:val="0049459F"/>
    <w:rsid w:val="004A3773"/>
    <w:rsid w:val="004A38DD"/>
    <w:rsid w:val="004B13BC"/>
    <w:rsid w:val="004B43AE"/>
    <w:rsid w:val="004B57C0"/>
    <w:rsid w:val="004B786E"/>
    <w:rsid w:val="004C30ED"/>
    <w:rsid w:val="004C30FC"/>
    <w:rsid w:val="004C3970"/>
    <w:rsid w:val="004C4031"/>
    <w:rsid w:val="004C5F53"/>
    <w:rsid w:val="004D18D5"/>
    <w:rsid w:val="004D2550"/>
    <w:rsid w:val="004D29B9"/>
    <w:rsid w:val="004D5675"/>
    <w:rsid w:val="004E1B8B"/>
    <w:rsid w:val="004E42A8"/>
    <w:rsid w:val="004E652A"/>
    <w:rsid w:val="004F3B5E"/>
    <w:rsid w:val="00502938"/>
    <w:rsid w:val="00502B34"/>
    <w:rsid w:val="00505B69"/>
    <w:rsid w:val="00507CE3"/>
    <w:rsid w:val="00513752"/>
    <w:rsid w:val="00517795"/>
    <w:rsid w:val="0052306D"/>
    <w:rsid w:val="00523639"/>
    <w:rsid w:val="00525FF8"/>
    <w:rsid w:val="00531FE5"/>
    <w:rsid w:val="005347F3"/>
    <w:rsid w:val="00534954"/>
    <w:rsid w:val="00534D4D"/>
    <w:rsid w:val="00535B97"/>
    <w:rsid w:val="0053709D"/>
    <w:rsid w:val="005402FA"/>
    <w:rsid w:val="00542F41"/>
    <w:rsid w:val="00543BC7"/>
    <w:rsid w:val="00546EC5"/>
    <w:rsid w:val="005522F1"/>
    <w:rsid w:val="00563C7B"/>
    <w:rsid w:val="00571506"/>
    <w:rsid w:val="00571DE0"/>
    <w:rsid w:val="00572255"/>
    <w:rsid w:val="00572318"/>
    <w:rsid w:val="005729BD"/>
    <w:rsid w:val="00572C08"/>
    <w:rsid w:val="0057717A"/>
    <w:rsid w:val="00580154"/>
    <w:rsid w:val="00583C39"/>
    <w:rsid w:val="00585A44"/>
    <w:rsid w:val="00586A90"/>
    <w:rsid w:val="00587F28"/>
    <w:rsid w:val="005909CF"/>
    <w:rsid w:val="005913E9"/>
    <w:rsid w:val="00591E71"/>
    <w:rsid w:val="005A0D41"/>
    <w:rsid w:val="005A3ABC"/>
    <w:rsid w:val="005A5FC5"/>
    <w:rsid w:val="005A7631"/>
    <w:rsid w:val="005B12DA"/>
    <w:rsid w:val="005B225F"/>
    <w:rsid w:val="005B3B30"/>
    <w:rsid w:val="005B512B"/>
    <w:rsid w:val="005B5819"/>
    <w:rsid w:val="005B623C"/>
    <w:rsid w:val="005B6B02"/>
    <w:rsid w:val="005B6F6C"/>
    <w:rsid w:val="005C177C"/>
    <w:rsid w:val="005C6200"/>
    <w:rsid w:val="005C7090"/>
    <w:rsid w:val="005C796E"/>
    <w:rsid w:val="005D329F"/>
    <w:rsid w:val="005D477D"/>
    <w:rsid w:val="005D57A5"/>
    <w:rsid w:val="005E0D7B"/>
    <w:rsid w:val="005E311A"/>
    <w:rsid w:val="005E5264"/>
    <w:rsid w:val="005E7AD1"/>
    <w:rsid w:val="005F48ED"/>
    <w:rsid w:val="00600F36"/>
    <w:rsid w:val="006016FF"/>
    <w:rsid w:val="006039F3"/>
    <w:rsid w:val="00604F44"/>
    <w:rsid w:val="00606E78"/>
    <w:rsid w:val="00607BF1"/>
    <w:rsid w:val="00610074"/>
    <w:rsid w:val="00614573"/>
    <w:rsid w:val="00621AFB"/>
    <w:rsid w:val="006224C1"/>
    <w:rsid w:val="00624426"/>
    <w:rsid w:val="006244D8"/>
    <w:rsid w:val="00625DED"/>
    <w:rsid w:val="00625E10"/>
    <w:rsid w:val="006265B5"/>
    <w:rsid w:val="00627E7B"/>
    <w:rsid w:val="00630D4D"/>
    <w:rsid w:val="00632A74"/>
    <w:rsid w:val="00632DC1"/>
    <w:rsid w:val="00634296"/>
    <w:rsid w:val="00635E8D"/>
    <w:rsid w:val="00640355"/>
    <w:rsid w:val="00645818"/>
    <w:rsid w:val="00645B7D"/>
    <w:rsid w:val="00653ABB"/>
    <w:rsid w:val="00653EA9"/>
    <w:rsid w:val="00654D42"/>
    <w:rsid w:val="0065508A"/>
    <w:rsid w:val="00657BD9"/>
    <w:rsid w:val="00662451"/>
    <w:rsid w:val="00666E02"/>
    <w:rsid w:val="00672B05"/>
    <w:rsid w:val="00675687"/>
    <w:rsid w:val="00675973"/>
    <w:rsid w:val="00676AFA"/>
    <w:rsid w:val="00677BD2"/>
    <w:rsid w:val="00683C76"/>
    <w:rsid w:val="00683E67"/>
    <w:rsid w:val="00694009"/>
    <w:rsid w:val="00694060"/>
    <w:rsid w:val="006A0326"/>
    <w:rsid w:val="006A071C"/>
    <w:rsid w:val="006A1A4F"/>
    <w:rsid w:val="006A4655"/>
    <w:rsid w:val="006B20E9"/>
    <w:rsid w:val="006B2B3C"/>
    <w:rsid w:val="006B4F13"/>
    <w:rsid w:val="006B5511"/>
    <w:rsid w:val="006B631B"/>
    <w:rsid w:val="006C163E"/>
    <w:rsid w:val="006C1D81"/>
    <w:rsid w:val="006C7038"/>
    <w:rsid w:val="006D6135"/>
    <w:rsid w:val="006D652A"/>
    <w:rsid w:val="006D7E31"/>
    <w:rsid w:val="006E091E"/>
    <w:rsid w:val="006E6877"/>
    <w:rsid w:val="006E70FD"/>
    <w:rsid w:val="006E73EF"/>
    <w:rsid w:val="006E78B1"/>
    <w:rsid w:val="006F0D97"/>
    <w:rsid w:val="006F13D7"/>
    <w:rsid w:val="00705E70"/>
    <w:rsid w:val="007079C9"/>
    <w:rsid w:val="007110E3"/>
    <w:rsid w:val="0071184F"/>
    <w:rsid w:val="00713F26"/>
    <w:rsid w:val="00714D4D"/>
    <w:rsid w:val="00720912"/>
    <w:rsid w:val="007266D3"/>
    <w:rsid w:val="007308B5"/>
    <w:rsid w:val="007310DB"/>
    <w:rsid w:val="00732029"/>
    <w:rsid w:val="00733C53"/>
    <w:rsid w:val="007353E0"/>
    <w:rsid w:val="00750C02"/>
    <w:rsid w:val="00751247"/>
    <w:rsid w:val="007530BD"/>
    <w:rsid w:val="0075316F"/>
    <w:rsid w:val="00755AF4"/>
    <w:rsid w:val="007604BB"/>
    <w:rsid w:val="00764006"/>
    <w:rsid w:val="00765F60"/>
    <w:rsid w:val="00771312"/>
    <w:rsid w:val="00771314"/>
    <w:rsid w:val="00772048"/>
    <w:rsid w:val="00772909"/>
    <w:rsid w:val="00772CA0"/>
    <w:rsid w:val="00780A48"/>
    <w:rsid w:val="0078459D"/>
    <w:rsid w:val="00785232"/>
    <w:rsid w:val="007855F0"/>
    <w:rsid w:val="007903DD"/>
    <w:rsid w:val="00790BE4"/>
    <w:rsid w:val="00792096"/>
    <w:rsid w:val="0079701E"/>
    <w:rsid w:val="007A21EB"/>
    <w:rsid w:val="007A747A"/>
    <w:rsid w:val="007B1A93"/>
    <w:rsid w:val="007B1ED9"/>
    <w:rsid w:val="007B32C1"/>
    <w:rsid w:val="007B5D8D"/>
    <w:rsid w:val="007B7832"/>
    <w:rsid w:val="007B7DCE"/>
    <w:rsid w:val="007C36C9"/>
    <w:rsid w:val="007C41A1"/>
    <w:rsid w:val="007D1228"/>
    <w:rsid w:val="007D6401"/>
    <w:rsid w:val="007E01E4"/>
    <w:rsid w:val="007E1A17"/>
    <w:rsid w:val="007E6142"/>
    <w:rsid w:val="007E7A12"/>
    <w:rsid w:val="007F0DA5"/>
    <w:rsid w:val="007F5D9A"/>
    <w:rsid w:val="007F7107"/>
    <w:rsid w:val="007F7EE5"/>
    <w:rsid w:val="00800D4C"/>
    <w:rsid w:val="0080220E"/>
    <w:rsid w:val="00806E45"/>
    <w:rsid w:val="0081030F"/>
    <w:rsid w:val="00812F4A"/>
    <w:rsid w:val="00816F37"/>
    <w:rsid w:val="0082087D"/>
    <w:rsid w:val="008219B9"/>
    <w:rsid w:val="00825E9F"/>
    <w:rsid w:val="00833BCC"/>
    <w:rsid w:val="00834194"/>
    <w:rsid w:val="00835771"/>
    <w:rsid w:val="00836A8E"/>
    <w:rsid w:val="00837790"/>
    <w:rsid w:val="00842933"/>
    <w:rsid w:val="008438D4"/>
    <w:rsid w:val="00860174"/>
    <w:rsid w:val="0086082C"/>
    <w:rsid w:val="0086192B"/>
    <w:rsid w:val="00863FCA"/>
    <w:rsid w:val="00864ADC"/>
    <w:rsid w:val="0086605F"/>
    <w:rsid w:val="00867759"/>
    <w:rsid w:val="00871204"/>
    <w:rsid w:val="008714EB"/>
    <w:rsid w:val="0087224F"/>
    <w:rsid w:val="008756AA"/>
    <w:rsid w:val="00880153"/>
    <w:rsid w:val="00880467"/>
    <w:rsid w:val="00880F97"/>
    <w:rsid w:val="0088133A"/>
    <w:rsid w:val="0088577F"/>
    <w:rsid w:val="0088609E"/>
    <w:rsid w:val="0088696A"/>
    <w:rsid w:val="00887B81"/>
    <w:rsid w:val="0089285E"/>
    <w:rsid w:val="0089436C"/>
    <w:rsid w:val="00894B6F"/>
    <w:rsid w:val="00894FC0"/>
    <w:rsid w:val="00896356"/>
    <w:rsid w:val="0089661D"/>
    <w:rsid w:val="008A13E5"/>
    <w:rsid w:val="008A4483"/>
    <w:rsid w:val="008A7023"/>
    <w:rsid w:val="008C0BF2"/>
    <w:rsid w:val="008C24E3"/>
    <w:rsid w:val="008C5EA2"/>
    <w:rsid w:val="008D365C"/>
    <w:rsid w:val="008D7622"/>
    <w:rsid w:val="008E332C"/>
    <w:rsid w:val="008E5015"/>
    <w:rsid w:val="008E764C"/>
    <w:rsid w:val="008F32CB"/>
    <w:rsid w:val="008F5E63"/>
    <w:rsid w:val="00900956"/>
    <w:rsid w:val="009021A6"/>
    <w:rsid w:val="009030BF"/>
    <w:rsid w:val="00903B52"/>
    <w:rsid w:val="00905139"/>
    <w:rsid w:val="0091032F"/>
    <w:rsid w:val="00914368"/>
    <w:rsid w:val="00917578"/>
    <w:rsid w:val="00925A7D"/>
    <w:rsid w:val="00931076"/>
    <w:rsid w:val="00934046"/>
    <w:rsid w:val="009345D9"/>
    <w:rsid w:val="00934B15"/>
    <w:rsid w:val="009356AC"/>
    <w:rsid w:val="00935A28"/>
    <w:rsid w:val="00940C87"/>
    <w:rsid w:val="00942B62"/>
    <w:rsid w:val="00943448"/>
    <w:rsid w:val="00951111"/>
    <w:rsid w:val="00952499"/>
    <w:rsid w:val="00952743"/>
    <w:rsid w:val="0095323B"/>
    <w:rsid w:val="00954B72"/>
    <w:rsid w:val="00956A0C"/>
    <w:rsid w:val="00956BD9"/>
    <w:rsid w:val="00956CCF"/>
    <w:rsid w:val="009602BA"/>
    <w:rsid w:val="00962489"/>
    <w:rsid w:val="0096361E"/>
    <w:rsid w:val="00963D99"/>
    <w:rsid w:val="00967CD3"/>
    <w:rsid w:val="00975DD0"/>
    <w:rsid w:val="009817A9"/>
    <w:rsid w:val="00984FD6"/>
    <w:rsid w:val="00987041"/>
    <w:rsid w:val="00990C2C"/>
    <w:rsid w:val="009917A3"/>
    <w:rsid w:val="00991F37"/>
    <w:rsid w:val="00992C57"/>
    <w:rsid w:val="00997E94"/>
    <w:rsid w:val="009A5171"/>
    <w:rsid w:val="009A58A9"/>
    <w:rsid w:val="009A5CAA"/>
    <w:rsid w:val="009C3DF7"/>
    <w:rsid w:val="009D0B0A"/>
    <w:rsid w:val="009D0DFD"/>
    <w:rsid w:val="009E1844"/>
    <w:rsid w:val="009E2BC3"/>
    <w:rsid w:val="009E4121"/>
    <w:rsid w:val="009E6A7A"/>
    <w:rsid w:val="009E7176"/>
    <w:rsid w:val="009F0D1B"/>
    <w:rsid w:val="009F5BBD"/>
    <w:rsid w:val="009F696D"/>
    <w:rsid w:val="009F6BC6"/>
    <w:rsid w:val="009F74EF"/>
    <w:rsid w:val="00A02826"/>
    <w:rsid w:val="00A116A4"/>
    <w:rsid w:val="00A11E44"/>
    <w:rsid w:val="00A15D5A"/>
    <w:rsid w:val="00A17328"/>
    <w:rsid w:val="00A20B09"/>
    <w:rsid w:val="00A22619"/>
    <w:rsid w:val="00A23A20"/>
    <w:rsid w:val="00A24443"/>
    <w:rsid w:val="00A268B9"/>
    <w:rsid w:val="00A2703A"/>
    <w:rsid w:val="00A307C5"/>
    <w:rsid w:val="00A33DFF"/>
    <w:rsid w:val="00A35115"/>
    <w:rsid w:val="00A36B8A"/>
    <w:rsid w:val="00A36D9A"/>
    <w:rsid w:val="00A37137"/>
    <w:rsid w:val="00A451DC"/>
    <w:rsid w:val="00A47340"/>
    <w:rsid w:val="00A5462A"/>
    <w:rsid w:val="00A554AB"/>
    <w:rsid w:val="00A57062"/>
    <w:rsid w:val="00A614E9"/>
    <w:rsid w:val="00A616C5"/>
    <w:rsid w:val="00A64700"/>
    <w:rsid w:val="00A67781"/>
    <w:rsid w:val="00A67885"/>
    <w:rsid w:val="00A761F9"/>
    <w:rsid w:val="00A77BCA"/>
    <w:rsid w:val="00A81B72"/>
    <w:rsid w:val="00A92B53"/>
    <w:rsid w:val="00A94E78"/>
    <w:rsid w:val="00A94FA6"/>
    <w:rsid w:val="00AA49A0"/>
    <w:rsid w:val="00AA6710"/>
    <w:rsid w:val="00AB0681"/>
    <w:rsid w:val="00AC0F9E"/>
    <w:rsid w:val="00AC1C40"/>
    <w:rsid w:val="00AC1E85"/>
    <w:rsid w:val="00AC20C7"/>
    <w:rsid w:val="00AC2B71"/>
    <w:rsid w:val="00AC3A15"/>
    <w:rsid w:val="00AD1704"/>
    <w:rsid w:val="00AD520B"/>
    <w:rsid w:val="00AD7300"/>
    <w:rsid w:val="00AE3870"/>
    <w:rsid w:val="00AE3BCC"/>
    <w:rsid w:val="00AE42A8"/>
    <w:rsid w:val="00AE4ECC"/>
    <w:rsid w:val="00AF54EC"/>
    <w:rsid w:val="00B10DD1"/>
    <w:rsid w:val="00B16D56"/>
    <w:rsid w:val="00B17594"/>
    <w:rsid w:val="00B222FF"/>
    <w:rsid w:val="00B228E7"/>
    <w:rsid w:val="00B25F37"/>
    <w:rsid w:val="00B26F41"/>
    <w:rsid w:val="00B33DC7"/>
    <w:rsid w:val="00B352FC"/>
    <w:rsid w:val="00B425C3"/>
    <w:rsid w:val="00B4369C"/>
    <w:rsid w:val="00B440AD"/>
    <w:rsid w:val="00B479BB"/>
    <w:rsid w:val="00B539CF"/>
    <w:rsid w:val="00B53E7E"/>
    <w:rsid w:val="00B5435E"/>
    <w:rsid w:val="00B61650"/>
    <w:rsid w:val="00B61F3C"/>
    <w:rsid w:val="00B62EE5"/>
    <w:rsid w:val="00B6342E"/>
    <w:rsid w:val="00B66C82"/>
    <w:rsid w:val="00B67D5E"/>
    <w:rsid w:val="00B70878"/>
    <w:rsid w:val="00B7113F"/>
    <w:rsid w:val="00B809B9"/>
    <w:rsid w:val="00BA2BCF"/>
    <w:rsid w:val="00BA5B14"/>
    <w:rsid w:val="00BA73B6"/>
    <w:rsid w:val="00BA75CB"/>
    <w:rsid w:val="00BA7E27"/>
    <w:rsid w:val="00BB0322"/>
    <w:rsid w:val="00BB20BA"/>
    <w:rsid w:val="00BB2518"/>
    <w:rsid w:val="00BB2603"/>
    <w:rsid w:val="00BB3F86"/>
    <w:rsid w:val="00BB4FCD"/>
    <w:rsid w:val="00BC04E9"/>
    <w:rsid w:val="00BC2316"/>
    <w:rsid w:val="00BC2B9C"/>
    <w:rsid w:val="00BC6730"/>
    <w:rsid w:val="00BD13EA"/>
    <w:rsid w:val="00BE1548"/>
    <w:rsid w:val="00BE2EE5"/>
    <w:rsid w:val="00BE3808"/>
    <w:rsid w:val="00BE6847"/>
    <w:rsid w:val="00BE7731"/>
    <w:rsid w:val="00BF3253"/>
    <w:rsid w:val="00C02414"/>
    <w:rsid w:val="00C03B88"/>
    <w:rsid w:val="00C03DC7"/>
    <w:rsid w:val="00C062E9"/>
    <w:rsid w:val="00C07B64"/>
    <w:rsid w:val="00C12A27"/>
    <w:rsid w:val="00C13721"/>
    <w:rsid w:val="00C14FE4"/>
    <w:rsid w:val="00C1692B"/>
    <w:rsid w:val="00C25F69"/>
    <w:rsid w:val="00C3066D"/>
    <w:rsid w:val="00C35830"/>
    <w:rsid w:val="00C43E87"/>
    <w:rsid w:val="00C44B39"/>
    <w:rsid w:val="00C45079"/>
    <w:rsid w:val="00C45B87"/>
    <w:rsid w:val="00C46647"/>
    <w:rsid w:val="00C51A89"/>
    <w:rsid w:val="00C52416"/>
    <w:rsid w:val="00C52817"/>
    <w:rsid w:val="00C52F03"/>
    <w:rsid w:val="00C54244"/>
    <w:rsid w:val="00C543F4"/>
    <w:rsid w:val="00C61A2B"/>
    <w:rsid w:val="00C622F1"/>
    <w:rsid w:val="00C6291C"/>
    <w:rsid w:val="00C6295E"/>
    <w:rsid w:val="00C633CB"/>
    <w:rsid w:val="00C664CD"/>
    <w:rsid w:val="00C736B7"/>
    <w:rsid w:val="00C81D4A"/>
    <w:rsid w:val="00C8218F"/>
    <w:rsid w:val="00C8762C"/>
    <w:rsid w:val="00C94401"/>
    <w:rsid w:val="00C965E3"/>
    <w:rsid w:val="00C97342"/>
    <w:rsid w:val="00CA00F9"/>
    <w:rsid w:val="00CA2961"/>
    <w:rsid w:val="00CA4C22"/>
    <w:rsid w:val="00CA6872"/>
    <w:rsid w:val="00CB3ABC"/>
    <w:rsid w:val="00CB4233"/>
    <w:rsid w:val="00CB50D7"/>
    <w:rsid w:val="00CB7177"/>
    <w:rsid w:val="00CB7CED"/>
    <w:rsid w:val="00CC02D1"/>
    <w:rsid w:val="00CC070F"/>
    <w:rsid w:val="00CC1998"/>
    <w:rsid w:val="00CC4946"/>
    <w:rsid w:val="00CC64A1"/>
    <w:rsid w:val="00CD1690"/>
    <w:rsid w:val="00CF30C1"/>
    <w:rsid w:val="00CF3B11"/>
    <w:rsid w:val="00D01696"/>
    <w:rsid w:val="00D03B6D"/>
    <w:rsid w:val="00D24B80"/>
    <w:rsid w:val="00D261BF"/>
    <w:rsid w:val="00D270A4"/>
    <w:rsid w:val="00D31FE9"/>
    <w:rsid w:val="00D34E1B"/>
    <w:rsid w:val="00D376BA"/>
    <w:rsid w:val="00D40315"/>
    <w:rsid w:val="00D434A0"/>
    <w:rsid w:val="00D44FA0"/>
    <w:rsid w:val="00D45634"/>
    <w:rsid w:val="00D507CF"/>
    <w:rsid w:val="00D5568A"/>
    <w:rsid w:val="00D63D73"/>
    <w:rsid w:val="00D64452"/>
    <w:rsid w:val="00D66E1E"/>
    <w:rsid w:val="00D67AF3"/>
    <w:rsid w:val="00D70696"/>
    <w:rsid w:val="00D70D45"/>
    <w:rsid w:val="00D75722"/>
    <w:rsid w:val="00D77965"/>
    <w:rsid w:val="00D80CF5"/>
    <w:rsid w:val="00D91344"/>
    <w:rsid w:val="00D9719B"/>
    <w:rsid w:val="00DA5BBA"/>
    <w:rsid w:val="00DB21E6"/>
    <w:rsid w:val="00DB26D2"/>
    <w:rsid w:val="00DB4285"/>
    <w:rsid w:val="00DB4BED"/>
    <w:rsid w:val="00DB67C9"/>
    <w:rsid w:val="00DC0948"/>
    <w:rsid w:val="00DC0C95"/>
    <w:rsid w:val="00DC3ABB"/>
    <w:rsid w:val="00DC482E"/>
    <w:rsid w:val="00DC4F0B"/>
    <w:rsid w:val="00DC58C6"/>
    <w:rsid w:val="00DD034E"/>
    <w:rsid w:val="00DD53E5"/>
    <w:rsid w:val="00DD6058"/>
    <w:rsid w:val="00DD6580"/>
    <w:rsid w:val="00DE3AA7"/>
    <w:rsid w:val="00DE5EA6"/>
    <w:rsid w:val="00DE6A0B"/>
    <w:rsid w:val="00DF0FFF"/>
    <w:rsid w:val="00DF14AC"/>
    <w:rsid w:val="00DF1A42"/>
    <w:rsid w:val="00DF582F"/>
    <w:rsid w:val="00E01D7F"/>
    <w:rsid w:val="00E0339E"/>
    <w:rsid w:val="00E05C03"/>
    <w:rsid w:val="00E14B89"/>
    <w:rsid w:val="00E17C72"/>
    <w:rsid w:val="00E209F1"/>
    <w:rsid w:val="00E21FC6"/>
    <w:rsid w:val="00E22296"/>
    <w:rsid w:val="00E23419"/>
    <w:rsid w:val="00E277B5"/>
    <w:rsid w:val="00E30E6E"/>
    <w:rsid w:val="00E3297C"/>
    <w:rsid w:val="00E3415D"/>
    <w:rsid w:val="00E35BC0"/>
    <w:rsid w:val="00E37DB1"/>
    <w:rsid w:val="00E40DD6"/>
    <w:rsid w:val="00E431A9"/>
    <w:rsid w:val="00E43C9B"/>
    <w:rsid w:val="00E44562"/>
    <w:rsid w:val="00E44EAA"/>
    <w:rsid w:val="00E4641B"/>
    <w:rsid w:val="00E4740E"/>
    <w:rsid w:val="00E62306"/>
    <w:rsid w:val="00E669E2"/>
    <w:rsid w:val="00E679A0"/>
    <w:rsid w:val="00E717A2"/>
    <w:rsid w:val="00E74422"/>
    <w:rsid w:val="00E7517A"/>
    <w:rsid w:val="00E7561D"/>
    <w:rsid w:val="00E76135"/>
    <w:rsid w:val="00E8140F"/>
    <w:rsid w:val="00E82F4F"/>
    <w:rsid w:val="00E84766"/>
    <w:rsid w:val="00E864DF"/>
    <w:rsid w:val="00E86975"/>
    <w:rsid w:val="00E93827"/>
    <w:rsid w:val="00E9783D"/>
    <w:rsid w:val="00EA139F"/>
    <w:rsid w:val="00EA2740"/>
    <w:rsid w:val="00EA3C36"/>
    <w:rsid w:val="00EB2CC3"/>
    <w:rsid w:val="00EB466F"/>
    <w:rsid w:val="00EC11DD"/>
    <w:rsid w:val="00EC1EC4"/>
    <w:rsid w:val="00EC2844"/>
    <w:rsid w:val="00EC2864"/>
    <w:rsid w:val="00EC5500"/>
    <w:rsid w:val="00EC607B"/>
    <w:rsid w:val="00EC6686"/>
    <w:rsid w:val="00EC72E2"/>
    <w:rsid w:val="00ED18F8"/>
    <w:rsid w:val="00ED3B49"/>
    <w:rsid w:val="00EE34C5"/>
    <w:rsid w:val="00EE6803"/>
    <w:rsid w:val="00EE6EDA"/>
    <w:rsid w:val="00EE778E"/>
    <w:rsid w:val="00EF6719"/>
    <w:rsid w:val="00EF6C6C"/>
    <w:rsid w:val="00EF6DDA"/>
    <w:rsid w:val="00F0048A"/>
    <w:rsid w:val="00F02807"/>
    <w:rsid w:val="00F04DE0"/>
    <w:rsid w:val="00F056FC"/>
    <w:rsid w:val="00F05A88"/>
    <w:rsid w:val="00F05EE6"/>
    <w:rsid w:val="00F0632F"/>
    <w:rsid w:val="00F069AE"/>
    <w:rsid w:val="00F10476"/>
    <w:rsid w:val="00F135D8"/>
    <w:rsid w:val="00F149C9"/>
    <w:rsid w:val="00F31299"/>
    <w:rsid w:val="00F3534A"/>
    <w:rsid w:val="00F35ABB"/>
    <w:rsid w:val="00F35BFB"/>
    <w:rsid w:val="00F36ACC"/>
    <w:rsid w:val="00F42F0B"/>
    <w:rsid w:val="00F43BBA"/>
    <w:rsid w:val="00F462C7"/>
    <w:rsid w:val="00F4715F"/>
    <w:rsid w:val="00F50D5E"/>
    <w:rsid w:val="00F51609"/>
    <w:rsid w:val="00F55C25"/>
    <w:rsid w:val="00F56594"/>
    <w:rsid w:val="00F56B85"/>
    <w:rsid w:val="00F61264"/>
    <w:rsid w:val="00F64811"/>
    <w:rsid w:val="00F648AD"/>
    <w:rsid w:val="00F73727"/>
    <w:rsid w:val="00F737CD"/>
    <w:rsid w:val="00F766A7"/>
    <w:rsid w:val="00F81006"/>
    <w:rsid w:val="00F85325"/>
    <w:rsid w:val="00F8682C"/>
    <w:rsid w:val="00F935F3"/>
    <w:rsid w:val="00F94135"/>
    <w:rsid w:val="00F95F4B"/>
    <w:rsid w:val="00F961D0"/>
    <w:rsid w:val="00FA5843"/>
    <w:rsid w:val="00FB1A9C"/>
    <w:rsid w:val="00FB26E8"/>
    <w:rsid w:val="00FB606D"/>
    <w:rsid w:val="00FB734C"/>
    <w:rsid w:val="00FC4778"/>
    <w:rsid w:val="00FD1F2F"/>
    <w:rsid w:val="00FD22B1"/>
    <w:rsid w:val="00FD33F1"/>
    <w:rsid w:val="00FD3566"/>
    <w:rsid w:val="00FE1F7C"/>
    <w:rsid w:val="00FE3BEC"/>
    <w:rsid w:val="00FE420A"/>
    <w:rsid w:val="00FE5397"/>
    <w:rsid w:val="00FE63FD"/>
    <w:rsid w:val="00FE663B"/>
    <w:rsid w:val="00FF2726"/>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9153"/>
    <o:shapelayout v:ext="edit">
      <o:idmap v:ext="edit" data="1"/>
    </o:shapelayout>
  </w:shapeDefaults>
  <w:decimalSymbol w:val="."/>
  <w:listSeparator w:val=","/>
  <w14:docId w14:val="1C6D70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Subtitle" w:qFormat="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DE6A0B"/>
    <w:rPr>
      <w:sz w:val="24"/>
      <w:szCs w:val="24"/>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rsid w:val="00A17328"/>
    <w:pPr>
      <w:spacing w:before="560" w:line="320" w:lineRule="exact"/>
      <w:ind w:left="0" w:firstLine="0"/>
      <w:outlineLvl w:val="2"/>
    </w:pPr>
    <w:rPr>
      <w:sz w:val="26"/>
    </w:rPr>
  </w:style>
  <w:style w:type="paragraph" w:styleId="Heading4">
    <w:name w:val="heading 4"/>
    <w:basedOn w:val="Heading3"/>
    <w:next w:val="BodyText"/>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semiHidden/>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semiHidden/>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paragraph" w:styleId="CommentSubject">
    <w:name w:val="annotation subject"/>
    <w:basedOn w:val="CommentText"/>
    <w:next w:val="CommentText"/>
    <w:link w:val="CommentSubjectChar"/>
    <w:rsid w:val="002213D3"/>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2213D3"/>
    <w:rPr>
      <w:szCs w:val="24"/>
    </w:rPr>
  </w:style>
  <w:style w:type="character" w:customStyle="1" w:styleId="CommentSubjectChar">
    <w:name w:val="Comment Subject Char"/>
    <w:basedOn w:val="CommentTextChar"/>
    <w:link w:val="CommentSubject"/>
    <w:rsid w:val="002213D3"/>
    <w:rPr>
      <w:b/>
      <w:bCs/>
      <w:szCs w:val="24"/>
    </w:rPr>
  </w:style>
  <w:style w:type="paragraph" w:customStyle="1" w:styleId="Drad">
    <w:name w:val="Drad"/>
    <w:basedOn w:val="BodyText"/>
    <w:rsid w:val="00525FF8"/>
  </w:style>
  <w:style w:type="paragraph" w:styleId="Bibliography">
    <w:name w:val="Bibliography"/>
    <w:basedOn w:val="Normal"/>
    <w:next w:val="Normal"/>
    <w:uiPriority w:val="37"/>
    <w:unhideWhenUsed/>
    <w:rsid w:val="009E4121"/>
    <w:pPr>
      <w:spacing w:after="240"/>
      <w:ind w:left="720" w:hanging="720"/>
    </w:pPr>
  </w:style>
  <w:style w:type="paragraph" w:styleId="Revision">
    <w:name w:val="Revision"/>
    <w:hidden/>
    <w:uiPriority w:val="99"/>
    <w:semiHidden/>
    <w:rsid w:val="005E0D7B"/>
    <w:rPr>
      <w:sz w:val="24"/>
      <w:szCs w:val="24"/>
    </w:rPr>
  </w:style>
  <w:style w:type="character" w:styleId="Hyperlink">
    <w:name w:val="Hyperlink"/>
    <w:basedOn w:val="DefaultParagraphFont"/>
    <w:rsid w:val="00834194"/>
    <w:rPr>
      <w:color w:val="78A22F" w:themeColor="hyperlink"/>
      <w:u w:val="single"/>
    </w:rPr>
  </w:style>
  <w:style w:type="paragraph" w:styleId="ListParagraph">
    <w:name w:val="List Paragraph"/>
    <w:basedOn w:val="Normal"/>
    <w:uiPriority w:val="34"/>
    <w:qFormat/>
    <w:rsid w:val="00355CF1"/>
    <w:pPr>
      <w:ind w:left="720"/>
    </w:pPr>
    <w:rPr>
      <w:rFonts w:ascii="Calibri" w:hAnsi="Calibri"/>
      <w:sz w:val="22"/>
      <w:szCs w:val="22"/>
      <w:lang w:eastAsia="en-US"/>
    </w:rPr>
  </w:style>
  <w:style w:type="character" w:customStyle="1" w:styleId="apple-converted-space">
    <w:name w:val="apple-converted-space"/>
    <w:basedOn w:val="DefaultParagraphFont"/>
    <w:rsid w:val="009D0B0A"/>
  </w:style>
  <w:style w:type="character" w:styleId="EndnoteReference">
    <w:name w:val="endnote reference"/>
    <w:basedOn w:val="DefaultParagraphFont"/>
    <w:rsid w:val="00627E7B"/>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Subtitle" w:qFormat="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DE6A0B"/>
    <w:rPr>
      <w:sz w:val="24"/>
      <w:szCs w:val="24"/>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rsid w:val="00A17328"/>
    <w:pPr>
      <w:spacing w:before="560" w:line="320" w:lineRule="exact"/>
      <w:ind w:left="0" w:firstLine="0"/>
      <w:outlineLvl w:val="2"/>
    </w:pPr>
    <w:rPr>
      <w:sz w:val="26"/>
    </w:rPr>
  </w:style>
  <w:style w:type="paragraph" w:styleId="Heading4">
    <w:name w:val="heading 4"/>
    <w:basedOn w:val="Heading3"/>
    <w:next w:val="BodyText"/>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semiHidden/>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semiHidden/>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paragraph" w:styleId="CommentSubject">
    <w:name w:val="annotation subject"/>
    <w:basedOn w:val="CommentText"/>
    <w:next w:val="CommentText"/>
    <w:link w:val="CommentSubjectChar"/>
    <w:rsid w:val="002213D3"/>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2213D3"/>
    <w:rPr>
      <w:szCs w:val="24"/>
    </w:rPr>
  </w:style>
  <w:style w:type="character" w:customStyle="1" w:styleId="CommentSubjectChar">
    <w:name w:val="Comment Subject Char"/>
    <w:basedOn w:val="CommentTextChar"/>
    <w:link w:val="CommentSubject"/>
    <w:rsid w:val="002213D3"/>
    <w:rPr>
      <w:b/>
      <w:bCs/>
      <w:szCs w:val="24"/>
    </w:rPr>
  </w:style>
  <w:style w:type="paragraph" w:customStyle="1" w:styleId="Drad">
    <w:name w:val="Drad"/>
    <w:basedOn w:val="BodyText"/>
    <w:rsid w:val="00525FF8"/>
  </w:style>
  <w:style w:type="paragraph" w:styleId="Bibliography">
    <w:name w:val="Bibliography"/>
    <w:basedOn w:val="Normal"/>
    <w:next w:val="Normal"/>
    <w:uiPriority w:val="37"/>
    <w:unhideWhenUsed/>
    <w:rsid w:val="009E4121"/>
    <w:pPr>
      <w:spacing w:after="240"/>
      <w:ind w:left="720" w:hanging="720"/>
    </w:pPr>
  </w:style>
  <w:style w:type="paragraph" w:styleId="Revision">
    <w:name w:val="Revision"/>
    <w:hidden/>
    <w:uiPriority w:val="99"/>
    <w:semiHidden/>
    <w:rsid w:val="005E0D7B"/>
    <w:rPr>
      <w:sz w:val="24"/>
      <w:szCs w:val="24"/>
    </w:rPr>
  </w:style>
  <w:style w:type="character" w:styleId="Hyperlink">
    <w:name w:val="Hyperlink"/>
    <w:basedOn w:val="DefaultParagraphFont"/>
    <w:rsid w:val="00834194"/>
    <w:rPr>
      <w:color w:val="78A22F" w:themeColor="hyperlink"/>
      <w:u w:val="single"/>
    </w:rPr>
  </w:style>
  <w:style w:type="paragraph" w:styleId="ListParagraph">
    <w:name w:val="List Paragraph"/>
    <w:basedOn w:val="Normal"/>
    <w:uiPriority w:val="34"/>
    <w:qFormat/>
    <w:rsid w:val="00355CF1"/>
    <w:pPr>
      <w:ind w:left="720"/>
    </w:pPr>
    <w:rPr>
      <w:rFonts w:ascii="Calibri" w:hAnsi="Calibri"/>
      <w:sz w:val="22"/>
      <w:szCs w:val="22"/>
      <w:lang w:eastAsia="en-US"/>
    </w:rPr>
  </w:style>
  <w:style w:type="character" w:customStyle="1" w:styleId="apple-converted-space">
    <w:name w:val="apple-converted-space"/>
    <w:basedOn w:val="DefaultParagraphFont"/>
    <w:rsid w:val="009D0B0A"/>
  </w:style>
  <w:style w:type="character" w:styleId="EndnoteReference">
    <w:name w:val="endnote reference"/>
    <w:basedOn w:val="DefaultParagraphFont"/>
    <w:rsid w:val="00627E7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588034">
      <w:bodyDiv w:val="1"/>
      <w:marLeft w:val="0"/>
      <w:marRight w:val="0"/>
      <w:marTop w:val="0"/>
      <w:marBottom w:val="0"/>
      <w:divBdr>
        <w:top w:val="none" w:sz="0" w:space="0" w:color="auto"/>
        <w:left w:val="none" w:sz="0" w:space="0" w:color="auto"/>
        <w:bottom w:val="none" w:sz="0" w:space="0" w:color="auto"/>
        <w:right w:val="none" w:sz="0" w:space="0" w:color="auto"/>
      </w:divBdr>
    </w:div>
    <w:div w:id="801112674">
      <w:bodyDiv w:val="1"/>
      <w:marLeft w:val="0"/>
      <w:marRight w:val="0"/>
      <w:marTop w:val="0"/>
      <w:marBottom w:val="0"/>
      <w:divBdr>
        <w:top w:val="none" w:sz="0" w:space="0" w:color="auto"/>
        <w:left w:val="none" w:sz="0" w:space="0" w:color="auto"/>
        <w:bottom w:val="none" w:sz="0" w:space="0" w:color="auto"/>
        <w:right w:val="none" w:sz="0" w:space="0" w:color="auto"/>
      </w:divBdr>
    </w:div>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chart" Target="charts/chart17.xml"/><Relationship Id="rId39" Type="http://schemas.openxmlformats.org/officeDocument/2006/relationships/chart" Target="charts/chart30.xml"/><Relationship Id="rId21" Type="http://schemas.openxmlformats.org/officeDocument/2006/relationships/chart" Target="charts/chart12.xml"/><Relationship Id="rId34" Type="http://schemas.openxmlformats.org/officeDocument/2006/relationships/chart" Target="charts/chart25.xml"/><Relationship Id="rId42" Type="http://schemas.openxmlformats.org/officeDocument/2006/relationships/chart" Target="charts/chart33.xml"/><Relationship Id="rId47" Type="http://schemas.openxmlformats.org/officeDocument/2006/relationships/image" Target="media/image4.jpeg"/><Relationship Id="rId50" Type="http://schemas.openxmlformats.org/officeDocument/2006/relationships/image" Target="media/image7.jpeg"/><Relationship Id="rId55" Type="http://schemas.openxmlformats.org/officeDocument/2006/relationships/image" Target="media/image12.jpeg"/><Relationship Id="rId63" Type="http://schemas.openxmlformats.org/officeDocument/2006/relationships/image" Target="media/image20.jpeg"/><Relationship Id="rId68" Type="http://schemas.openxmlformats.org/officeDocument/2006/relationships/image" Target="media/image25.jpeg"/><Relationship Id="rId7" Type="http://schemas.openxmlformats.org/officeDocument/2006/relationships/footnotes" Target="footnotes.xml"/><Relationship Id="rId71"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chart" Target="charts/chart7.xml"/><Relationship Id="rId29" Type="http://schemas.openxmlformats.org/officeDocument/2006/relationships/chart" Target="charts/chart20.xml"/><Relationship Id="rId11" Type="http://schemas.openxmlformats.org/officeDocument/2006/relationships/chart" Target="charts/chart2.xml"/><Relationship Id="rId24" Type="http://schemas.openxmlformats.org/officeDocument/2006/relationships/chart" Target="charts/chart15.xml"/><Relationship Id="rId32" Type="http://schemas.openxmlformats.org/officeDocument/2006/relationships/chart" Target="charts/chart23.xml"/><Relationship Id="rId37" Type="http://schemas.openxmlformats.org/officeDocument/2006/relationships/chart" Target="charts/chart28.xml"/><Relationship Id="rId40" Type="http://schemas.openxmlformats.org/officeDocument/2006/relationships/chart" Target="charts/chart31.xml"/><Relationship Id="rId45" Type="http://schemas.openxmlformats.org/officeDocument/2006/relationships/image" Target="media/image2.jpeg"/><Relationship Id="rId53" Type="http://schemas.openxmlformats.org/officeDocument/2006/relationships/image" Target="media/image10.jpeg"/><Relationship Id="rId58" Type="http://schemas.openxmlformats.org/officeDocument/2006/relationships/image" Target="media/image15.jpeg"/><Relationship Id="rId66" Type="http://schemas.openxmlformats.org/officeDocument/2006/relationships/image" Target="media/image23.jpeg"/><Relationship Id="rId7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chart" Target="charts/chart6.xml"/><Relationship Id="rId23" Type="http://schemas.openxmlformats.org/officeDocument/2006/relationships/chart" Target="charts/chart14.xml"/><Relationship Id="rId28" Type="http://schemas.openxmlformats.org/officeDocument/2006/relationships/chart" Target="charts/chart19.xml"/><Relationship Id="rId36" Type="http://schemas.openxmlformats.org/officeDocument/2006/relationships/chart" Target="charts/chart27.xml"/><Relationship Id="rId49" Type="http://schemas.openxmlformats.org/officeDocument/2006/relationships/image" Target="media/image6.jpeg"/><Relationship Id="rId57" Type="http://schemas.openxmlformats.org/officeDocument/2006/relationships/image" Target="media/image14.jpeg"/><Relationship Id="rId61" Type="http://schemas.openxmlformats.org/officeDocument/2006/relationships/image" Target="media/image18.jpeg"/><Relationship Id="rId10" Type="http://schemas.openxmlformats.org/officeDocument/2006/relationships/image" Target="media/image1.emf"/><Relationship Id="rId19" Type="http://schemas.openxmlformats.org/officeDocument/2006/relationships/chart" Target="charts/chart10.xml"/><Relationship Id="rId31" Type="http://schemas.openxmlformats.org/officeDocument/2006/relationships/chart" Target="charts/chart22.xml"/><Relationship Id="rId44" Type="http://schemas.openxmlformats.org/officeDocument/2006/relationships/chart" Target="charts/chart35.xml"/><Relationship Id="rId52" Type="http://schemas.openxmlformats.org/officeDocument/2006/relationships/image" Target="media/image9.jpeg"/><Relationship Id="rId60" Type="http://schemas.openxmlformats.org/officeDocument/2006/relationships/image" Target="media/image17.jpeg"/><Relationship Id="rId65" Type="http://schemas.openxmlformats.org/officeDocument/2006/relationships/image" Target="media/image22.jpeg"/><Relationship Id="rId73"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chart" Target="charts/chart5.xml"/><Relationship Id="rId22" Type="http://schemas.openxmlformats.org/officeDocument/2006/relationships/chart" Target="charts/chart13.xml"/><Relationship Id="rId27" Type="http://schemas.openxmlformats.org/officeDocument/2006/relationships/chart" Target="charts/chart18.xml"/><Relationship Id="rId30" Type="http://schemas.openxmlformats.org/officeDocument/2006/relationships/chart" Target="charts/chart21.xml"/><Relationship Id="rId35" Type="http://schemas.openxmlformats.org/officeDocument/2006/relationships/chart" Target="charts/chart26.xml"/><Relationship Id="rId43" Type="http://schemas.openxmlformats.org/officeDocument/2006/relationships/chart" Target="charts/chart34.xml"/><Relationship Id="rId48" Type="http://schemas.openxmlformats.org/officeDocument/2006/relationships/image" Target="media/image5.jpeg"/><Relationship Id="rId56" Type="http://schemas.openxmlformats.org/officeDocument/2006/relationships/image" Target="media/image13.jpeg"/><Relationship Id="rId64" Type="http://schemas.openxmlformats.org/officeDocument/2006/relationships/image" Target="media/image21.jpeg"/><Relationship Id="rId69"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image" Target="media/image8.jpeg"/><Relationship Id="rId72" Type="http://schemas.openxmlformats.org/officeDocument/2006/relationships/footer" Target="footer2.xml"/><Relationship Id="rId3" Type="http://schemas.openxmlformats.org/officeDocument/2006/relationships/styles" Target="styles.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chart" Target="charts/chart16.xml"/><Relationship Id="rId33" Type="http://schemas.openxmlformats.org/officeDocument/2006/relationships/chart" Target="charts/chart24.xml"/><Relationship Id="rId38" Type="http://schemas.openxmlformats.org/officeDocument/2006/relationships/chart" Target="charts/chart29.xml"/><Relationship Id="rId46" Type="http://schemas.openxmlformats.org/officeDocument/2006/relationships/image" Target="media/image3.jpeg"/><Relationship Id="rId59" Type="http://schemas.openxmlformats.org/officeDocument/2006/relationships/image" Target="media/image16.jpeg"/><Relationship Id="rId67" Type="http://schemas.openxmlformats.org/officeDocument/2006/relationships/image" Target="media/image24.jpeg"/><Relationship Id="rId20" Type="http://schemas.openxmlformats.org/officeDocument/2006/relationships/chart" Target="charts/chart11.xml"/><Relationship Id="rId41" Type="http://schemas.openxmlformats.org/officeDocument/2006/relationships/chart" Target="charts/chart32.xml"/><Relationship Id="rId54" Type="http://schemas.openxmlformats.org/officeDocument/2006/relationships/image" Target="media/image11.jpeg"/><Relationship Id="rId62" Type="http://schemas.openxmlformats.org/officeDocument/2006/relationships/image" Target="media/image19.jpeg"/><Relationship Id="rId7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NULL" TargetMode="External"/></Relationships>
</file>

<file path=word/charts/_rels/chart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xml"/></Relationships>
</file>

<file path=word/charts/_rels/chart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NULL" TargetMode="External"/><Relationship Id="rId1" Type="http://schemas.openxmlformats.org/officeDocument/2006/relationships/themeOverride" Target="../theme/themeOverride7.xml"/></Relationships>
</file>

<file path=word/charts/_rels/chart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8.xml"/></Relationships>
</file>

<file path=word/charts/_rels/chart1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9.xml"/></Relationships>
</file>

<file path=word/charts/_rels/chart1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0.xml"/></Relationships>
</file>

<file path=word/charts/_rels/chart1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1.xml"/></Relationships>
</file>

<file path=word/charts/_rels/chart13.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5.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oleObject" Target="NULL" TargetMode="External"/><Relationship Id="rId1" Type="http://schemas.openxmlformats.org/officeDocument/2006/relationships/themeOverride" Target="../theme/themeOverride12.xml"/></Relationships>
</file>

<file path=word/charts/_rels/chart1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3.xml"/></Relationships>
</file>

<file path=word/charts/_rels/chart1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4.xml"/></Relationships>
</file>

<file path=word/charts/_rels/chart1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5.xml"/></Relationships>
</file>

<file path=word/charts/_rels/chart1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6.xml"/></Relationships>
</file>

<file path=word/charts/_rels/chart2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7.xml"/></Relationships>
</file>

<file path=word/charts/_rels/chart2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8.xml"/></Relationships>
</file>

<file path=word/charts/_rels/chart22.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oleObject" Target="NULL" TargetMode="External"/><Relationship Id="rId1" Type="http://schemas.openxmlformats.org/officeDocument/2006/relationships/themeOverride" Target="../theme/themeOverride19.xml"/></Relationships>
</file>

<file path=word/charts/_rels/chart23.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oleObject" Target="NULL" TargetMode="External"/><Relationship Id="rId1" Type="http://schemas.openxmlformats.org/officeDocument/2006/relationships/themeOverride" Target="../theme/themeOverride20.xml"/></Relationships>
</file>

<file path=word/charts/_rels/chart2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1.xml"/></Relationships>
</file>

<file path=word/charts/_rels/chart2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2.xml"/></Relationships>
</file>

<file path=word/charts/_rels/chart26.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3.xml"/></Relationships>
</file>

<file path=word/charts/_rels/chart2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4.xml"/></Relationships>
</file>

<file path=word/charts/_rels/chart3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5.xml"/></Relationships>
</file>

<file path=word/charts/_rels/chart3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6.xml"/></Relationships>
</file>

<file path=word/charts/_rels/chart3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7.xml"/></Relationships>
</file>

<file path=word/charts/_rels/chart3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8.xml"/></Relationships>
</file>

<file path=word/charts/_rels/chart3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9.xml"/></Relationships>
</file>

<file path=word/charts/_rels/chart35.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oleObject" Target="NULL" TargetMode="External"/><Relationship Id="rId1" Type="http://schemas.openxmlformats.org/officeDocument/2006/relationships/themeOverride" Target="../theme/themeOverride30.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7825508899924999E-3"/>
          <c:y val="2.8373256894497498E-4"/>
          <c:w val="0.99321736111111103"/>
          <c:h val="0.99971527777777802"/>
        </c:manualLayout>
      </c:layout>
      <c:barChart>
        <c:barDir val="col"/>
        <c:grouping val="stacked"/>
        <c:varyColors val="0"/>
        <c:ser>
          <c:idx val="0"/>
          <c:order val="0"/>
          <c:tx>
            <c:strRef>
              <c:f>'box and whiskers example'!$A$25</c:f>
              <c:strCache>
                <c:ptCount val="1"/>
                <c:pt idx="0">
                  <c:v>Bottom</c:v>
                </c:pt>
              </c:strCache>
            </c:strRef>
          </c:tx>
          <c:spPr>
            <a:noFill/>
            <a:ln>
              <a:noFill/>
            </a:ln>
          </c:spPr>
          <c:invertIfNegative val="0"/>
          <c:cat>
            <c:numRef>
              <c:f>'box and whiskers example'!$B$24:$C$24</c:f>
              <c:numCache>
                <c:formatCode>General</c:formatCode>
                <c:ptCount val="2"/>
                <c:pt idx="1">
                  <c:v>2003</c:v>
                </c:pt>
              </c:numCache>
            </c:numRef>
          </c:cat>
          <c:val>
            <c:numRef>
              <c:f>'box and whiskers example'!$B$25:$D$25</c:f>
              <c:numCache>
                <c:formatCode>0</c:formatCode>
                <c:ptCount val="3"/>
                <c:pt idx="1">
                  <c:v>1600</c:v>
                </c:pt>
                <c:pt idx="2">
                  <c:v>0</c:v>
                </c:pt>
              </c:numCache>
            </c:numRef>
          </c:val>
        </c:ser>
        <c:ser>
          <c:idx val="1"/>
          <c:order val="1"/>
          <c:tx>
            <c:strRef>
              <c:f>'box and whiskers example'!$A$26</c:f>
              <c:strCache>
                <c:ptCount val="1"/>
                <c:pt idx="0">
                  <c:v>2q box</c:v>
                </c:pt>
              </c:strCache>
            </c:strRef>
          </c:tx>
          <c:spPr>
            <a:solidFill>
              <a:schemeClr val="accent1"/>
            </a:solidFill>
            <a:ln>
              <a:solidFill>
                <a:schemeClr val="tx2"/>
              </a:solidFill>
            </a:ln>
          </c:spPr>
          <c:invertIfNegative val="0"/>
          <c:dPt>
            <c:idx val="2"/>
            <c:invertIfNegative val="0"/>
            <c:bubble3D val="0"/>
          </c:dPt>
          <c:dPt>
            <c:idx val="3"/>
            <c:invertIfNegative val="0"/>
            <c:bubble3D val="0"/>
          </c:dPt>
          <c:dPt>
            <c:idx val="6"/>
            <c:invertIfNegative val="0"/>
            <c:bubble3D val="0"/>
          </c:dPt>
          <c:dPt>
            <c:idx val="7"/>
            <c:invertIfNegative val="0"/>
            <c:bubble3D val="0"/>
          </c:dPt>
          <c:dPt>
            <c:idx val="8"/>
            <c:invertIfNegative val="0"/>
            <c:bubble3D val="0"/>
            <c:spPr>
              <a:solidFill>
                <a:schemeClr val="accent2"/>
              </a:solidFill>
              <a:ln>
                <a:solidFill>
                  <a:schemeClr val="tx2"/>
                </a:solidFill>
              </a:ln>
            </c:spPr>
          </c:dPt>
          <c:dPt>
            <c:idx val="9"/>
            <c:invertIfNegative val="0"/>
            <c:bubble3D val="0"/>
            <c:spPr>
              <a:solidFill>
                <a:schemeClr val="accent2"/>
              </a:solidFill>
              <a:ln>
                <a:solidFill>
                  <a:schemeClr val="tx2"/>
                </a:solidFill>
              </a:ln>
            </c:spPr>
          </c:dPt>
          <c:dPt>
            <c:idx val="10"/>
            <c:invertIfNegative val="0"/>
            <c:bubble3D val="0"/>
            <c:spPr>
              <a:solidFill>
                <a:schemeClr val="accent2"/>
              </a:solidFill>
              <a:ln>
                <a:solidFill>
                  <a:schemeClr val="tx2"/>
                </a:solidFill>
              </a:ln>
            </c:spPr>
          </c:dPt>
          <c:dPt>
            <c:idx val="11"/>
            <c:invertIfNegative val="0"/>
            <c:bubble3D val="0"/>
            <c:spPr>
              <a:solidFill>
                <a:schemeClr val="accent2"/>
              </a:solidFill>
              <a:ln>
                <a:solidFill>
                  <a:schemeClr val="tx2"/>
                </a:solidFill>
              </a:ln>
            </c:spPr>
          </c:dPt>
          <c:dPt>
            <c:idx val="12"/>
            <c:invertIfNegative val="0"/>
            <c:bubble3D val="0"/>
            <c:spPr>
              <a:solidFill>
                <a:schemeClr val="accent2"/>
              </a:solidFill>
              <a:ln>
                <a:solidFill>
                  <a:schemeClr val="tx2"/>
                </a:solidFill>
              </a:ln>
            </c:spPr>
          </c:dPt>
          <c:dPt>
            <c:idx val="13"/>
            <c:invertIfNegative val="0"/>
            <c:bubble3D val="0"/>
            <c:spPr>
              <a:solidFill>
                <a:schemeClr val="accent2"/>
              </a:solidFill>
              <a:ln>
                <a:solidFill>
                  <a:schemeClr val="tx2"/>
                </a:solidFill>
              </a:ln>
            </c:spPr>
          </c:dPt>
          <c:dPt>
            <c:idx val="14"/>
            <c:invertIfNegative val="0"/>
            <c:bubble3D val="0"/>
            <c:spPr>
              <a:solidFill>
                <a:schemeClr val="accent2"/>
              </a:solidFill>
              <a:ln>
                <a:solidFill>
                  <a:schemeClr val="tx2"/>
                </a:solidFill>
              </a:ln>
            </c:spPr>
          </c:dPt>
          <c:dPt>
            <c:idx val="15"/>
            <c:invertIfNegative val="0"/>
            <c:bubble3D val="0"/>
            <c:spPr>
              <a:solidFill>
                <a:schemeClr val="accent3"/>
              </a:solidFill>
              <a:ln>
                <a:solidFill>
                  <a:schemeClr val="tx2"/>
                </a:solidFill>
              </a:ln>
            </c:spPr>
          </c:dPt>
          <c:dPt>
            <c:idx val="16"/>
            <c:invertIfNegative val="0"/>
            <c:bubble3D val="0"/>
            <c:spPr>
              <a:solidFill>
                <a:schemeClr val="accent3"/>
              </a:solidFill>
              <a:ln>
                <a:solidFill>
                  <a:schemeClr val="tx2"/>
                </a:solidFill>
              </a:ln>
            </c:spPr>
          </c:dPt>
          <c:dPt>
            <c:idx val="17"/>
            <c:invertIfNegative val="0"/>
            <c:bubble3D val="0"/>
            <c:spPr>
              <a:solidFill>
                <a:schemeClr val="accent3"/>
              </a:solidFill>
              <a:ln>
                <a:solidFill>
                  <a:schemeClr val="tx2"/>
                </a:solidFill>
              </a:ln>
            </c:spPr>
          </c:dPt>
          <c:dPt>
            <c:idx val="18"/>
            <c:invertIfNegative val="0"/>
            <c:bubble3D val="0"/>
            <c:spPr>
              <a:solidFill>
                <a:schemeClr val="accent3"/>
              </a:solidFill>
              <a:ln>
                <a:solidFill>
                  <a:schemeClr val="tx2"/>
                </a:solidFill>
              </a:ln>
            </c:spPr>
          </c:dPt>
          <c:dPt>
            <c:idx val="19"/>
            <c:invertIfNegative val="0"/>
            <c:bubble3D val="0"/>
            <c:spPr>
              <a:solidFill>
                <a:schemeClr val="accent3"/>
              </a:solidFill>
              <a:ln>
                <a:solidFill>
                  <a:schemeClr val="tx2"/>
                </a:solidFill>
              </a:ln>
            </c:spPr>
          </c:dPt>
          <c:dPt>
            <c:idx val="20"/>
            <c:invertIfNegative val="0"/>
            <c:bubble3D val="0"/>
            <c:spPr>
              <a:solidFill>
                <a:schemeClr val="accent3"/>
              </a:solidFill>
              <a:ln>
                <a:solidFill>
                  <a:schemeClr val="tx2"/>
                </a:solidFill>
              </a:ln>
            </c:spPr>
          </c:dPt>
          <c:dPt>
            <c:idx val="21"/>
            <c:invertIfNegative val="0"/>
            <c:bubble3D val="0"/>
            <c:spPr>
              <a:solidFill>
                <a:schemeClr val="accent2"/>
              </a:solidFill>
              <a:ln>
                <a:solidFill>
                  <a:schemeClr val="tx2"/>
                </a:solidFill>
              </a:ln>
            </c:spPr>
          </c:dPt>
          <c:dPt>
            <c:idx val="22"/>
            <c:invertIfNegative val="0"/>
            <c:bubble3D val="0"/>
            <c:spPr>
              <a:solidFill>
                <a:schemeClr val="accent2"/>
              </a:solidFill>
              <a:ln>
                <a:solidFill>
                  <a:schemeClr val="tx2"/>
                </a:solidFill>
              </a:ln>
            </c:spPr>
          </c:dPt>
          <c:dPt>
            <c:idx val="23"/>
            <c:invertIfNegative val="0"/>
            <c:bubble3D val="0"/>
            <c:spPr>
              <a:solidFill>
                <a:schemeClr val="accent2"/>
              </a:solidFill>
              <a:ln>
                <a:solidFill>
                  <a:schemeClr val="tx2"/>
                </a:solidFill>
              </a:ln>
            </c:spPr>
          </c:dPt>
          <c:dPt>
            <c:idx val="25"/>
            <c:invertIfNegative val="0"/>
            <c:bubble3D val="0"/>
            <c:spPr>
              <a:solidFill>
                <a:schemeClr val="accent3"/>
              </a:solidFill>
              <a:ln>
                <a:solidFill>
                  <a:schemeClr val="tx2"/>
                </a:solidFill>
              </a:ln>
            </c:spPr>
          </c:dPt>
          <c:dPt>
            <c:idx val="26"/>
            <c:invertIfNegative val="0"/>
            <c:bubble3D val="0"/>
            <c:spPr>
              <a:solidFill>
                <a:schemeClr val="accent3"/>
              </a:solidFill>
              <a:ln>
                <a:solidFill>
                  <a:schemeClr val="tx2"/>
                </a:solidFill>
              </a:ln>
            </c:spPr>
          </c:dPt>
          <c:dPt>
            <c:idx val="27"/>
            <c:invertIfNegative val="0"/>
            <c:bubble3D val="0"/>
            <c:spPr>
              <a:solidFill>
                <a:schemeClr val="accent3"/>
              </a:solidFill>
              <a:ln>
                <a:solidFill>
                  <a:schemeClr val="tx2"/>
                </a:solidFill>
              </a:ln>
            </c:spPr>
          </c:dPt>
          <c:dPt>
            <c:idx val="28"/>
            <c:invertIfNegative val="0"/>
            <c:bubble3D val="0"/>
            <c:spPr>
              <a:solidFill>
                <a:schemeClr val="accent3"/>
              </a:solidFill>
              <a:ln>
                <a:solidFill>
                  <a:schemeClr val="tx2"/>
                </a:solidFill>
              </a:ln>
            </c:spPr>
          </c:dPt>
          <c:dPt>
            <c:idx val="29"/>
            <c:invertIfNegative val="0"/>
            <c:bubble3D val="0"/>
            <c:spPr>
              <a:solidFill>
                <a:schemeClr val="accent3"/>
              </a:solidFill>
              <a:ln>
                <a:solidFill>
                  <a:schemeClr val="tx2"/>
                </a:solidFill>
              </a:ln>
            </c:spPr>
          </c:dPt>
          <c:dPt>
            <c:idx val="30"/>
            <c:invertIfNegative val="0"/>
            <c:bubble3D val="0"/>
            <c:spPr>
              <a:solidFill>
                <a:schemeClr val="accent3"/>
              </a:solidFill>
              <a:ln>
                <a:solidFill>
                  <a:schemeClr val="tx2"/>
                </a:solidFill>
              </a:ln>
            </c:spPr>
          </c:dPt>
          <c:dPt>
            <c:idx val="31"/>
            <c:invertIfNegative val="0"/>
            <c:bubble3D val="0"/>
            <c:spPr>
              <a:solidFill>
                <a:schemeClr val="accent3"/>
              </a:solidFill>
              <a:ln>
                <a:solidFill>
                  <a:schemeClr val="tx2"/>
                </a:solidFill>
              </a:ln>
            </c:spPr>
          </c:dPt>
          <c:dPt>
            <c:idx val="32"/>
            <c:invertIfNegative val="0"/>
            <c:bubble3D val="0"/>
            <c:spPr>
              <a:solidFill>
                <a:schemeClr val="accent3"/>
              </a:solidFill>
              <a:ln>
                <a:solidFill>
                  <a:schemeClr val="tx2"/>
                </a:solidFill>
              </a:ln>
            </c:spPr>
          </c:dPt>
          <c:dPt>
            <c:idx val="33"/>
            <c:invertIfNegative val="0"/>
            <c:bubble3D val="0"/>
            <c:spPr>
              <a:solidFill>
                <a:schemeClr val="accent3"/>
              </a:solidFill>
              <a:ln>
                <a:solidFill>
                  <a:schemeClr val="tx2"/>
                </a:solidFill>
              </a:ln>
            </c:spPr>
          </c:dPt>
          <c:dPt>
            <c:idx val="34"/>
            <c:invertIfNegative val="0"/>
            <c:bubble3D val="0"/>
            <c:spPr>
              <a:solidFill>
                <a:schemeClr val="accent3"/>
              </a:solidFill>
              <a:ln>
                <a:solidFill>
                  <a:schemeClr val="tx2"/>
                </a:solidFill>
              </a:ln>
            </c:spPr>
          </c:dPt>
          <c:dPt>
            <c:idx val="35"/>
            <c:invertIfNegative val="0"/>
            <c:bubble3D val="0"/>
            <c:spPr>
              <a:solidFill>
                <a:schemeClr val="accent3"/>
              </a:solidFill>
              <a:ln>
                <a:solidFill>
                  <a:schemeClr val="tx2"/>
                </a:solidFill>
              </a:ln>
            </c:spPr>
          </c:dPt>
          <c:errBars>
            <c:errBarType val="both"/>
            <c:errValType val="cust"/>
            <c:noEndCap val="0"/>
            <c:plus>
              <c:numLit>
                <c:formatCode>General</c:formatCode>
                <c:ptCount val="1"/>
                <c:pt idx="0">
                  <c:v>1</c:v>
                </c:pt>
              </c:numLit>
            </c:plus>
            <c:minus>
              <c:numLit>
                <c:formatCode>General</c:formatCode>
                <c:ptCount val="1"/>
                <c:pt idx="0">
                  <c:v>1</c:v>
                </c:pt>
              </c:numLit>
            </c:minus>
          </c:errBars>
          <c:cat>
            <c:numRef>
              <c:f>'box and whiskers example'!$B$24:$C$24</c:f>
              <c:numCache>
                <c:formatCode>General</c:formatCode>
                <c:ptCount val="2"/>
                <c:pt idx="1">
                  <c:v>2003</c:v>
                </c:pt>
              </c:numCache>
            </c:numRef>
          </c:cat>
          <c:val>
            <c:numRef>
              <c:f>'box and whiskers example'!$B$26:$C$26</c:f>
              <c:numCache>
                <c:formatCode>0</c:formatCode>
                <c:ptCount val="2"/>
                <c:pt idx="1">
                  <c:v>1500</c:v>
                </c:pt>
              </c:numCache>
            </c:numRef>
          </c:val>
        </c:ser>
        <c:ser>
          <c:idx val="2"/>
          <c:order val="2"/>
          <c:tx>
            <c:strRef>
              <c:f>'box and whiskers example'!$A$27</c:f>
              <c:strCache>
                <c:ptCount val="1"/>
                <c:pt idx="0">
                  <c:v>3q box</c:v>
                </c:pt>
              </c:strCache>
            </c:strRef>
          </c:tx>
          <c:spPr>
            <a:solidFill>
              <a:schemeClr val="accent1"/>
            </a:solidFill>
            <a:ln>
              <a:solidFill>
                <a:schemeClr val="tx2"/>
              </a:solidFill>
            </a:ln>
          </c:spPr>
          <c:invertIfNegative val="0"/>
          <c:dPt>
            <c:idx val="2"/>
            <c:invertIfNegative val="0"/>
            <c:bubble3D val="0"/>
          </c:dPt>
          <c:dPt>
            <c:idx val="3"/>
            <c:invertIfNegative val="0"/>
            <c:bubble3D val="0"/>
          </c:dPt>
          <c:dPt>
            <c:idx val="6"/>
            <c:invertIfNegative val="0"/>
            <c:bubble3D val="0"/>
          </c:dPt>
          <c:dPt>
            <c:idx val="7"/>
            <c:invertIfNegative val="0"/>
            <c:bubble3D val="0"/>
          </c:dPt>
          <c:dPt>
            <c:idx val="8"/>
            <c:invertIfNegative val="0"/>
            <c:bubble3D val="0"/>
            <c:spPr>
              <a:solidFill>
                <a:schemeClr val="accent2"/>
              </a:solidFill>
              <a:ln>
                <a:solidFill>
                  <a:schemeClr val="tx2"/>
                </a:solidFill>
              </a:ln>
            </c:spPr>
          </c:dPt>
          <c:dPt>
            <c:idx val="9"/>
            <c:invertIfNegative val="0"/>
            <c:bubble3D val="0"/>
            <c:spPr>
              <a:solidFill>
                <a:schemeClr val="accent2"/>
              </a:solidFill>
              <a:ln>
                <a:solidFill>
                  <a:schemeClr val="tx2"/>
                </a:solidFill>
              </a:ln>
            </c:spPr>
          </c:dPt>
          <c:dPt>
            <c:idx val="10"/>
            <c:invertIfNegative val="0"/>
            <c:bubble3D val="0"/>
            <c:spPr>
              <a:solidFill>
                <a:schemeClr val="accent2"/>
              </a:solidFill>
              <a:ln>
                <a:solidFill>
                  <a:schemeClr val="tx2"/>
                </a:solidFill>
              </a:ln>
            </c:spPr>
          </c:dPt>
          <c:dPt>
            <c:idx val="11"/>
            <c:invertIfNegative val="0"/>
            <c:bubble3D val="0"/>
            <c:spPr>
              <a:solidFill>
                <a:schemeClr val="accent2"/>
              </a:solidFill>
              <a:ln>
                <a:solidFill>
                  <a:schemeClr val="tx2"/>
                </a:solidFill>
              </a:ln>
            </c:spPr>
          </c:dPt>
          <c:dPt>
            <c:idx val="12"/>
            <c:invertIfNegative val="0"/>
            <c:bubble3D val="0"/>
            <c:spPr>
              <a:solidFill>
                <a:schemeClr val="accent2"/>
              </a:solidFill>
              <a:ln>
                <a:solidFill>
                  <a:schemeClr val="tx2"/>
                </a:solidFill>
              </a:ln>
            </c:spPr>
          </c:dPt>
          <c:dPt>
            <c:idx val="13"/>
            <c:invertIfNegative val="0"/>
            <c:bubble3D val="0"/>
            <c:spPr>
              <a:solidFill>
                <a:schemeClr val="accent2"/>
              </a:solidFill>
              <a:ln>
                <a:solidFill>
                  <a:schemeClr val="tx2"/>
                </a:solidFill>
              </a:ln>
            </c:spPr>
          </c:dPt>
          <c:dPt>
            <c:idx val="14"/>
            <c:invertIfNegative val="0"/>
            <c:bubble3D val="0"/>
            <c:spPr>
              <a:solidFill>
                <a:schemeClr val="accent2"/>
              </a:solidFill>
              <a:ln>
                <a:solidFill>
                  <a:schemeClr val="tx2"/>
                </a:solidFill>
              </a:ln>
            </c:spPr>
          </c:dPt>
          <c:dPt>
            <c:idx val="15"/>
            <c:invertIfNegative val="0"/>
            <c:bubble3D val="0"/>
            <c:spPr>
              <a:solidFill>
                <a:schemeClr val="accent3"/>
              </a:solidFill>
              <a:ln>
                <a:solidFill>
                  <a:schemeClr val="tx2"/>
                </a:solidFill>
              </a:ln>
            </c:spPr>
          </c:dPt>
          <c:dPt>
            <c:idx val="16"/>
            <c:invertIfNegative val="0"/>
            <c:bubble3D val="0"/>
            <c:spPr>
              <a:solidFill>
                <a:schemeClr val="accent3"/>
              </a:solidFill>
              <a:ln>
                <a:solidFill>
                  <a:schemeClr val="tx2"/>
                </a:solidFill>
              </a:ln>
            </c:spPr>
          </c:dPt>
          <c:dPt>
            <c:idx val="17"/>
            <c:invertIfNegative val="0"/>
            <c:bubble3D val="0"/>
            <c:spPr>
              <a:solidFill>
                <a:schemeClr val="accent3"/>
              </a:solidFill>
              <a:ln>
                <a:solidFill>
                  <a:schemeClr val="tx2"/>
                </a:solidFill>
              </a:ln>
            </c:spPr>
          </c:dPt>
          <c:dPt>
            <c:idx val="18"/>
            <c:invertIfNegative val="0"/>
            <c:bubble3D val="0"/>
            <c:spPr>
              <a:solidFill>
                <a:schemeClr val="accent3"/>
              </a:solidFill>
              <a:ln>
                <a:solidFill>
                  <a:schemeClr val="tx2"/>
                </a:solidFill>
              </a:ln>
            </c:spPr>
          </c:dPt>
          <c:dPt>
            <c:idx val="19"/>
            <c:invertIfNegative val="0"/>
            <c:bubble3D val="0"/>
            <c:spPr>
              <a:solidFill>
                <a:schemeClr val="accent3"/>
              </a:solidFill>
              <a:ln>
                <a:solidFill>
                  <a:schemeClr val="tx2"/>
                </a:solidFill>
              </a:ln>
            </c:spPr>
          </c:dPt>
          <c:dPt>
            <c:idx val="20"/>
            <c:invertIfNegative val="0"/>
            <c:bubble3D val="0"/>
            <c:spPr>
              <a:solidFill>
                <a:schemeClr val="accent3"/>
              </a:solidFill>
              <a:ln>
                <a:solidFill>
                  <a:schemeClr val="tx2"/>
                </a:solidFill>
              </a:ln>
            </c:spPr>
          </c:dPt>
          <c:dPt>
            <c:idx val="21"/>
            <c:invertIfNegative val="0"/>
            <c:bubble3D val="0"/>
            <c:spPr>
              <a:solidFill>
                <a:schemeClr val="accent2"/>
              </a:solidFill>
              <a:ln>
                <a:solidFill>
                  <a:schemeClr val="tx2"/>
                </a:solidFill>
              </a:ln>
            </c:spPr>
          </c:dPt>
          <c:dPt>
            <c:idx val="22"/>
            <c:invertIfNegative val="0"/>
            <c:bubble3D val="0"/>
            <c:spPr>
              <a:solidFill>
                <a:schemeClr val="accent2"/>
              </a:solidFill>
              <a:ln>
                <a:solidFill>
                  <a:schemeClr val="tx2"/>
                </a:solidFill>
              </a:ln>
            </c:spPr>
          </c:dPt>
          <c:dPt>
            <c:idx val="23"/>
            <c:invertIfNegative val="0"/>
            <c:bubble3D val="0"/>
            <c:spPr>
              <a:solidFill>
                <a:schemeClr val="accent2"/>
              </a:solidFill>
              <a:ln>
                <a:solidFill>
                  <a:schemeClr val="tx2"/>
                </a:solidFill>
              </a:ln>
            </c:spPr>
          </c:dPt>
          <c:dPt>
            <c:idx val="25"/>
            <c:invertIfNegative val="0"/>
            <c:bubble3D val="0"/>
            <c:spPr>
              <a:solidFill>
                <a:schemeClr val="accent3"/>
              </a:solidFill>
              <a:ln>
                <a:solidFill>
                  <a:schemeClr val="tx2"/>
                </a:solidFill>
              </a:ln>
            </c:spPr>
          </c:dPt>
          <c:dPt>
            <c:idx val="26"/>
            <c:invertIfNegative val="0"/>
            <c:bubble3D val="0"/>
            <c:spPr>
              <a:solidFill>
                <a:schemeClr val="accent3"/>
              </a:solidFill>
              <a:ln>
                <a:solidFill>
                  <a:schemeClr val="tx2"/>
                </a:solidFill>
              </a:ln>
            </c:spPr>
          </c:dPt>
          <c:dPt>
            <c:idx val="27"/>
            <c:invertIfNegative val="0"/>
            <c:bubble3D val="0"/>
            <c:spPr>
              <a:solidFill>
                <a:schemeClr val="accent3"/>
              </a:solidFill>
              <a:ln>
                <a:solidFill>
                  <a:schemeClr val="tx2"/>
                </a:solidFill>
              </a:ln>
            </c:spPr>
          </c:dPt>
          <c:dPt>
            <c:idx val="28"/>
            <c:invertIfNegative val="0"/>
            <c:bubble3D val="0"/>
            <c:spPr>
              <a:solidFill>
                <a:schemeClr val="accent3"/>
              </a:solidFill>
              <a:ln>
                <a:solidFill>
                  <a:schemeClr val="tx2"/>
                </a:solidFill>
              </a:ln>
            </c:spPr>
          </c:dPt>
          <c:dPt>
            <c:idx val="29"/>
            <c:invertIfNegative val="0"/>
            <c:bubble3D val="0"/>
            <c:spPr>
              <a:solidFill>
                <a:schemeClr val="accent3"/>
              </a:solidFill>
              <a:ln>
                <a:solidFill>
                  <a:schemeClr val="tx2"/>
                </a:solidFill>
              </a:ln>
            </c:spPr>
          </c:dPt>
          <c:dPt>
            <c:idx val="30"/>
            <c:invertIfNegative val="0"/>
            <c:bubble3D val="0"/>
            <c:spPr>
              <a:solidFill>
                <a:schemeClr val="accent3"/>
              </a:solidFill>
              <a:ln>
                <a:solidFill>
                  <a:schemeClr val="tx2"/>
                </a:solidFill>
              </a:ln>
            </c:spPr>
          </c:dPt>
          <c:dPt>
            <c:idx val="31"/>
            <c:invertIfNegative val="0"/>
            <c:bubble3D val="0"/>
            <c:spPr>
              <a:solidFill>
                <a:schemeClr val="accent3"/>
              </a:solidFill>
              <a:ln>
                <a:solidFill>
                  <a:schemeClr val="tx2"/>
                </a:solidFill>
              </a:ln>
            </c:spPr>
          </c:dPt>
          <c:dPt>
            <c:idx val="32"/>
            <c:invertIfNegative val="0"/>
            <c:bubble3D val="0"/>
            <c:spPr>
              <a:solidFill>
                <a:schemeClr val="accent3"/>
              </a:solidFill>
              <a:ln>
                <a:solidFill>
                  <a:schemeClr val="tx2"/>
                </a:solidFill>
              </a:ln>
            </c:spPr>
          </c:dPt>
          <c:dPt>
            <c:idx val="33"/>
            <c:invertIfNegative val="0"/>
            <c:bubble3D val="0"/>
            <c:spPr>
              <a:solidFill>
                <a:schemeClr val="accent3"/>
              </a:solidFill>
              <a:ln>
                <a:solidFill>
                  <a:schemeClr val="tx2"/>
                </a:solidFill>
              </a:ln>
            </c:spPr>
          </c:dPt>
          <c:dPt>
            <c:idx val="34"/>
            <c:invertIfNegative val="0"/>
            <c:bubble3D val="0"/>
            <c:spPr>
              <a:solidFill>
                <a:schemeClr val="accent3"/>
              </a:solidFill>
              <a:ln>
                <a:solidFill>
                  <a:schemeClr val="tx2"/>
                </a:solidFill>
              </a:ln>
            </c:spPr>
          </c:dPt>
          <c:dPt>
            <c:idx val="35"/>
            <c:invertIfNegative val="0"/>
            <c:bubble3D val="0"/>
            <c:spPr>
              <a:solidFill>
                <a:schemeClr val="accent3"/>
              </a:solidFill>
              <a:ln>
                <a:solidFill>
                  <a:schemeClr val="tx2"/>
                </a:solidFill>
              </a:ln>
            </c:spPr>
          </c:dPt>
          <c:errBars>
            <c:errBarType val="both"/>
            <c:errValType val="cust"/>
            <c:noEndCap val="0"/>
            <c:plus>
              <c:numRef>
                <c:f>'box and whiskers example'!$B$28:$D$28</c:f>
                <c:numCache>
                  <c:formatCode>General</c:formatCode>
                  <c:ptCount val="3"/>
                  <c:pt idx="1">
                    <c:v>1500</c:v>
                  </c:pt>
                  <c:pt idx="2">
                    <c:v>0</c:v>
                  </c:pt>
                </c:numCache>
              </c:numRef>
            </c:plus>
            <c:minus>
              <c:numLit>
                <c:formatCode>General</c:formatCode>
                <c:ptCount val="1"/>
                <c:pt idx="0">
                  <c:v>1</c:v>
                </c:pt>
              </c:numLit>
            </c:minus>
          </c:errBars>
          <c:cat>
            <c:numRef>
              <c:f>'box and whiskers example'!$B$24:$C$24</c:f>
              <c:numCache>
                <c:formatCode>General</c:formatCode>
                <c:ptCount val="2"/>
                <c:pt idx="1">
                  <c:v>2003</c:v>
                </c:pt>
              </c:numCache>
            </c:numRef>
          </c:cat>
          <c:val>
            <c:numRef>
              <c:f>'box and whiskers example'!$B$27:$C$27</c:f>
              <c:numCache>
                <c:formatCode>0</c:formatCode>
                <c:ptCount val="2"/>
                <c:pt idx="1">
                  <c:v>1500</c:v>
                </c:pt>
              </c:numCache>
            </c:numRef>
          </c:val>
        </c:ser>
        <c:ser>
          <c:idx val="4"/>
          <c:order val="3"/>
          <c:tx>
            <c:strRef>
              <c:f>'box and whiskers example'!$A$32</c:f>
              <c:strCache>
                <c:ptCount val="1"/>
                <c:pt idx="0">
                  <c:v>Gap</c:v>
                </c:pt>
              </c:strCache>
            </c:strRef>
          </c:tx>
          <c:spPr>
            <a:noFill/>
            <a:ln>
              <a:noFill/>
            </a:ln>
          </c:spPr>
          <c:invertIfNegative val="0"/>
          <c:cat>
            <c:numRef>
              <c:f>'box and whiskers example'!$B$24:$C$24</c:f>
              <c:numCache>
                <c:formatCode>General</c:formatCode>
                <c:ptCount val="2"/>
                <c:pt idx="1">
                  <c:v>2003</c:v>
                </c:pt>
              </c:numCache>
            </c:numRef>
          </c:cat>
          <c:val>
            <c:numRef>
              <c:f>'box and whiskers example'!$B$32:$D$32</c:f>
              <c:numCache>
                <c:formatCode>General</c:formatCode>
                <c:ptCount val="3"/>
                <c:pt idx="1">
                  <c:v>-200</c:v>
                </c:pt>
                <c:pt idx="2">
                  <c:v>-200</c:v>
                </c:pt>
              </c:numCache>
            </c:numRef>
          </c:val>
        </c:ser>
        <c:dLbls>
          <c:showLegendKey val="0"/>
          <c:showVal val="0"/>
          <c:showCatName val="0"/>
          <c:showSerName val="0"/>
          <c:showPercent val="0"/>
          <c:showBubbleSize val="0"/>
        </c:dLbls>
        <c:gapWidth val="15"/>
        <c:overlap val="100"/>
        <c:axId val="101458304"/>
        <c:axId val="101490688"/>
      </c:barChart>
      <c:lineChart>
        <c:grouping val="standard"/>
        <c:varyColors val="0"/>
        <c:ser>
          <c:idx val="3"/>
          <c:order val="4"/>
          <c:tx>
            <c:v>Mean</c:v>
          </c:tx>
          <c:spPr>
            <a:ln>
              <a:solidFill>
                <a:schemeClr val="bg1">
                  <a:alpha val="80000"/>
                </a:schemeClr>
              </a:solidFill>
            </a:ln>
          </c:spPr>
          <c:marker>
            <c:symbol val="diamond"/>
            <c:size val="5"/>
            <c:spPr>
              <a:solidFill>
                <a:schemeClr val="bg1">
                  <a:alpha val="40000"/>
                </a:schemeClr>
              </a:solidFill>
              <a:ln w="12700">
                <a:solidFill>
                  <a:schemeClr val="bg1"/>
                </a:solidFill>
              </a:ln>
            </c:spPr>
          </c:marker>
          <c:dPt>
            <c:idx val="0"/>
            <c:marker>
              <c:symbol val="diamond"/>
              <c:size val="8"/>
            </c:marker>
            <c:bubble3D val="0"/>
          </c:dPt>
          <c:dPt>
            <c:idx val="1"/>
            <c:marker>
              <c:symbol val="diamond"/>
              <c:size val="8"/>
            </c:marker>
            <c:bubble3D val="0"/>
          </c:dPt>
          <c:val>
            <c:numRef>
              <c:f>'box and whiskers example'!$B$30:$C$30</c:f>
              <c:numCache>
                <c:formatCode>0</c:formatCode>
                <c:ptCount val="2"/>
                <c:pt idx="1">
                  <c:v>3500</c:v>
                </c:pt>
              </c:numCache>
            </c:numRef>
          </c:val>
          <c:smooth val="0"/>
        </c:ser>
        <c:dLbls>
          <c:showLegendKey val="0"/>
          <c:showVal val="0"/>
          <c:showCatName val="0"/>
          <c:showSerName val="0"/>
          <c:showPercent val="0"/>
          <c:showBubbleSize val="0"/>
        </c:dLbls>
        <c:marker val="1"/>
        <c:smooth val="0"/>
        <c:axId val="101458304"/>
        <c:axId val="101490688"/>
      </c:lineChart>
      <c:catAx>
        <c:axId val="101458304"/>
        <c:scaling>
          <c:orientation val="minMax"/>
        </c:scaling>
        <c:delete val="1"/>
        <c:axPos val="b"/>
        <c:numFmt formatCode="General" sourceLinked="1"/>
        <c:majorTickMark val="none"/>
        <c:minorTickMark val="none"/>
        <c:tickLblPos val="nextTo"/>
        <c:crossAx val="101490688"/>
        <c:crosses val="autoZero"/>
        <c:auto val="1"/>
        <c:lblAlgn val="l"/>
        <c:lblOffset val="0"/>
        <c:tickMarkSkip val="3"/>
        <c:noMultiLvlLbl val="0"/>
      </c:catAx>
      <c:valAx>
        <c:axId val="101490688"/>
        <c:scaling>
          <c:orientation val="minMax"/>
          <c:max val="7000"/>
          <c:min val="0"/>
        </c:scaling>
        <c:delete val="1"/>
        <c:axPos val="l"/>
        <c:numFmt formatCode="0," sourceLinked="0"/>
        <c:majorTickMark val="out"/>
        <c:minorTickMark val="none"/>
        <c:tickLblPos val="nextTo"/>
        <c:crossAx val="101458304"/>
        <c:crosses val="autoZero"/>
        <c:crossBetween val="between"/>
      </c:valAx>
      <c:spPr>
        <a:noFill/>
        <a:ln w="25400">
          <a:noFill/>
        </a:ln>
      </c:spPr>
    </c:plotArea>
    <c:plotVisOnly val="1"/>
    <c:dispBlanksAs val="gap"/>
    <c:showDLblsOverMax val="0"/>
  </c:chart>
  <c:spPr>
    <a:noFill/>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spPr>
            <a:ln>
              <a:noFill/>
            </a:ln>
          </c:spPr>
          <c:dPt>
            <c:idx val="0"/>
            <c:bubble3D val="0"/>
            <c:spPr>
              <a:solidFill>
                <a:srgbClr val="78A22F"/>
              </a:solidFill>
              <a:ln>
                <a:noFill/>
              </a:ln>
            </c:spPr>
          </c:dPt>
          <c:dPt>
            <c:idx val="1"/>
            <c:bubble3D val="0"/>
            <c:spPr>
              <a:solidFill>
                <a:srgbClr val="265A9A"/>
              </a:solidFill>
              <a:ln>
                <a:noFill/>
              </a:ln>
            </c:spPr>
          </c:dPt>
          <c:dPt>
            <c:idx val="2"/>
            <c:bubble3D val="0"/>
            <c:spPr>
              <a:solidFill>
                <a:srgbClr val="B2D673"/>
              </a:solidFill>
              <a:ln>
                <a:noFill/>
              </a:ln>
            </c:spPr>
          </c:dPt>
          <c:dPt>
            <c:idx val="3"/>
            <c:bubble3D val="0"/>
            <c:spPr>
              <a:solidFill>
                <a:srgbClr val="000000"/>
              </a:solidFill>
              <a:ln>
                <a:noFill/>
              </a:ln>
            </c:spPr>
          </c:dPt>
          <c:dPt>
            <c:idx val="4"/>
            <c:bubble3D val="0"/>
            <c:spPr>
              <a:solidFill>
                <a:sysClr val="window" lastClr="FFFFFF">
                  <a:lumMod val="65000"/>
                </a:sysClr>
              </a:solidFill>
              <a:ln>
                <a:noFill/>
              </a:ln>
            </c:spPr>
          </c:dPt>
          <c:dPt>
            <c:idx val="5"/>
            <c:bubble3D val="0"/>
            <c:spPr>
              <a:pattFill prst="ltUpDiag">
                <a:fgClr>
                  <a:srgbClr val="78A22F"/>
                </a:fgClr>
                <a:bgClr>
                  <a:schemeClr val="bg1"/>
                </a:bgClr>
              </a:pattFill>
              <a:ln>
                <a:noFill/>
              </a:ln>
            </c:spPr>
          </c:dPt>
          <c:dPt>
            <c:idx val="6"/>
            <c:bubble3D val="0"/>
            <c:spPr>
              <a:pattFill prst="ltDnDiag">
                <a:fgClr>
                  <a:srgbClr val="265A9A"/>
                </a:fgClr>
                <a:bgClr>
                  <a:schemeClr val="bg1"/>
                </a:bgClr>
              </a:pattFill>
              <a:ln>
                <a:noFill/>
              </a:ln>
            </c:spPr>
          </c:dPt>
          <c:dPt>
            <c:idx val="7"/>
            <c:bubble3D val="0"/>
            <c:spPr>
              <a:pattFill prst="ltUpDiag">
                <a:fgClr>
                  <a:srgbClr val="B2D673"/>
                </a:fgClr>
                <a:bgClr>
                  <a:schemeClr val="bg1"/>
                </a:bgClr>
              </a:pattFill>
              <a:ln>
                <a:noFill/>
              </a:ln>
            </c:spPr>
          </c:dPt>
          <c:dLbls>
            <c:dLblPos val="outEnd"/>
            <c:showLegendKey val="0"/>
            <c:showVal val="0"/>
            <c:showCatName val="0"/>
            <c:showSerName val="0"/>
            <c:showPercent val="1"/>
            <c:showBubbleSize val="0"/>
            <c:separator> </c:separator>
            <c:showLeaderLines val="1"/>
          </c:dLbls>
          <c:cat>
            <c:strRef>
              <c:f>tenure_type_all_ISP_update!$A$10:$A$14</c:f>
              <c:strCache>
                <c:ptCount val="5"/>
                <c:pt idx="0">
                  <c:v>Commonwealth Rent Assistance</c:v>
                </c:pt>
                <c:pt idx="1">
                  <c:v>Public housing </c:v>
                </c:pt>
                <c:pt idx="2">
                  <c:v>Homeowner </c:v>
                </c:pt>
                <c:pt idx="3">
                  <c:v>Private renter 
(no assistance)</c:v>
                </c:pt>
                <c:pt idx="4">
                  <c:v>Other housing</c:v>
                </c:pt>
              </c:strCache>
            </c:strRef>
          </c:cat>
          <c:val>
            <c:numRef>
              <c:f>tenure_type_all_ISP_update!$B$10:$B$14</c:f>
              <c:numCache>
                <c:formatCode>#,##0.0</c:formatCode>
                <c:ptCount val="5"/>
                <c:pt idx="0" formatCode="General">
                  <c:v>6.01</c:v>
                </c:pt>
                <c:pt idx="1">
                  <c:v>2.14</c:v>
                </c:pt>
                <c:pt idx="2">
                  <c:v>48.67</c:v>
                </c:pt>
                <c:pt idx="3">
                  <c:v>23.98</c:v>
                </c:pt>
                <c:pt idx="4">
                  <c:v>19.21</c:v>
                </c:pt>
              </c:numCache>
            </c:numRef>
          </c:val>
        </c:ser>
        <c:dLbls>
          <c:showLegendKey val="0"/>
          <c:showVal val="0"/>
          <c:showCatName val="0"/>
          <c:showSerName val="0"/>
          <c:showPercent val="0"/>
          <c:showBubbleSize val="0"/>
          <c:showLeaderLines val="1"/>
        </c:dLbls>
        <c:firstSliceAng val="0"/>
      </c:pieChart>
    </c:plotArea>
    <c:legend>
      <c:legendPos val="t"/>
      <c:layout>
        <c:manualLayout>
          <c:xMode val="edge"/>
          <c:yMode val="edge"/>
          <c:x val="0"/>
          <c:y val="0"/>
          <c:w val="1"/>
          <c:h val="1"/>
        </c:manualLayout>
      </c:layout>
      <c:overlay val="0"/>
      <c:spPr>
        <a:solidFill>
          <a:sysClr val="window" lastClr="FFFFFF"/>
        </a:solidFill>
      </c:spPr>
    </c:legend>
    <c:plotVisOnly val="1"/>
    <c:dispBlanksAs val="gap"/>
    <c:showDLblsOverMax val="0"/>
  </c:chart>
  <c:spPr>
    <a:solidFill>
      <a:schemeClr val="bg1"/>
    </a:solidFill>
    <a:ln>
      <a:noFill/>
    </a:ln>
  </c:spPr>
  <c:txPr>
    <a:bodyPr/>
    <a:lstStyle/>
    <a:p>
      <a:pPr>
        <a:defRPr sz="900" spc="20" baseline="0">
          <a:latin typeface="Arial" panose="020B0604020202020204" pitchFamily="34" charset="0"/>
          <a:cs typeface="Arial" panose="020B0604020202020204" pitchFamily="34"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spPr>
            <a:ln>
              <a:noFill/>
            </a:ln>
          </c:spPr>
          <c:dPt>
            <c:idx val="0"/>
            <c:bubble3D val="0"/>
            <c:spPr>
              <a:solidFill>
                <a:srgbClr val="78A22F"/>
              </a:solidFill>
              <a:ln>
                <a:noFill/>
              </a:ln>
            </c:spPr>
          </c:dPt>
          <c:dPt>
            <c:idx val="1"/>
            <c:bubble3D val="0"/>
            <c:spPr>
              <a:solidFill>
                <a:srgbClr val="265A9A"/>
              </a:solidFill>
              <a:ln>
                <a:noFill/>
              </a:ln>
            </c:spPr>
          </c:dPt>
          <c:dPt>
            <c:idx val="2"/>
            <c:bubble3D val="0"/>
            <c:spPr>
              <a:solidFill>
                <a:srgbClr val="B2D673"/>
              </a:solidFill>
              <a:ln>
                <a:noFill/>
              </a:ln>
            </c:spPr>
          </c:dPt>
          <c:dPt>
            <c:idx val="3"/>
            <c:bubble3D val="0"/>
            <c:spPr>
              <a:solidFill>
                <a:srgbClr val="000000"/>
              </a:solidFill>
              <a:ln>
                <a:noFill/>
              </a:ln>
            </c:spPr>
          </c:dPt>
          <c:dPt>
            <c:idx val="4"/>
            <c:bubble3D val="0"/>
            <c:spPr>
              <a:solidFill>
                <a:srgbClr val="BFBFBF"/>
              </a:solidFill>
              <a:ln>
                <a:noFill/>
              </a:ln>
            </c:spPr>
          </c:dPt>
          <c:dPt>
            <c:idx val="5"/>
            <c:bubble3D val="0"/>
            <c:spPr>
              <a:pattFill prst="ltUpDiag">
                <a:fgClr>
                  <a:srgbClr val="78A22F"/>
                </a:fgClr>
                <a:bgClr>
                  <a:schemeClr val="bg1"/>
                </a:bgClr>
              </a:pattFill>
              <a:ln>
                <a:noFill/>
              </a:ln>
            </c:spPr>
          </c:dPt>
          <c:dPt>
            <c:idx val="6"/>
            <c:bubble3D val="0"/>
            <c:spPr>
              <a:pattFill prst="ltDnDiag">
                <a:fgClr>
                  <a:srgbClr val="265A9A"/>
                </a:fgClr>
                <a:bgClr>
                  <a:schemeClr val="bg1"/>
                </a:bgClr>
              </a:pattFill>
              <a:ln>
                <a:noFill/>
              </a:ln>
            </c:spPr>
          </c:dPt>
          <c:dPt>
            <c:idx val="7"/>
            <c:bubble3D val="0"/>
            <c:spPr>
              <a:pattFill prst="ltUpDiag">
                <a:fgClr>
                  <a:srgbClr val="B2D673"/>
                </a:fgClr>
                <a:bgClr>
                  <a:schemeClr val="bg1"/>
                </a:bgClr>
              </a:pattFill>
              <a:ln>
                <a:noFill/>
              </a:ln>
            </c:spPr>
          </c:dPt>
          <c:dLbls>
            <c:dLblPos val="outEnd"/>
            <c:showLegendKey val="0"/>
            <c:showVal val="0"/>
            <c:showCatName val="0"/>
            <c:showSerName val="0"/>
            <c:showPercent val="1"/>
            <c:showBubbleSize val="0"/>
            <c:separator> </c:separator>
            <c:showLeaderLines val="1"/>
          </c:dLbls>
          <c:cat>
            <c:strRef>
              <c:f>tenure_type_all_ISP_update!$A$10:$A$14</c:f>
              <c:strCache>
                <c:ptCount val="5"/>
                <c:pt idx="0">
                  <c:v>Commonwealth Rent Assistance</c:v>
                </c:pt>
                <c:pt idx="1">
                  <c:v>Public housing </c:v>
                </c:pt>
                <c:pt idx="2">
                  <c:v>Homeowner </c:v>
                </c:pt>
                <c:pt idx="3">
                  <c:v>Private renter 
(no assistance)</c:v>
                </c:pt>
                <c:pt idx="4">
                  <c:v>Other housing</c:v>
                </c:pt>
              </c:strCache>
            </c:strRef>
          </c:cat>
          <c:val>
            <c:numRef>
              <c:f>tenure_type_all_ISP_update!$B$10:$B$14</c:f>
              <c:numCache>
                <c:formatCode>#,##0.0</c:formatCode>
                <c:ptCount val="5"/>
                <c:pt idx="0" formatCode="General">
                  <c:v>6.01</c:v>
                </c:pt>
                <c:pt idx="1">
                  <c:v>2.14</c:v>
                </c:pt>
                <c:pt idx="2">
                  <c:v>48.67</c:v>
                </c:pt>
                <c:pt idx="3">
                  <c:v>23.98</c:v>
                </c:pt>
                <c:pt idx="4">
                  <c:v>19.21</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spPr>
    <a:solidFill>
      <a:schemeClr val="bg1"/>
    </a:solidFill>
    <a:ln>
      <a:noFill/>
    </a:ln>
  </c:spPr>
  <c:txPr>
    <a:bodyPr/>
    <a:lstStyle/>
    <a:p>
      <a:pPr>
        <a:defRPr sz="900" spc="20" baseline="0">
          <a:latin typeface="Arial" panose="020B0604020202020204" pitchFamily="34" charset="0"/>
          <a:cs typeface="Arial" panose="020B0604020202020204" pitchFamily="34" charset="0"/>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spPr>
            <a:ln>
              <a:noFill/>
            </a:ln>
          </c:spPr>
          <c:dPt>
            <c:idx val="0"/>
            <c:bubble3D val="0"/>
            <c:spPr>
              <a:solidFill>
                <a:srgbClr val="78A22F"/>
              </a:solidFill>
              <a:ln>
                <a:noFill/>
              </a:ln>
            </c:spPr>
          </c:dPt>
          <c:dPt>
            <c:idx val="1"/>
            <c:bubble3D val="0"/>
            <c:spPr>
              <a:solidFill>
                <a:srgbClr val="265A9A"/>
              </a:solidFill>
              <a:ln>
                <a:noFill/>
              </a:ln>
            </c:spPr>
          </c:dPt>
          <c:dPt>
            <c:idx val="2"/>
            <c:bubble3D val="0"/>
            <c:spPr>
              <a:solidFill>
                <a:srgbClr val="B2D673"/>
              </a:solidFill>
              <a:ln>
                <a:noFill/>
              </a:ln>
            </c:spPr>
          </c:dPt>
          <c:dPt>
            <c:idx val="3"/>
            <c:bubble3D val="0"/>
            <c:spPr>
              <a:solidFill>
                <a:srgbClr val="000000"/>
              </a:solidFill>
              <a:ln>
                <a:noFill/>
              </a:ln>
            </c:spPr>
          </c:dPt>
          <c:dPt>
            <c:idx val="4"/>
            <c:bubble3D val="0"/>
            <c:spPr>
              <a:solidFill>
                <a:srgbClr val="BFBFBF"/>
              </a:solidFill>
              <a:ln>
                <a:noFill/>
              </a:ln>
            </c:spPr>
          </c:dPt>
          <c:dPt>
            <c:idx val="5"/>
            <c:bubble3D val="0"/>
            <c:spPr>
              <a:pattFill prst="ltUpDiag">
                <a:fgClr>
                  <a:srgbClr val="78A22F"/>
                </a:fgClr>
                <a:bgClr>
                  <a:schemeClr val="bg1"/>
                </a:bgClr>
              </a:pattFill>
              <a:ln>
                <a:noFill/>
              </a:ln>
            </c:spPr>
          </c:dPt>
          <c:dPt>
            <c:idx val="6"/>
            <c:bubble3D val="0"/>
            <c:spPr>
              <a:pattFill prst="ltDnDiag">
                <a:fgClr>
                  <a:srgbClr val="265A9A"/>
                </a:fgClr>
                <a:bgClr>
                  <a:schemeClr val="bg1"/>
                </a:bgClr>
              </a:pattFill>
              <a:ln>
                <a:noFill/>
              </a:ln>
            </c:spPr>
          </c:dPt>
          <c:dPt>
            <c:idx val="7"/>
            <c:bubble3D val="0"/>
            <c:spPr>
              <a:pattFill prst="ltUpDiag">
                <a:fgClr>
                  <a:srgbClr val="B2D673"/>
                </a:fgClr>
                <a:bgClr>
                  <a:schemeClr val="bg1"/>
                </a:bgClr>
              </a:pattFill>
              <a:ln>
                <a:noFill/>
              </a:ln>
            </c:spPr>
          </c:dPt>
          <c:dLbls>
            <c:dLblPos val="outEnd"/>
            <c:showLegendKey val="0"/>
            <c:showVal val="0"/>
            <c:showCatName val="0"/>
            <c:showSerName val="0"/>
            <c:showPercent val="1"/>
            <c:showBubbleSize val="0"/>
            <c:separator> </c:separator>
            <c:showLeaderLines val="1"/>
          </c:dLbls>
          <c:cat>
            <c:strRef>
              <c:f>tenure_type_all_ISP_update!$A$10:$A$14</c:f>
              <c:strCache>
                <c:ptCount val="5"/>
                <c:pt idx="0">
                  <c:v>Commonwealth Rent Assistance</c:v>
                </c:pt>
                <c:pt idx="1">
                  <c:v>Public housing </c:v>
                </c:pt>
                <c:pt idx="2">
                  <c:v>Homeowner </c:v>
                </c:pt>
                <c:pt idx="3">
                  <c:v>Private renter 
(no assistance)</c:v>
                </c:pt>
                <c:pt idx="4">
                  <c:v>Other housing</c:v>
                </c:pt>
              </c:strCache>
            </c:strRef>
          </c:cat>
          <c:val>
            <c:numRef>
              <c:f>tenure_type_all_ISP_update!$D$10:$D$14</c:f>
              <c:numCache>
                <c:formatCode>0.00</c:formatCode>
                <c:ptCount val="5"/>
                <c:pt idx="0">
                  <c:v>33.711677135491541</c:v>
                </c:pt>
                <c:pt idx="1">
                  <c:v>9.7972470616593679</c:v>
                </c:pt>
                <c:pt idx="2">
                  <c:v>21.560822751028741</c:v>
                </c:pt>
                <c:pt idx="3">
                  <c:v>10.413206841336651</c:v>
                </c:pt>
                <c:pt idx="4">
                  <c:v>24.517046210483642</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spPr>
    <a:solidFill>
      <a:schemeClr val="bg1"/>
    </a:solidFill>
    <a:ln>
      <a:noFill/>
    </a:ln>
  </c:spPr>
  <c:txPr>
    <a:bodyPr/>
    <a:lstStyle/>
    <a:p>
      <a:pPr>
        <a:defRPr sz="900" spc="20" baseline="0">
          <a:latin typeface="Arial" panose="020B0604020202020204" pitchFamily="34" charset="0"/>
          <a:cs typeface="Arial" panose="020B0604020202020204" pitchFamily="34" charset="0"/>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020927177177177E-2"/>
          <c:y val="3.0238095238095238E-2"/>
          <c:w val="0.91263982732732729"/>
          <c:h val="0.54802083333333329"/>
        </c:manualLayout>
      </c:layout>
      <c:barChart>
        <c:barDir val="col"/>
        <c:grouping val="clustered"/>
        <c:varyColors val="0"/>
        <c:ser>
          <c:idx val="0"/>
          <c:order val="0"/>
          <c:tx>
            <c:v>Commonwealth Rent Assistance</c:v>
          </c:tx>
          <c:spPr>
            <a:solidFill>
              <a:srgbClr val="78A22F"/>
            </a:solidFill>
            <a:ln>
              <a:solidFill>
                <a:srgbClr val="78A22F"/>
              </a:solidFill>
            </a:ln>
          </c:spPr>
          <c:invertIfNegative val="0"/>
          <c:cat>
            <c:strRef>
              <c:f>N_ISP_brtenure!$E$67:$M$67</c:f>
              <c:strCache>
                <c:ptCount val="9"/>
                <c:pt idx="0">
                  <c:v>Disability Support Pension</c:v>
                </c:pt>
                <c:pt idx="1">
                  <c:v>Newstart Allowance</c:v>
                </c:pt>
                <c:pt idx="2">
                  <c:v>Parenting Payment (Single)</c:v>
                </c:pt>
                <c:pt idx="3">
                  <c:v>Parenting Payment (Partnered)</c:v>
                </c:pt>
                <c:pt idx="4">
                  <c:v>Youth Allowance (Student)</c:v>
                </c:pt>
                <c:pt idx="5">
                  <c:v>Youth Allowance (Job seeker)</c:v>
                </c:pt>
                <c:pt idx="6">
                  <c:v>Carer Payment</c:v>
                </c:pt>
                <c:pt idx="7">
                  <c:v>Other</c:v>
                </c:pt>
                <c:pt idx="8">
                  <c:v>Total</c:v>
                </c:pt>
              </c:strCache>
            </c:strRef>
          </c:cat>
          <c:val>
            <c:numRef>
              <c:f>N_ISP_brtenure!$E$68:$L$68</c:f>
              <c:numCache>
                <c:formatCode>0.0</c:formatCode>
                <c:ptCount val="8"/>
                <c:pt idx="0">
                  <c:v>32.994704447505782</c:v>
                </c:pt>
                <c:pt idx="1">
                  <c:v>40.552740074277125</c:v>
                </c:pt>
                <c:pt idx="2">
                  <c:v>54.194266499575782</c:v>
                </c:pt>
                <c:pt idx="3">
                  <c:v>46.833326964961216</c:v>
                </c:pt>
                <c:pt idx="4">
                  <c:v>31.826775327632117</c:v>
                </c:pt>
                <c:pt idx="5">
                  <c:v>18.650831887968138</c:v>
                </c:pt>
                <c:pt idx="6">
                  <c:v>28.110112235195871</c:v>
                </c:pt>
                <c:pt idx="7">
                  <c:v>34.141714989309399</c:v>
                </c:pt>
              </c:numCache>
            </c:numRef>
          </c:val>
        </c:ser>
        <c:ser>
          <c:idx val="1"/>
          <c:order val="1"/>
          <c:tx>
            <c:v>Public housing</c:v>
          </c:tx>
          <c:spPr>
            <a:solidFill>
              <a:srgbClr val="265A9A"/>
            </a:solidFill>
            <a:ln>
              <a:solidFill>
                <a:srgbClr val="265A9A"/>
              </a:solidFill>
            </a:ln>
          </c:spPr>
          <c:invertIfNegative val="0"/>
          <c:cat>
            <c:strRef>
              <c:f>N_ISP_brtenure!$E$67:$M$67</c:f>
              <c:strCache>
                <c:ptCount val="9"/>
                <c:pt idx="0">
                  <c:v>Disability Support Pension</c:v>
                </c:pt>
                <c:pt idx="1">
                  <c:v>Newstart Allowance</c:v>
                </c:pt>
                <c:pt idx="2">
                  <c:v>Parenting Payment (Single)</c:v>
                </c:pt>
                <c:pt idx="3">
                  <c:v>Parenting Payment (Partnered)</c:v>
                </c:pt>
                <c:pt idx="4">
                  <c:v>Youth Allowance (Student)</c:v>
                </c:pt>
                <c:pt idx="5">
                  <c:v>Youth Allowance (Job seeker)</c:v>
                </c:pt>
                <c:pt idx="6">
                  <c:v>Carer Payment</c:v>
                </c:pt>
                <c:pt idx="7">
                  <c:v>Other</c:v>
                </c:pt>
                <c:pt idx="8">
                  <c:v>Total</c:v>
                </c:pt>
              </c:strCache>
            </c:strRef>
          </c:cat>
          <c:val>
            <c:numRef>
              <c:f>N_ISP_brtenure!$E$69:$L$69</c:f>
              <c:numCache>
                <c:formatCode>0.0</c:formatCode>
                <c:ptCount val="8"/>
                <c:pt idx="0">
                  <c:v>16.414696106062713</c:v>
                </c:pt>
                <c:pt idx="1">
                  <c:v>7.6577559908037847</c:v>
                </c:pt>
                <c:pt idx="2">
                  <c:v>10.604562826430456</c:v>
                </c:pt>
                <c:pt idx="3">
                  <c:v>7.0860876542738147</c:v>
                </c:pt>
                <c:pt idx="4">
                  <c:v>0.4199483511797974</c:v>
                </c:pt>
                <c:pt idx="5">
                  <c:v>1.8548853343611487</c:v>
                </c:pt>
                <c:pt idx="6">
                  <c:v>12.539050905779787</c:v>
                </c:pt>
                <c:pt idx="7">
                  <c:v>6.172264328322199</c:v>
                </c:pt>
              </c:numCache>
            </c:numRef>
          </c:val>
        </c:ser>
        <c:dLbls>
          <c:showLegendKey val="0"/>
          <c:showVal val="0"/>
          <c:showCatName val="0"/>
          <c:showSerName val="0"/>
          <c:showPercent val="0"/>
          <c:showBubbleSize val="0"/>
        </c:dLbls>
        <c:gapWidth val="150"/>
        <c:axId val="120355072"/>
        <c:axId val="147300352"/>
      </c:barChart>
      <c:catAx>
        <c:axId val="120355072"/>
        <c:scaling>
          <c:orientation val="minMax"/>
        </c:scaling>
        <c:delete val="0"/>
        <c:axPos val="b"/>
        <c:majorTickMark val="none"/>
        <c:minorTickMark val="none"/>
        <c:tickLblPos val="nextTo"/>
        <c:spPr>
          <a:ln>
            <a:solidFill>
              <a:srgbClr val="BFBFBF"/>
            </a:solidFill>
          </a:ln>
        </c:spPr>
        <c:crossAx val="147300352"/>
        <c:crosses val="autoZero"/>
        <c:auto val="1"/>
        <c:lblAlgn val="ctr"/>
        <c:lblOffset val="100"/>
        <c:noMultiLvlLbl val="0"/>
      </c:catAx>
      <c:valAx>
        <c:axId val="147300352"/>
        <c:scaling>
          <c:orientation val="minMax"/>
        </c:scaling>
        <c:delete val="0"/>
        <c:axPos val="l"/>
        <c:majorGridlines>
          <c:spPr>
            <a:ln>
              <a:noFill/>
            </a:ln>
          </c:spPr>
        </c:majorGridlines>
        <c:title>
          <c:tx>
            <c:rich>
              <a:bodyPr rot="-5400000" vert="horz"/>
              <a:lstStyle/>
              <a:p>
                <a:pPr>
                  <a:defRPr/>
                </a:pPr>
                <a:r>
                  <a:rPr lang="en-AU"/>
                  <a:t>Per cent</a:t>
                </a:r>
              </a:p>
            </c:rich>
          </c:tx>
          <c:layout>
            <c:manualLayout>
              <c:xMode val="edge"/>
              <c:yMode val="edge"/>
              <c:x val="2.8153153153153153E-4"/>
              <c:y val="0.26983796296296297"/>
            </c:manualLayout>
          </c:layout>
          <c:overlay val="0"/>
        </c:title>
        <c:numFmt formatCode="0" sourceLinked="0"/>
        <c:majorTickMark val="out"/>
        <c:minorTickMark val="none"/>
        <c:tickLblPos val="nextTo"/>
        <c:spPr>
          <a:ln>
            <a:solidFill>
              <a:srgbClr val="BFBFBF"/>
            </a:solidFill>
          </a:ln>
        </c:spPr>
        <c:crossAx val="120355072"/>
        <c:crosses val="autoZero"/>
        <c:crossBetween val="between"/>
        <c:majorUnit val="12"/>
      </c:valAx>
      <c:spPr>
        <a:noFill/>
        <a:ln>
          <a:noFill/>
        </a:ln>
      </c:spPr>
    </c:plotArea>
    <c:legend>
      <c:legendPos val="b"/>
      <c:layout>
        <c:manualLayout>
          <c:xMode val="edge"/>
          <c:yMode val="edge"/>
          <c:x val="7.0870837030880984E-2"/>
          <c:y val="0.90622257927844285"/>
          <c:w val="0.90362612612612614"/>
          <c:h val="9.3777314814814813E-2"/>
        </c:manualLayout>
      </c:layout>
      <c:overlay val="0"/>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1"/>
          <c:order val="0"/>
          <c:tx>
            <c:strRef>
              <c:f>HA_types_DHS!$A$9</c:f>
              <c:strCache>
                <c:ptCount val="1"/>
                <c:pt idx="0">
                  <c:v>Commonwealth Rent Assistance</c:v>
                </c:pt>
              </c:strCache>
            </c:strRef>
          </c:tx>
          <c:spPr>
            <a:solidFill>
              <a:srgbClr val="78A22F"/>
            </a:solidFill>
            <a:ln>
              <a:solidFill>
                <a:srgbClr val="78A22F"/>
              </a:solidFill>
            </a:ln>
          </c:spPr>
          <c:invertIfNegative val="0"/>
          <c:cat>
            <c:numRef>
              <c:f>HA_types_DHS!$B$8:$L$8</c:f>
              <c:numCache>
                <c:formatCode>General</c:formatCode>
                <c:ptCount val="11"/>
                <c:pt idx="0">
                  <c:v>2003</c:v>
                </c:pt>
                <c:pt idx="1">
                  <c:v>2004</c:v>
                </c:pt>
                <c:pt idx="2">
                  <c:v>2005</c:v>
                </c:pt>
                <c:pt idx="3">
                  <c:v>2006</c:v>
                </c:pt>
                <c:pt idx="4">
                  <c:v>2007</c:v>
                </c:pt>
                <c:pt idx="5">
                  <c:v>2008</c:v>
                </c:pt>
                <c:pt idx="6">
                  <c:v>2009</c:v>
                </c:pt>
                <c:pt idx="7">
                  <c:v>2010</c:v>
                </c:pt>
                <c:pt idx="8">
                  <c:v>2011</c:v>
                </c:pt>
                <c:pt idx="9">
                  <c:v>2012</c:v>
                </c:pt>
                <c:pt idx="10">
                  <c:v>2013</c:v>
                </c:pt>
              </c:numCache>
            </c:numRef>
          </c:cat>
          <c:val>
            <c:numRef>
              <c:f>HA_types_DHS!$B$14:$L$14</c:f>
              <c:numCache>
                <c:formatCode>General</c:formatCode>
                <c:ptCount val="11"/>
                <c:pt idx="0">
                  <c:v>766.99800000000005</c:v>
                </c:pt>
                <c:pt idx="1">
                  <c:v>765.31999999999948</c:v>
                </c:pt>
                <c:pt idx="2">
                  <c:v>755.39800000000002</c:v>
                </c:pt>
                <c:pt idx="3">
                  <c:v>733.24099999999999</c:v>
                </c:pt>
                <c:pt idx="4">
                  <c:v>709.92599999999948</c:v>
                </c:pt>
                <c:pt idx="5">
                  <c:v>698.36199999999917</c:v>
                </c:pt>
                <c:pt idx="6">
                  <c:v>788.86799999999914</c:v>
                </c:pt>
                <c:pt idx="7">
                  <c:v>840.00699999999938</c:v>
                </c:pt>
                <c:pt idx="8">
                  <c:v>861.51</c:v>
                </c:pt>
                <c:pt idx="9">
                  <c:v>891.58</c:v>
                </c:pt>
                <c:pt idx="10">
                  <c:v>942.11599999999999</c:v>
                </c:pt>
              </c:numCache>
            </c:numRef>
          </c:val>
        </c:ser>
        <c:ser>
          <c:idx val="2"/>
          <c:order val="1"/>
          <c:tx>
            <c:strRef>
              <c:f>HA_types_DHS!$A$10</c:f>
              <c:strCache>
                <c:ptCount val="1"/>
                <c:pt idx="0">
                  <c:v>Public housing</c:v>
                </c:pt>
              </c:strCache>
            </c:strRef>
          </c:tx>
          <c:spPr>
            <a:solidFill>
              <a:srgbClr val="265A9A"/>
            </a:solidFill>
            <a:ln>
              <a:solidFill>
                <a:srgbClr val="265A9A"/>
              </a:solidFill>
            </a:ln>
          </c:spPr>
          <c:invertIfNegative val="0"/>
          <c:cat>
            <c:numRef>
              <c:f>HA_types_DHS!$B$8:$L$8</c:f>
              <c:numCache>
                <c:formatCode>General</c:formatCode>
                <c:ptCount val="11"/>
                <c:pt idx="0">
                  <c:v>2003</c:v>
                </c:pt>
                <c:pt idx="1">
                  <c:v>2004</c:v>
                </c:pt>
                <c:pt idx="2">
                  <c:v>2005</c:v>
                </c:pt>
                <c:pt idx="3">
                  <c:v>2006</c:v>
                </c:pt>
                <c:pt idx="4">
                  <c:v>2007</c:v>
                </c:pt>
                <c:pt idx="5">
                  <c:v>2008</c:v>
                </c:pt>
                <c:pt idx="6">
                  <c:v>2009</c:v>
                </c:pt>
                <c:pt idx="7">
                  <c:v>2010</c:v>
                </c:pt>
                <c:pt idx="8">
                  <c:v>2011</c:v>
                </c:pt>
                <c:pt idx="9">
                  <c:v>2012</c:v>
                </c:pt>
                <c:pt idx="10">
                  <c:v>2013</c:v>
                </c:pt>
              </c:numCache>
            </c:numRef>
          </c:cat>
          <c:val>
            <c:numRef>
              <c:f>HA_types_DHS!$B$15:$L$15</c:f>
              <c:numCache>
                <c:formatCode>General</c:formatCode>
                <c:ptCount val="11"/>
                <c:pt idx="0">
                  <c:v>258.93599999999952</c:v>
                </c:pt>
                <c:pt idx="1">
                  <c:v>257.964</c:v>
                </c:pt>
                <c:pt idx="2">
                  <c:v>252.578</c:v>
                </c:pt>
                <c:pt idx="3">
                  <c:v>252.23699999999999</c:v>
                </c:pt>
                <c:pt idx="4">
                  <c:v>250.40199999999999</c:v>
                </c:pt>
                <c:pt idx="5">
                  <c:v>248.81399999999999</c:v>
                </c:pt>
                <c:pt idx="6">
                  <c:v>250.54599999999999</c:v>
                </c:pt>
                <c:pt idx="7">
                  <c:v>252.858</c:v>
                </c:pt>
                <c:pt idx="8">
                  <c:v>250.37100000000001</c:v>
                </c:pt>
                <c:pt idx="9">
                  <c:v>252.989</c:v>
                </c:pt>
                <c:pt idx="10">
                  <c:v>255.667</c:v>
                </c:pt>
              </c:numCache>
            </c:numRef>
          </c:val>
        </c:ser>
        <c:dLbls>
          <c:showLegendKey val="0"/>
          <c:showVal val="0"/>
          <c:showCatName val="0"/>
          <c:showSerName val="0"/>
          <c:showPercent val="0"/>
          <c:showBubbleSize val="0"/>
        </c:dLbls>
        <c:gapWidth val="100"/>
        <c:overlap val="100"/>
        <c:axId val="155864448"/>
        <c:axId val="157308032"/>
      </c:barChart>
      <c:catAx>
        <c:axId val="155864448"/>
        <c:scaling>
          <c:orientation val="minMax"/>
        </c:scaling>
        <c:delete val="0"/>
        <c:axPos val="b"/>
        <c:numFmt formatCode="General" sourceLinked="1"/>
        <c:majorTickMark val="none"/>
        <c:minorTickMark val="none"/>
        <c:tickLblPos val="nextTo"/>
        <c:spPr>
          <a:ln>
            <a:solidFill>
              <a:srgbClr val="BFBFBF"/>
            </a:solidFill>
          </a:ln>
        </c:spPr>
        <c:crossAx val="157308032"/>
        <c:crosses val="autoZero"/>
        <c:auto val="1"/>
        <c:lblAlgn val="ctr"/>
        <c:lblOffset val="100"/>
        <c:noMultiLvlLbl val="0"/>
      </c:catAx>
      <c:valAx>
        <c:axId val="157308032"/>
        <c:scaling>
          <c:orientation val="minMax"/>
          <c:max val="1500"/>
          <c:min val="0"/>
        </c:scaling>
        <c:delete val="0"/>
        <c:axPos val="l"/>
        <c:majorGridlines>
          <c:spPr>
            <a:ln>
              <a:noFill/>
            </a:ln>
          </c:spPr>
        </c:majorGridlines>
        <c:title>
          <c:tx>
            <c:rich>
              <a:bodyPr rot="-5400000" vert="horz"/>
              <a:lstStyle/>
              <a:p>
                <a:pPr>
                  <a:defRPr sz="1000" b="1"/>
                </a:pPr>
                <a:r>
                  <a:rPr lang="en-AU" sz="1000" b="1"/>
                  <a:t>ISP recipients ('000s)</a:t>
                </a:r>
              </a:p>
            </c:rich>
          </c:tx>
          <c:layout>
            <c:manualLayout>
              <c:xMode val="edge"/>
              <c:yMode val="edge"/>
              <c:x val="1.91392720306513E-2"/>
              <c:y val="7.9532870370370407E-2"/>
            </c:manualLayout>
          </c:layout>
          <c:overlay val="0"/>
        </c:title>
        <c:numFmt formatCode="#\ ##0_ ;\-#\ ##0\ " sourceLinked="0"/>
        <c:majorTickMark val="out"/>
        <c:minorTickMark val="none"/>
        <c:tickLblPos val="nextTo"/>
        <c:spPr>
          <a:ln>
            <a:solidFill>
              <a:srgbClr val="BFBFBF"/>
            </a:solidFill>
          </a:ln>
        </c:spPr>
        <c:crossAx val="155864448"/>
        <c:crosses val="autoZero"/>
        <c:crossBetween val="between"/>
        <c:majorUnit val="300"/>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1000" spc="20" baseline="0">
          <a:latin typeface="Arial" pitchFamily="34" charset="0"/>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735593869731801"/>
          <c:y val="6.4675925925925901E-2"/>
          <c:w val="0.70182777777777805"/>
          <c:h val="0.79399722222222202"/>
        </c:manualLayout>
      </c:layout>
      <c:lineChart>
        <c:grouping val="standard"/>
        <c:varyColors val="0"/>
        <c:ser>
          <c:idx val="0"/>
          <c:order val="0"/>
          <c:tx>
            <c:strRef>
              <c:f>'max cra'!$Q$2</c:f>
              <c:strCache>
                <c:ptCount val="1"/>
                <c:pt idx="0">
                  <c:v>NSW</c:v>
                </c:pt>
              </c:strCache>
            </c:strRef>
          </c:tx>
          <c:spPr>
            <a:ln>
              <a:solidFill>
                <a:srgbClr val="78A22F"/>
              </a:solidFill>
            </a:ln>
          </c:spPr>
          <c:marker>
            <c:symbol val="none"/>
          </c:marker>
          <c:cat>
            <c:numRef>
              <c:f>'max cra'!$P$3:$P$13</c:f>
              <c:numCache>
                <c:formatCode>General</c:formatCode>
                <c:ptCount val="11"/>
                <c:pt idx="0">
                  <c:v>2003</c:v>
                </c:pt>
                <c:pt idx="2">
                  <c:v>2005</c:v>
                </c:pt>
                <c:pt idx="4">
                  <c:v>2007</c:v>
                </c:pt>
                <c:pt idx="6">
                  <c:v>2009</c:v>
                </c:pt>
                <c:pt idx="8">
                  <c:v>2011</c:v>
                </c:pt>
                <c:pt idx="10">
                  <c:v>2013</c:v>
                </c:pt>
              </c:numCache>
            </c:numRef>
          </c:cat>
          <c:val>
            <c:numRef>
              <c:f>'max cra'!$Q$3:$Q$13</c:f>
              <c:numCache>
                <c:formatCode>###\ ###\ ##0.0;\-###\ ###\ ##0.0;"–"</c:formatCode>
                <c:ptCount val="11"/>
                <c:pt idx="0">
                  <c:v>63</c:v>
                </c:pt>
                <c:pt idx="1">
                  <c:v>65.45</c:v>
                </c:pt>
                <c:pt idx="2">
                  <c:v>67.599999999999994</c:v>
                </c:pt>
                <c:pt idx="3">
                  <c:v>67.58</c:v>
                </c:pt>
                <c:pt idx="4">
                  <c:v>68.34</c:v>
                </c:pt>
                <c:pt idx="5">
                  <c:v>70.94</c:v>
                </c:pt>
                <c:pt idx="6">
                  <c:v>71.5</c:v>
                </c:pt>
                <c:pt idx="7">
                  <c:v>71.77</c:v>
                </c:pt>
                <c:pt idx="8">
                  <c:v>74.3</c:v>
                </c:pt>
                <c:pt idx="9">
                  <c:v>74.7</c:v>
                </c:pt>
                <c:pt idx="10">
                  <c:v>76.02</c:v>
                </c:pt>
              </c:numCache>
            </c:numRef>
          </c:val>
          <c:smooth val="0"/>
        </c:ser>
        <c:ser>
          <c:idx val="1"/>
          <c:order val="1"/>
          <c:tx>
            <c:strRef>
              <c:f>'max cra'!$R$2</c:f>
              <c:strCache>
                <c:ptCount val="1"/>
                <c:pt idx="0">
                  <c:v>Vic</c:v>
                </c:pt>
              </c:strCache>
            </c:strRef>
          </c:tx>
          <c:spPr>
            <a:ln cmpd="sng">
              <a:solidFill>
                <a:srgbClr val="265A9A"/>
              </a:solidFill>
              <a:prstDash val="solid"/>
            </a:ln>
            <a:effectLst/>
          </c:spPr>
          <c:marker>
            <c:symbol val="none"/>
          </c:marker>
          <c:cat>
            <c:numRef>
              <c:f>'max cra'!$P$3:$P$13</c:f>
              <c:numCache>
                <c:formatCode>General</c:formatCode>
                <c:ptCount val="11"/>
                <c:pt idx="0">
                  <c:v>2003</c:v>
                </c:pt>
                <c:pt idx="2">
                  <c:v>2005</c:v>
                </c:pt>
                <c:pt idx="4">
                  <c:v>2007</c:v>
                </c:pt>
                <c:pt idx="6">
                  <c:v>2009</c:v>
                </c:pt>
                <c:pt idx="8">
                  <c:v>2011</c:v>
                </c:pt>
                <c:pt idx="10">
                  <c:v>2013</c:v>
                </c:pt>
              </c:numCache>
            </c:numRef>
          </c:cat>
          <c:val>
            <c:numRef>
              <c:f>'max cra'!$R$3:$R$13</c:f>
              <c:numCache>
                <c:formatCode>###\ ###\ ##0.0;\-###\ ###\ ##0.0;"–"</c:formatCode>
                <c:ptCount val="11"/>
                <c:pt idx="0">
                  <c:v>58.49</c:v>
                </c:pt>
                <c:pt idx="1">
                  <c:v>60.85</c:v>
                </c:pt>
                <c:pt idx="2">
                  <c:v>63.57</c:v>
                </c:pt>
                <c:pt idx="3">
                  <c:v>63.95</c:v>
                </c:pt>
                <c:pt idx="4">
                  <c:v>64.22</c:v>
                </c:pt>
                <c:pt idx="5">
                  <c:v>68.22</c:v>
                </c:pt>
                <c:pt idx="6">
                  <c:v>68.7</c:v>
                </c:pt>
                <c:pt idx="7">
                  <c:v>69.5</c:v>
                </c:pt>
                <c:pt idx="8">
                  <c:v>72.169999999999973</c:v>
                </c:pt>
                <c:pt idx="9">
                  <c:v>73</c:v>
                </c:pt>
                <c:pt idx="10">
                  <c:v>74.400000000000006</c:v>
                </c:pt>
              </c:numCache>
            </c:numRef>
          </c:val>
          <c:smooth val="0"/>
        </c:ser>
        <c:ser>
          <c:idx val="2"/>
          <c:order val="2"/>
          <c:tx>
            <c:strRef>
              <c:f>'max cra'!$S$2</c:f>
              <c:strCache>
                <c:ptCount val="1"/>
                <c:pt idx="0">
                  <c:v>Qld</c:v>
                </c:pt>
              </c:strCache>
            </c:strRef>
          </c:tx>
          <c:spPr>
            <a:ln cmpd="sng">
              <a:solidFill>
                <a:srgbClr val="B2D673"/>
              </a:solidFill>
              <a:prstDash val="solid"/>
            </a:ln>
            <a:effectLst/>
          </c:spPr>
          <c:marker>
            <c:symbol val="none"/>
          </c:marker>
          <c:cat>
            <c:numRef>
              <c:f>'max cra'!$P$3:$P$13</c:f>
              <c:numCache>
                <c:formatCode>General</c:formatCode>
                <c:ptCount val="11"/>
                <c:pt idx="0">
                  <c:v>2003</c:v>
                </c:pt>
                <c:pt idx="2">
                  <c:v>2005</c:v>
                </c:pt>
                <c:pt idx="4">
                  <c:v>2007</c:v>
                </c:pt>
                <c:pt idx="6">
                  <c:v>2009</c:v>
                </c:pt>
                <c:pt idx="8">
                  <c:v>2011</c:v>
                </c:pt>
                <c:pt idx="10">
                  <c:v>2013</c:v>
                </c:pt>
              </c:numCache>
            </c:numRef>
          </c:cat>
          <c:val>
            <c:numRef>
              <c:f>'max cra'!$S$3:$S$13</c:f>
              <c:numCache>
                <c:formatCode>###\ ###\ ##0.0;\-###\ ###\ ##0.0;"–"</c:formatCode>
                <c:ptCount val="11"/>
                <c:pt idx="0">
                  <c:v>59.21</c:v>
                </c:pt>
                <c:pt idx="1">
                  <c:v>63.5</c:v>
                </c:pt>
                <c:pt idx="2">
                  <c:v>67.06</c:v>
                </c:pt>
                <c:pt idx="3">
                  <c:v>68.930000000000007</c:v>
                </c:pt>
                <c:pt idx="4">
                  <c:v>71.48</c:v>
                </c:pt>
                <c:pt idx="5">
                  <c:v>75.66</c:v>
                </c:pt>
                <c:pt idx="6">
                  <c:v>76.430000000000007</c:v>
                </c:pt>
                <c:pt idx="7">
                  <c:v>76.3</c:v>
                </c:pt>
                <c:pt idx="8">
                  <c:v>78.400000000000006</c:v>
                </c:pt>
                <c:pt idx="9">
                  <c:v>78.599999999999994</c:v>
                </c:pt>
                <c:pt idx="10">
                  <c:v>79.39</c:v>
                </c:pt>
              </c:numCache>
            </c:numRef>
          </c:val>
          <c:smooth val="0"/>
        </c:ser>
        <c:ser>
          <c:idx val="3"/>
          <c:order val="3"/>
          <c:tx>
            <c:strRef>
              <c:f>'max cra'!$T$2</c:f>
              <c:strCache>
                <c:ptCount val="1"/>
                <c:pt idx="0">
                  <c:v>WA</c:v>
                </c:pt>
              </c:strCache>
            </c:strRef>
          </c:tx>
          <c:spPr>
            <a:ln cmpd="sng">
              <a:solidFill>
                <a:srgbClr val="78A22F"/>
              </a:solidFill>
              <a:prstDash val="sysDot"/>
            </a:ln>
          </c:spPr>
          <c:marker>
            <c:symbol val="none"/>
          </c:marker>
          <c:cat>
            <c:numRef>
              <c:f>'max cra'!$P$3:$P$13</c:f>
              <c:numCache>
                <c:formatCode>General</c:formatCode>
                <c:ptCount val="11"/>
                <c:pt idx="0">
                  <c:v>2003</c:v>
                </c:pt>
                <c:pt idx="2">
                  <c:v>2005</c:v>
                </c:pt>
                <c:pt idx="4">
                  <c:v>2007</c:v>
                </c:pt>
                <c:pt idx="6">
                  <c:v>2009</c:v>
                </c:pt>
                <c:pt idx="8">
                  <c:v>2011</c:v>
                </c:pt>
                <c:pt idx="10">
                  <c:v>2013</c:v>
                </c:pt>
              </c:numCache>
            </c:numRef>
          </c:cat>
          <c:val>
            <c:numRef>
              <c:f>'max cra'!$T$3:$T$13</c:f>
              <c:numCache>
                <c:formatCode>###\ ###\ ##0.0;\-###\ ###\ ##0.0;"–"</c:formatCode>
                <c:ptCount val="11"/>
                <c:pt idx="0">
                  <c:v>54.32</c:v>
                </c:pt>
                <c:pt idx="1">
                  <c:v>56.82</c:v>
                </c:pt>
                <c:pt idx="2">
                  <c:v>60.06</c:v>
                </c:pt>
                <c:pt idx="3">
                  <c:v>61.12</c:v>
                </c:pt>
                <c:pt idx="4">
                  <c:v>65.55</c:v>
                </c:pt>
                <c:pt idx="5">
                  <c:v>71.169999999999973</c:v>
                </c:pt>
                <c:pt idx="6">
                  <c:v>72.42</c:v>
                </c:pt>
                <c:pt idx="7">
                  <c:v>72.739999999999995</c:v>
                </c:pt>
                <c:pt idx="8">
                  <c:v>75.8</c:v>
                </c:pt>
                <c:pt idx="9">
                  <c:v>76.2</c:v>
                </c:pt>
                <c:pt idx="10">
                  <c:v>76.73</c:v>
                </c:pt>
              </c:numCache>
            </c:numRef>
          </c:val>
          <c:smooth val="0"/>
        </c:ser>
        <c:ser>
          <c:idx val="4"/>
          <c:order val="4"/>
          <c:tx>
            <c:strRef>
              <c:f>'max cra'!$U$2</c:f>
              <c:strCache>
                <c:ptCount val="1"/>
                <c:pt idx="0">
                  <c:v>SA</c:v>
                </c:pt>
              </c:strCache>
            </c:strRef>
          </c:tx>
          <c:spPr>
            <a:ln>
              <a:solidFill>
                <a:srgbClr val="265A9A"/>
              </a:solidFill>
              <a:prstDash val="sysDot"/>
            </a:ln>
          </c:spPr>
          <c:marker>
            <c:symbol val="none"/>
          </c:marker>
          <c:cat>
            <c:numRef>
              <c:f>'max cra'!$P$3:$P$13</c:f>
              <c:numCache>
                <c:formatCode>General</c:formatCode>
                <c:ptCount val="11"/>
                <c:pt idx="0">
                  <c:v>2003</c:v>
                </c:pt>
                <c:pt idx="2">
                  <c:v>2005</c:v>
                </c:pt>
                <c:pt idx="4">
                  <c:v>2007</c:v>
                </c:pt>
                <c:pt idx="6">
                  <c:v>2009</c:v>
                </c:pt>
                <c:pt idx="8">
                  <c:v>2011</c:v>
                </c:pt>
                <c:pt idx="10">
                  <c:v>2013</c:v>
                </c:pt>
              </c:numCache>
            </c:numRef>
          </c:cat>
          <c:val>
            <c:numRef>
              <c:f>'max cra'!$U$3:$U$13</c:f>
              <c:numCache>
                <c:formatCode>###\ ###\ ##0.0;\-###\ ###\ ##0.0;"–"</c:formatCode>
                <c:ptCount val="11"/>
                <c:pt idx="0">
                  <c:v>53.5</c:v>
                </c:pt>
                <c:pt idx="1">
                  <c:v>56.45</c:v>
                </c:pt>
                <c:pt idx="2">
                  <c:v>58.89</c:v>
                </c:pt>
                <c:pt idx="3">
                  <c:v>59.34</c:v>
                </c:pt>
                <c:pt idx="4">
                  <c:v>60.55</c:v>
                </c:pt>
                <c:pt idx="5">
                  <c:v>64.989999999999995</c:v>
                </c:pt>
                <c:pt idx="6">
                  <c:v>65.650000000000006</c:v>
                </c:pt>
                <c:pt idx="7">
                  <c:v>66.37</c:v>
                </c:pt>
                <c:pt idx="8">
                  <c:v>68.930000000000007</c:v>
                </c:pt>
                <c:pt idx="9">
                  <c:v>69.83</c:v>
                </c:pt>
                <c:pt idx="10">
                  <c:v>70.72</c:v>
                </c:pt>
              </c:numCache>
            </c:numRef>
          </c:val>
          <c:smooth val="0"/>
        </c:ser>
        <c:ser>
          <c:idx val="5"/>
          <c:order val="5"/>
          <c:tx>
            <c:strRef>
              <c:f>'max cra'!$V$2</c:f>
              <c:strCache>
                <c:ptCount val="1"/>
                <c:pt idx="0">
                  <c:v>Tas</c:v>
                </c:pt>
              </c:strCache>
            </c:strRef>
          </c:tx>
          <c:spPr>
            <a:ln>
              <a:solidFill>
                <a:srgbClr val="B2D673"/>
              </a:solidFill>
              <a:prstDash val="sysDot"/>
            </a:ln>
          </c:spPr>
          <c:marker>
            <c:symbol val="none"/>
          </c:marker>
          <c:cat>
            <c:numRef>
              <c:f>'max cra'!$P$3:$P$13</c:f>
              <c:numCache>
                <c:formatCode>General</c:formatCode>
                <c:ptCount val="11"/>
                <c:pt idx="0">
                  <c:v>2003</c:v>
                </c:pt>
                <c:pt idx="2">
                  <c:v>2005</c:v>
                </c:pt>
                <c:pt idx="4">
                  <c:v>2007</c:v>
                </c:pt>
                <c:pt idx="6">
                  <c:v>2009</c:v>
                </c:pt>
                <c:pt idx="8">
                  <c:v>2011</c:v>
                </c:pt>
                <c:pt idx="10">
                  <c:v>2013</c:v>
                </c:pt>
              </c:numCache>
            </c:numRef>
          </c:cat>
          <c:val>
            <c:numRef>
              <c:f>'max cra'!$V$3:$V$13</c:f>
              <c:numCache>
                <c:formatCode>###\ ###\ ##0.0;\-###\ ###\ ##0.0;"–"</c:formatCode>
                <c:ptCount val="11"/>
                <c:pt idx="0">
                  <c:v>38.020000000000003</c:v>
                </c:pt>
                <c:pt idx="1">
                  <c:v>45.04</c:v>
                </c:pt>
                <c:pt idx="2">
                  <c:v>50.89</c:v>
                </c:pt>
                <c:pt idx="3">
                  <c:v>54.25</c:v>
                </c:pt>
                <c:pt idx="4">
                  <c:v>57.57</c:v>
                </c:pt>
                <c:pt idx="5">
                  <c:v>64</c:v>
                </c:pt>
                <c:pt idx="6">
                  <c:v>64.959999999999994</c:v>
                </c:pt>
                <c:pt idx="7">
                  <c:v>66.650000000000006</c:v>
                </c:pt>
                <c:pt idx="8">
                  <c:v>70.179999999999978</c:v>
                </c:pt>
                <c:pt idx="9">
                  <c:v>70.94</c:v>
                </c:pt>
                <c:pt idx="10">
                  <c:v>71.61</c:v>
                </c:pt>
              </c:numCache>
            </c:numRef>
          </c:val>
          <c:smooth val="0"/>
        </c:ser>
        <c:ser>
          <c:idx val="6"/>
          <c:order val="6"/>
          <c:tx>
            <c:strRef>
              <c:f>'max cra'!$W$2</c:f>
              <c:strCache>
                <c:ptCount val="1"/>
                <c:pt idx="0">
                  <c:v>ACT</c:v>
                </c:pt>
              </c:strCache>
            </c:strRef>
          </c:tx>
          <c:spPr>
            <a:ln>
              <a:solidFill>
                <a:srgbClr val="78A22F"/>
              </a:solidFill>
              <a:prstDash val="sysDash"/>
            </a:ln>
          </c:spPr>
          <c:marker>
            <c:symbol val="none"/>
          </c:marker>
          <c:cat>
            <c:numRef>
              <c:f>'max cra'!$P$3:$P$13</c:f>
              <c:numCache>
                <c:formatCode>General</c:formatCode>
                <c:ptCount val="11"/>
                <c:pt idx="0">
                  <c:v>2003</c:v>
                </c:pt>
                <c:pt idx="2">
                  <c:v>2005</c:v>
                </c:pt>
                <c:pt idx="4">
                  <c:v>2007</c:v>
                </c:pt>
                <c:pt idx="6">
                  <c:v>2009</c:v>
                </c:pt>
                <c:pt idx="8">
                  <c:v>2011</c:v>
                </c:pt>
                <c:pt idx="10">
                  <c:v>2013</c:v>
                </c:pt>
              </c:numCache>
            </c:numRef>
          </c:cat>
          <c:val>
            <c:numRef>
              <c:f>'max cra'!$W$3:$W$13</c:f>
              <c:numCache>
                <c:formatCode>###\ ###\ ##0.0;\-###\ ###\ ##0.0;"–"</c:formatCode>
                <c:ptCount val="11"/>
                <c:pt idx="0">
                  <c:v>69.760000000000005</c:v>
                </c:pt>
                <c:pt idx="1">
                  <c:v>72.62</c:v>
                </c:pt>
                <c:pt idx="2">
                  <c:v>74.430000000000007</c:v>
                </c:pt>
                <c:pt idx="3">
                  <c:v>75.819999999999993</c:v>
                </c:pt>
                <c:pt idx="4">
                  <c:v>76.45</c:v>
                </c:pt>
                <c:pt idx="5">
                  <c:v>78.13</c:v>
                </c:pt>
                <c:pt idx="6">
                  <c:v>78.989999999999995</c:v>
                </c:pt>
                <c:pt idx="7">
                  <c:v>79.34</c:v>
                </c:pt>
                <c:pt idx="8">
                  <c:v>81.06</c:v>
                </c:pt>
                <c:pt idx="9">
                  <c:v>81.81</c:v>
                </c:pt>
                <c:pt idx="10">
                  <c:v>82.71</c:v>
                </c:pt>
              </c:numCache>
            </c:numRef>
          </c:val>
          <c:smooth val="0"/>
        </c:ser>
        <c:ser>
          <c:idx val="7"/>
          <c:order val="7"/>
          <c:tx>
            <c:strRef>
              <c:f>'max cra'!$X$2</c:f>
              <c:strCache>
                <c:ptCount val="1"/>
                <c:pt idx="0">
                  <c:v>NT</c:v>
                </c:pt>
              </c:strCache>
            </c:strRef>
          </c:tx>
          <c:spPr>
            <a:ln>
              <a:solidFill>
                <a:srgbClr val="265A9A"/>
              </a:solidFill>
              <a:prstDash val="sysDash"/>
            </a:ln>
          </c:spPr>
          <c:marker>
            <c:symbol val="none"/>
          </c:marker>
          <c:cat>
            <c:numRef>
              <c:f>'max cra'!$P$3:$P$13</c:f>
              <c:numCache>
                <c:formatCode>General</c:formatCode>
                <c:ptCount val="11"/>
                <c:pt idx="0">
                  <c:v>2003</c:v>
                </c:pt>
                <c:pt idx="2">
                  <c:v>2005</c:v>
                </c:pt>
                <c:pt idx="4">
                  <c:v>2007</c:v>
                </c:pt>
                <c:pt idx="6">
                  <c:v>2009</c:v>
                </c:pt>
                <c:pt idx="8">
                  <c:v>2011</c:v>
                </c:pt>
                <c:pt idx="10">
                  <c:v>2013</c:v>
                </c:pt>
              </c:numCache>
            </c:numRef>
          </c:cat>
          <c:val>
            <c:numRef>
              <c:f>'max cra'!$X$3:$X$13</c:f>
              <c:numCache>
                <c:formatCode>###\ ###\ ##0.0;\-###\ ###\ ##0.0;"–"</c:formatCode>
                <c:ptCount val="11"/>
                <c:pt idx="0">
                  <c:v>61.63</c:v>
                </c:pt>
                <c:pt idx="1">
                  <c:v>65.98</c:v>
                </c:pt>
                <c:pt idx="2">
                  <c:v>67.760000000000005</c:v>
                </c:pt>
                <c:pt idx="3">
                  <c:v>68.09</c:v>
                </c:pt>
                <c:pt idx="4">
                  <c:v>68.84</c:v>
                </c:pt>
                <c:pt idx="5">
                  <c:v>72.52</c:v>
                </c:pt>
                <c:pt idx="6">
                  <c:v>73.11</c:v>
                </c:pt>
                <c:pt idx="7">
                  <c:v>73.86</c:v>
                </c:pt>
                <c:pt idx="8">
                  <c:v>75.55</c:v>
                </c:pt>
                <c:pt idx="9">
                  <c:v>75.679999999999978</c:v>
                </c:pt>
                <c:pt idx="10">
                  <c:v>79.209999999999994</c:v>
                </c:pt>
              </c:numCache>
            </c:numRef>
          </c:val>
          <c:smooth val="0"/>
        </c:ser>
        <c:ser>
          <c:idx val="8"/>
          <c:order val="8"/>
          <c:tx>
            <c:strRef>
              <c:f>'max cra'!$Y$2</c:f>
              <c:strCache>
                <c:ptCount val="1"/>
                <c:pt idx="0">
                  <c:v>Aust</c:v>
                </c:pt>
              </c:strCache>
            </c:strRef>
          </c:tx>
          <c:spPr>
            <a:ln>
              <a:solidFill>
                <a:srgbClr val="B2D673"/>
              </a:solidFill>
              <a:prstDash val="sysDash"/>
            </a:ln>
          </c:spPr>
          <c:marker>
            <c:symbol val="none"/>
          </c:marker>
          <c:cat>
            <c:numRef>
              <c:f>'max cra'!$P$3:$P$13</c:f>
              <c:numCache>
                <c:formatCode>General</c:formatCode>
                <c:ptCount val="11"/>
                <c:pt idx="0">
                  <c:v>2003</c:v>
                </c:pt>
                <c:pt idx="2">
                  <c:v>2005</c:v>
                </c:pt>
                <c:pt idx="4">
                  <c:v>2007</c:v>
                </c:pt>
                <c:pt idx="6">
                  <c:v>2009</c:v>
                </c:pt>
                <c:pt idx="8">
                  <c:v>2011</c:v>
                </c:pt>
                <c:pt idx="10">
                  <c:v>2013</c:v>
                </c:pt>
              </c:numCache>
            </c:numRef>
          </c:cat>
          <c:val>
            <c:numRef>
              <c:f>'max cra'!$Y$3:$Y$13</c:f>
              <c:numCache>
                <c:formatCode>###\ ###\ ##0.0;\-###\ ###\ ##0.0;"–"</c:formatCode>
                <c:ptCount val="11"/>
                <c:pt idx="0">
                  <c:v>59.06</c:v>
                </c:pt>
                <c:pt idx="1">
                  <c:v>62.1</c:v>
                </c:pt>
                <c:pt idx="2">
                  <c:v>64.930000000000007</c:v>
                </c:pt>
                <c:pt idx="3">
                  <c:v>65.69</c:v>
                </c:pt>
                <c:pt idx="4">
                  <c:v>67.179999999999978</c:v>
                </c:pt>
                <c:pt idx="5">
                  <c:v>70.930000000000007</c:v>
                </c:pt>
                <c:pt idx="6">
                  <c:v>71.650000000000006</c:v>
                </c:pt>
                <c:pt idx="7">
                  <c:v>72.010000000000005</c:v>
                </c:pt>
                <c:pt idx="8">
                  <c:v>74.540000000000006</c:v>
                </c:pt>
                <c:pt idx="9">
                  <c:v>75.02</c:v>
                </c:pt>
                <c:pt idx="10">
                  <c:v>76.11</c:v>
                </c:pt>
              </c:numCache>
            </c:numRef>
          </c:val>
          <c:smooth val="0"/>
        </c:ser>
        <c:dLbls>
          <c:showLegendKey val="0"/>
          <c:showVal val="0"/>
          <c:showCatName val="0"/>
          <c:showSerName val="0"/>
          <c:showPercent val="0"/>
          <c:showBubbleSize val="0"/>
        </c:dLbls>
        <c:marker val="1"/>
        <c:smooth val="0"/>
        <c:axId val="186313728"/>
        <c:axId val="186528512"/>
      </c:lineChart>
      <c:catAx>
        <c:axId val="186313728"/>
        <c:scaling>
          <c:orientation val="minMax"/>
        </c:scaling>
        <c:delete val="0"/>
        <c:axPos val="b"/>
        <c:numFmt formatCode="General" sourceLinked="1"/>
        <c:majorTickMark val="out"/>
        <c:minorTickMark val="none"/>
        <c:tickLblPos val="nextTo"/>
        <c:spPr>
          <a:ln>
            <a:solidFill>
              <a:srgbClr val="BFBFBF"/>
            </a:solidFill>
          </a:ln>
        </c:spPr>
        <c:crossAx val="186528512"/>
        <c:crosses val="autoZero"/>
        <c:auto val="1"/>
        <c:lblAlgn val="ctr"/>
        <c:lblOffset val="100"/>
        <c:noMultiLvlLbl val="0"/>
      </c:catAx>
      <c:valAx>
        <c:axId val="186528512"/>
        <c:scaling>
          <c:orientation val="minMax"/>
          <c:max val="85"/>
          <c:min val="35"/>
        </c:scaling>
        <c:delete val="0"/>
        <c:axPos val="l"/>
        <c:title>
          <c:tx>
            <c:rich>
              <a:bodyPr rot="-5400000" vert="horz"/>
              <a:lstStyle/>
              <a:p>
                <a:pPr>
                  <a:defRPr/>
                </a:pPr>
                <a:r>
                  <a:rPr lang="en-AU"/>
                  <a:t>Per cent</a:t>
                </a:r>
              </a:p>
            </c:rich>
          </c:tx>
          <c:layout>
            <c:manualLayout>
              <c:xMode val="edge"/>
              <c:yMode val="edge"/>
              <c:x val="7.2988505747126403E-3"/>
              <c:y val="0.27628981481481502"/>
            </c:manualLayout>
          </c:layout>
          <c:overlay val="0"/>
        </c:title>
        <c:numFmt formatCode="#,##0" sourceLinked="0"/>
        <c:majorTickMark val="out"/>
        <c:minorTickMark val="none"/>
        <c:tickLblPos val="nextTo"/>
        <c:spPr>
          <a:ln>
            <a:solidFill>
              <a:srgbClr val="BFBFBF"/>
            </a:solidFill>
          </a:ln>
        </c:spPr>
        <c:crossAx val="186313728"/>
        <c:crosses val="autoZero"/>
        <c:crossBetween val="between"/>
        <c:majorUnit val="10"/>
      </c:valAx>
      <c:spPr>
        <a:noFill/>
        <a:ln>
          <a:noFill/>
        </a:ln>
      </c:spPr>
    </c:plotArea>
    <c:legend>
      <c:legendPos val="r"/>
      <c:layout>
        <c:manualLayout>
          <c:xMode val="edge"/>
          <c:yMode val="edge"/>
          <c:x val="0.84160583941605904"/>
          <c:y val="2.55631482188074E-2"/>
          <c:w val="0.14379562043795599"/>
          <c:h val="0.949927734804075"/>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970114942528735"/>
          <c:y val="3.3177272727272729E-2"/>
          <c:w val="0.8499114942528736"/>
          <c:h val="0.74840858585858583"/>
        </c:manualLayout>
      </c:layout>
      <c:lineChart>
        <c:grouping val="standard"/>
        <c:varyColors val="0"/>
        <c:ser>
          <c:idx val="0"/>
          <c:order val="0"/>
          <c:tx>
            <c:v>Commonwealth Rent Assistance</c:v>
          </c:tx>
          <c:spPr>
            <a:ln>
              <a:solidFill>
                <a:srgbClr val="78A22F"/>
              </a:solidFill>
            </a:ln>
          </c:spPr>
          <c:marker>
            <c:symbol val="none"/>
          </c:marker>
          <c:cat>
            <c:numRef>
              <c:f>'index graphs'!$A$231:$A$274</c:f>
              <c:numCache>
                <c:formatCode>General</c:formatCode>
                <c:ptCount val="44"/>
                <c:pt idx="0">
                  <c:v>2003</c:v>
                </c:pt>
                <c:pt idx="1">
                  <c:v>2003</c:v>
                </c:pt>
                <c:pt idx="2">
                  <c:v>2004</c:v>
                </c:pt>
                <c:pt idx="3">
                  <c:v>2004</c:v>
                </c:pt>
                <c:pt idx="4">
                  <c:v>2004</c:v>
                </c:pt>
                <c:pt idx="5">
                  <c:v>2004</c:v>
                </c:pt>
                <c:pt idx="6">
                  <c:v>2005</c:v>
                </c:pt>
                <c:pt idx="7">
                  <c:v>2005</c:v>
                </c:pt>
                <c:pt idx="8">
                  <c:v>2005</c:v>
                </c:pt>
                <c:pt idx="9">
                  <c:v>2005</c:v>
                </c:pt>
                <c:pt idx="10">
                  <c:v>2006</c:v>
                </c:pt>
                <c:pt idx="11">
                  <c:v>2006</c:v>
                </c:pt>
                <c:pt idx="12">
                  <c:v>2006</c:v>
                </c:pt>
                <c:pt idx="13">
                  <c:v>2006</c:v>
                </c:pt>
                <c:pt idx="14">
                  <c:v>2007</c:v>
                </c:pt>
                <c:pt idx="15">
                  <c:v>2007</c:v>
                </c:pt>
                <c:pt idx="16">
                  <c:v>2007</c:v>
                </c:pt>
                <c:pt idx="17">
                  <c:v>2007</c:v>
                </c:pt>
                <c:pt idx="18">
                  <c:v>2008</c:v>
                </c:pt>
                <c:pt idx="19">
                  <c:v>2008</c:v>
                </c:pt>
                <c:pt idx="20">
                  <c:v>2008</c:v>
                </c:pt>
                <c:pt idx="21">
                  <c:v>2008</c:v>
                </c:pt>
                <c:pt idx="22">
                  <c:v>2009</c:v>
                </c:pt>
                <c:pt idx="23">
                  <c:v>2009</c:v>
                </c:pt>
                <c:pt idx="24">
                  <c:v>2009</c:v>
                </c:pt>
                <c:pt idx="25">
                  <c:v>2009</c:v>
                </c:pt>
                <c:pt idx="26">
                  <c:v>2010</c:v>
                </c:pt>
                <c:pt idx="27">
                  <c:v>2010</c:v>
                </c:pt>
                <c:pt idx="28">
                  <c:v>2010</c:v>
                </c:pt>
                <c:pt idx="29">
                  <c:v>2010</c:v>
                </c:pt>
                <c:pt idx="30">
                  <c:v>2011</c:v>
                </c:pt>
                <c:pt idx="31">
                  <c:v>2011</c:v>
                </c:pt>
                <c:pt idx="32">
                  <c:v>2011</c:v>
                </c:pt>
                <c:pt idx="33">
                  <c:v>2011</c:v>
                </c:pt>
                <c:pt idx="34">
                  <c:v>2012</c:v>
                </c:pt>
                <c:pt idx="35">
                  <c:v>2012</c:v>
                </c:pt>
                <c:pt idx="36">
                  <c:v>2012</c:v>
                </c:pt>
                <c:pt idx="37">
                  <c:v>2012</c:v>
                </c:pt>
                <c:pt idx="38">
                  <c:v>2013</c:v>
                </c:pt>
                <c:pt idx="39">
                  <c:v>2013</c:v>
                </c:pt>
                <c:pt idx="40">
                  <c:v>2013</c:v>
                </c:pt>
                <c:pt idx="41">
                  <c:v>2013</c:v>
                </c:pt>
                <c:pt idx="42">
                  <c:v>2014</c:v>
                </c:pt>
                <c:pt idx="43">
                  <c:v>2014</c:v>
                </c:pt>
              </c:numCache>
            </c:numRef>
          </c:cat>
          <c:val>
            <c:numRef>
              <c:f>'index graphs'!$F$231:$F$274</c:f>
              <c:numCache>
                <c:formatCode>General</c:formatCode>
                <c:ptCount val="44"/>
                <c:pt idx="0">
                  <c:v>100</c:v>
                </c:pt>
                <c:pt idx="1">
                  <c:v>100.50568900126422</c:v>
                </c:pt>
                <c:pt idx="2">
                  <c:v>101.39064475347664</c:v>
                </c:pt>
                <c:pt idx="3">
                  <c:v>101.89633375474084</c:v>
                </c:pt>
                <c:pt idx="4">
                  <c:v>102.27560050568903</c:v>
                </c:pt>
                <c:pt idx="5">
                  <c:v>103.03413400758534</c:v>
                </c:pt>
                <c:pt idx="6">
                  <c:v>103.79266750948166</c:v>
                </c:pt>
                <c:pt idx="7">
                  <c:v>104.42477876106196</c:v>
                </c:pt>
                <c:pt idx="8">
                  <c:v>105.43615676359042</c:v>
                </c:pt>
                <c:pt idx="9">
                  <c:v>105.94184576485462</c:v>
                </c:pt>
                <c:pt idx="10">
                  <c:v>106.82680151706701</c:v>
                </c:pt>
                <c:pt idx="11">
                  <c:v>108.59671302149181</c:v>
                </c:pt>
                <c:pt idx="12">
                  <c:v>109.60809102402025</c:v>
                </c:pt>
                <c:pt idx="13">
                  <c:v>109.48166877370417</c:v>
                </c:pt>
                <c:pt idx="14">
                  <c:v>109.48166877370417</c:v>
                </c:pt>
                <c:pt idx="15">
                  <c:v>110.87231352718079</c:v>
                </c:pt>
                <c:pt idx="16">
                  <c:v>111.63084702907713</c:v>
                </c:pt>
                <c:pt idx="17">
                  <c:v>112.64222503160556</c:v>
                </c:pt>
                <c:pt idx="18">
                  <c:v>114.15929203539822</c:v>
                </c:pt>
                <c:pt idx="19">
                  <c:v>115.80278128950697</c:v>
                </c:pt>
                <c:pt idx="20">
                  <c:v>117.19342604298357</c:v>
                </c:pt>
                <c:pt idx="21">
                  <c:v>116.81415929203543</c:v>
                </c:pt>
                <c:pt idx="22">
                  <c:v>116.94058154235145</c:v>
                </c:pt>
                <c:pt idx="23">
                  <c:v>117.4462705436157</c:v>
                </c:pt>
                <c:pt idx="24">
                  <c:v>118.58407079646018</c:v>
                </c:pt>
                <c:pt idx="25">
                  <c:v>119.21618204804045</c:v>
                </c:pt>
                <c:pt idx="26">
                  <c:v>120.35398230088497</c:v>
                </c:pt>
                <c:pt idx="27">
                  <c:v>121.11251580278129</c:v>
                </c:pt>
                <c:pt idx="28">
                  <c:v>121.99747155499369</c:v>
                </c:pt>
                <c:pt idx="29">
                  <c:v>122.50316055625791</c:v>
                </c:pt>
                <c:pt idx="30">
                  <c:v>124.27307206068268</c:v>
                </c:pt>
                <c:pt idx="31">
                  <c:v>125.41087231352719</c:v>
                </c:pt>
                <c:pt idx="32">
                  <c:v>126.16940581542353</c:v>
                </c:pt>
                <c:pt idx="33">
                  <c:v>126.16940581542353</c:v>
                </c:pt>
                <c:pt idx="34">
                  <c:v>126.29582806573958</c:v>
                </c:pt>
                <c:pt idx="35">
                  <c:v>126.92793931731987</c:v>
                </c:pt>
                <c:pt idx="36">
                  <c:v>128.69785082174462</c:v>
                </c:pt>
                <c:pt idx="37">
                  <c:v>128.95069532237676</c:v>
                </c:pt>
                <c:pt idx="38">
                  <c:v>129.45638432364098</c:v>
                </c:pt>
                <c:pt idx="39">
                  <c:v>129.96207332490519</c:v>
                </c:pt>
                <c:pt idx="40">
                  <c:v>131.47914032869784</c:v>
                </c:pt>
                <c:pt idx="41">
                  <c:v>132.4905183312263</c:v>
                </c:pt>
                <c:pt idx="42">
                  <c:v>133.24905183312265</c:v>
                </c:pt>
                <c:pt idx="43">
                  <c:v>133.88116308470293</c:v>
                </c:pt>
              </c:numCache>
            </c:numRef>
          </c:val>
          <c:smooth val="0"/>
        </c:ser>
        <c:ser>
          <c:idx val="1"/>
          <c:order val="1"/>
          <c:tx>
            <c:v>Private rent</c:v>
          </c:tx>
          <c:spPr>
            <a:ln cmpd="sng">
              <a:solidFill>
                <a:srgbClr val="265A9A"/>
              </a:solidFill>
              <a:prstDash val="solid"/>
            </a:ln>
            <a:effectLst/>
          </c:spPr>
          <c:marker>
            <c:symbol val="none"/>
          </c:marker>
          <c:cat>
            <c:numRef>
              <c:f>'index graphs'!$A$231:$A$274</c:f>
              <c:numCache>
                <c:formatCode>General</c:formatCode>
                <c:ptCount val="44"/>
                <c:pt idx="0">
                  <c:v>2003</c:v>
                </c:pt>
                <c:pt idx="1">
                  <c:v>2003</c:v>
                </c:pt>
                <c:pt idx="2">
                  <c:v>2004</c:v>
                </c:pt>
                <c:pt idx="3">
                  <c:v>2004</c:v>
                </c:pt>
                <c:pt idx="4">
                  <c:v>2004</c:v>
                </c:pt>
                <c:pt idx="5">
                  <c:v>2004</c:v>
                </c:pt>
                <c:pt idx="6">
                  <c:v>2005</c:v>
                </c:pt>
                <c:pt idx="7">
                  <c:v>2005</c:v>
                </c:pt>
                <c:pt idx="8">
                  <c:v>2005</c:v>
                </c:pt>
                <c:pt idx="9">
                  <c:v>2005</c:v>
                </c:pt>
                <c:pt idx="10">
                  <c:v>2006</c:v>
                </c:pt>
                <c:pt idx="11">
                  <c:v>2006</c:v>
                </c:pt>
                <c:pt idx="12">
                  <c:v>2006</c:v>
                </c:pt>
                <c:pt idx="13">
                  <c:v>2006</c:v>
                </c:pt>
                <c:pt idx="14">
                  <c:v>2007</c:v>
                </c:pt>
                <c:pt idx="15">
                  <c:v>2007</c:v>
                </c:pt>
                <c:pt idx="16">
                  <c:v>2007</c:v>
                </c:pt>
                <c:pt idx="17">
                  <c:v>2007</c:v>
                </c:pt>
                <c:pt idx="18">
                  <c:v>2008</c:v>
                </c:pt>
                <c:pt idx="19">
                  <c:v>2008</c:v>
                </c:pt>
                <c:pt idx="20">
                  <c:v>2008</c:v>
                </c:pt>
                <c:pt idx="21">
                  <c:v>2008</c:v>
                </c:pt>
                <c:pt idx="22">
                  <c:v>2009</c:v>
                </c:pt>
                <c:pt idx="23">
                  <c:v>2009</c:v>
                </c:pt>
                <c:pt idx="24">
                  <c:v>2009</c:v>
                </c:pt>
                <c:pt idx="25">
                  <c:v>2009</c:v>
                </c:pt>
                <c:pt idx="26">
                  <c:v>2010</c:v>
                </c:pt>
                <c:pt idx="27">
                  <c:v>2010</c:v>
                </c:pt>
                <c:pt idx="28">
                  <c:v>2010</c:v>
                </c:pt>
                <c:pt idx="29">
                  <c:v>2010</c:v>
                </c:pt>
                <c:pt idx="30">
                  <c:v>2011</c:v>
                </c:pt>
                <c:pt idx="31">
                  <c:v>2011</c:v>
                </c:pt>
                <c:pt idx="32">
                  <c:v>2011</c:v>
                </c:pt>
                <c:pt idx="33">
                  <c:v>2011</c:v>
                </c:pt>
                <c:pt idx="34">
                  <c:v>2012</c:v>
                </c:pt>
                <c:pt idx="35">
                  <c:v>2012</c:v>
                </c:pt>
                <c:pt idx="36">
                  <c:v>2012</c:v>
                </c:pt>
                <c:pt idx="37">
                  <c:v>2012</c:v>
                </c:pt>
                <c:pt idx="38">
                  <c:v>2013</c:v>
                </c:pt>
                <c:pt idx="39">
                  <c:v>2013</c:v>
                </c:pt>
                <c:pt idx="40">
                  <c:v>2013</c:v>
                </c:pt>
                <c:pt idx="41">
                  <c:v>2013</c:v>
                </c:pt>
                <c:pt idx="42">
                  <c:v>2014</c:v>
                </c:pt>
                <c:pt idx="43">
                  <c:v>2014</c:v>
                </c:pt>
              </c:numCache>
            </c:numRef>
          </c:cat>
          <c:val>
            <c:numRef>
              <c:f>'index graphs'!$H$231:$H$274</c:f>
              <c:numCache>
                <c:formatCode>General</c:formatCode>
                <c:ptCount val="44"/>
                <c:pt idx="0">
                  <c:v>100</c:v>
                </c:pt>
                <c:pt idx="1">
                  <c:v>100.72992700729928</c:v>
                </c:pt>
                <c:pt idx="2">
                  <c:v>101.31386861313869</c:v>
                </c:pt>
                <c:pt idx="3">
                  <c:v>102.04379562043798</c:v>
                </c:pt>
                <c:pt idx="4">
                  <c:v>102.62773722627736</c:v>
                </c:pt>
                <c:pt idx="5">
                  <c:v>103.06569343065692</c:v>
                </c:pt>
                <c:pt idx="6">
                  <c:v>103.50364963503651</c:v>
                </c:pt>
                <c:pt idx="7">
                  <c:v>104.23357664233576</c:v>
                </c:pt>
                <c:pt idx="8">
                  <c:v>104.81751824817518</c:v>
                </c:pt>
                <c:pt idx="9">
                  <c:v>105.54744525547446</c:v>
                </c:pt>
                <c:pt idx="10">
                  <c:v>106.42335766423359</c:v>
                </c:pt>
                <c:pt idx="11">
                  <c:v>107.2992700729927</c:v>
                </c:pt>
                <c:pt idx="12">
                  <c:v>108.46715328467154</c:v>
                </c:pt>
                <c:pt idx="13">
                  <c:v>109.48905109489051</c:v>
                </c:pt>
                <c:pt idx="14">
                  <c:v>111.0948905109489</c:v>
                </c:pt>
                <c:pt idx="15">
                  <c:v>112.84671532846716</c:v>
                </c:pt>
                <c:pt idx="16">
                  <c:v>114.74452554744525</c:v>
                </c:pt>
                <c:pt idx="17">
                  <c:v>116.64233576642336</c:v>
                </c:pt>
                <c:pt idx="18">
                  <c:v>118.83211678832117</c:v>
                </c:pt>
                <c:pt idx="19">
                  <c:v>121.60583941605839</c:v>
                </c:pt>
                <c:pt idx="20">
                  <c:v>124.08759124087592</c:v>
                </c:pt>
                <c:pt idx="21">
                  <c:v>126.42335766423356</c:v>
                </c:pt>
                <c:pt idx="22">
                  <c:v>128.46715328467153</c:v>
                </c:pt>
                <c:pt idx="23">
                  <c:v>130.36496350364962</c:v>
                </c:pt>
                <c:pt idx="24">
                  <c:v>131.82481751824818</c:v>
                </c:pt>
                <c:pt idx="25">
                  <c:v>132.99270072992698</c:v>
                </c:pt>
                <c:pt idx="26">
                  <c:v>134.45255474452554</c:v>
                </c:pt>
                <c:pt idx="27">
                  <c:v>135.91240875912408</c:v>
                </c:pt>
                <c:pt idx="28">
                  <c:v>137.37226277372261</c:v>
                </c:pt>
                <c:pt idx="29">
                  <c:v>138.68613138686132</c:v>
                </c:pt>
                <c:pt idx="30">
                  <c:v>140.43795620437959</c:v>
                </c:pt>
                <c:pt idx="31">
                  <c:v>142.04379562043798</c:v>
                </c:pt>
                <c:pt idx="32">
                  <c:v>143.79562043795619</c:v>
                </c:pt>
                <c:pt idx="33">
                  <c:v>145.25547445255472</c:v>
                </c:pt>
                <c:pt idx="34">
                  <c:v>146.71532846715328</c:v>
                </c:pt>
                <c:pt idx="35">
                  <c:v>148.32116788321167</c:v>
                </c:pt>
                <c:pt idx="36">
                  <c:v>149.48905109489053</c:v>
                </c:pt>
                <c:pt idx="37">
                  <c:v>150.65693430656935</c:v>
                </c:pt>
                <c:pt idx="38">
                  <c:v>151.82481751824815</c:v>
                </c:pt>
                <c:pt idx="39">
                  <c:v>153.43065693430654</c:v>
                </c:pt>
                <c:pt idx="40">
                  <c:v>154.30656934306569</c:v>
                </c:pt>
                <c:pt idx="41">
                  <c:v>155.18248175182481</c:v>
                </c:pt>
                <c:pt idx="42">
                  <c:v>156.20437956204381</c:v>
                </c:pt>
                <c:pt idx="43">
                  <c:v>157.0802919708029</c:v>
                </c:pt>
              </c:numCache>
            </c:numRef>
          </c:val>
          <c:smooth val="0"/>
        </c:ser>
        <c:dLbls>
          <c:showLegendKey val="0"/>
          <c:showVal val="0"/>
          <c:showCatName val="0"/>
          <c:showSerName val="0"/>
          <c:showPercent val="0"/>
          <c:showBubbleSize val="0"/>
        </c:dLbls>
        <c:marker val="1"/>
        <c:smooth val="0"/>
        <c:axId val="188490880"/>
        <c:axId val="188493184"/>
      </c:lineChart>
      <c:catAx>
        <c:axId val="188490880"/>
        <c:scaling>
          <c:orientation val="minMax"/>
        </c:scaling>
        <c:delete val="0"/>
        <c:axPos val="b"/>
        <c:numFmt formatCode="General" sourceLinked="1"/>
        <c:majorTickMark val="out"/>
        <c:minorTickMark val="none"/>
        <c:tickLblPos val="nextTo"/>
        <c:spPr>
          <a:ln>
            <a:solidFill>
              <a:srgbClr val="BFBFBF"/>
            </a:solidFill>
          </a:ln>
        </c:spPr>
        <c:crossAx val="188493184"/>
        <c:crosses val="autoZero"/>
        <c:auto val="1"/>
        <c:lblAlgn val="ctr"/>
        <c:lblOffset val="100"/>
        <c:tickLblSkip val="4"/>
        <c:tickMarkSkip val="2"/>
        <c:noMultiLvlLbl val="0"/>
      </c:catAx>
      <c:valAx>
        <c:axId val="188493184"/>
        <c:scaling>
          <c:orientation val="minMax"/>
          <c:min val="100"/>
        </c:scaling>
        <c:delete val="0"/>
        <c:axPos val="l"/>
        <c:title>
          <c:tx>
            <c:rich>
              <a:bodyPr rot="-5400000" vert="horz"/>
              <a:lstStyle/>
              <a:p>
                <a:pPr>
                  <a:defRPr/>
                </a:pPr>
                <a:r>
                  <a:rPr lang="en-AU"/>
                  <a:t>Index value</a:t>
                </a:r>
              </a:p>
            </c:rich>
          </c:tx>
          <c:layout>
            <c:manualLayout>
              <c:xMode val="edge"/>
              <c:yMode val="edge"/>
              <c:x val="9.731800766283525E-3"/>
              <c:y val="0.23668535353535355"/>
            </c:manualLayout>
          </c:layout>
          <c:overlay val="0"/>
        </c:title>
        <c:numFmt formatCode="General" sourceLinked="1"/>
        <c:majorTickMark val="out"/>
        <c:minorTickMark val="none"/>
        <c:tickLblPos val="nextTo"/>
        <c:spPr>
          <a:ln>
            <a:solidFill>
              <a:srgbClr val="BFBFBF"/>
            </a:solidFill>
          </a:ln>
        </c:spPr>
        <c:crossAx val="188490880"/>
        <c:crosses val="autoZero"/>
        <c:crossBetween val="between"/>
        <c:majorUnit val="15"/>
      </c:valAx>
      <c:spPr>
        <a:noFill/>
        <a:ln>
          <a:noFill/>
        </a:ln>
      </c:spPr>
    </c:plotArea>
    <c:legend>
      <c:legendPos val="b"/>
      <c:layout>
        <c:manualLayout>
          <c:xMode val="edge"/>
          <c:yMode val="edge"/>
          <c:x val="0"/>
          <c:y val="0.89769747474747474"/>
          <c:w val="0.99623965517241375"/>
          <c:h val="0.10230252525252526"/>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rgbClr val="78A22F"/>
              </a:solidFill>
              <a:ln>
                <a:solidFill>
                  <a:srgbClr val="78A22F"/>
                </a:solidFill>
              </a:ln>
            </c:spPr>
          </c:dPt>
          <c:dPt>
            <c:idx val="1"/>
            <c:bubble3D val="0"/>
            <c:spPr>
              <a:solidFill>
                <a:srgbClr val="265A9A"/>
              </a:solidFill>
              <a:ln>
                <a:solidFill>
                  <a:srgbClr val="265A9A"/>
                </a:solidFill>
              </a:ln>
            </c:spPr>
          </c:dPt>
          <c:dPt>
            <c:idx val="2"/>
            <c:bubble3D val="0"/>
            <c:spPr>
              <a:solidFill>
                <a:srgbClr val="B2D673"/>
              </a:solidFill>
              <a:ln>
                <a:solidFill>
                  <a:srgbClr val="B2D673"/>
                </a:solidFill>
              </a:ln>
            </c:spPr>
          </c:dPt>
          <c:dPt>
            <c:idx val="3"/>
            <c:bubble3D val="0"/>
            <c:spPr>
              <a:solidFill>
                <a:srgbClr val="000000"/>
              </a:solidFill>
              <a:ln>
                <a:solidFill>
                  <a:srgbClr val="000000"/>
                </a:solidFill>
              </a:ln>
            </c:spPr>
          </c:dPt>
          <c:dPt>
            <c:idx val="4"/>
            <c:bubble3D val="0"/>
            <c:spPr>
              <a:solidFill>
                <a:srgbClr val="F2F2F2"/>
              </a:solidFill>
              <a:ln>
                <a:solidFill>
                  <a:srgbClr val="BFBFBF"/>
                </a:solidFill>
              </a:ln>
            </c:spPr>
          </c:dPt>
          <c:dPt>
            <c:idx val="5"/>
            <c:bubble3D val="0"/>
            <c:spPr>
              <a:pattFill prst="ltUpDiag">
                <a:fgClr>
                  <a:srgbClr val="78A22F"/>
                </a:fgClr>
                <a:bgClr>
                  <a:schemeClr val="bg1"/>
                </a:bgClr>
              </a:pattFill>
              <a:ln>
                <a:solidFill>
                  <a:srgbClr val="78A22F"/>
                </a:solidFill>
              </a:ln>
            </c:spPr>
          </c:dPt>
          <c:dPt>
            <c:idx val="6"/>
            <c:bubble3D val="0"/>
            <c:spPr>
              <a:pattFill prst="ltDnDiag">
                <a:fgClr>
                  <a:srgbClr val="265A9A"/>
                </a:fgClr>
                <a:bgClr>
                  <a:schemeClr val="bg1"/>
                </a:bgClr>
              </a:pattFill>
              <a:ln>
                <a:solidFill>
                  <a:srgbClr val="265A9A"/>
                </a:solidFill>
              </a:ln>
            </c:spPr>
          </c:dPt>
          <c:dPt>
            <c:idx val="7"/>
            <c:bubble3D val="0"/>
            <c:spPr>
              <a:pattFill prst="ltUpDiag">
                <a:fgClr>
                  <a:srgbClr val="B2D673"/>
                </a:fgClr>
                <a:bgClr>
                  <a:schemeClr val="bg1"/>
                </a:bgClr>
              </a:pattFill>
              <a:ln>
                <a:solidFill>
                  <a:srgbClr val="B2D673"/>
                </a:solidFill>
              </a:ln>
            </c:spPr>
          </c:dPt>
          <c:dLbls>
            <c:dLblPos val="outEnd"/>
            <c:showLegendKey val="0"/>
            <c:showVal val="0"/>
            <c:showCatName val="0"/>
            <c:showSerName val="0"/>
            <c:showPercent val="1"/>
            <c:showBubbleSize val="0"/>
            <c:separator> </c:separator>
            <c:showLeaderLines val="1"/>
          </c:dLbls>
          <c:val>
            <c:numRef>
              <c:f>N_ISP_brtenure!$E$43:$L$43</c:f>
              <c:numCache>
                <c:formatCode>#\ ###\ ##0</c:formatCode>
                <c:ptCount val="8"/>
                <c:pt idx="0">
                  <c:v>261064</c:v>
                </c:pt>
                <c:pt idx="1">
                  <c:v>293511</c:v>
                </c:pt>
                <c:pt idx="2">
                  <c:v>139250</c:v>
                </c:pt>
                <c:pt idx="3">
                  <c:v>49027</c:v>
                </c:pt>
                <c:pt idx="4">
                  <c:v>79122</c:v>
                </c:pt>
                <c:pt idx="5">
                  <c:v>23227</c:v>
                </c:pt>
                <c:pt idx="6">
                  <c:v>55877</c:v>
                </c:pt>
                <c:pt idx="7">
                  <c:v>41038</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spPr>
    <a:solidFill>
      <a:schemeClr val="bg1"/>
    </a:solidFill>
    <a:ln>
      <a:noFill/>
    </a:ln>
  </c:spPr>
  <c:txPr>
    <a:bodyPr/>
    <a:lstStyle/>
    <a:p>
      <a:pPr>
        <a:defRPr sz="800" spc="20" baseline="0">
          <a:latin typeface="Arial" panose="020B0604020202020204" pitchFamily="34" charset="0"/>
          <a:cs typeface="Arial" panose="020B0604020202020204" pitchFamily="34" charset="0"/>
        </a:defRPr>
      </a:pPr>
      <a:endParaRPr lang="en-U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rgbClr val="78A22F"/>
              </a:solidFill>
              <a:ln>
                <a:solidFill>
                  <a:srgbClr val="78A22F"/>
                </a:solidFill>
              </a:ln>
            </c:spPr>
          </c:dPt>
          <c:dPt>
            <c:idx val="1"/>
            <c:bubble3D val="0"/>
            <c:spPr>
              <a:solidFill>
                <a:srgbClr val="265A9A"/>
              </a:solidFill>
              <a:ln>
                <a:solidFill>
                  <a:srgbClr val="265A9A"/>
                </a:solidFill>
              </a:ln>
            </c:spPr>
          </c:dPt>
          <c:dPt>
            <c:idx val="2"/>
            <c:bubble3D val="0"/>
            <c:spPr>
              <a:solidFill>
                <a:srgbClr val="B2D673"/>
              </a:solidFill>
              <a:ln>
                <a:solidFill>
                  <a:srgbClr val="B2D673"/>
                </a:solidFill>
              </a:ln>
            </c:spPr>
          </c:dPt>
          <c:dPt>
            <c:idx val="3"/>
            <c:bubble3D val="0"/>
            <c:spPr>
              <a:solidFill>
                <a:srgbClr val="000000"/>
              </a:solidFill>
              <a:ln>
                <a:solidFill>
                  <a:srgbClr val="000000"/>
                </a:solidFill>
              </a:ln>
            </c:spPr>
          </c:dPt>
          <c:dPt>
            <c:idx val="4"/>
            <c:bubble3D val="0"/>
            <c:spPr>
              <a:solidFill>
                <a:srgbClr val="F2F2F2"/>
              </a:solidFill>
              <a:ln>
                <a:solidFill>
                  <a:srgbClr val="BFBFBF"/>
                </a:solidFill>
              </a:ln>
            </c:spPr>
          </c:dPt>
          <c:dPt>
            <c:idx val="5"/>
            <c:bubble3D val="0"/>
            <c:spPr>
              <a:pattFill prst="ltUpDiag">
                <a:fgClr>
                  <a:srgbClr val="78A22F"/>
                </a:fgClr>
                <a:bgClr>
                  <a:schemeClr val="bg1"/>
                </a:bgClr>
              </a:pattFill>
              <a:ln>
                <a:solidFill>
                  <a:srgbClr val="78A22F"/>
                </a:solidFill>
              </a:ln>
            </c:spPr>
          </c:dPt>
          <c:dPt>
            <c:idx val="6"/>
            <c:bubble3D val="0"/>
            <c:spPr>
              <a:pattFill prst="ltDnDiag">
                <a:fgClr>
                  <a:srgbClr val="265A9A"/>
                </a:fgClr>
                <a:bgClr>
                  <a:schemeClr val="bg1"/>
                </a:bgClr>
              </a:pattFill>
              <a:ln>
                <a:solidFill>
                  <a:srgbClr val="265A9A"/>
                </a:solidFill>
              </a:ln>
            </c:spPr>
          </c:dPt>
          <c:dPt>
            <c:idx val="7"/>
            <c:bubble3D val="0"/>
            <c:spPr>
              <a:pattFill prst="ltUpDiag">
                <a:fgClr>
                  <a:srgbClr val="B2D673"/>
                </a:fgClr>
                <a:bgClr>
                  <a:schemeClr val="bg1"/>
                </a:bgClr>
              </a:pattFill>
              <a:ln>
                <a:solidFill>
                  <a:srgbClr val="B2D673"/>
                </a:solidFill>
              </a:ln>
            </c:spPr>
          </c:dPt>
          <c:dLbls>
            <c:dLbl>
              <c:idx val="0"/>
              <c:layout>
                <c:manualLayout>
                  <c:x val="-1.8958333333333301E-3"/>
                  <c:y val="-0.136079797979798"/>
                </c:manualLayout>
              </c:layout>
              <c:dLblPos val="bestFit"/>
              <c:showLegendKey val="0"/>
              <c:showVal val="0"/>
              <c:showCatName val="0"/>
              <c:showSerName val="0"/>
              <c:showPercent val="1"/>
              <c:showBubbleSize val="0"/>
              <c:separator> </c:separator>
            </c:dLbl>
            <c:dLbl>
              <c:idx val="1"/>
              <c:layout>
                <c:manualLayout>
                  <c:x val="7.8938078703703705E-3"/>
                  <c:y val="-5.3025252525252503E-2"/>
                </c:manualLayout>
              </c:layout>
              <c:dLblPos val="bestFit"/>
              <c:showLegendKey val="0"/>
              <c:showVal val="0"/>
              <c:showCatName val="0"/>
              <c:showSerName val="0"/>
              <c:showPercent val="1"/>
              <c:showBubbleSize val="0"/>
              <c:separator> </c:separator>
            </c:dLbl>
            <c:dLbl>
              <c:idx val="2"/>
              <c:layout>
                <c:manualLayout>
                  <c:x val="5.1446759259259295E-4"/>
                  <c:y val="-7.9262626262626302E-3"/>
                </c:manualLayout>
              </c:layout>
              <c:dLblPos val="bestFit"/>
              <c:showLegendKey val="0"/>
              <c:showVal val="0"/>
              <c:showCatName val="0"/>
              <c:showSerName val="0"/>
              <c:showPercent val="1"/>
              <c:showBubbleSize val="0"/>
              <c:separator> </c:separator>
            </c:dLbl>
            <c:dLbl>
              <c:idx val="6"/>
              <c:layout>
                <c:manualLayout>
                  <c:x val="7.6837673611111101E-2"/>
                  <c:y val="1.7354545454545501E-2"/>
                </c:manualLayout>
              </c:layout>
              <c:dLblPos val="bestFit"/>
              <c:showLegendKey val="0"/>
              <c:showVal val="0"/>
              <c:showCatName val="0"/>
              <c:showSerName val="0"/>
              <c:showPercent val="1"/>
              <c:showBubbleSize val="0"/>
              <c:separator> </c:separator>
            </c:dLbl>
            <c:txPr>
              <a:bodyPr/>
              <a:lstStyle/>
              <a:p>
                <a:pPr>
                  <a:defRPr sz="800"/>
                </a:pPr>
                <a:endParaRPr lang="en-US"/>
              </a:p>
            </c:txPr>
            <c:dLblPos val="bestFit"/>
            <c:showLegendKey val="0"/>
            <c:showVal val="0"/>
            <c:showCatName val="0"/>
            <c:showSerName val="0"/>
            <c:showPercent val="1"/>
            <c:showBubbleSize val="0"/>
            <c:separator> </c:separator>
            <c:showLeaderLines val="1"/>
          </c:dLbls>
          <c:val>
            <c:numRef>
              <c:f>N_ISP_brtenure!$E$44:$L$44</c:f>
              <c:numCache>
                <c:formatCode>#\ ###\ ##0</c:formatCode>
                <c:ptCount val="8"/>
                <c:pt idx="0">
                  <c:v>129878</c:v>
                </c:pt>
                <c:pt idx="1">
                  <c:v>55425</c:v>
                </c:pt>
                <c:pt idx="2">
                  <c:v>27248</c:v>
                </c:pt>
                <c:pt idx="3">
                  <c:v>7418</c:v>
                </c:pt>
                <c:pt idx="4">
                  <c:v>1044</c:v>
                </c:pt>
                <c:pt idx="5">
                  <c:v>2310</c:v>
                </c:pt>
                <c:pt idx="6">
                  <c:v>24925</c:v>
                </c:pt>
                <c:pt idx="7">
                  <c:v>7419</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spPr>
    <a:solidFill>
      <a:schemeClr val="bg1"/>
    </a:solidFill>
    <a:ln>
      <a:noFill/>
    </a:ln>
  </c:spPr>
  <c:txPr>
    <a:bodyPr/>
    <a:lstStyle/>
    <a:p>
      <a:pPr>
        <a:defRPr sz="900" spc="20" baseline="0">
          <a:latin typeface="Arial" panose="020B0604020202020204" pitchFamily="34" charset="0"/>
          <a:cs typeface="Arial" panose="020B0604020202020204" pitchFamily="34" charset="0"/>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rgbClr val="78A22F"/>
              </a:solidFill>
              <a:ln>
                <a:solidFill>
                  <a:srgbClr val="78A22F"/>
                </a:solidFill>
              </a:ln>
            </c:spPr>
          </c:dPt>
          <c:dPt>
            <c:idx val="1"/>
            <c:bubble3D val="0"/>
            <c:spPr>
              <a:solidFill>
                <a:srgbClr val="265A9A"/>
              </a:solidFill>
              <a:ln>
                <a:solidFill>
                  <a:srgbClr val="265A9A"/>
                </a:solidFill>
              </a:ln>
            </c:spPr>
          </c:dPt>
          <c:dPt>
            <c:idx val="2"/>
            <c:bubble3D val="0"/>
            <c:spPr>
              <a:solidFill>
                <a:srgbClr val="B2D673"/>
              </a:solidFill>
              <a:ln>
                <a:solidFill>
                  <a:srgbClr val="B2D673"/>
                </a:solidFill>
              </a:ln>
            </c:spPr>
          </c:dPt>
          <c:dPt>
            <c:idx val="3"/>
            <c:bubble3D val="0"/>
            <c:spPr>
              <a:solidFill>
                <a:srgbClr val="000000"/>
              </a:solidFill>
              <a:ln>
                <a:solidFill>
                  <a:srgbClr val="000000"/>
                </a:solidFill>
              </a:ln>
            </c:spPr>
          </c:dPt>
          <c:dPt>
            <c:idx val="4"/>
            <c:bubble3D val="0"/>
            <c:spPr>
              <a:solidFill>
                <a:srgbClr val="F2F2F2"/>
              </a:solidFill>
              <a:ln>
                <a:solidFill>
                  <a:srgbClr val="BFBFBF"/>
                </a:solidFill>
              </a:ln>
            </c:spPr>
          </c:dPt>
          <c:dPt>
            <c:idx val="5"/>
            <c:bubble3D val="0"/>
            <c:spPr>
              <a:pattFill prst="ltUpDiag">
                <a:fgClr>
                  <a:srgbClr val="78A22F"/>
                </a:fgClr>
                <a:bgClr>
                  <a:schemeClr val="bg1"/>
                </a:bgClr>
              </a:pattFill>
              <a:ln>
                <a:solidFill>
                  <a:srgbClr val="78A22F"/>
                </a:solidFill>
              </a:ln>
            </c:spPr>
          </c:dPt>
          <c:dPt>
            <c:idx val="6"/>
            <c:bubble3D val="0"/>
            <c:spPr>
              <a:pattFill prst="ltDnDiag">
                <a:fgClr>
                  <a:srgbClr val="265A9A"/>
                </a:fgClr>
                <a:bgClr>
                  <a:schemeClr val="bg1"/>
                </a:bgClr>
              </a:pattFill>
              <a:ln>
                <a:solidFill>
                  <a:srgbClr val="265A9A"/>
                </a:solidFill>
              </a:ln>
            </c:spPr>
          </c:dPt>
          <c:dPt>
            <c:idx val="7"/>
            <c:bubble3D val="0"/>
            <c:spPr>
              <a:pattFill prst="ltUpDiag">
                <a:fgClr>
                  <a:srgbClr val="B2D673"/>
                </a:fgClr>
                <a:bgClr>
                  <a:schemeClr val="bg1"/>
                </a:bgClr>
              </a:pattFill>
              <a:ln>
                <a:solidFill>
                  <a:srgbClr val="B2D673"/>
                </a:solidFill>
              </a:ln>
            </c:spPr>
          </c:dPt>
          <c:dLbls>
            <c:dLblPos val="outEnd"/>
            <c:showLegendKey val="0"/>
            <c:showVal val="0"/>
            <c:showCatName val="0"/>
            <c:showSerName val="0"/>
            <c:showPercent val="1"/>
            <c:showBubbleSize val="0"/>
            <c:separator> </c:separator>
            <c:showLeaderLines val="1"/>
          </c:dLbls>
          <c:val>
            <c:numRef>
              <c:f>N_ISP_brtenure!$E$46:$L$46</c:f>
              <c:numCache>
                <c:formatCode>#\ ###\ ##0</c:formatCode>
                <c:ptCount val="8"/>
                <c:pt idx="0">
                  <c:v>791230</c:v>
                </c:pt>
                <c:pt idx="1">
                  <c:v>723776</c:v>
                </c:pt>
                <c:pt idx="2">
                  <c:v>256946</c:v>
                </c:pt>
                <c:pt idx="3">
                  <c:v>104684</c:v>
                </c:pt>
                <c:pt idx="4">
                  <c:v>248602</c:v>
                </c:pt>
                <c:pt idx="5">
                  <c:v>124536</c:v>
                </c:pt>
                <c:pt idx="6">
                  <c:v>198779</c:v>
                </c:pt>
                <c:pt idx="7">
                  <c:v>120199</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spPr>
    <a:solidFill>
      <a:schemeClr val="bg1"/>
    </a:solidFill>
    <a:ln>
      <a:noFill/>
    </a:ln>
  </c:spPr>
  <c:txPr>
    <a:bodyPr/>
    <a:lstStyle/>
    <a:p>
      <a:pPr>
        <a:defRPr sz="800" spc="20" baseline="0">
          <a:latin typeface="Arial" panose="020B0604020202020204" pitchFamily="34" charset="0"/>
          <a:cs typeface="Arial" panose="020B0604020202020204" pitchFamily="34" charset="0"/>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rgbClr val="78A22F"/>
              </a:solidFill>
              <a:ln>
                <a:solidFill>
                  <a:srgbClr val="78A22F"/>
                </a:solidFill>
              </a:ln>
            </c:spPr>
          </c:dPt>
          <c:dPt>
            <c:idx val="1"/>
            <c:bubble3D val="0"/>
            <c:spPr>
              <a:solidFill>
                <a:srgbClr val="265A9A"/>
              </a:solidFill>
              <a:ln>
                <a:solidFill>
                  <a:srgbClr val="265A9A"/>
                </a:solidFill>
              </a:ln>
            </c:spPr>
          </c:dPt>
          <c:dPt>
            <c:idx val="2"/>
            <c:bubble3D val="0"/>
            <c:spPr>
              <a:solidFill>
                <a:srgbClr val="B2D673"/>
              </a:solidFill>
              <a:ln>
                <a:solidFill>
                  <a:srgbClr val="B2D673"/>
                </a:solidFill>
              </a:ln>
            </c:spPr>
          </c:dPt>
          <c:dPt>
            <c:idx val="3"/>
            <c:bubble3D val="0"/>
            <c:spPr>
              <a:solidFill>
                <a:srgbClr val="000000"/>
              </a:solidFill>
              <a:ln>
                <a:solidFill>
                  <a:srgbClr val="000000"/>
                </a:solidFill>
              </a:ln>
            </c:spPr>
          </c:dPt>
          <c:dPt>
            <c:idx val="4"/>
            <c:bubble3D val="0"/>
            <c:spPr>
              <a:solidFill>
                <a:srgbClr val="F2F2F2"/>
              </a:solidFill>
              <a:ln>
                <a:solidFill>
                  <a:srgbClr val="BFBFBF"/>
                </a:solidFill>
              </a:ln>
            </c:spPr>
          </c:dPt>
          <c:dPt>
            <c:idx val="5"/>
            <c:bubble3D val="0"/>
            <c:spPr>
              <a:pattFill prst="ltUpDiag">
                <a:fgClr>
                  <a:srgbClr val="78A22F"/>
                </a:fgClr>
                <a:bgClr>
                  <a:schemeClr val="bg1"/>
                </a:bgClr>
              </a:pattFill>
              <a:ln>
                <a:solidFill>
                  <a:srgbClr val="78A22F"/>
                </a:solidFill>
              </a:ln>
            </c:spPr>
          </c:dPt>
          <c:dPt>
            <c:idx val="6"/>
            <c:bubble3D val="0"/>
            <c:spPr>
              <a:pattFill prst="ltDnDiag">
                <a:fgClr>
                  <a:srgbClr val="265A9A"/>
                </a:fgClr>
                <a:bgClr>
                  <a:schemeClr val="bg1"/>
                </a:bgClr>
              </a:pattFill>
              <a:ln>
                <a:solidFill>
                  <a:srgbClr val="265A9A"/>
                </a:solidFill>
              </a:ln>
            </c:spPr>
          </c:dPt>
          <c:dPt>
            <c:idx val="7"/>
            <c:bubble3D val="0"/>
            <c:spPr>
              <a:pattFill prst="ltUpDiag">
                <a:fgClr>
                  <a:srgbClr val="B2D673"/>
                </a:fgClr>
                <a:bgClr>
                  <a:schemeClr val="bg1"/>
                </a:bgClr>
              </a:pattFill>
              <a:ln>
                <a:solidFill>
                  <a:srgbClr val="B2D673"/>
                </a:solidFill>
              </a:ln>
            </c:spPr>
          </c:dPt>
          <c:dLbls>
            <c:dLblPos val="outEnd"/>
            <c:showLegendKey val="0"/>
            <c:showVal val="0"/>
            <c:showCatName val="0"/>
            <c:showSerName val="0"/>
            <c:showPercent val="1"/>
            <c:showBubbleSize val="0"/>
            <c:separator> </c:separator>
            <c:showLeaderLines val="1"/>
          </c:dLbls>
          <c:cat>
            <c:strRef>
              <c:f>N_ISP_brtenure!$E$67:$L$67</c:f>
              <c:strCache>
                <c:ptCount val="8"/>
                <c:pt idx="0">
                  <c:v>Disability Support Pension</c:v>
                </c:pt>
                <c:pt idx="1">
                  <c:v>Newstart Allowance</c:v>
                </c:pt>
                <c:pt idx="2">
                  <c:v>Parenting Payment (Single)</c:v>
                </c:pt>
                <c:pt idx="3">
                  <c:v>Parenting Payment (Partnered)</c:v>
                </c:pt>
                <c:pt idx="4">
                  <c:v>Youth Allowance (Student)</c:v>
                </c:pt>
                <c:pt idx="5">
                  <c:v>Youth Allowance (Job seeker)</c:v>
                </c:pt>
                <c:pt idx="6">
                  <c:v>Carer Payment</c:v>
                </c:pt>
                <c:pt idx="7">
                  <c:v>Other</c:v>
                </c:pt>
              </c:strCache>
            </c:strRef>
          </c:cat>
          <c:val>
            <c:numRef>
              <c:f>N_ISP_brtenure!$E$46:$L$46</c:f>
              <c:numCache>
                <c:formatCode>#\ ###\ ##0</c:formatCode>
                <c:ptCount val="8"/>
                <c:pt idx="0">
                  <c:v>791230</c:v>
                </c:pt>
                <c:pt idx="1">
                  <c:v>723776</c:v>
                </c:pt>
                <c:pt idx="2">
                  <c:v>256946</c:v>
                </c:pt>
                <c:pt idx="3">
                  <c:v>104684</c:v>
                </c:pt>
                <c:pt idx="4">
                  <c:v>248602</c:v>
                </c:pt>
                <c:pt idx="5">
                  <c:v>124536</c:v>
                </c:pt>
                <c:pt idx="6">
                  <c:v>198779</c:v>
                </c:pt>
                <c:pt idx="7">
                  <c:v>120199</c:v>
                </c:pt>
              </c:numCache>
            </c:numRef>
          </c:val>
        </c:ser>
        <c:dLbls>
          <c:showLegendKey val="0"/>
          <c:showVal val="0"/>
          <c:showCatName val="0"/>
          <c:showSerName val="0"/>
          <c:showPercent val="0"/>
          <c:showBubbleSize val="0"/>
          <c:showLeaderLines val="1"/>
        </c:dLbls>
        <c:firstSliceAng val="0"/>
      </c:pieChart>
    </c:plotArea>
    <c:legend>
      <c:legendPos val="b"/>
      <c:layout>
        <c:manualLayout>
          <c:xMode val="edge"/>
          <c:yMode val="edge"/>
          <c:x val="2.8409961685823838E-4"/>
          <c:y val="0"/>
          <c:w val="0.99456590038314174"/>
          <c:h val="0.97508535672991903"/>
        </c:manualLayout>
      </c:layout>
      <c:overlay val="0"/>
      <c:spPr>
        <a:solidFill>
          <a:sysClr val="window" lastClr="FFFFFF"/>
        </a:solidFill>
      </c:spPr>
      <c:txPr>
        <a:bodyPr/>
        <a:lstStyle/>
        <a:p>
          <a:pPr>
            <a:defRPr sz="1000"/>
          </a:pPr>
          <a:endParaRPr lang="en-US"/>
        </a:p>
      </c:txPr>
    </c:legend>
    <c:plotVisOnly val="1"/>
    <c:dispBlanksAs val="gap"/>
    <c:showDLblsOverMax val="0"/>
  </c:chart>
  <c:spPr>
    <a:solidFill>
      <a:schemeClr val="bg1"/>
    </a:solidFill>
    <a:ln>
      <a:noFill/>
    </a:ln>
  </c:spPr>
  <c:txPr>
    <a:bodyPr/>
    <a:lstStyle/>
    <a:p>
      <a:pPr>
        <a:defRPr sz="800" spc="20" baseline="0">
          <a:latin typeface="Arial" panose="020B0604020202020204" pitchFamily="34" charset="0"/>
          <a:cs typeface="Arial" panose="020B0604020202020204" pitchFamily="34" charset="0"/>
        </a:defRPr>
      </a:pPr>
      <a:endParaRPr lang="en-U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3820498084291183E-2"/>
          <c:y val="4.5985606060606067E-2"/>
          <c:w val="0.89688129629629632"/>
          <c:h val="0.77841180555555556"/>
        </c:manualLayout>
      </c:layout>
      <c:barChart>
        <c:barDir val="col"/>
        <c:grouping val="stacked"/>
        <c:varyColors val="0"/>
        <c:ser>
          <c:idx val="0"/>
          <c:order val="0"/>
          <c:tx>
            <c:strRef>
              <c:f>duration_ISP_graph_2013_update!$M$4</c:f>
              <c:strCache>
                <c:ptCount val="1"/>
                <c:pt idx="0">
                  <c:v>Bottom</c:v>
                </c:pt>
              </c:strCache>
            </c:strRef>
          </c:tx>
          <c:spPr>
            <a:noFill/>
            <a:ln>
              <a:noFill/>
            </a:ln>
          </c:spPr>
          <c:invertIfNegative val="0"/>
          <c:errBars>
            <c:errBarType val="minus"/>
            <c:errValType val="cust"/>
            <c:noEndCap val="0"/>
            <c:plus>
              <c:numLit>
                <c:formatCode>General</c:formatCode>
                <c:ptCount val="1"/>
                <c:pt idx="0">
                  <c:v>1</c:v>
                </c:pt>
              </c:numLit>
            </c:plus>
            <c:minus>
              <c:numRef>
                <c:f>duration_ISP_graph_2013_update!$N$8:$AK$8</c:f>
                <c:numCache>
                  <c:formatCode>General</c:formatCode>
                  <c:ptCount val="24"/>
                  <c:pt idx="1">
                    <c:v>933</c:v>
                  </c:pt>
                  <c:pt idx="2">
                    <c:v>1776</c:v>
                  </c:pt>
                  <c:pt idx="4">
                    <c:v>164</c:v>
                  </c:pt>
                  <c:pt idx="5">
                    <c:v>527</c:v>
                  </c:pt>
                  <c:pt idx="7">
                    <c:v>436</c:v>
                  </c:pt>
                  <c:pt idx="8">
                    <c:v>822</c:v>
                  </c:pt>
                  <c:pt idx="10">
                    <c:v>262</c:v>
                  </c:pt>
                  <c:pt idx="11">
                    <c:v>686</c:v>
                  </c:pt>
                  <c:pt idx="13">
                    <c:v>81</c:v>
                  </c:pt>
                  <c:pt idx="14">
                    <c:v>287</c:v>
                  </c:pt>
                  <c:pt idx="16">
                    <c:v>135</c:v>
                  </c:pt>
                  <c:pt idx="17">
                    <c:v>295.5</c:v>
                  </c:pt>
                  <c:pt idx="19">
                    <c:v>588</c:v>
                  </c:pt>
                  <c:pt idx="20">
                    <c:v>1056</c:v>
                  </c:pt>
                  <c:pt idx="22">
                    <c:v>125</c:v>
                  </c:pt>
                  <c:pt idx="23">
                    <c:v>1378</c:v>
                  </c:pt>
                </c:numCache>
              </c:numRef>
            </c:minus>
          </c:errBars>
          <c:cat>
            <c:strRef>
              <c:f>duration_ISP_graph_2013_update!$N$16:$AH$16</c:f>
              <c:strCache>
                <c:ptCount val="20"/>
                <c:pt idx="1">
                  <c:v>Disability
Support
Pension</c:v>
                </c:pt>
                <c:pt idx="4">
                  <c:v>Newstart
Allowance</c:v>
                </c:pt>
                <c:pt idx="7">
                  <c:v>Parenting
Payment
(Single)</c:v>
                </c:pt>
                <c:pt idx="10">
                  <c:v>Parenting
Payment
(Partnered)</c:v>
                </c:pt>
                <c:pt idx="13">
                  <c:v>Youth
Allowance
(Student)</c:v>
                </c:pt>
                <c:pt idx="16">
                  <c:v>Youth
Allowance
(Job seeker)</c:v>
                </c:pt>
                <c:pt idx="19">
                  <c:v>Carer
Payment</c:v>
                </c:pt>
              </c:strCache>
            </c:strRef>
          </c:cat>
          <c:val>
            <c:numRef>
              <c:f>duration_ISP_graph_2013_update!$N$4:$AH$4</c:f>
              <c:numCache>
                <c:formatCode>0</c:formatCode>
                <c:ptCount val="21"/>
                <c:pt idx="1">
                  <c:v>1948</c:v>
                </c:pt>
                <c:pt idx="2">
                  <c:v>3534</c:v>
                </c:pt>
                <c:pt idx="4">
                  <c:v>254</c:v>
                </c:pt>
                <c:pt idx="5">
                  <c:v>760</c:v>
                </c:pt>
                <c:pt idx="7">
                  <c:v>741</c:v>
                </c:pt>
                <c:pt idx="8">
                  <c:v>1774</c:v>
                </c:pt>
                <c:pt idx="10">
                  <c:v>409</c:v>
                </c:pt>
                <c:pt idx="11">
                  <c:v>1151</c:v>
                </c:pt>
                <c:pt idx="13">
                  <c:v>207</c:v>
                </c:pt>
                <c:pt idx="14">
                  <c:v>440</c:v>
                </c:pt>
                <c:pt idx="16">
                  <c:v>232</c:v>
                </c:pt>
                <c:pt idx="17">
                  <c:v>446</c:v>
                </c:pt>
                <c:pt idx="19">
                  <c:v>1075</c:v>
                </c:pt>
                <c:pt idx="20">
                  <c:v>1995</c:v>
                </c:pt>
              </c:numCache>
            </c:numRef>
          </c:val>
        </c:ser>
        <c:ser>
          <c:idx val="1"/>
          <c:order val="1"/>
          <c:tx>
            <c:strRef>
              <c:f>duration_ISP_graph_2013_update!$M$5</c:f>
              <c:strCache>
                <c:ptCount val="1"/>
                <c:pt idx="0">
                  <c:v>2q box</c:v>
                </c:pt>
              </c:strCache>
            </c:strRef>
          </c:tx>
          <c:spPr>
            <a:solidFill>
              <a:schemeClr val="accent1"/>
            </a:solidFill>
            <a:ln>
              <a:solidFill>
                <a:schemeClr val="tx2"/>
              </a:solidFill>
            </a:ln>
          </c:spPr>
          <c:invertIfNegative val="0"/>
          <c:dPt>
            <c:idx val="2"/>
            <c:invertIfNegative val="0"/>
            <c:bubble3D val="0"/>
            <c:spPr>
              <a:solidFill>
                <a:schemeClr val="accent2"/>
              </a:solidFill>
              <a:ln>
                <a:solidFill>
                  <a:schemeClr val="tx2"/>
                </a:solidFill>
              </a:ln>
            </c:spPr>
          </c:dPt>
          <c:dPt>
            <c:idx val="3"/>
            <c:invertIfNegative val="0"/>
            <c:bubble3D val="0"/>
            <c:spPr>
              <a:solidFill>
                <a:schemeClr val="accent3"/>
              </a:solidFill>
              <a:ln>
                <a:solidFill>
                  <a:schemeClr val="tx2"/>
                </a:solidFill>
              </a:ln>
            </c:spPr>
          </c:dPt>
          <c:dPt>
            <c:idx val="5"/>
            <c:invertIfNegative val="0"/>
            <c:bubble3D val="0"/>
            <c:spPr>
              <a:solidFill>
                <a:schemeClr val="accent2"/>
              </a:solidFill>
              <a:ln>
                <a:solidFill>
                  <a:schemeClr val="tx2"/>
                </a:solidFill>
              </a:ln>
            </c:spPr>
          </c:dPt>
          <c:dPt>
            <c:idx val="6"/>
            <c:invertIfNegative val="0"/>
            <c:bubble3D val="0"/>
            <c:spPr>
              <a:solidFill>
                <a:schemeClr val="accent2"/>
              </a:solidFill>
              <a:ln>
                <a:solidFill>
                  <a:schemeClr val="tx2"/>
                </a:solidFill>
              </a:ln>
            </c:spPr>
          </c:dPt>
          <c:dPt>
            <c:idx val="7"/>
            <c:invertIfNegative val="0"/>
            <c:bubble3D val="0"/>
          </c:dPt>
          <c:dPt>
            <c:idx val="8"/>
            <c:invertIfNegative val="0"/>
            <c:bubble3D val="0"/>
            <c:spPr>
              <a:solidFill>
                <a:schemeClr val="accent2"/>
              </a:solidFill>
              <a:ln>
                <a:solidFill>
                  <a:schemeClr val="tx2"/>
                </a:solidFill>
              </a:ln>
            </c:spPr>
          </c:dPt>
          <c:dPt>
            <c:idx val="10"/>
            <c:invertIfNegative val="0"/>
            <c:bubble3D val="0"/>
          </c:dPt>
          <c:dPt>
            <c:idx val="11"/>
            <c:invertIfNegative val="0"/>
            <c:bubble3D val="0"/>
            <c:spPr>
              <a:solidFill>
                <a:schemeClr val="accent2"/>
              </a:solidFill>
              <a:ln>
                <a:solidFill>
                  <a:schemeClr val="tx2"/>
                </a:solidFill>
              </a:ln>
            </c:spPr>
          </c:dPt>
          <c:dPt>
            <c:idx val="13"/>
            <c:invertIfNegative val="0"/>
            <c:bubble3D val="0"/>
          </c:dPt>
          <c:dPt>
            <c:idx val="14"/>
            <c:invertIfNegative val="0"/>
            <c:bubble3D val="0"/>
            <c:spPr>
              <a:solidFill>
                <a:schemeClr val="accent2"/>
              </a:solidFill>
              <a:ln>
                <a:solidFill>
                  <a:schemeClr val="tx2"/>
                </a:solidFill>
              </a:ln>
            </c:spPr>
          </c:dPt>
          <c:dPt>
            <c:idx val="15"/>
            <c:invertIfNegative val="0"/>
            <c:bubble3D val="0"/>
            <c:spPr>
              <a:solidFill>
                <a:schemeClr val="accent3"/>
              </a:solidFill>
              <a:ln>
                <a:solidFill>
                  <a:schemeClr val="tx2"/>
                </a:solidFill>
              </a:ln>
            </c:spPr>
          </c:dPt>
          <c:dPt>
            <c:idx val="16"/>
            <c:invertIfNegative val="0"/>
            <c:bubble3D val="0"/>
          </c:dPt>
          <c:dPt>
            <c:idx val="17"/>
            <c:invertIfNegative val="0"/>
            <c:bubble3D val="0"/>
            <c:spPr>
              <a:solidFill>
                <a:schemeClr val="accent2"/>
              </a:solidFill>
              <a:ln>
                <a:solidFill>
                  <a:schemeClr val="tx2"/>
                </a:solidFill>
              </a:ln>
            </c:spPr>
          </c:dPt>
          <c:dPt>
            <c:idx val="18"/>
            <c:invertIfNegative val="0"/>
            <c:bubble3D val="0"/>
            <c:spPr>
              <a:solidFill>
                <a:schemeClr val="accent2"/>
              </a:solidFill>
              <a:ln>
                <a:solidFill>
                  <a:schemeClr val="tx2"/>
                </a:solidFill>
              </a:ln>
            </c:spPr>
          </c:dPt>
          <c:dPt>
            <c:idx val="19"/>
            <c:invertIfNegative val="0"/>
            <c:bubble3D val="0"/>
          </c:dPt>
          <c:dPt>
            <c:idx val="20"/>
            <c:invertIfNegative val="0"/>
            <c:bubble3D val="0"/>
            <c:spPr>
              <a:solidFill>
                <a:schemeClr val="accent2"/>
              </a:solidFill>
              <a:ln>
                <a:solidFill>
                  <a:schemeClr val="tx2"/>
                </a:solidFill>
              </a:ln>
            </c:spPr>
          </c:dPt>
          <c:dPt>
            <c:idx val="21"/>
            <c:invertIfNegative val="0"/>
            <c:bubble3D val="0"/>
          </c:dPt>
          <c:dPt>
            <c:idx val="22"/>
            <c:invertIfNegative val="0"/>
            <c:bubble3D val="0"/>
            <c:spPr>
              <a:solidFill>
                <a:schemeClr val="accent2"/>
              </a:solidFill>
              <a:ln>
                <a:solidFill>
                  <a:schemeClr val="tx2"/>
                </a:solidFill>
              </a:ln>
            </c:spPr>
          </c:dPt>
          <c:dPt>
            <c:idx val="23"/>
            <c:invertIfNegative val="0"/>
            <c:bubble3D val="0"/>
            <c:spPr>
              <a:solidFill>
                <a:schemeClr val="accent3"/>
              </a:solidFill>
              <a:ln>
                <a:solidFill>
                  <a:schemeClr val="tx2"/>
                </a:solidFill>
              </a:ln>
            </c:spPr>
          </c:dPt>
          <c:dPt>
            <c:idx val="25"/>
            <c:invertIfNegative val="0"/>
            <c:bubble3D val="0"/>
          </c:dPt>
          <c:dPt>
            <c:idx val="26"/>
            <c:invertIfNegative val="0"/>
            <c:bubble3D val="0"/>
            <c:spPr>
              <a:solidFill>
                <a:schemeClr val="accent2"/>
              </a:solidFill>
              <a:ln>
                <a:solidFill>
                  <a:schemeClr val="tx2"/>
                </a:solidFill>
              </a:ln>
            </c:spPr>
          </c:dPt>
          <c:dPt>
            <c:idx val="27"/>
            <c:invertIfNegative val="0"/>
            <c:bubble3D val="0"/>
            <c:spPr>
              <a:solidFill>
                <a:schemeClr val="accent3"/>
              </a:solidFill>
              <a:ln>
                <a:solidFill>
                  <a:schemeClr val="tx2"/>
                </a:solidFill>
              </a:ln>
            </c:spPr>
          </c:dPt>
          <c:dPt>
            <c:idx val="28"/>
            <c:invertIfNegative val="0"/>
            <c:bubble3D val="0"/>
            <c:spPr>
              <a:solidFill>
                <a:schemeClr val="accent3"/>
              </a:solidFill>
              <a:ln>
                <a:solidFill>
                  <a:schemeClr val="tx2"/>
                </a:solidFill>
              </a:ln>
            </c:spPr>
          </c:dPt>
          <c:dPt>
            <c:idx val="29"/>
            <c:invertIfNegative val="0"/>
            <c:bubble3D val="0"/>
          </c:dPt>
          <c:dPt>
            <c:idx val="30"/>
            <c:invertIfNegative val="0"/>
            <c:bubble3D val="0"/>
            <c:spPr>
              <a:solidFill>
                <a:schemeClr val="accent2"/>
              </a:solidFill>
              <a:ln>
                <a:solidFill>
                  <a:schemeClr val="tx2"/>
                </a:solidFill>
              </a:ln>
            </c:spPr>
          </c:dPt>
          <c:dPt>
            <c:idx val="31"/>
            <c:invertIfNegative val="0"/>
            <c:bubble3D val="0"/>
            <c:spPr>
              <a:solidFill>
                <a:schemeClr val="accent3"/>
              </a:solidFill>
              <a:ln>
                <a:solidFill>
                  <a:schemeClr val="tx2"/>
                </a:solidFill>
              </a:ln>
            </c:spPr>
          </c:dPt>
          <c:dPt>
            <c:idx val="32"/>
            <c:invertIfNegative val="0"/>
            <c:bubble3D val="0"/>
            <c:spPr>
              <a:solidFill>
                <a:schemeClr val="accent3"/>
              </a:solidFill>
              <a:ln>
                <a:solidFill>
                  <a:schemeClr val="tx2"/>
                </a:solidFill>
              </a:ln>
            </c:spPr>
          </c:dPt>
          <c:dPt>
            <c:idx val="33"/>
            <c:invertIfNegative val="0"/>
            <c:bubble3D val="0"/>
            <c:spPr>
              <a:solidFill>
                <a:schemeClr val="accent3"/>
              </a:solidFill>
              <a:ln>
                <a:solidFill>
                  <a:schemeClr val="tx2"/>
                </a:solidFill>
              </a:ln>
            </c:spPr>
          </c:dPt>
          <c:dPt>
            <c:idx val="34"/>
            <c:invertIfNegative val="0"/>
            <c:bubble3D val="0"/>
            <c:spPr>
              <a:solidFill>
                <a:schemeClr val="accent3"/>
              </a:solidFill>
              <a:ln>
                <a:solidFill>
                  <a:schemeClr val="tx2"/>
                </a:solidFill>
              </a:ln>
            </c:spPr>
          </c:dPt>
          <c:dPt>
            <c:idx val="35"/>
            <c:invertIfNegative val="0"/>
            <c:bubble3D val="0"/>
            <c:spPr>
              <a:solidFill>
                <a:schemeClr val="accent3"/>
              </a:solidFill>
              <a:ln>
                <a:solidFill>
                  <a:schemeClr val="tx2"/>
                </a:solidFill>
              </a:ln>
            </c:spPr>
          </c:dPt>
          <c:cat>
            <c:strRef>
              <c:f>duration_ISP_graph_2013_update!$N$16:$AH$16</c:f>
              <c:strCache>
                <c:ptCount val="20"/>
                <c:pt idx="1">
                  <c:v>Disability
Support
Pension</c:v>
                </c:pt>
                <c:pt idx="4">
                  <c:v>Newstart
Allowance</c:v>
                </c:pt>
                <c:pt idx="7">
                  <c:v>Parenting
Payment
(Single)</c:v>
                </c:pt>
                <c:pt idx="10">
                  <c:v>Parenting
Payment
(Partnered)</c:v>
                </c:pt>
                <c:pt idx="13">
                  <c:v>Youth
Allowance
(Student)</c:v>
                </c:pt>
                <c:pt idx="16">
                  <c:v>Youth
Allowance
(Job seeker)</c:v>
                </c:pt>
                <c:pt idx="19">
                  <c:v>Carer
Payment</c:v>
                </c:pt>
              </c:strCache>
            </c:strRef>
          </c:cat>
          <c:val>
            <c:numRef>
              <c:f>duration_ISP_graph_2013_update!$N$5:$AH$5</c:f>
              <c:numCache>
                <c:formatCode>0</c:formatCode>
                <c:ptCount val="21"/>
                <c:pt idx="1">
                  <c:v>2297</c:v>
                </c:pt>
                <c:pt idx="2">
                  <c:v>2581</c:v>
                </c:pt>
                <c:pt idx="4">
                  <c:v>513</c:v>
                </c:pt>
                <c:pt idx="5">
                  <c:v>1528</c:v>
                </c:pt>
                <c:pt idx="7">
                  <c:v>817</c:v>
                </c:pt>
                <c:pt idx="8">
                  <c:v>1345</c:v>
                </c:pt>
                <c:pt idx="10">
                  <c:v>624</c:v>
                </c:pt>
                <c:pt idx="11">
                  <c:v>1079</c:v>
                </c:pt>
                <c:pt idx="13">
                  <c:v>325</c:v>
                </c:pt>
                <c:pt idx="14">
                  <c:v>455.5</c:v>
                </c:pt>
                <c:pt idx="16">
                  <c:v>380</c:v>
                </c:pt>
                <c:pt idx="17">
                  <c:v>519.5</c:v>
                </c:pt>
                <c:pt idx="19">
                  <c:v>1136</c:v>
                </c:pt>
                <c:pt idx="20">
                  <c:v>2414</c:v>
                </c:pt>
              </c:numCache>
            </c:numRef>
          </c:val>
        </c:ser>
        <c:ser>
          <c:idx val="2"/>
          <c:order val="2"/>
          <c:tx>
            <c:strRef>
              <c:f>duration_ISP_graph_2013_update!$M$6</c:f>
              <c:strCache>
                <c:ptCount val="1"/>
                <c:pt idx="0">
                  <c:v>3q box</c:v>
                </c:pt>
              </c:strCache>
            </c:strRef>
          </c:tx>
          <c:spPr>
            <a:solidFill>
              <a:schemeClr val="accent1"/>
            </a:solidFill>
            <a:ln>
              <a:solidFill>
                <a:schemeClr val="tx2"/>
              </a:solidFill>
            </a:ln>
          </c:spPr>
          <c:invertIfNegative val="0"/>
          <c:dPt>
            <c:idx val="2"/>
            <c:invertIfNegative val="0"/>
            <c:bubble3D val="0"/>
            <c:spPr>
              <a:solidFill>
                <a:schemeClr val="accent2"/>
              </a:solidFill>
              <a:ln>
                <a:solidFill>
                  <a:schemeClr val="tx2"/>
                </a:solidFill>
              </a:ln>
            </c:spPr>
          </c:dPt>
          <c:dPt>
            <c:idx val="3"/>
            <c:invertIfNegative val="0"/>
            <c:bubble3D val="0"/>
            <c:spPr>
              <a:solidFill>
                <a:schemeClr val="accent3"/>
              </a:solidFill>
              <a:ln>
                <a:solidFill>
                  <a:schemeClr val="tx2"/>
                </a:solidFill>
              </a:ln>
            </c:spPr>
          </c:dPt>
          <c:dPt>
            <c:idx val="5"/>
            <c:invertIfNegative val="0"/>
            <c:bubble3D val="0"/>
            <c:spPr>
              <a:solidFill>
                <a:schemeClr val="accent2"/>
              </a:solidFill>
              <a:ln>
                <a:solidFill>
                  <a:schemeClr val="tx2"/>
                </a:solidFill>
              </a:ln>
            </c:spPr>
          </c:dPt>
          <c:dPt>
            <c:idx val="6"/>
            <c:invertIfNegative val="0"/>
            <c:bubble3D val="0"/>
            <c:spPr>
              <a:solidFill>
                <a:schemeClr val="accent2"/>
              </a:solidFill>
              <a:ln>
                <a:solidFill>
                  <a:schemeClr val="tx2"/>
                </a:solidFill>
              </a:ln>
            </c:spPr>
          </c:dPt>
          <c:dPt>
            <c:idx val="7"/>
            <c:invertIfNegative val="0"/>
            <c:bubble3D val="0"/>
          </c:dPt>
          <c:dPt>
            <c:idx val="8"/>
            <c:invertIfNegative val="0"/>
            <c:bubble3D val="0"/>
            <c:spPr>
              <a:solidFill>
                <a:schemeClr val="accent2"/>
              </a:solidFill>
              <a:ln>
                <a:solidFill>
                  <a:schemeClr val="tx2"/>
                </a:solidFill>
              </a:ln>
            </c:spPr>
          </c:dPt>
          <c:dPt>
            <c:idx val="10"/>
            <c:invertIfNegative val="0"/>
            <c:bubble3D val="0"/>
          </c:dPt>
          <c:dPt>
            <c:idx val="11"/>
            <c:invertIfNegative val="0"/>
            <c:bubble3D val="0"/>
            <c:spPr>
              <a:solidFill>
                <a:schemeClr val="accent2"/>
              </a:solidFill>
              <a:ln>
                <a:solidFill>
                  <a:schemeClr val="tx2"/>
                </a:solidFill>
              </a:ln>
            </c:spPr>
          </c:dPt>
          <c:dPt>
            <c:idx val="13"/>
            <c:invertIfNegative val="0"/>
            <c:bubble3D val="0"/>
          </c:dPt>
          <c:dPt>
            <c:idx val="14"/>
            <c:invertIfNegative val="0"/>
            <c:bubble3D val="0"/>
            <c:spPr>
              <a:solidFill>
                <a:schemeClr val="accent2"/>
              </a:solidFill>
              <a:ln>
                <a:solidFill>
                  <a:schemeClr val="tx2"/>
                </a:solidFill>
              </a:ln>
            </c:spPr>
          </c:dPt>
          <c:dPt>
            <c:idx val="15"/>
            <c:invertIfNegative val="0"/>
            <c:bubble3D val="0"/>
            <c:spPr>
              <a:solidFill>
                <a:schemeClr val="accent3"/>
              </a:solidFill>
              <a:ln>
                <a:solidFill>
                  <a:schemeClr val="tx2"/>
                </a:solidFill>
              </a:ln>
            </c:spPr>
          </c:dPt>
          <c:dPt>
            <c:idx val="16"/>
            <c:invertIfNegative val="0"/>
            <c:bubble3D val="0"/>
          </c:dPt>
          <c:dPt>
            <c:idx val="17"/>
            <c:invertIfNegative val="0"/>
            <c:bubble3D val="0"/>
            <c:spPr>
              <a:solidFill>
                <a:schemeClr val="accent2"/>
              </a:solidFill>
              <a:ln>
                <a:solidFill>
                  <a:schemeClr val="tx2"/>
                </a:solidFill>
              </a:ln>
            </c:spPr>
          </c:dPt>
          <c:dPt>
            <c:idx val="18"/>
            <c:invertIfNegative val="0"/>
            <c:bubble3D val="0"/>
            <c:spPr>
              <a:solidFill>
                <a:schemeClr val="accent2"/>
              </a:solidFill>
              <a:ln>
                <a:solidFill>
                  <a:schemeClr val="tx2"/>
                </a:solidFill>
              </a:ln>
            </c:spPr>
          </c:dPt>
          <c:dPt>
            <c:idx val="19"/>
            <c:invertIfNegative val="0"/>
            <c:bubble3D val="0"/>
          </c:dPt>
          <c:dPt>
            <c:idx val="20"/>
            <c:invertIfNegative val="0"/>
            <c:bubble3D val="0"/>
            <c:spPr>
              <a:solidFill>
                <a:schemeClr val="accent2"/>
              </a:solidFill>
              <a:ln>
                <a:solidFill>
                  <a:schemeClr val="tx2"/>
                </a:solidFill>
              </a:ln>
            </c:spPr>
          </c:dPt>
          <c:dPt>
            <c:idx val="21"/>
            <c:invertIfNegative val="0"/>
            <c:bubble3D val="0"/>
          </c:dPt>
          <c:dPt>
            <c:idx val="22"/>
            <c:invertIfNegative val="0"/>
            <c:bubble3D val="0"/>
            <c:spPr>
              <a:solidFill>
                <a:schemeClr val="accent2"/>
              </a:solidFill>
              <a:ln>
                <a:solidFill>
                  <a:schemeClr val="tx2"/>
                </a:solidFill>
              </a:ln>
            </c:spPr>
          </c:dPt>
          <c:dPt>
            <c:idx val="23"/>
            <c:invertIfNegative val="0"/>
            <c:bubble3D val="0"/>
            <c:spPr>
              <a:solidFill>
                <a:schemeClr val="accent3"/>
              </a:solidFill>
              <a:ln>
                <a:solidFill>
                  <a:schemeClr val="tx2"/>
                </a:solidFill>
              </a:ln>
            </c:spPr>
          </c:dPt>
          <c:dPt>
            <c:idx val="25"/>
            <c:invertIfNegative val="0"/>
            <c:bubble3D val="0"/>
          </c:dPt>
          <c:dPt>
            <c:idx val="26"/>
            <c:invertIfNegative val="0"/>
            <c:bubble3D val="0"/>
            <c:spPr>
              <a:solidFill>
                <a:schemeClr val="accent2"/>
              </a:solidFill>
              <a:ln>
                <a:solidFill>
                  <a:schemeClr val="tx2"/>
                </a:solidFill>
              </a:ln>
            </c:spPr>
          </c:dPt>
          <c:dPt>
            <c:idx val="27"/>
            <c:invertIfNegative val="0"/>
            <c:bubble3D val="0"/>
            <c:spPr>
              <a:solidFill>
                <a:schemeClr val="accent3"/>
              </a:solidFill>
              <a:ln>
                <a:solidFill>
                  <a:schemeClr val="tx2"/>
                </a:solidFill>
              </a:ln>
            </c:spPr>
          </c:dPt>
          <c:dPt>
            <c:idx val="28"/>
            <c:invertIfNegative val="0"/>
            <c:bubble3D val="0"/>
            <c:spPr>
              <a:solidFill>
                <a:schemeClr val="accent3"/>
              </a:solidFill>
              <a:ln>
                <a:solidFill>
                  <a:schemeClr val="tx2"/>
                </a:solidFill>
              </a:ln>
            </c:spPr>
          </c:dPt>
          <c:dPt>
            <c:idx val="29"/>
            <c:invertIfNegative val="0"/>
            <c:bubble3D val="0"/>
          </c:dPt>
          <c:dPt>
            <c:idx val="30"/>
            <c:invertIfNegative val="0"/>
            <c:bubble3D val="0"/>
            <c:spPr>
              <a:solidFill>
                <a:schemeClr val="accent2"/>
              </a:solidFill>
              <a:ln>
                <a:solidFill>
                  <a:schemeClr val="tx2"/>
                </a:solidFill>
              </a:ln>
            </c:spPr>
          </c:dPt>
          <c:dPt>
            <c:idx val="31"/>
            <c:invertIfNegative val="0"/>
            <c:bubble3D val="0"/>
            <c:spPr>
              <a:solidFill>
                <a:schemeClr val="accent3"/>
              </a:solidFill>
              <a:ln>
                <a:solidFill>
                  <a:schemeClr val="tx2"/>
                </a:solidFill>
              </a:ln>
            </c:spPr>
          </c:dPt>
          <c:dPt>
            <c:idx val="32"/>
            <c:invertIfNegative val="0"/>
            <c:bubble3D val="0"/>
            <c:spPr>
              <a:solidFill>
                <a:schemeClr val="accent3"/>
              </a:solidFill>
              <a:ln>
                <a:solidFill>
                  <a:schemeClr val="tx2"/>
                </a:solidFill>
              </a:ln>
            </c:spPr>
          </c:dPt>
          <c:dPt>
            <c:idx val="33"/>
            <c:invertIfNegative val="0"/>
            <c:bubble3D val="0"/>
            <c:spPr>
              <a:solidFill>
                <a:schemeClr val="accent3"/>
              </a:solidFill>
              <a:ln>
                <a:solidFill>
                  <a:schemeClr val="tx2"/>
                </a:solidFill>
              </a:ln>
            </c:spPr>
          </c:dPt>
          <c:dPt>
            <c:idx val="34"/>
            <c:invertIfNegative val="0"/>
            <c:bubble3D val="0"/>
            <c:spPr>
              <a:solidFill>
                <a:schemeClr val="accent3"/>
              </a:solidFill>
              <a:ln>
                <a:solidFill>
                  <a:schemeClr val="tx2"/>
                </a:solidFill>
              </a:ln>
            </c:spPr>
          </c:dPt>
          <c:dPt>
            <c:idx val="35"/>
            <c:invertIfNegative val="0"/>
            <c:bubble3D val="0"/>
            <c:spPr>
              <a:solidFill>
                <a:schemeClr val="accent3"/>
              </a:solidFill>
              <a:ln>
                <a:solidFill>
                  <a:schemeClr val="tx2"/>
                </a:solidFill>
              </a:ln>
            </c:spPr>
          </c:dPt>
          <c:errBars>
            <c:errBarType val="plus"/>
            <c:errValType val="cust"/>
            <c:noEndCap val="0"/>
            <c:plus>
              <c:numRef>
                <c:f>duration_ISP_graph_2013_update!$N$7:$AK$7</c:f>
                <c:numCache>
                  <c:formatCode>General</c:formatCode>
                  <c:ptCount val="24"/>
                  <c:pt idx="1">
                    <c:v>1680</c:v>
                  </c:pt>
                  <c:pt idx="2">
                    <c:v>1988</c:v>
                  </c:pt>
                  <c:pt idx="4">
                    <c:v>2639</c:v>
                  </c:pt>
                  <c:pt idx="5">
                    <c:v>1362</c:v>
                  </c:pt>
                  <c:pt idx="7">
                    <c:v>1792</c:v>
                  </c:pt>
                  <c:pt idx="8">
                    <c:v>1548.5</c:v>
                  </c:pt>
                  <c:pt idx="10">
                    <c:v>1455</c:v>
                  </c:pt>
                  <c:pt idx="11">
                    <c:v>1708</c:v>
                  </c:pt>
                  <c:pt idx="13">
                    <c:v>418</c:v>
                  </c:pt>
                  <c:pt idx="14">
                    <c:v>642</c:v>
                  </c:pt>
                  <c:pt idx="16">
                    <c:v>458</c:v>
                  </c:pt>
                  <c:pt idx="17">
                    <c:v>386.5</c:v>
                  </c:pt>
                  <c:pt idx="19">
                    <c:v>2029</c:v>
                  </c:pt>
                  <c:pt idx="20">
                    <c:v>994</c:v>
                  </c:pt>
                  <c:pt idx="22">
                    <c:v>4078</c:v>
                  </c:pt>
                  <c:pt idx="23">
                    <c:v>1498</c:v>
                  </c:pt>
                </c:numCache>
              </c:numRef>
            </c:plus>
            <c:minus>
              <c:numLit>
                <c:formatCode>General</c:formatCode>
                <c:ptCount val="1"/>
                <c:pt idx="0">
                  <c:v>1</c:v>
                </c:pt>
              </c:numLit>
            </c:minus>
          </c:errBars>
          <c:cat>
            <c:strRef>
              <c:f>duration_ISP_graph_2013_update!$N$16:$AH$16</c:f>
              <c:strCache>
                <c:ptCount val="20"/>
                <c:pt idx="1">
                  <c:v>Disability
Support
Pension</c:v>
                </c:pt>
                <c:pt idx="4">
                  <c:v>Newstart
Allowance</c:v>
                </c:pt>
                <c:pt idx="7">
                  <c:v>Parenting
Payment
(Single)</c:v>
                </c:pt>
                <c:pt idx="10">
                  <c:v>Parenting
Payment
(Partnered)</c:v>
                </c:pt>
                <c:pt idx="13">
                  <c:v>Youth
Allowance
(Student)</c:v>
                </c:pt>
                <c:pt idx="16">
                  <c:v>Youth
Allowance
(Job seeker)</c:v>
                </c:pt>
                <c:pt idx="19">
                  <c:v>Carer
Payment</c:v>
                </c:pt>
              </c:strCache>
            </c:strRef>
          </c:cat>
          <c:val>
            <c:numRef>
              <c:f>duration_ISP_graph_2013_update!$N$6:$AH$6</c:f>
              <c:numCache>
                <c:formatCode>0</c:formatCode>
                <c:ptCount val="21"/>
                <c:pt idx="1">
                  <c:v>2444</c:v>
                </c:pt>
                <c:pt idx="2">
                  <c:v>1484</c:v>
                </c:pt>
                <c:pt idx="4">
                  <c:v>1330</c:v>
                </c:pt>
                <c:pt idx="5">
                  <c:v>3277</c:v>
                </c:pt>
                <c:pt idx="7">
                  <c:v>1200</c:v>
                </c:pt>
                <c:pt idx="8">
                  <c:v>1910.5</c:v>
                </c:pt>
                <c:pt idx="10">
                  <c:v>946</c:v>
                </c:pt>
                <c:pt idx="11">
                  <c:v>1813</c:v>
                </c:pt>
                <c:pt idx="13">
                  <c:v>573</c:v>
                </c:pt>
                <c:pt idx="14">
                  <c:v>579.5</c:v>
                </c:pt>
                <c:pt idx="16">
                  <c:v>536</c:v>
                </c:pt>
                <c:pt idx="17">
                  <c:v>488.5</c:v>
                </c:pt>
                <c:pt idx="19">
                  <c:v>2379</c:v>
                </c:pt>
                <c:pt idx="20">
                  <c:v>2209</c:v>
                </c:pt>
              </c:numCache>
            </c:numRef>
          </c:val>
        </c:ser>
        <c:ser>
          <c:idx val="4"/>
          <c:order val="3"/>
          <c:tx>
            <c:strRef>
              <c:f>duration_ISP_graph_2013_update!$M$11</c:f>
              <c:strCache>
                <c:ptCount val="1"/>
                <c:pt idx="0">
                  <c:v>Gap</c:v>
                </c:pt>
              </c:strCache>
            </c:strRef>
          </c:tx>
          <c:spPr>
            <a:noFill/>
          </c:spPr>
          <c:invertIfNegative val="0"/>
          <c:cat>
            <c:strRef>
              <c:f>duration_ISP_graph_2013_update!$N$16:$AH$16</c:f>
              <c:strCache>
                <c:ptCount val="20"/>
                <c:pt idx="1">
                  <c:v>Disability
Support
Pension</c:v>
                </c:pt>
                <c:pt idx="4">
                  <c:v>Newstart
Allowance</c:v>
                </c:pt>
                <c:pt idx="7">
                  <c:v>Parenting
Payment
(Single)</c:v>
                </c:pt>
                <c:pt idx="10">
                  <c:v>Parenting
Payment
(Partnered)</c:v>
                </c:pt>
                <c:pt idx="13">
                  <c:v>Youth
Allowance
(Student)</c:v>
                </c:pt>
                <c:pt idx="16">
                  <c:v>Youth
Allowance
(Job seeker)</c:v>
                </c:pt>
                <c:pt idx="19">
                  <c:v>Carer
Payment</c:v>
                </c:pt>
              </c:strCache>
            </c:strRef>
          </c:cat>
          <c:val>
            <c:numRef>
              <c:f>duration_ISP_graph_2013_update!$N$11:$AH$11</c:f>
              <c:numCache>
                <c:formatCode>General</c:formatCode>
                <c:ptCount val="21"/>
                <c:pt idx="1">
                  <c:v>-200</c:v>
                </c:pt>
                <c:pt idx="2">
                  <c:v>-200</c:v>
                </c:pt>
                <c:pt idx="4">
                  <c:v>-200</c:v>
                </c:pt>
                <c:pt idx="5">
                  <c:v>-200</c:v>
                </c:pt>
                <c:pt idx="7">
                  <c:v>-200</c:v>
                </c:pt>
                <c:pt idx="8">
                  <c:v>-200</c:v>
                </c:pt>
                <c:pt idx="10">
                  <c:v>-200</c:v>
                </c:pt>
                <c:pt idx="11">
                  <c:v>-200</c:v>
                </c:pt>
                <c:pt idx="13">
                  <c:v>-200</c:v>
                </c:pt>
                <c:pt idx="14">
                  <c:v>-200</c:v>
                </c:pt>
                <c:pt idx="16">
                  <c:v>-200</c:v>
                </c:pt>
                <c:pt idx="17">
                  <c:v>-200</c:v>
                </c:pt>
                <c:pt idx="19">
                  <c:v>-200</c:v>
                </c:pt>
                <c:pt idx="20">
                  <c:v>-200</c:v>
                </c:pt>
              </c:numCache>
            </c:numRef>
          </c:val>
        </c:ser>
        <c:ser>
          <c:idx val="5"/>
          <c:order val="4"/>
          <c:tx>
            <c:strRef>
              <c:f>duration_ISP_graph_2013_update!$M$12</c:f>
              <c:strCache>
                <c:ptCount val="1"/>
                <c:pt idx="0">
                  <c:v>Commonwealth Rent Assistance</c:v>
                </c:pt>
              </c:strCache>
            </c:strRef>
          </c:tx>
          <c:spPr>
            <a:solidFill>
              <a:schemeClr val="accent1"/>
            </a:solidFill>
            <a:ln w="9525">
              <a:solidFill>
                <a:schemeClr val="tx1"/>
              </a:solidFill>
            </a:ln>
          </c:spPr>
          <c:invertIfNegative val="0"/>
          <c:cat>
            <c:strRef>
              <c:f>duration_ISP_graph_2013_update!$N$16:$AH$16</c:f>
              <c:strCache>
                <c:ptCount val="20"/>
                <c:pt idx="1">
                  <c:v>Disability
Support
Pension</c:v>
                </c:pt>
                <c:pt idx="4">
                  <c:v>Newstart
Allowance</c:v>
                </c:pt>
                <c:pt idx="7">
                  <c:v>Parenting
Payment
(Single)</c:v>
                </c:pt>
                <c:pt idx="10">
                  <c:v>Parenting
Payment
(Partnered)</c:v>
                </c:pt>
                <c:pt idx="13">
                  <c:v>Youth
Allowance
(Student)</c:v>
                </c:pt>
                <c:pt idx="16">
                  <c:v>Youth
Allowance
(Job seeker)</c:v>
                </c:pt>
                <c:pt idx="19">
                  <c:v>Carer
Payment</c:v>
                </c:pt>
              </c:strCache>
            </c:strRef>
          </c:cat>
          <c:val>
            <c:numRef>
              <c:f>duration_ISP_graph_2013_update!$N$12:$AH$12</c:f>
              <c:numCache>
                <c:formatCode>General</c:formatCode>
                <c:ptCount val="21"/>
                <c:pt idx="1">
                  <c:v>-200</c:v>
                </c:pt>
                <c:pt idx="2">
                  <c:v>-200</c:v>
                </c:pt>
                <c:pt idx="4">
                  <c:v>-200</c:v>
                </c:pt>
                <c:pt idx="5">
                  <c:v>-200</c:v>
                </c:pt>
                <c:pt idx="7">
                  <c:v>-200</c:v>
                </c:pt>
                <c:pt idx="8">
                  <c:v>-200</c:v>
                </c:pt>
                <c:pt idx="10">
                  <c:v>-200</c:v>
                </c:pt>
                <c:pt idx="11">
                  <c:v>-200</c:v>
                </c:pt>
                <c:pt idx="13">
                  <c:v>-200</c:v>
                </c:pt>
                <c:pt idx="14">
                  <c:v>-200</c:v>
                </c:pt>
                <c:pt idx="16">
                  <c:v>-200</c:v>
                </c:pt>
                <c:pt idx="17">
                  <c:v>-200</c:v>
                </c:pt>
                <c:pt idx="19">
                  <c:v>-200</c:v>
                </c:pt>
                <c:pt idx="20">
                  <c:v>-200</c:v>
                </c:pt>
              </c:numCache>
            </c:numRef>
          </c:val>
        </c:ser>
        <c:ser>
          <c:idx val="6"/>
          <c:order val="5"/>
          <c:tx>
            <c:strRef>
              <c:f>duration_ISP_graph_2013_update!$M$13</c:f>
              <c:strCache>
                <c:ptCount val="1"/>
                <c:pt idx="0">
                  <c:v>Public housing</c:v>
                </c:pt>
              </c:strCache>
            </c:strRef>
          </c:tx>
          <c:spPr>
            <a:solidFill>
              <a:schemeClr val="accent2"/>
            </a:solidFill>
            <a:ln w="9525">
              <a:solidFill>
                <a:schemeClr val="tx1"/>
              </a:solidFill>
            </a:ln>
          </c:spPr>
          <c:invertIfNegative val="0"/>
          <c:cat>
            <c:strRef>
              <c:f>duration_ISP_graph_2013_update!$N$16:$AH$16</c:f>
              <c:strCache>
                <c:ptCount val="20"/>
                <c:pt idx="1">
                  <c:v>Disability
Support
Pension</c:v>
                </c:pt>
                <c:pt idx="4">
                  <c:v>Newstart
Allowance</c:v>
                </c:pt>
                <c:pt idx="7">
                  <c:v>Parenting
Payment
(Single)</c:v>
                </c:pt>
                <c:pt idx="10">
                  <c:v>Parenting
Payment
(Partnered)</c:v>
                </c:pt>
                <c:pt idx="13">
                  <c:v>Youth
Allowance
(Student)</c:v>
                </c:pt>
                <c:pt idx="16">
                  <c:v>Youth
Allowance
(Job seeker)</c:v>
                </c:pt>
                <c:pt idx="19">
                  <c:v>Carer
Payment</c:v>
                </c:pt>
              </c:strCache>
            </c:strRef>
          </c:cat>
          <c:val>
            <c:numRef>
              <c:f>duration_ISP_graph_2013_update!$N$13:$AH$13</c:f>
              <c:numCache>
                <c:formatCode>General</c:formatCode>
                <c:ptCount val="21"/>
                <c:pt idx="1">
                  <c:v>-200</c:v>
                </c:pt>
                <c:pt idx="2">
                  <c:v>-200</c:v>
                </c:pt>
                <c:pt idx="4">
                  <c:v>-200</c:v>
                </c:pt>
                <c:pt idx="5">
                  <c:v>-200</c:v>
                </c:pt>
                <c:pt idx="7">
                  <c:v>-200</c:v>
                </c:pt>
                <c:pt idx="8">
                  <c:v>-200</c:v>
                </c:pt>
                <c:pt idx="10">
                  <c:v>-200</c:v>
                </c:pt>
                <c:pt idx="11">
                  <c:v>-200</c:v>
                </c:pt>
                <c:pt idx="13">
                  <c:v>-200</c:v>
                </c:pt>
                <c:pt idx="14">
                  <c:v>-200</c:v>
                </c:pt>
                <c:pt idx="16">
                  <c:v>-200</c:v>
                </c:pt>
                <c:pt idx="17">
                  <c:v>-200</c:v>
                </c:pt>
                <c:pt idx="19">
                  <c:v>-200</c:v>
                </c:pt>
                <c:pt idx="20">
                  <c:v>-200</c:v>
                </c:pt>
              </c:numCache>
            </c:numRef>
          </c:val>
        </c:ser>
        <c:ser>
          <c:idx val="8"/>
          <c:order val="8"/>
          <c:tx>
            <c:strRef>
              <c:f>duration_ISP_graph_2013_update!$M$10</c:f>
              <c:strCache>
                <c:ptCount val="1"/>
                <c:pt idx="0">
                  <c:v>Other tenure</c:v>
                </c:pt>
              </c:strCache>
            </c:strRef>
          </c:tx>
          <c:spPr>
            <a:solidFill>
              <a:schemeClr val="accent3"/>
            </a:solidFill>
            <a:ln w="9525">
              <a:solidFill>
                <a:schemeClr val="tx2"/>
              </a:solidFill>
            </a:ln>
          </c:spPr>
          <c:invertIfNegative val="0"/>
          <c:cat>
            <c:strRef>
              <c:f>duration_ISP_graph_2013_update!$N$16:$AH$16</c:f>
              <c:strCache>
                <c:ptCount val="20"/>
                <c:pt idx="1">
                  <c:v>Disability
Support
Pension</c:v>
                </c:pt>
                <c:pt idx="4">
                  <c:v>Newstart
Allowance</c:v>
                </c:pt>
                <c:pt idx="7">
                  <c:v>Parenting
Payment
(Single)</c:v>
                </c:pt>
                <c:pt idx="10">
                  <c:v>Parenting
Payment
(Partnered)</c:v>
                </c:pt>
                <c:pt idx="13">
                  <c:v>Youth
Allowance
(Student)</c:v>
                </c:pt>
                <c:pt idx="16">
                  <c:v>Youth
Allowance
(Job seeker)</c:v>
                </c:pt>
                <c:pt idx="19">
                  <c:v>Carer
Payment</c:v>
                </c:pt>
              </c:strCache>
            </c:strRef>
          </c:cat>
          <c:val>
            <c:numRef>
              <c:f>duration_ISP_graph_2013_update!$N$10:$AH$10</c:f>
              <c:numCache>
                <c:formatCode>General</c:formatCode>
                <c:ptCount val="21"/>
                <c:pt idx="1">
                  <c:v>-200</c:v>
                </c:pt>
                <c:pt idx="2">
                  <c:v>-200</c:v>
                </c:pt>
                <c:pt idx="4">
                  <c:v>-200</c:v>
                </c:pt>
                <c:pt idx="5">
                  <c:v>-200</c:v>
                </c:pt>
                <c:pt idx="7">
                  <c:v>-200</c:v>
                </c:pt>
                <c:pt idx="8">
                  <c:v>-200</c:v>
                </c:pt>
                <c:pt idx="10">
                  <c:v>-200</c:v>
                </c:pt>
                <c:pt idx="11">
                  <c:v>-200</c:v>
                </c:pt>
                <c:pt idx="13">
                  <c:v>-200</c:v>
                </c:pt>
                <c:pt idx="14">
                  <c:v>-200</c:v>
                </c:pt>
                <c:pt idx="16">
                  <c:v>-200</c:v>
                </c:pt>
                <c:pt idx="17">
                  <c:v>-200</c:v>
                </c:pt>
                <c:pt idx="19">
                  <c:v>-200</c:v>
                </c:pt>
                <c:pt idx="20">
                  <c:v>-200</c:v>
                </c:pt>
              </c:numCache>
            </c:numRef>
          </c:val>
        </c:ser>
        <c:dLbls>
          <c:showLegendKey val="0"/>
          <c:showVal val="0"/>
          <c:showCatName val="0"/>
          <c:showSerName val="0"/>
          <c:showPercent val="0"/>
          <c:showBubbleSize val="0"/>
        </c:dLbls>
        <c:gapWidth val="20"/>
        <c:overlap val="100"/>
        <c:axId val="36069376"/>
        <c:axId val="36070912"/>
      </c:barChart>
      <c:lineChart>
        <c:grouping val="standard"/>
        <c:varyColors val="0"/>
        <c:ser>
          <c:idx val="3"/>
          <c:order val="6"/>
          <c:tx>
            <c:strRef>
              <c:f>duration_ISP_graph_2013_update!$M$9</c:f>
              <c:strCache>
                <c:ptCount val="1"/>
                <c:pt idx="0">
                  <c:v>Mean</c:v>
                </c:pt>
              </c:strCache>
            </c:strRef>
          </c:tx>
          <c:spPr>
            <a:ln>
              <a:noFill/>
            </a:ln>
          </c:spPr>
          <c:marker>
            <c:symbol val="diamond"/>
            <c:size val="7"/>
            <c:spPr>
              <a:solidFill>
                <a:schemeClr val="bg1">
                  <a:alpha val="80000"/>
                </a:schemeClr>
              </a:solidFill>
              <a:ln>
                <a:noFill/>
              </a:ln>
            </c:spPr>
          </c:marker>
          <c:val>
            <c:numRef>
              <c:f>duration_ISP_graph_2013_update!$N$9:$AH$9</c:f>
              <c:numCache>
                <c:formatCode>0</c:formatCode>
                <c:ptCount val="21"/>
                <c:pt idx="1">
                  <c:v>4671.5</c:v>
                </c:pt>
                <c:pt idx="2">
                  <c:v>5880.42</c:v>
                </c:pt>
                <c:pt idx="4">
                  <c:v>1608.51</c:v>
                </c:pt>
                <c:pt idx="5">
                  <c:v>3173.83</c:v>
                </c:pt>
                <c:pt idx="7">
                  <c:v>2019.05</c:v>
                </c:pt>
                <c:pt idx="8">
                  <c:v>3485.96</c:v>
                </c:pt>
                <c:pt idx="10">
                  <c:v>1469.03</c:v>
                </c:pt>
                <c:pt idx="11">
                  <c:v>2713.76</c:v>
                </c:pt>
                <c:pt idx="13">
                  <c:v>727.01</c:v>
                </c:pt>
                <c:pt idx="14">
                  <c:v>1046.2</c:v>
                </c:pt>
                <c:pt idx="16">
                  <c:v>741.08</c:v>
                </c:pt>
                <c:pt idx="17">
                  <c:v>981.29</c:v>
                </c:pt>
                <c:pt idx="19">
                  <c:v>2975.64</c:v>
                </c:pt>
                <c:pt idx="20">
                  <c:v>4438.8900000000003</c:v>
                </c:pt>
              </c:numCache>
            </c:numRef>
          </c:val>
          <c:smooth val="0"/>
        </c:ser>
        <c:ser>
          <c:idx val="7"/>
          <c:order val="7"/>
          <c:tx>
            <c:strRef>
              <c:f>duration_ISP_graph_2013_update!$M$14</c:f>
              <c:strCache>
                <c:ptCount val="1"/>
                <c:pt idx="0">
                  <c:v>Zero</c:v>
                </c:pt>
              </c:strCache>
            </c:strRef>
          </c:tx>
          <c:spPr>
            <a:ln w="9525">
              <a:solidFill>
                <a:schemeClr val="bg2"/>
              </a:solidFill>
            </a:ln>
          </c:spPr>
          <c:marker>
            <c:symbol val="none"/>
          </c:marker>
          <c:val>
            <c:numRef>
              <c:f>duration_ISP_graph_2013_update!$N$14:$AH$14</c:f>
              <c:numCache>
                <c:formatCode>General</c:formatCode>
                <c:ptCount val="21"/>
                <c:pt idx="0">
                  <c:v>0</c:v>
                </c:pt>
                <c:pt idx="1">
                  <c:v>0</c:v>
                </c:pt>
                <c:pt idx="2">
                  <c:v>0</c:v>
                </c:pt>
                <c:pt idx="4">
                  <c:v>0</c:v>
                </c:pt>
                <c:pt idx="5">
                  <c:v>0</c:v>
                </c:pt>
                <c:pt idx="7">
                  <c:v>0</c:v>
                </c:pt>
                <c:pt idx="8">
                  <c:v>0</c:v>
                </c:pt>
                <c:pt idx="10">
                  <c:v>0</c:v>
                </c:pt>
                <c:pt idx="11">
                  <c:v>0</c:v>
                </c:pt>
                <c:pt idx="13">
                  <c:v>0</c:v>
                </c:pt>
                <c:pt idx="14">
                  <c:v>0</c:v>
                </c:pt>
                <c:pt idx="16">
                  <c:v>0</c:v>
                </c:pt>
                <c:pt idx="17">
                  <c:v>0</c:v>
                </c:pt>
                <c:pt idx="19">
                  <c:v>0</c:v>
                </c:pt>
                <c:pt idx="20">
                  <c:v>0</c:v>
                </c:pt>
              </c:numCache>
            </c:numRef>
          </c:val>
          <c:smooth val="0"/>
        </c:ser>
        <c:dLbls>
          <c:showLegendKey val="0"/>
          <c:showVal val="0"/>
          <c:showCatName val="0"/>
          <c:showSerName val="0"/>
          <c:showPercent val="0"/>
          <c:showBubbleSize val="0"/>
        </c:dLbls>
        <c:marker val="1"/>
        <c:smooth val="0"/>
        <c:axId val="36069376"/>
        <c:axId val="36070912"/>
      </c:lineChart>
      <c:catAx>
        <c:axId val="36069376"/>
        <c:scaling>
          <c:orientation val="minMax"/>
        </c:scaling>
        <c:delete val="0"/>
        <c:axPos val="b"/>
        <c:numFmt formatCode="General" sourceLinked="1"/>
        <c:majorTickMark val="none"/>
        <c:minorTickMark val="none"/>
        <c:tickLblPos val="nextTo"/>
        <c:spPr>
          <a:ln>
            <a:solidFill>
              <a:schemeClr val="bg2"/>
            </a:solidFill>
          </a:ln>
        </c:spPr>
        <c:txPr>
          <a:bodyPr/>
          <a:lstStyle/>
          <a:p>
            <a:pPr>
              <a:defRPr sz="900"/>
            </a:pPr>
            <a:endParaRPr lang="en-US"/>
          </a:p>
        </c:txPr>
        <c:crossAx val="36070912"/>
        <c:crosses val="autoZero"/>
        <c:auto val="1"/>
        <c:lblAlgn val="l"/>
        <c:lblOffset val="0"/>
        <c:tickMarkSkip val="3"/>
        <c:noMultiLvlLbl val="0"/>
      </c:catAx>
      <c:valAx>
        <c:axId val="36070912"/>
        <c:scaling>
          <c:orientation val="minMax"/>
          <c:max val="10000"/>
          <c:min val="0"/>
        </c:scaling>
        <c:delete val="0"/>
        <c:axPos val="l"/>
        <c:title>
          <c:tx>
            <c:rich>
              <a:bodyPr rot="-5400000" vert="horz"/>
              <a:lstStyle/>
              <a:p>
                <a:pPr>
                  <a:defRPr/>
                </a:pPr>
                <a:r>
                  <a:rPr lang="en-AU"/>
                  <a:t>Duration ('000 days)</a:t>
                </a:r>
              </a:p>
            </c:rich>
          </c:tx>
          <c:layout>
            <c:manualLayout>
              <c:xMode val="edge"/>
              <c:yMode val="edge"/>
              <c:x val="0"/>
              <c:y val="0.19928472222222221"/>
            </c:manualLayout>
          </c:layout>
          <c:overlay val="0"/>
        </c:title>
        <c:numFmt formatCode="0," sourceLinked="0"/>
        <c:majorTickMark val="out"/>
        <c:minorTickMark val="none"/>
        <c:tickLblPos val="nextTo"/>
        <c:spPr>
          <a:ln>
            <a:solidFill>
              <a:schemeClr val="bg2"/>
            </a:solidFill>
          </a:ln>
        </c:spPr>
        <c:crossAx val="36069376"/>
        <c:crosses val="autoZero"/>
        <c:crossBetween val="between"/>
        <c:majorUnit val="2000"/>
      </c:valAx>
    </c:plotArea>
    <c:plotVisOnly val="1"/>
    <c:dispBlanksAs val="gap"/>
    <c:showDLblsOverMax val="0"/>
  </c:chart>
  <c:spPr>
    <a:solidFill>
      <a:schemeClr val="bg1"/>
    </a:solidFill>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30194444444444"/>
          <c:y val="9.33788888888889E-2"/>
          <c:w val="0.85293716475095804"/>
          <c:h val="0.77812638888888896"/>
        </c:manualLayout>
      </c:layout>
      <c:barChart>
        <c:barDir val="col"/>
        <c:grouping val="stacked"/>
        <c:varyColors val="0"/>
        <c:ser>
          <c:idx val="0"/>
          <c:order val="0"/>
          <c:tx>
            <c:strRef>
              <c:f>'box and whiskers legend'!$A$19</c:f>
              <c:strCache>
                <c:ptCount val="1"/>
                <c:pt idx="0">
                  <c:v>Bottom</c:v>
                </c:pt>
              </c:strCache>
            </c:strRef>
          </c:tx>
          <c:spPr>
            <a:noFill/>
            <a:ln>
              <a:noFill/>
            </a:ln>
          </c:spPr>
          <c:invertIfNegative val="0"/>
          <c:cat>
            <c:numRef>
              <c:f>'box and whiskers legend'!$B$18:$V$18</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'box and whiskers legend'!$B$19:$V$19</c:f>
              <c:numCache>
                <c:formatCode>General</c:formatCode>
                <c:ptCount val="21"/>
                <c:pt idx="1">
                  <c:v>1824</c:v>
                </c:pt>
                <c:pt idx="2">
                  <c:v>1936</c:v>
                </c:pt>
                <c:pt idx="3">
                  <c:v>2140</c:v>
                </c:pt>
                <c:pt idx="4">
                  <c:v>2105</c:v>
                </c:pt>
                <c:pt idx="5">
                  <c:v>1841</c:v>
                </c:pt>
                <c:pt idx="6">
                  <c:v>2068</c:v>
                </c:pt>
                <c:pt idx="8">
                  <c:v>2679</c:v>
                </c:pt>
                <c:pt idx="9">
                  <c:v>2972</c:v>
                </c:pt>
                <c:pt idx="10">
                  <c:v>3274</c:v>
                </c:pt>
                <c:pt idx="11">
                  <c:v>3400</c:v>
                </c:pt>
                <c:pt idx="12">
                  <c:v>3461</c:v>
                </c:pt>
                <c:pt idx="13">
                  <c:v>3588</c:v>
                </c:pt>
                <c:pt idx="15">
                  <c:v>1189</c:v>
                </c:pt>
                <c:pt idx="16">
                  <c:v>1323</c:v>
                </c:pt>
                <c:pt idx="17">
                  <c:v>1481</c:v>
                </c:pt>
                <c:pt idx="18">
                  <c:v>1423</c:v>
                </c:pt>
                <c:pt idx="19">
                  <c:v>1256</c:v>
                </c:pt>
                <c:pt idx="20">
                  <c:v>1666</c:v>
                </c:pt>
              </c:numCache>
            </c:numRef>
          </c:val>
        </c:ser>
        <c:ser>
          <c:idx val="1"/>
          <c:order val="1"/>
          <c:tx>
            <c:strRef>
              <c:f>'box and whiskers legend'!$A$20</c:f>
              <c:strCache>
                <c:ptCount val="1"/>
                <c:pt idx="0">
                  <c:v>2q box</c:v>
                </c:pt>
              </c:strCache>
            </c:strRef>
          </c:tx>
          <c:spPr>
            <a:solidFill>
              <a:schemeClr val="accent1"/>
            </a:solidFill>
            <a:ln>
              <a:solidFill>
                <a:schemeClr val="tx2"/>
              </a:solidFill>
            </a:ln>
          </c:spPr>
          <c:invertIfNegative val="0"/>
          <c:dPt>
            <c:idx val="2"/>
            <c:invertIfNegative val="0"/>
            <c:bubble3D val="0"/>
          </c:dPt>
          <c:dPt>
            <c:idx val="3"/>
            <c:invertIfNegative val="0"/>
            <c:bubble3D val="0"/>
          </c:dPt>
          <c:dPt>
            <c:idx val="6"/>
            <c:invertIfNegative val="0"/>
            <c:bubble3D val="0"/>
          </c:dPt>
          <c:dPt>
            <c:idx val="7"/>
            <c:invertIfNegative val="0"/>
            <c:bubble3D val="0"/>
          </c:dPt>
          <c:dPt>
            <c:idx val="8"/>
            <c:invertIfNegative val="0"/>
            <c:bubble3D val="0"/>
            <c:spPr>
              <a:solidFill>
                <a:schemeClr val="accent2"/>
              </a:solidFill>
              <a:ln>
                <a:solidFill>
                  <a:schemeClr val="tx2"/>
                </a:solidFill>
              </a:ln>
            </c:spPr>
          </c:dPt>
          <c:dPt>
            <c:idx val="9"/>
            <c:invertIfNegative val="0"/>
            <c:bubble3D val="0"/>
            <c:spPr>
              <a:solidFill>
                <a:schemeClr val="accent2"/>
              </a:solidFill>
              <a:ln>
                <a:solidFill>
                  <a:schemeClr val="tx2"/>
                </a:solidFill>
              </a:ln>
            </c:spPr>
          </c:dPt>
          <c:dPt>
            <c:idx val="10"/>
            <c:invertIfNegative val="0"/>
            <c:bubble3D val="0"/>
            <c:spPr>
              <a:solidFill>
                <a:schemeClr val="accent2"/>
              </a:solidFill>
              <a:ln>
                <a:solidFill>
                  <a:schemeClr val="tx2"/>
                </a:solidFill>
              </a:ln>
            </c:spPr>
          </c:dPt>
          <c:dPt>
            <c:idx val="11"/>
            <c:invertIfNegative val="0"/>
            <c:bubble3D val="0"/>
            <c:spPr>
              <a:solidFill>
                <a:schemeClr val="accent2"/>
              </a:solidFill>
              <a:ln>
                <a:solidFill>
                  <a:schemeClr val="tx2"/>
                </a:solidFill>
              </a:ln>
            </c:spPr>
          </c:dPt>
          <c:dPt>
            <c:idx val="12"/>
            <c:invertIfNegative val="0"/>
            <c:bubble3D val="0"/>
            <c:spPr>
              <a:solidFill>
                <a:schemeClr val="accent2"/>
              </a:solidFill>
              <a:ln>
                <a:solidFill>
                  <a:schemeClr val="tx2"/>
                </a:solidFill>
              </a:ln>
            </c:spPr>
          </c:dPt>
          <c:dPt>
            <c:idx val="13"/>
            <c:invertIfNegative val="0"/>
            <c:bubble3D val="0"/>
            <c:spPr>
              <a:solidFill>
                <a:schemeClr val="accent2"/>
              </a:solidFill>
              <a:ln>
                <a:solidFill>
                  <a:schemeClr val="tx2"/>
                </a:solidFill>
              </a:ln>
            </c:spPr>
          </c:dPt>
          <c:dPt>
            <c:idx val="14"/>
            <c:invertIfNegative val="0"/>
            <c:bubble3D val="0"/>
            <c:spPr>
              <a:solidFill>
                <a:schemeClr val="accent2"/>
              </a:solidFill>
              <a:ln>
                <a:solidFill>
                  <a:schemeClr val="tx2"/>
                </a:solidFill>
              </a:ln>
            </c:spPr>
          </c:dPt>
          <c:dPt>
            <c:idx val="15"/>
            <c:invertIfNegative val="0"/>
            <c:bubble3D val="0"/>
            <c:spPr>
              <a:solidFill>
                <a:schemeClr val="accent3"/>
              </a:solidFill>
              <a:ln>
                <a:solidFill>
                  <a:schemeClr val="tx2"/>
                </a:solidFill>
              </a:ln>
            </c:spPr>
          </c:dPt>
          <c:dPt>
            <c:idx val="16"/>
            <c:invertIfNegative val="0"/>
            <c:bubble3D val="0"/>
            <c:spPr>
              <a:solidFill>
                <a:schemeClr val="accent3"/>
              </a:solidFill>
              <a:ln>
                <a:solidFill>
                  <a:schemeClr val="tx2"/>
                </a:solidFill>
              </a:ln>
            </c:spPr>
          </c:dPt>
          <c:dPt>
            <c:idx val="17"/>
            <c:invertIfNegative val="0"/>
            <c:bubble3D val="0"/>
            <c:spPr>
              <a:solidFill>
                <a:schemeClr val="accent3"/>
              </a:solidFill>
              <a:ln>
                <a:solidFill>
                  <a:schemeClr val="tx2"/>
                </a:solidFill>
              </a:ln>
            </c:spPr>
          </c:dPt>
          <c:dPt>
            <c:idx val="18"/>
            <c:invertIfNegative val="0"/>
            <c:bubble3D val="0"/>
            <c:spPr>
              <a:solidFill>
                <a:schemeClr val="accent3"/>
              </a:solidFill>
              <a:ln>
                <a:solidFill>
                  <a:schemeClr val="tx2"/>
                </a:solidFill>
              </a:ln>
            </c:spPr>
          </c:dPt>
          <c:dPt>
            <c:idx val="19"/>
            <c:invertIfNegative val="0"/>
            <c:bubble3D val="0"/>
            <c:spPr>
              <a:solidFill>
                <a:schemeClr val="accent3"/>
              </a:solidFill>
              <a:ln>
                <a:solidFill>
                  <a:schemeClr val="tx2"/>
                </a:solidFill>
              </a:ln>
            </c:spPr>
          </c:dPt>
          <c:dPt>
            <c:idx val="20"/>
            <c:invertIfNegative val="0"/>
            <c:bubble3D val="0"/>
            <c:spPr>
              <a:solidFill>
                <a:schemeClr val="accent3"/>
              </a:solidFill>
              <a:ln>
                <a:solidFill>
                  <a:schemeClr val="tx2"/>
                </a:solidFill>
              </a:ln>
            </c:spPr>
          </c:dPt>
          <c:dPt>
            <c:idx val="21"/>
            <c:invertIfNegative val="0"/>
            <c:bubble3D val="0"/>
            <c:spPr>
              <a:solidFill>
                <a:schemeClr val="accent2"/>
              </a:solidFill>
              <a:ln>
                <a:solidFill>
                  <a:schemeClr val="tx2"/>
                </a:solidFill>
              </a:ln>
            </c:spPr>
          </c:dPt>
          <c:dPt>
            <c:idx val="22"/>
            <c:invertIfNegative val="0"/>
            <c:bubble3D val="0"/>
            <c:spPr>
              <a:solidFill>
                <a:schemeClr val="accent2"/>
              </a:solidFill>
              <a:ln>
                <a:solidFill>
                  <a:schemeClr val="tx2"/>
                </a:solidFill>
              </a:ln>
            </c:spPr>
          </c:dPt>
          <c:dPt>
            <c:idx val="23"/>
            <c:invertIfNegative val="0"/>
            <c:bubble3D val="0"/>
            <c:spPr>
              <a:solidFill>
                <a:schemeClr val="accent2"/>
              </a:solidFill>
              <a:ln>
                <a:solidFill>
                  <a:schemeClr val="tx2"/>
                </a:solidFill>
              </a:ln>
            </c:spPr>
          </c:dPt>
          <c:dPt>
            <c:idx val="25"/>
            <c:invertIfNegative val="0"/>
            <c:bubble3D val="0"/>
            <c:spPr>
              <a:solidFill>
                <a:schemeClr val="accent3"/>
              </a:solidFill>
              <a:ln>
                <a:solidFill>
                  <a:schemeClr val="tx2"/>
                </a:solidFill>
              </a:ln>
            </c:spPr>
          </c:dPt>
          <c:dPt>
            <c:idx val="26"/>
            <c:invertIfNegative val="0"/>
            <c:bubble3D val="0"/>
            <c:spPr>
              <a:solidFill>
                <a:schemeClr val="accent3"/>
              </a:solidFill>
              <a:ln>
                <a:solidFill>
                  <a:schemeClr val="tx2"/>
                </a:solidFill>
              </a:ln>
            </c:spPr>
          </c:dPt>
          <c:dPt>
            <c:idx val="27"/>
            <c:invertIfNegative val="0"/>
            <c:bubble3D val="0"/>
            <c:spPr>
              <a:solidFill>
                <a:schemeClr val="accent3"/>
              </a:solidFill>
              <a:ln>
                <a:solidFill>
                  <a:schemeClr val="tx2"/>
                </a:solidFill>
              </a:ln>
            </c:spPr>
          </c:dPt>
          <c:dPt>
            <c:idx val="28"/>
            <c:invertIfNegative val="0"/>
            <c:bubble3D val="0"/>
            <c:spPr>
              <a:solidFill>
                <a:schemeClr val="accent3"/>
              </a:solidFill>
              <a:ln>
                <a:solidFill>
                  <a:schemeClr val="tx2"/>
                </a:solidFill>
              </a:ln>
            </c:spPr>
          </c:dPt>
          <c:dPt>
            <c:idx val="29"/>
            <c:invertIfNegative val="0"/>
            <c:bubble3D val="0"/>
            <c:spPr>
              <a:solidFill>
                <a:schemeClr val="accent3"/>
              </a:solidFill>
              <a:ln>
                <a:solidFill>
                  <a:schemeClr val="tx2"/>
                </a:solidFill>
              </a:ln>
            </c:spPr>
          </c:dPt>
          <c:dPt>
            <c:idx val="30"/>
            <c:invertIfNegative val="0"/>
            <c:bubble3D val="0"/>
            <c:spPr>
              <a:solidFill>
                <a:schemeClr val="accent3"/>
              </a:solidFill>
              <a:ln>
                <a:solidFill>
                  <a:schemeClr val="tx2"/>
                </a:solidFill>
              </a:ln>
            </c:spPr>
          </c:dPt>
          <c:dPt>
            <c:idx val="31"/>
            <c:invertIfNegative val="0"/>
            <c:bubble3D val="0"/>
            <c:spPr>
              <a:solidFill>
                <a:schemeClr val="accent3"/>
              </a:solidFill>
              <a:ln>
                <a:solidFill>
                  <a:schemeClr val="tx2"/>
                </a:solidFill>
              </a:ln>
            </c:spPr>
          </c:dPt>
          <c:dPt>
            <c:idx val="32"/>
            <c:invertIfNegative val="0"/>
            <c:bubble3D val="0"/>
            <c:spPr>
              <a:solidFill>
                <a:schemeClr val="accent3"/>
              </a:solidFill>
              <a:ln>
                <a:solidFill>
                  <a:schemeClr val="tx2"/>
                </a:solidFill>
              </a:ln>
            </c:spPr>
          </c:dPt>
          <c:dPt>
            <c:idx val="33"/>
            <c:invertIfNegative val="0"/>
            <c:bubble3D val="0"/>
            <c:spPr>
              <a:solidFill>
                <a:schemeClr val="accent3"/>
              </a:solidFill>
              <a:ln>
                <a:solidFill>
                  <a:schemeClr val="tx2"/>
                </a:solidFill>
              </a:ln>
            </c:spPr>
          </c:dPt>
          <c:dPt>
            <c:idx val="34"/>
            <c:invertIfNegative val="0"/>
            <c:bubble3D val="0"/>
            <c:spPr>
              <a:solidFill>
                <a:schemeClr val="accent3"/>
              </a:solidFill>
              <a:ln>
                <a:solidFill>
                  <a:schemeClr val="tx2"/>
                </a:solidFill>
              </a:ln>
            </c:spPr>
          </c:dPt>
          <c:dPt>
            <c:idx val="35"/>
            <c:invertIfNegative val="0"/>
            <c:bubble3D val="0"/>
            <c:spPr>
              <a:solidFill>
                <a:schemeClr val="accent3"/>
              </a:solidFill>
              <a:ln>
                <a:solidFill>
                  <a:schemeClr val="tx2"/>
                </a:solidFill>
              </a:ln>
            </c:spPr>
          </c:dPt>
          <c:cat>
            <c:numRef>
              <c:f>'box and whiskers legend'!$B$18:$V$18</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'box and whiskers legend'!$B$20:$V$20</c:f>
              <c:numCache>
                <c:formatCode>General</c:formatCode>
                <c:ptCount val="21"/>
                <c:pt idx="1">
                  <c:v>1278</c:v>
                </c:pt>
                <c:pt idx="2">
                  <c:v>1593</c:v>
                </c:pt>
                <c:pt idx="3">
                  <c:v>1790</c:v>
                </c:pt>
                <c:pt idx="4">
                  <c:v>2017</c:v>
                </c:pt>
                <c:pt idx="5">
                  <c:v>2226</c:v>
                </c:pt>
                <c:pt idx="6">
                  <c:v>2271</c:v>
                </c:pt>
                <c:pt idx="8">
                  <c:v>1015</c:v>
                </c:pt>
                <c:pt idx="9">
                  <c:v>1187</c:v>
                </c:pt>
                <c:pt idx="10">
                  <c:v>1401</c:v>
                </c:pt>
                <c:pt idx="11">
                  <c:v>1800</c:v>
                </c:pt>
                <c:pt idx="12">
                  <c:v>2244</c:v>
                </c:pt>
                <c:pt idx="13">
                  <c:v>2548</c:v>
                </c:pt>
                <c:pt idx="15">
                  <c:v>1413</c:v>
                </c:pt>
                <c:pt idx="16">
                  <c:v>1473</c:v>
                </c:pt>
                <c:pt idx="17">
                  <c:v>1577</c:v>
                </c:pt>
                <c:pt idx="18">
                  <c:v>1736</c:v>
                </c:pt>
                <c:pt idx="19">
                  <c:v>1932</c:v>
                </c:pt>
                <c:pt idx="20">
                  <c:v>1935</c:v>
                </c:pt>
              </c:numCache>
            </c:numRef>
          </c:val>
        </c:ser>
        <c:ser>
          <c:idx val="2"/>
          <c:order val="2"/>
          <c:tx>
            <c:strRef>
              <c:f>'box and whiskers legend'!$A$21</c:f>
              <c:strCache>
                <c:ptCount val="1"/>
                <c:pt idx="0">
                  <c:v>3q box</c:v>
                </c:pt>
              </c:strCache>
            </c:strRef>
          </c:tx>
          <c:spPr>
            <a:solidFill>
              <a:schemeClr val="accent1"/>
            </a:solidFill>
            <a:ln>
              <a:solidFill>
                <a:schemeClr val="tx2"/>
              </a:solidFill>
            </a:ln>
          </c:spPr>
          <c:invertIfNegative val="0"/>
          <c:dPt>
            <c:idx val="2"/>
            <c:invertIfNegative val="0"/>
            <c:bubble3D val="0"/>
          </c:dPt>
          <c:dPt>
            <c:idx val="3"/>
            <c:invertIfNegative val="0"/>
            <c:bubble3D val="0"/>
          </c:dPt>
          <c:dPt>
            <c:idx val="6"/>
            <c:invertIfNegative val="0"/>
            <c:bubble3D val="0"/>
          </c:dPt>
          <c:dPt>
            <c:idx val="7"/>
            <c:invertIfNegative val="0"/>
            <c:bubble3D val="0"/>
          </c:dPt>
          <c:dPt>
            <c:idx val="8"/>
            <c:invertIfNegative val="0"/>
            <c:bubble3D val="0"/>
            <c:spPr>
              <a:solidFill>
                <a:schemeClr val="accent2"/>
              </a:solidFill>
              <a:ln>
                <a:solidFill>
                  <a:schemeClr val="tx2"/>
                </a:solidFill>
              </a:ln>
            </c:spPr>
          </c:dPt>
          <c:dPt>
            <c:idx val="9"/>
            <c:invertIfNegative val="0"/>
            <c:bubble3D val="0"/>
            <c:spPr>
              <a:solidFill>
                <a:schemeClr val="accent2"/>
              </a:solidFill>
              <a:ln>
                <a:solidFill>
                  <a:schemeClr val="tx2"/>
                </a:solidFill>
              </a:ln>
            </c:spPr>
          </c:dPt>
          <c:dPt>
            <c:idx val="10"/>
            <c:invertIfNegative val="0"/>
            <c:bubble3D val="0"/>
            <c:spPr>
              <a:solidFill>
                <a:schemeClr val="accent2"/>
              </a:solidFill>
              <a:ln>
                <a:solidFill>
                  <a:schemeClr val="tx2"/>
                </a:solidFill>
              </a:ln>
            </c:spPr>
          </c:dPt>
          <c:dPt>
            <c:idx val="11"/>
            <c:invertIfNegative val="0"/>
            <c:bubble3D val="0"/>
            <c:spPr>
              <a:solidFill>
                <a:schemeClr val="accent2"/>
              </a:solidFill>
              <a:ln>
                <a:solidFill>
                  <a:schemeClr val="tx2"/>
                </a:solidFill>
              </a:ln>
            </c:spPr>
          </c:dPt>
          <c:dPt>
            <c:idx val="12"/>
            <c:invertIfNegative val="0"/>
            <c:bubble3D val="0"/>
            <c:spPr>
              <a:solidFill>
                <a:schemeClr val="accent2"/>
              </a:solidFill>
              <a:ln>
                <a:solidFill>
                  <a:schemeClr val="tx2"/>
                </a:solidFill>
              </a:ln>
            </c:spPr>
          </c:dPt>
          <c:dPt>
            <c:idx val="13"/>
            <c:invertIfNegative val="0"/>
            <c:bubble3D val="0"/>
            <c:spPr>
              <a:solidFill>
                <a:schemeClr val="accent2"/>
              </a:solidFill>
              <a:ln>
                <a:solidFill>
                  <a:schemeClr val="tx2"/>
                </a:solidFill>
              </a:ln>
            </c:spPr>
          </c:dPt>
          <c:dPt>
            <c:idx val="14"/>
            <c:invertIfNegative val="0"/>
            <c:bubble3D val="0"/>
            <c:spPr>
              <a:solidFill>
                <a:schemeClr val="accent2"/>
              </a:solidFill>
              <a:ln>
                <a:solidFill>
                  <a:schemeClr val="tx2"/>
                </a:solidFill>
              </a:ln>
            </c:spPr>
          </c:dPt>
          <c:dPt>
            <c:idx val="15"/>
            <c:invertIfNegative val="0"/>
            <c:bubble3D val="0"/>
            <c:spPr>
              <a:solidFill>
                <a:schemeClr val="accent3"/>
              </a:solidFill>
              <a:ln>
                <a:solidFill>
                  <a:schemeClr val="tx2"/>
                </a:solidFill>
              </a:ln>
            </c:spPr>
          </c:dPt>
          <c:dPt>
            <c:idx val="16"/>
            <c:invertIfNegative val="0"/>
            <c:bubble3D val="0"/>
            <c:spPr>
              <a:solidFill>
                <a:schemeClr val="accent3"/>
              </a:solidFill>
              <a:ln>
                <a:solidFill>
                  <a:schemeClr val="tx2"/>
                </a:solidFill>
              </a:ln>
            </c:spPr>
          </c:dPt>
          <c:dPt>
            <c:idx val="17"/>
            <c:invertIfNegative val="0"/>
            <c:bubble3D val="0"/>
            <c:spPr>
              <a:solidFill>
                <a:schemeClr val="accent3"/>
              </a:solidFill>
              <a:ln>
                <a:solidFill>
                  <a:schemeClr val="tx2"/>
                </a:solidFill>
              </a:ln>
            </c:spPr>
          </c:dPt>
          <c:dPt>
            <c:idx val="18"/>
            <c:invertIfNegative val="0"/>
            <c:bubble3D val="0"/>
            <c:spPr>
              <a:solidFill>
                <a:schemeClr val="accent3"/>
              </a:solidFill>
              <a:ln>
                <a:solidFill>
                  <a:schemeClr val="tx2"/>
                </a:solidFill>
              </a:ln>
            </c:spPr>
          </c:dPt>
          <c:dPt>
            <c:idx val="19"/>
            <c:invertIfNegative val="0"/>
            <c:bubble3D val="0"/>
            <c:spPr>
              <a:solidFill>
                <a:schemeClr val="accent3"/>
              </a:solidFill>
              <a:ln>
                <a:solidFill>
                  <a:schemeClr val="tx2"/>
                </a:solidFill>
              </a:ln>
            </c:spPr>
          </c:dPt>
          <c:dPt>
            <c:idx val="20"/>
            <c:invertIfNegative val="0"/>
            <c:bubble3D val="0"/>
            <c:spPr>
              <a:solidFill>
                <a:schemeClr val="accent3"/>
              </a:solidFill>
              <a:ln>
                <a:solidFill>
                  <a:schemeClr val="tx2"/>
                </a:solidFill>
              </a:ln>
            </c:spPr>
          </c:dPt>
          <c:dPt>
            <c:idx val="21"/>
            <c:invertIfNegative val="0"/>
            <c:bubble3D val="0"/>
            <c:spPr>
              <a:solidFill>
                <a:schemeClr val="accent2"/>
              </a:solidFill>
              <a:ln>
                <a:solidFill>
                  <a:schemeClr val="tx2"/>
                </a:solidFill>
              </a:ln>
            </c:spPr>
          </c:dPt>
          <c:dPt>
            <c:idx val="22"/>
            <c:invertIfNegative val="0"/>
            <c:bubble3D val="0"/>
            <c:spPr>
              <a:solidFill>
                <a:schemeClr val="accent2"/>
              </a:solidFill>
              <a:ln>
                <a:solidFill>
                  <a:schemeClr val="tx2"/>
                </a:solidFill>
              </a:ln>
            </c:spPr>
          </c:dPt>
          <c:dPt>
            <c:idx val="23"/>
            <c:invertIfNegative val="0"/>
            <c:bubble3D val="0"/>
            <c:spPr>
              <a:solidFill>
                <a:schemeClr val="accent2"/>
              </a:solidFill>
              <a:ln>
                <a:solidFill>
                  <a:schemeClr val="tx2"/>
                </a:solidFill>
              </a:ln>
            </c:spPr>
          </c:dPt>
          <c:dPt>
            <c:idx val="25"/>
            <c:invertIfNegative val="0"/>
            <c:bubble3D val="0"/>
            <c:spPr>
              <a:solidFill>
                <a:schemeClr val="accent3"/>
              </a:solidFill>
              <a:ln>
                <a:solidFill>
                  <a:schemeClr val="tx2"/>
                </a:solidFill>
              </a:ln>
            </c:spPr>
          </c:dPt>
          <c:dPt>
            <c:idx val="26"/>
            <c:invertIfNegative val="0"/>
            <c:bubble3D val="0"/>
            <c:spPr>
              <a:solidFill>
                <a:schemeClr val="accent3"/>
              </a:solidFill>
              <a:ln>
                <a:solidFill>
                  <a:schemeClr val="tx2"/>
                </a:solidFill>
              </a:ln>
            </c:spPr>
          </c:dPt>
          <c:dPt>
            <c:idx val="27"/>
            <c:invertIfNegative val="0"/>
            <c:bubble3D val="0"/>
            <c:spPr>
              <a:solidFill>
                <a:schemeClr val="accent3"/>
              </a:solidFill>
              <a:ln>
                <a:solidFill>
                  <a:schemeClr val="tx2"/>
                </a:solidFill>
              </a:ln>
            </c:spPr>
          </c:dPt>
          <c:dPt>
            <c:idx val="28"/>
            <c:invertIfNegative val="0"/>
            <c:bubble3D val="0"/>
            <c:spPr>
              <a:solidFill>
                <a:schemeClr val="accent3"/>
              </a:solidFill>
              <a:ln>
                <a:solidFill>
                  <a:schemeClr val="tx2"/>
                </a:solidFill>
              </a:ln>
            </c:spPr>
          </c:dPt>
          <c:dPt>
            <c:idx val="29"/>
            <c:invertIfNegative val="0"/>
            <c:bubble3D val="0"/>
            <c:spPr>
              <a:solidFill>
                <a:schemeClr val="accent3"/>
              </a:solidFill>
              <a:ln>
                <a:solidFill>
                  <a:schemeClr val="tx2"/>
                </a:solidFill>
              </a:ln>
            </c:spPr>
          </c:dPt>
          <c:dPt>
            <c:idx val="30"/>
            <c:invertIfNegative val="0"/>
            <c:bubble3D val="0"/>
            <c:spPr>
              <a:solidFill>
                <a:schemeClr val="accent3"/>
              </a:solidFill>
              <a:ln>
                <a:solidFill>
                  <a:schemeClr val="tx2"/>
                </a:solidFill>
              </a:ln>
            </c:spPr>
          </c:dPt>
          <c:dPt>
            <c:idx val="31"/>
            <c:invertIfNegative val="0"/>
            <c:bubble3D val="0"/>
            <c:spPr>
              <a:solidFill>
                <a:schemeClr val="accent3"/>
              </a:solidFill>
              <a:ln>
                <a:solidFill>
                  <a:schemeClr val="tx2"/>
                </a:solidFill>
              </a:ln>
            </c:spPr>
          </c:dPt>
          <c:dPt>
            <c:idx val="32"/>
            <c:invertIfNegative val="0"/>
            <c:bubble3D val="0"/>
            <c:spPr>
              <a:solidFill>
                <a:schemeClr val="accent3"/>
              </a:solidFill>
              <a:ln>
                <a:solidFill>
                  <a:schemeClr val="tx2"/>
                </a:solidFill>
              </a:ln>
            </c:spPr>
          </c:dPt>
          <c:dPt>
            <c:idx val="33"/>
            <c:invertIfNegative val="0"/>
            <c:bubble3D val="0"/>
            <c:spPr>
              <a:solidFill>
                <a:schemeClr val="accent3"/>
              </a:solidFill>
              <a:ln>
                <a:solidFill>
                  <a:schemeClr val="tx2"/>
                </a:solidFill>
              </a:ln>
            </c:spPr>
          </c:dPt>
          <c:dPt>
            <c:idx val="34"/>
            <c:invertIfNegative val="0"/>
            <c:bubble3D val="0"/>
            <c:spPr>
              <a:solidFill>
                <a:schemeClr val="accent3"/>
              </a:solidFill>
              <a:ln>
                <a:solidFill>
                  <a:schemeClr val="tx2"/>
                </a:solidFill>
              </a:ln>
            </c:spPr>
          </c:dPt>
          <c:dPt>
            <c:idx val="35"/>
            <c:invertIfNegative val="0"/>
            <c:bubble3D val="0"/>
            <c:spPr>
              <a:solidFill>
                <a:schemeClr val="accent3"/>
              </a:solidFill>
              <a:ln>
                <a:solidFill>
                  <a:schemeClr val="tx2"/>
                </a:solidFill>
              </a:ln>
            </c:spPr>
          </c:dPt>
          <c:cat>
            <c:numRef>
              <c:f>'box and whiskers legend'!$B$18:$V$18</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'box and whiskers legend'!$B$21:$V$21</c:f>
              <c:numCache>
                <c:formatCode>General</c:formatCode>
                <c:ptCount val="21"/>
                <c:pt idx="1">
                  <c:v>1291</c:v>
                </c:pt>
                <c:pt idx="2">
                  <c:v>1470</c:v>
                </c:pt>
                <c:pt idx="3">
                  <c:v>1550</c:v>
                </c:pt>
                <c:pt idx="4">
                  <c:v>1736</c:v>
                </c:pt>
                <c:pt idx="5">
                  <c:v>2097</c:v>
                </c:pt>
                <c:pt idx="6">
                  <c:v>2378</c:v>
                </c:pt>
                <c:pt idx="8">
                  <c:v>1400</c:v>
                </c:pt>
                <c:pt idx="9">
                  <c:v>1316</c:v>
                </c:pt>
                <c:pt idx="10">
                  <c:v>1250</c:v>
                </c:pt>
                <c:pt idx="11">
                  <c:v>1379</c:v>
                </c:pt>
                <c:pt idx="12">
                  <c:v>1373</c:v>
                </c:pt>
                <c:pt idx="13">
                  <c:v>1463</c:v>
                </c:pt>
                <c:pt idx="15">
                  <c:v>1386</c:v>
                </c:pt>
                <c:pt idx="16">
                  <c:v>1579</c:v>
                </c:pt>
                <c:pt idx="17">
                  <c:v>1788</c:v>
                </c:pt>
                <c:pt idx="18">
                  <c:v>2146</c:v>
                </c:pt>
                <c:pt idx="19">
                  <c:v>2563</c:v>
                </c:pt>
                <c:pt idx="20">
                  <c:v>2692</c:v>
                </c:pt>
              </c:numCache>
            </c:numRef>
          </c:val>
        </c:ser>
        <c:ser>
          <c:idx val="4"/>
          <c:order val="3"/>
          <c:tx>
            <c:strRef>
              <c:f>'box and whiskers legend'!$A$24</c:f>
              <c:strCache>
                <c:ptCount val="1"/>
                <c:pt idx="0">
                  <c:v>Gap</c:v>
                </c:pt>
              </c:strCache>
            </c:strRef>
          </c:tx>
          <c:spPr>
            <a:noFill/>
          </c:spPr>
          <c:invertIfNegative val="0"/>
          <c:cat>
            <c:numRef>
              <c:f>'box and whiskers legend'!$B$18:$V$18</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'box and whiskers legend'!$B$24:$V$24</c:f>
              <c:numCache>
                <c:formatCode>General</c:formatCode>
                <c:ptCount val="21"/>
                <c:pt idx="1">
                  <c:v>-200</c:v>
                </c:pt>
                <c:pt idx="2">
                  <c:v>-200</c:v>
                </c:pt>
                <c:pt idx="3">
                  <c:v>-200</c:v>
                </c:pt>
                <c:pt idx="4">
                  <c:v>-200</c:v>
                </c:pt>
                <c:pt idx="5">
                  <c:v>-200</c:v>
                </c:pt>
                <c:pt idx="6">
                  <c:v>-200</c:v>
                </c:pt>
                <c:pt idx="8">
                  <c:v>-200</c:v>
                </c:pt>
                <c:pt idx="9">
                  <c:v>-200</c:v>
                </c:pt>
                <c:pt idx="10">
                  <c:v>-200</c:v>
                </c:pt>
                <c:pt idx="11">
                  <c:v>-200</c:v>
                </c:pt>
                <c:pt idx="12">
                  <c:v>-200</c:v>
                </c:pt>
                <c:pt idx="13">
                  <c:v>-200</c:v>
                </c:pt>
                <c:pt idx="15">
                  <c:v>-200</c:v>
                </c:pt>
                <c:pt idx="16">
                  <c:v>-200</c:v>
                </c:pt>
                <c:pt idx="17">
                  <c:v>-200</c:v>
                </c:pt>
                <c:pt idx="18">
                  <c:v>-200</c:v>
                </c:pt>
                <c:pt idx="19">
                  <c:v>-200</c:v>
                </c:pt>
                <c:pt idx="20">
                  <c:v>-200</c:v>
                </c:pt>
              </c:numCache>
            </c:numRef>
          </c:val>
        </c:ser>
        <c:ser>
          <c:idx val="5"/>
          <c:order val="4"/>
          <c:tx>
            <c:strRef>
              <c:f>'box and whiskers legend'!$A$25</c:f>
              <c:strCache>
                <c:ptCount val="1"/>
                <c:pt idx="0">
                  <c:v>Commonwealth Rent Assistance</c:v>
                </c:pt>
              </c:strCache>
            </c:strRef>
          </c:tx>
          <c:spPr>
            <a:solidFill>
              <a:schemeClr val="accent1"/>
            </a:solidFill>
            <a:ln w="9525">
              <a:solidFill>
                <a:schemeClr val="tx1"/>
              </a:solidFill>
            </a:ln>
          </c:spPr>
          <c:invertIfNegative val="0"/>
          <c:cat>
            <c:numRef>
              <c:f>'box and whiskers legend'!$B$18:$V$18</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'box and whiskers legend'!$B$25:$V$25</c:f>
              <c:numCache>
                <c:formatCode>General</c:formatCode>
                <c:ptCount val="21"/>
                <c:pt idx="1">
                  <c:v>-200</c:v>
                </c:pt>
                <c:pt idx="2">
                  <c:v>-200</c:v>
                </c:pt>
                <c:pt idx="3">
                  <c:v>-200</c:v>
                </c:pt>
                <c:pt idx="4">
                  <c:v>-200</c:v>
                </c:pt>
                <c:pt idx="5">
                  <c:v>-200</c:v>
                </c:pt>
                <c:pt idx="6">
                  <c:v>-200</c:v>
                </c:pt>
                <c:pt idx="8">
                  <c:v>-200</c:v>
                </c:pt>
                <c:pt idx="9">
                  <c:v>-200</c:v>
                </c:pt>
                <c:pt idx="10">
                  <c:v>-200</c:v>
                </c:pt>
                <c:pt idx="11">
                  <c:v>-200</c:v>
                </c:pt>
                <c:pt idx="12">
                  <c:v>-200</c:v>
                </c:pt>
                <c:pt idx="13">
                  <c:v>-200</c:v>
                </c:pt>
                <c:pt idx="15">
                  <c:v>-200</c:v>
                </c:pt>
                <c:pt idx="16">
                  <c:v>-200</c:v>
                </c:pt>
                <c:pt idx="17">
                  <c:v>-200</c:v>
                </c:pt>
                <c:pt idx="18">
                  <c:v>-200</c:v>
                </c:pt>
                <c:pt idx="19">
                  <c:v>-200</c:v>
                </c:pt>
                <c:pt idx="20">
                  <c:v>-200</c:v>
                </c:pt>
              </c:numCache>
            </c:numRef>
          </c:val>
        </c:ser>
        <c:ser>
          <c:idx val="6"/>
          <c:order val="5"/>
          <c:tx>
            <c:strRef>
              <c:f>'box and whiskers legend'!$A$26</c:f>
              <c:strCache>
                <c:ptCount val="1"/>
                <c:pt idx="0">
                  <c:v>Public housing</c:v>
                </c:pt>
              </c:strCache>
            </c:strRef>
          </c:tx>
          <c:spPr>
            <a:solidFill>
              <a:schemeClr val="accent2"/>
            </a:solidFill>
            <a:ln w="9525">
              <a:solidFill>
                <a:schemeClr val="tx1"/>
              </a:solidFill>
            </a:ln>
          </c:spPr>
          <c:invertIfNegative val="0"/>
          <c:cat>
            <c:numRef>
              <c:f>'box and whiskers legend'!$B$18:$V$18</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'box and whiskers legend'!$B$26:$V$26</c:f>
              <c:numCache>
                <c:formatCode>General</c:formatCode>
                <c:ptCount val="21"/>
                <c:pt idx="1">
                  <c:v>-200</c:v>
                </c:pt>
                <c:pt idx="2">
                  <c:v>-200</c:v>
                </c:pt>
                <c:pt idx="3">
                  <c:v>-200</c:v>
                </c:pt>
                <c:pt idx="4">
                  <c:v>-200</c:v>
                </c:pt>
                <c:pt idx="5">
                  <c:v>-200</c:v>
                </c:pt>
                <c:pt idx="6">
                  <c:v>-200</c:v>
                </c:pt>
                <c:pt idx="8">
                  <c:v>-200</c:v>
                </c:pt>
                <c:pt idx="9">
                  <c:v>-200</c:v>
                </c:pt>
                <c:pt idx="10">
                  <c:v>-200</c:v>
                </c:pt>
                <c:pt idx="11">
                  <c:v>-200</c:v>
                </c:pt>
                <c:pt idx="12">
                  <c:v>-200</c:v>
                </c:pt>
                <c:pt idx="13">
                  <c:v>-200</c:v>
                </c:pt>
                <c:pt idx="15">
                  <c:v>-200</c:v>
                </c:pt>
                <c:pt idx="16">
                  <c:v>-200</c:v>
                </c:pt>
                <c:pt idx="17">
                  <c:v>-200</c:v>
                </c:pt>
                <c:pt idx="18">
                  <c:v>-200</c:v>
                </c:pt>
                <c:pt idx="19">
                  <c:v>-200</c:v>
                </c:pt>
                <c:pt idx="20">
                  <c:v>-200</c:v>
                </c:pt>
              </c:numCache>
            </c:numRef>
          </c:val>
        </c:ser>
        <c:ser>
          <c:idx val="8"/>
          <c:order val="8"/>
          <c:tx>
            <c:strRef>
              <c:f>'box and whiskers legend'!$A$23</c:f>
              <c:strCache>
                <c:ptCount val="1"/>
                <c:pt idx="0">
                  <c:v>Other tenure types</c:v>
                </c:pt>
              </c:strCache>
            </c:strRef>
          </c:tx>
          <c:spPr>
            <a:solidFill>
              <a:schemeClr val="accent3"/>
            </a:solidFill>
            <a:ln w="9525">
              <a:solidFill>
                <a:schemeClr val="tx2"/>
              </a:solidFill>
            </a:ln>
          </c:spPr>
          <c:invertIfNegative val="0"/>
          <c:cat>
            <c:numRef>
              <c:f>'box and whiskers legend'!$B$18:$V$18</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'box and whiskers legend'!$B$23:$V$23</c:f>
              <c:numCache>
                <c:formatCode>General</c:formatCode>
                <c:ptCount val="21"/>
                <c:pt idx="1">
                  <c:v>-200</c:v>
                </c:pt>
                <c:pt idx="2">
                  <c:v>-200</c:v>
                </c:pt>
                <c:pt idx="3">
                  <c:v>-200</c:v>
                </c:pt>
                <c:pt idx="4">
                  <c:v>-200</c:v>
                </c:pt>
                <c:pt idx="5">
                  <c:v>-200</c:v>
                </c:pt>
                <c:pt idx="6">
                  <c:v>-200</c:v>
                </c:pt>
                <c:pt idx="8">
                  <c:v>-200</c:v>
                </c:pt>
                <c:pt idx="9">
                  <c:v>-200</c:v>
                </c:pt>
                <c:pt idx="10">
                  <c:v>-200</c:v>
                </c:pt>
                <c:pt idx="11">
                  <c:v>-200</c:v>
                </c:pt>
                <c:pt idx="12">
                  <c:v>-200</c:v>
                </c:pt>
                <c:pt idx="13">
                  <c:v>-200</c:v>
                </c:pt>
                <c:pt idx="15">
                  <c:v>-200</c:v>
                </c:pt>
                <c:pt idx="16">
                  <c:v>-200</c:v>
                </c:pt>
                <c:pt idx="17">
                  <c:v>-200</c:v>
                </c:pt>
                <c:pt idx="18">
                  <c:v>-200</c:v>
                </c:pt>
                <c:pt idx="19">
                  <c:v>-200</c:v>
                </c:pt>
                <c:pt idx="20">
                  <c:v>-200</c:v>
                </c:pt>
              </c:numCache>
            </c:numRef>
          </c:val>
        </c:ser>
        <c:dLbls>
          <c:showLegendKey val="0"/>
          <c:showVal val="0"/>
          <c:showCatName val="0"/>
          <c:showSerName val="0"/>
          <c:showPercent val="0"/>
          <c:showBubbleSize val="0"/>
        </c:dLbls>
        <c:gapWidth val="15"/>
        <c:overlap val="100"/>
        <c:axId val="36848000"/>
        <c:axId val="36849536"/>
      </c:barChart>
      <c:lineChart>
        <c:grouping val="standard"/>
        <c:varyColors val="0"/>
        <c:ser>
          <c:idx val="3"/>
          <c:order val="6"/>
          <c:tx>
            <c:strRef>
              <c:f>'box and whiskers legend'!$A$22</c:f>
              <c:strCache>
                <c:ptCount val="1"/>
                <c:pt idx="0">
                  <c:v>Mean</c:v>
                </c:pt>
              </c:strCache>
            </c:strRef>
          </c:tx>
          <c:spPr>
            <a:ln>
              <a:noFill/>
            </a:ln>
          </c:spPr>
          <c:marker>
            <c:symbol val="diamond"/>
            <c:size val="7"/>
            <c:spPr>
              <a:solidFill>
                <a:schemeClr val="tx2"/>
              </a:solidFill>
              <a:ln>
                <a:noFill/>
              </a:ln>
            </c:spPr>
          </c:marker>
          <c:val>
            <c:numRef>
              <c:f>'box and whiskers legend'!$B$22:$V$22</c:f>
              <c:numCache>
                <c:formatCode>General</c:formatCode>
                <c:ptCount val="21"/>
                <c:pt idx="1">
                  <c:v>3698.81</c:v>
                </c:pt>
                <c:pt idx="2">
                  <c:v>3959.33</c:v>
                </c:pt>
                <c:pt idx="3">
                  <c:v>4265.01</c:v>
                </c:pt>
                <c:pt idx="4">
                  <c:v>4416.9799999999996</c:v>
                </c:pt>
                <c:pt idx="5">
                  <c:v>4440.07</c:v>
                </c:pt>
                <c:pt idx="6">
                  <c:v>4764.2700000000004</c:v>
                </c:pt>
                <c:pt idx="8">
                  <c:v>4250.6000000000004</c:v>
                </c:pt>
                <c:pt idx="9">
                  <c:v>4625.62</c:v>
                </c:pt>
                <c:pt idx="10">
                  <c:v>4996.8500000000004</c:v>
                </c:pt>
                <c:pt idx="11">
                  <c:v>5297.76</c:v>
                </c:pt>
                <c:pt idx="12">
                  <c:v>5539.95</c:v>
                </c:pt>
                <c:pt idx="13">
                  <c:v>5915.43</c:v>
                </c:pt>
                <c:pt idx="15">
                  <c:v>3058.96</c:v>
                </c:pt>
                <c:pt idx="16">
                  <c:v>3287.07</c:v>
                </c:pt>
                <c:pt idx="17">
                  <c:v>3573.27</c:v>
                </c:pt>
                <c:pt idx="18">
                  <c:v>3706.09</c:v>
                </c:pt>
                <c:pt idx="19">
                  <c:v>3781.27</c:v>
                </c:pt>
                <c:pt idx="20">
                  <c:v>4220.96</c:v>
                </c:pt>
              </c:numCache>
            </c:numRef>
          </c:val>
          <c:smooth val="0"/>
        </c:ser>
        <c:ser>
          <c:idx val="7"/>
          <c:order val="7"/>
          <c:tx>
            <c:strRef>
              <c:f>'box and whiskers legend'!$A$27</c:f>
              <c:strCache>
                <c:ptCount val="1"/>
                <c:pt idx="0">
                  <c:v>Zero</c:v>
                </c:pt>
              </c:strCache>
            </c:strRef>
          </c:tx>
          <c:spPr>
            <a:ln w="9525">
              <a:solidFill>
                <a:schemeClr val="bg2"/>
              </a:solidFill>
            </a:ln>
          </c:spPr>
          <c:marker>
            <c:symbol val="none"/>
          </c:marker>
          <c:val>
            <c:numRef>
              <c:f>'box and whiskers legend'!$B$27:$V$27</c:f>
              <c:numCache>
                <c:formatCode>General</c:formatCode>
                <c:ptCount val="21"/>
                <c:pt idx="0">
                  <c:v>0</c:v>
                </c:pt>
                <c:pt idx="1">
                  <c:v>0</c:v>
                </c:pt>
                <c:pt idx="2">
                  <c:v>0</c:v>
                </c:pt>
                <c:pt idx="3">
                  <c:v>0</c:v>
                </c:pt>
                <c:pt idx="4">
                  <c:v>0</c:v>
                </c:pt>
                <c:pt idx="5">
                  <c:v>0</c:v>
                </c:pt>
                <c:pt idx="6">
                  <c:v>0</c:v>
                </c:pt>
                <c:pt idx="8">
                  <c:v>0</c:v>
                </c:pt>
                <c:pt idx="9">
                  <c:v>0</c:v>
                </c:pt>
                <c:pt idx="10">
                  <c:v>0</c:v>
                </c:pt>
                <c:pt idx="11">
                  <c:v>0</c:v>
                </c:pt>
                <c:pt idx="12">
                  <c:v>0</c:v>
                </c:pt>
                <c:pt idx="13">
                  <c:v>0</c:v>
                </c:pt>
                <c:pt idx="15">
                  <c:v>0</c:v>
                </c:pt>
                <c:pt idx="16">
                  <c:v>0</c:v>
                </c:pt>
                <c:pt idx="17">
                  <c:v>0</c:v>
                </c:pt>
                <c:pt idx="18">
                  <c:v>0</c:v>
                </c:pt>
                <c:pt idx="19">
                  <c:v>0</c:v>
                </c:pt>
                <c:pt idx="20">
                  <c:v>0</c:v>
                </c:pt>
              </c:numCache>
            </c:numRef>
          </c:val>
          <c:smooth val="0"/>
        </c:ser>
        <c:dLbls>
          <c:showLegendKey val="0"/>
          <c:showVal val="0"/>
          <c:showCatName val="0"/>
          <c:showSerName val="0"/>
          <c:showPercent val="0"/>
          <c:showBubbleSize val="0"/>
        </c:dLbls>
        <c:marker val="1"/>
        <c:smooth val="0"/>
        <c:axId val="36848000"/>
        <c:axId val="36849536"/>
      </c:lineChart>
      <c:catAx>
        <c:axId val="36848000"/>
        <c:scaling>
          <c:orientation val="minMax"/>
        </c:scaling>
        <c:delete val="1"/>
        <c:axPos val="b"/>
        <c:numFmt formatCode="General" sourceLinked="1"/>
        <c:majorTickMark val="none"/>
        <c:minorTickMark val="none"/>
        <c:tickLblPos val="nextTo"/>
        <c:crossAx val="36849536"/>
        <c:crosses val="autoZero"/>
        <c:auto val="1"/>
        <c:lblAlgn val="l"/>
        <c:lblOffset val="0"/>
        <c:tickMarkSkip val="3"/>
        <c:noMultiLvlLbl val="0"/>
      </c:catAx>
      <c:valAx>
        <c:axId val="36849536"/>
        <c:scaling>
          <c:orientation val="minMax"/>
          <c:max val="10000"/>
          <c:min val="8000"/>
        </c:scaling>
        <c:delete val="1"/>
        <c:axPos val="l"/>
        <c:numFmt formatCode="#\ ###\ ###\ ##0;\-#\ ##0" sourceLinked="0"/>
        <c:majorTickMark val="out"/>
        <c:minorTickMark val="none"/>
        <c:tickLblPos val="nextTo"/>
        <c:crossAx val="36848000"/>
        <c:crosses val="autoZero"/>
        <c:crossBetween val="between"/>
      </c:valAx>
    </c:plotArea>
    <c:legend>
      <c:legendPos val="t"/>
      <c:legendEntry>
        <c:idx val="0"/>
        <c:delete val="1"/>
      </c:legendEntry>
      <c:legendEntry>
        <c:idx val="1"/>
        <c:delete val="1"/>
      </c:legendEntry>
      <c:legendEntry>
        <c:idx val="2"/>
        <c:delete val="1"/>
      </c:legendEntry>
      <c:legendEntry>
        <c:idx val="3"/>
        <c:delete val="1"/>
      </c:legendEntry>
      <c:legendEntry>
        <c:idx val="6"/>
        <c:delete val="1"/>
      </c:legendEntry>
      <c:legendEntry>
        <c:idx val="7"/>
        <c:delete val="1"/>
      </c:legendEntry>
      <c:legendEntry>
        <c:idx val="8"/>
        <c:delete val="1"/>
      </c:legendEntry>
      <c:layout>
        <c:manualLayout>
          <c:xMode val="edge"/>
          <c:yMode val="edge"/>
          <c:x val="3.49348659003831E-3"/>
          <c:y val="2.0833333333333298E-3"/>
          <c:w val="0.99650651340996099"/>
          <c:h val="0.99791526059242597"/>
        </c:manualLayout>
      </c:layout>
      <c:overlay val="0"/>
    </c:legend>
    <c:plotVisOnly val="1"/>
    <c:dispBlanksAs val="gap"/>
    <c:showDLblsOverMax val="0"/>
  </c:chart>
  <c:spPr>
    <a:solidFill>
      <a:schemeClr val="bg1"/>
    </a:solidFill>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744420836284353"/>
          <c:y val="3.038190710742655E-2"/>
          <c:w val="0.86795817189517976"/>
          <c:h val="0.72523176893637198"/>
        </c:manualLayout>
      </c:layout>
      <c:barChart>
        <c:barDir val="col"/>
        <c:grouping val="stacked"/>
        <c:varyColors val="0"/>
        <c:ser>
          <c:idx val="0"/>
          <c:order val="0"/>
          <c:tx>
            <c:v>Male</c:v>
          </c:tx>
          <c:spPr>
            <a:solidFill>
              <a:srgbClr val="78A22F"/>
            </a:solidFill>
            <a:ln>
              <a:solidFill>
                <a:srgbClr val="78A22F"/>
              </a:solidFill>
            </a:ln>
          </c:spPr>
          <c:invertIfNegative val="0"/>
          <c:dLbls>
            <c:dLbl>
              <c:idx val="0"/>
              <c:tx>
                <c:strRef>
                  <c:f>gender_2013!$B$18</c:f>
                  <c:strCache>
                    <c:ptCount val="1"/>
                    <c:pt idx="0">
                      <c:v>41%</c:v>
                    </c:pt>
                  </c:strCache>
                </c:strRef>
              </c:tx>
              <c:showLegendKey val="0"/>
              <c:showVal val="1"/>
              <c:showCatName val="0"/>
              <c:showSerName val="0"/>
              <c:showPercent val="0"/>
              <c:showBubbleSize val="0"/>
            </c:dLbl>
            <c:dLbl>
              <c:idx val="1"/>
              <c:delete val="1"/>
            </c:dLbl>
            <c:dLbl>
              <c:idx val="2"/>
              <c:tx>
                <c:strRef>
                  <c:f>gender_2013!$D$18</c:f>
                  <c:strCache>
                    <c:ptCount val="1"/>
                    <c:pt idx="0">
                      <c:v>43%</c:v>
                    </c:pt>
                  </c:strCache>
                </c:strRef>
              </c:tx>
              <c:showLegendKey val="0"/>
              <c:showVal val="1"/>
              <c:showCatName val="0"/>
              <c:showSerName val="0"/>
              <c:showPercent val="0"/>
              <c:showBubbleSize val="0"/>
            </c:dLbl>
            <c:txPr>
              <a:bodyPr/>
              <a:lstStyle/>
              <a:p>
                <a:pPr>
                  <a:defRPr b="1" baseline="0">
                    <a:solidFill>
                      <a:schemeClr val="bg1"/>
                    </a:solidFill>
                  </a:defRPr>
                </a:pPr>
                <a:endParaRPr lang="en-US"/>
              </a:p>
            </c:txPr>
            <c:showLegendKey val="0"/>
            <c:showVal val="1"/>
            <c:showCatName val="0"/>
            <c:showSerName val="0"/>
            <c:showPercent val="0"/>
            <c:showBubbleSize val="0"/>
            <c:showLeaderLines val="0"/>
          </c:dLbls>
          <c:cat>
            <c:strRef>
              <c:f>gender_2013!$H$6:$J$6</c:f>
              <c:strCache>
                <c:ptCount val="3"/>
                <c:pt idx="0">
                  <c:v>Commonwealth Rent Assistance</c:v>
                </c:pt>
                <c:pt idx="1">
                  <c:v>Public housing</c:v>
                </c:pt>
                <c:pt idx="2">
                  <c:v>All ISP recipients</c:v>
                </c:pt>
              </c:strCache>
            </c:strRef>
          </c:cat>
          <c:val>
            <c:numRef>
              <c:f>gender_2013!$H$8:$J$8</c:f>
              <c:numCache>
                <c:formatCode>General</c:formatCode>
                <c:ptCount val="3"/>
                <c:pt idx="0">
                  <c:v>385470</c:v>
                </c:pt>
                <c:pt idx="1">
                  <c:v>98190</c:v>
                </c:pt>
                <c:pt idx="2">
                  <c:v>1102735</c:v>
                </c:pt>
              </c:numCache>
            </c:numRef>
          </c:val>
        </c:ser>
        <c:ser>
          <c:idx val="1"/>
          <c:order val="1"/>
          <c:tx>
            <c:v>Female</c:v>
          </c:tx>
          <c:spPr>
            <a:solidFill>
              <a:srgbClr val="265A9A"/>
            </a:solidFill>
            <a:ln>
              <a:solidFill>
                <a:srgbClr val="265A9A"/>
              </a:solidFill>
            </a:ln>
          </c:spPr>
          <c:invertIfNegative val="0"/>
          <c:dLbls>
            <c:dLbl>
              <c:idx val="0"/>
              <c:tx>
                <c:strRef>
                  <c:f>gender_2013!$B$17</c:f>
                  <c:strCache>
                    <c:ptCount val="1"/>
                    <c:pt idx="0">
                      <c:v>59%</c:v>
                    </c:pt>
                  </c:strCache>
                </c:strRef>
              </c:tx>
              <c:showLegendKey val="0"/>
              <c:showVal val="1"/>
              <c:showCatName val="0"/>
              <c:showSerName val="0"/>
              <c:showPercent val="0"/>
              <c:showBubbleSize val="0"/>
            </c:dLbl>
            <c:dLbl>
              <c:idx val="1"/>
              <c:delete val="1"/>
            </c:dLbl>
            <c:dLbl>
              <c:idx val="2"/>
              <c:tx>
                <c:strRef>
                  <c:f>gender_2013!$D$17</c:f>
                  <c:strCache>
                    <c:ptCount val="1"/>
                    <c:pt idx="0">
                      <c:v>57%</c:v>
                    </c:pt>
                  </c:strCache>
                </c:strRef>
              </c:tx>
              <c:showLegendKey val="0"/>
              <c:showVal val="1"/>
              <c:showCatName val="0"/>
              <c:showSerName val="0"/>
              <c:showPercent val="0"/>
              <c:showBubbleSize val="0"/>
            </c:dLbl>
            <c:txPr>
              <a:bodyPr/>
              <a:lstStyle/>
              <a:p>
                <a:pPr>
                  <a:defRPr b="1">
                    <a:solidFill>
                      <a:schemeClr val="bg1"/>
                    </a:solidFill>
                  </a:defRPr>
                </a:pPr>
                <a:endParaRPr lang="en-US"/>
              </a:p>
            </c:txPr>
            <c:showLegendKey val="0"/>
            <c:showVal val="1"/>
            <c:showCatName val="0"/>
            <c:showSerName val="0"/>
            <c:showPercent val="0"/>
            <c:showBubbleSize val="0"/>
            <c:showLeaderLines val="0"/>
          </c:dLbls>
          <c:cat>
            <c:strRef>
              <c:f>gender_2013!$H$6:$J$6</c:f>
              <c:strCache>
                <c:ptCount val="3"/>
                <c:pt idx="0">
                  <c:v>Commonwealth Rent Assistance</c:v>
                </c:pt>
                <c:pt idx="1">
                  <c:v>Public housing</c:v>
                </c:pt>
                <c:pt idx="2">
                  <c:v>All ISP recipients</c:v>
                </c:pt>
              </c:strCache>
            </c:strRef>
          </c:cat>
          <c:val>
            <c:numRef>
              <c:f>gender_2013!$H$7:$J$7</c:f>
              <c:numCache>
                <c:formatCode>General</c:formatCode>
                <c:ptCount val="3"/>
                <c:pt idx="0">
                  <c:v>556646</c:v>
                </c:pt>
                <c:pt idx="1">
                  <c:v>157477</c:v>
                </c:pt>
                <c:pt idx="2">
                  <c:v>1466017</c:v>
                </c:pt>
              </c:numCache>
            </c:numRef>
          </c:val>
        </c:ser>
        <c:dLbls>
          <c:showLegendKey val="0"/>
          <c:showVal val="1"/>
          <c:showCatName val="0"/>
          <c:showSerName val="0"/>
          <c:showPercent val="0"/>
          <c:showBubbleSize val="0"/>
        </c:dLbls>
        <c:gapWidth val="150"/>
        <c:overlap val="100"/>
        <c:axId val="37823232"/>
        <c:axId val="37824384"/>
      </c:barChart>
      <c:catAx>
        <c:axId val="37823232"/>
        <c:scaling>
          <c:orientation val="minMax"/>
        </c:scaling>
        <c:delete val="0"/>
        <c:axPos val="b"/>
        <c:majorTickMark val="none"/>
        <c:minorTickMark val="none"/>
        <c:tickLblPos val="nextTo"/>
        <c:spPr>
          <a:ln>
            <a:solidFill>
              <a:srgbClr val="BFBFBF"/>
            </a:solidFill>
          </a:ln>
        </c:spPr>
        <c:crossAx val="37824384"/>
        <c:crosses val="autoZero"/>
        <c:auto val="1"/>
        <c:lblAlgn val="ctr"/>
        <c:lblOffset val="100"/>
        <c:noMultiLvlLbl val="0"/>
      </c:catAx>
      <c:valAx>
        <c:axId val="37824384"/>
        <c:scaling>
          <c:orientation val="minMax"/>
        </c:scaling>
        <c:delete val="0"/>
        <c:axPos val="l"/>
        <c:majorGridlines>
          <c:spPr>
            <a:ln>
              <a:noFill/>
            </a:ln>
          </c:spPr>
        </c:majorGridlines>
        <c:title>
          <c:tx>
            <c:rich>
              <a:bodyPr rot="-5400000" vert="horz"/>
              <a:lstStyle/>
              <a:p>
                <a:pPr>
                  <a:defRPr/>
                </a:pPr>
                <a:r>
                  <a:rPr lang="en-AU"/>
                  <a:t>Number ('000)</a:t>
                </a:r>
              </a:p>
            </c:rich>
          </c:tx>
          <c:layout>
            <c:manualLayout>
              <c:xMode val="edge"/>
              <c:yMode val="edge"/>
              <c:x val="7.3801885875376689E-3"/>
              <c:y val="0.21929122295836367"/>
            </c:manualLayout>
          </c:layout>
          <c:overlay val="0"/>
        </c:title>
        <c:numFmt formatCode="#\ ##0," sourceLinked="0"/>
        <c:majorTickMark val="out"/>
        <c:minorTickMark val="none"/>
        <c:tickLblPos val="nextTo"/>
        <c:spPr>
          <a:ln>
            <a:solidFill>
              <a:srgbClr val="BFBFBF"/>
            </a:solidFill>
          </a:ln>
        </c:spPr>
        <c:crossAx val="37823232"/>
        <c:crosses val="autoZero"/>
        <c:crossBetween val="between"/>
      </c:valAx>
      <c:spPr>
        <a:noFill/>
        <a:ln>
          <a:noFill/>
        </a:ln>
      </c:spPr>
    </c:plotArea>
    <c:legend>
      <c:legendPos val="b"/>
      <c:layout>
        <c:manualLayout>
          <c:xMode val="edge"/>
          <c:yMode val="edge"/>
          <c:x val="0.24658880602887601"/>
          <c:y val="0.9063170187427011"/>
          <c:w val="0.48800973952330035"/>
          <c:h val="9.3682981257298778E-2"/>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4735632183908005E-2"/>
          <c:y val="3.6881313131313098E-2"/>
          <c:w val="0.91526436781609199"/>
          <c:h val="0.76141580860084801"/>
        </c:manualLayout>
      </c:layout>
      <c:barChart>
        <c:barDir val="col"/>
        <c:grouping val="stacked"/>
        <c:varyColors val="0"/>
        <c:ser>
          <c:idx val="0"/>
          <c:order val="0"/>
          <c:spPr>
            <a:solidFill>
              <a:srgbClr val="78A22F"/>
            </a:solidFill>
            <a:ln>
              <a:noFill/>
            </a:ln>
          </c:spPr>
          <c:invertIfNegative val="0"/>
          <c:dPt>
            <c:idx val="10"/>
            <c:invertIfNegative val="0"/>
            <c:bubble3D val="0"/>
          </c:dPt>
          <c:dPt>
            <c:idx val="11"/>
            <c:invertIfNegative val="0"/>
            <c:bubble3D val="0"/>
            <c:spPr>
              <a:solidFill>
                <a:srgbClr val="265A9A"/>
              </a:solidFill>
              <a:ln>
                <a:noFill/>
              </a:ln>
            </c:spPr>
          </c:dPt>
          <c:dPt>
            <c:idx val="12"/>
            <c:invertIfNegative val="0"/>
            <c:bubble3D val="0"/>
            <c:spPr>
              <a:solidFill>
                <a:srgbClr val="265A9A"/>
              </a:solidFill>
              <a:ln>
                <a:noFill/>
              </a:ln>
            </c:spPr>
          </c:dPt>
          <c:dPt>
            <c:idx val="13"/>
            <c:invertIfNegative val="0"/>
            <c:bubble3D val="0"/>
            <c:spPr>
              <a:solidFill>
                <a:srgbClr val="265A9A"/>
              </a:solidFill>
              <a:ln>
                <a:noFill/>
              </a:ln>
            </c:spPr>
          </c:dPt>
          <c:dPt>
            <c:idx val="14"/>
            <c:invertIfNegative val="0"/>
            <c:bubble3D val="0"/>
            <c:spPr>
              <a:solidFill>
                <a:srgbClr val="265A9A"/>
              </a:solidFill>
              <a:ln>
                <a:noFill/>
              </a:ln>
            </c:spPr>
          </c:dPt>
          <c:dPt>
            <c:idx val="15"/>
            <c:invertIfNegative val="0"/>
            <c:bubble3D val="0"/>
            <c:spPr>
              <a:solidFill>
                <a:srgbClr val="265A9A"/>
              </a:solidFill>
              <a:ln>
                <a:noFill/>
              </a:ln>
            </c:spPr>
          </c:dPt>
          <c:dPt>
            <c:idx val="16"/>
            <c:invertIfNegative val="0"/>
            <c:bubble3D val="0"/>
            <c:spPr>
              <a:solidFill>
                <a:srgbClr val="265A9A"/>
              </a:solidFill>
              <a:ln>
                <a:noFill/>
              </a:ln>
            </c:spPr>
          </c:dPt>
          <c:dPt>
            <c:idx val="17"/>
            <c:invertIfNegative val="0"/>
            <c:bubble3D val="0"/>
            <c:spPr>
              <a:solidFill>
                <a:srgbClr val="265A9A"/>
              </a:solidFill>
              <a:ln>
                <a:noFill/>
              </a:ln>
            </c:spPr>
          </c:dPt>
          <c:dPt>
            <c:idx val="18"/>
            <c:invertIfNegative val="0"/>
            <c:bubble3D val="0"/>
            <c:spPr>
              <a:solidFill>
                <a:srgbClr val="265A9A"/>
              </a:solidFill>
              <a:ln>
                <a:noFill/>
              </a:ln>
            </c:spPr>
          </c:dPt>
          <c:dPt>
            <c:idx val="19"/>
            <c:invertIfNegative val="0"/>
            <c:bubble3D val="0"/>
            <c:spPr>
              <a:solidFill>
                <a:srgbClr val="265A9A"/>
              </a:solidFill>
              <a:ln>
                <a:noFill/>
              </a:ln>
            </c:spPr>
          </c:dPt>
          <c:dPt>
            <c:idx val="20"/>
            <c:invertIfNegative val="0"/>
            <c:bubble3D val="0"/>
            <c:spPr>
              <a:solidFill>
                <a:srgbClr val="265A9A"/>
              </a:solidFill>
              <a:ln>
                <a:noFill/>
              </a:ln>
            </c:spPr>
          </c:dPt>
          <c:dPt>
            <c:idx val="21"/>
            <c:invertIfNegative val="0"/>
            <c:bubble3D val="0"/>
            <c:spPr>
              <a:solidFill>
                <a:srgbClr val="265A9A"/>
              </a:solidFill>
              <a:ln>
                <a:noFill/>
              </a:ln>
            </c:spPr>
          </c:dPt>
          <c:dPt>
            <c:idx val="22"/>
            <c:invertIfNegative val="0"/>
            <c:bubble3D val="0"/>
            <c:spPr>
              <a:solidFill>
                <a:srgbClr val="B2D673"/>
              </a:solidFill>
              <a:ln>
                <a:noFill/>
              </a:ln>
            </c:spPr>
          </c:dPt>
          <c:dPt>
            <c:idx val="23"/>
            <c:invertIfNegative val="0"/>
            <c:bubble3D val="0"/>
            <c:spPr>
              <a:solidFill>
                <a:srgbClr val="B2D673"/>
              </a:solidFill>
              <a:ln>
                <a:noFill/>
              </a:ln>
            </c:spPr>
          </c:dPt>
          <c:dPt>
            <c:idx val="24"/>
            <c:invertIfNegative val="0"/>
            <c:bubble3D val="0"/>
            <c:spPr>
              <a:solidFill>
                <a:srgbClr val="B2D673"/>
              </a:solidFill>
              <a:ln>
                <a:noFill/>
              </a:ln>
            </c:spPr>
          </c:dPt>
          <c:dPt>
            <c:idx val="25"/>
            <c:invertIfNegative val="0"/>
            <c:bubble3D val="0"/>
            <c:spPr>
              <a:solidFill>
                <a:srgbClr val="B2D673"/>
              </a:solidFill>
              <a:ln>
                <a:noFill/>
              </a:ln>
            </c:spPr>
          </c:dPt>
          <c:dPt>
            <c:idx val="26"/>
            <c:invertIfNegative val="0"/>
            <c:bubble3D val="0"/>
            <c:spPr>
              <a:solidFill>
                <a:srgbClr val="B2D673"/>
              </a:solidFill>
              <a:ln>
                <a:noFill/>
              </a:ln>
            </c:spPr>
          </c:dPt>
          <c:dPt>
            <c:idx val="27"/>
            <c:invertIfNegative val="0"/>
            <c:bubble3D val="0"/>
            <c:spPr>
              <a:solidFill>
                <a:srgbClr val="B2D673"/>
              </a:solidFill>
              <a:ln>
                <a:noFill/>
              </a:ln>
            </c:spPr>
          </c:dPt>
          <c:dPt>
            <c:idx val="28"/>
            <c:invertIfNegative val="0"/>
            <c:bubble3D val="0"/>
            <c:spPr>
              <a:solidFill>
                <a:srgbClr val="B2D673"/>
              </a:solidFill>
              <a:ln>
                <a:noFill/>
              </a:ln>
            </c:spPr>
          </c:dPt>
          <c:dPt>
            <c:idx val="29"/>
            <c:invertIfNegative val="0"/>
            <c:bubble3D val="0"/>
            <c:spPr>
              <a:solidFill>
                <a:srgbClr val="B2D673"/>
              </a:solidFill>
              <a:ln>
                <a:noFill/>
              </a:ln>
            </c:spPr>
          </c:dPt>
          <c:dPt>
            <c:idx val="30"/>
            <c:invertIfNegative val="0"/>
            <c:bubble3D val="0"/>
            <c:spPr>
              <a:solidFill>
                <a:srgbClr val="B2D673"/>
              </a:solidFill>
              <a:ln>
                <a:noFill/>
              </a:ln>
            </c:spPr>
          </c:dPt>
          <c:dPt>
            <c:idx val="31"/>
            <c:invertIfNegative val="0"/>
            <c:bubble3D val="0"/>
            <c:spPr>
              <a:solidFill>
                <a:srgbClr val="B2D673"/>
              </a:solidFill>
              <a:ln>
                <a:noFill/>
              </a:ln>
            </c:spPr>
          </c:dPt>
          <c:dPt>
            <c:idx val="32"/>
            <c:invertIfNegative val="0"/>
            <c:bubble3D val="0"/>
            <c:spPr>
              <a:solidFill>
                <a:srgbClr val="B2D673"/>
              </a:solidFill>
              <a:ln>
                <a:noFill/>
              </a:ln>
            </c:spPr>
          </c:dPt>
          <c:cat>
            <c:strRef>
              <c:f>age_2013!$B$1:$C$33</c:f>
              <c:strCache>
                <c:ptCount val="33"/>
                <c:pt idx="1">
                  <c:v>15-19</c:v>
                </c:pt>
                <c:pt idx="2">
                  <c:v>20-24</c:v>
                </c:pt>
                <c:pt idx="3">
                  <c:v>25-29</c:v>
                </c:pt>
                <c:pt idx="4">
                  <c:v>30-34</c:v>
                </c:pt>
                <c:pt idx="5">
                  <c:v>35-30</c:v>
                </c:pt>
                <c:pt idx="6">
                  <c:v>40-44</c:v>
                </c:pt>
                <c:pt idx="7">
                  <c:v>45-49</c:v>
                </c:pt>
                <c:pt idx="8">
                  <c:v>50-54</c:v>
                </c:pt>
                <c:pt idx="9">
                  <c:v>55-59</c:v>
                </c:pt>
                <c:pt idx="10">
                  <c:v>60-65</c:v>
                </c:pt>
                <c:pt idx="12">
                  <c:v>15-19</c:v>
                </c:pt>
                <c:pt idx="13">
                  <c:v>20-24</c:v>
                </c:pt>
                <c:pt idx="14">
                  <c:v>25-29</c:v>
                </c:pt>
                <c:pt idx="15">
                  <c:v>30-34</c:v>
                </c:pt>
                <c:pt idx="16">
                  <c:v>35-30</c:v>
                </c:pt>
                <c:pt idx="17">
                  <c:v>40-44</c:v>
                </c:pt>
                <c:pt idx="18">
                  <c:v>45-49</c:v>
                </c:pt>
                <c:pt idx="19">
                  <c:v>50-54</c:v>
                </c:pt>
                <c:pt idx="20">
                  <c:v>55-59</c:v>
                </c:pt>
                <c:pt idx="21">
                  <c:v>60-65</c:v>
                </c:pt>
                <c:pt idx="23">
                  <c:v>15-19</c:v>
                </c:pt>
                <c:pt idx="24">
                  <c:v>20-24</c:v>
                </c:pt>
                <c:pt idx="25">
                  <c:v>25-29</c:v>
                </c:pt>
                <c:pt idx="26">
                  <c:v>30-34</c:v>
                </c:pt>
                <c:pt idx="27">
                  <c:v>35-30</c:v>
                </c:pt>
                <c:pt idx="28">
                  <c:v>40-44</c:v>
                </c:pt>
                <c:pt idx="29">
                  <c:v>45-49</c:v>
                </c:pt>
                <c:pt idx="30">
                  <c:v>50-54</c:v>
                </c:pt>
                <c:pt idx="31">
                  <c:v>55-59</c:v>
                </c:pt>
                <c:pt idx="32">
                  <c:v>60-65</c:v>
                </c:pt>
              </c:strCache>
            </c:strRef>
          </c:cat>
          <c:val>
            <c:numRef>
              <c:f>age_2013!$D$1:$D$22</c:f>
              <c:numCache>
                <c:formatCode>General</c:formatCode>
                <c:ptCount val="22"/>
                <c:pt idx="1">
                  <c:v>3.9327428894106409</c:v>
                </c:pt>
                <c:pt idx="2">
                  <c:v>14.14188910919674</c:v>
                </c:pt>
                <c:pt idx="3">
                  <c:v>13.185212861261251</c:v>
                </c:pt>
                <c:pt idx="4">
                  <c:v>12.50472340985611</c:v>
                </c:pt>
                <c:pt idx="5">
                  <c:v>11.75555876346437</c:v>
                </c:pt>
                <c:pt idx="6">
                  <c:v>11.36696542676273</c:v>
                </c:pt>
                <c:pt idx="7">
                  <c:v>9.2928047077005349</c:v>
                </c:pt>
                <c:pt idx="8">
                  <c:v>8.5587125152316705</c:v>
                </c:pt>
                <c:pt idx="9">
                  <c:v>7.6460860446059682</c:v>
                </c:pt>
                <c:pt idx="10">
                  <c:v>7.6153042725099613</c:v>
                </c:pt>
                <c:pt idx="12">
                  <c:v>1.161667325075195</c:v>
                </c:pt>
                <c:pt idx="13">
                  <c:v>4.7495374843057574</c:v>
                </c:pt>
                <c:pt idx="14">
                  <c:v>6.9387132480922444</c:v>
                </c:pt>
                <c:pt idx="15">
                  <c:v>8.5517489546949736</c:v>
                </c:pt>
                <c:pt idx="16">
                  <c:v>10.17260733688744</c:v>
                </c:pt>
                <c:pt idx="17">
                  <c:v>12.94105222809357</c:v>
                </c:pt>
                <c:pt idx="18">
                  <c:v>13.468691696621001</c:v>
                </c:pt>
                <c:pt idx="19">
                  <c:v>14.204023202055801</c:v>
                </c:pt>
                <c:pt idx="20">
                  <c:v>13.997113432707399</c:v>
                </c:pt>
                <c:pt idx="21">
                  <c:v>13.814845091466641</c:v>
                </c:pt>
              </c:numCache>
            </c:numRef>
          </c:val>
        </c:ser>
        <c:ser>
          <c:idx val="4"/>
          <c:order val="1"/>
          <c:tx>
            <c:strRef>
              <c:f>age_2013!$C$35</c:f>
              <c:strCache>
                <c:ptCount val="1"/>
                <c:pt idx="0">
                  <c:v>Gap</c:v>
                </c:pt>
              </c:strCache>
            </c:strRef>
          </c:tx>
          <c:spPr>
            <a:noFill/>
          </c:spPr>
          <c:invertIfNegative val="0"/>
          <c:val>
            <c:numRef>
              <c:f>age_2013!$D$35</c:f>
              <c:numCache>
                <c:formatCode>General</c:formatCode>
                <c:ptCount val="1"/>
                <c:pt idx="0">
                  <c:v>-100</c:v>
                </c:pt>
              </c:numCache>
            </c:numRef>
          </c:val>
        </c:ser>
        <c:ser>
          <c:idx val="1"/>
          <c:order val="2"/>
          <c:tx>
            <c:strRef>
              <c:f>age_2013!$C$36</c:f>
              <c:strCache>
                <c:ptCount val="1"/>
                <c:pt idx="0">
                  <c:v>Commonwealth Rent Assistance</c:v>
                </c:pt>
              </c:strCache>
            </c:strRef>
          </c:tx>
          <c:spPr>
            <a:solidFill>
              <a:srgbClr val="78A22F"/>
            </a:solidFill>
          </c:spPr>
          <c:invertIfNegative val="0"/>
          <c:val>
            <c:numRef>
              <c:f>age_2013!$D$36</c:f>
              <c:numCache>
                <c:formatCode>General</c:formatCode>
                <c:ptCount val="1"/>
                <c:pt idx="0">
                  <c:v>-100</c:v>
                </c:pt>
              </c:numCache>
            </c:numRef>
          </c:val>
        </c:ser>
        <c:ser>
          <c:idx val="2"/>
          <c:order val="3"/>
          <c:tx>
            <c:strRef>
              <c:f>age_2013!$C$37</c:f>
              <c:strCache>
                <c:ptCount val="1"/>
                <c:pt idx="0">
                  <c:v>Public housing </c:v>
                </c:pt>
              </c:strCache>
            </c:strRef>
          </c:tx>
          <c:spPr>
            <a:solidFill>
              <a:srgbClr val="265A9A"/>
            </a:solidFill>
          </c:spPr>
          <c:invertIfNegative val="0"/>
          <c:val>
            <c:numRef>
              <c:f>age_2013!$D$37</c:f>
              <c:numCache>
                <c:formatCode>General</c:formatCode>
                <c:ptCount val="1"/>
                <c:pt idx="0">
                  <c:v>-100</c:v>
                </c:pt>
              </c:numCache>
            </c:numRef>
          </c:val>
        </c:ser>
        <c:ser>
          <c:idx val="3"/>
          <c:order val="4"/>
          <c:tx>
            <c:strRef>
              <c:f>age_2013!$C$38</c:f>
              <c:strCache>
                <c:ptCount val="1"/>
                <c:pt idx="0">
                  <c:v>Other tenure types</c:v>
                </c:pt>
              </c:strCache>
            </c:strRef>
          </c:tx>
          <c:spPr>
            <a:solidFill>
              <a:srgbClr val="B2D673"/>
            </a:solidFill>
          </c:spPr>
          <c:invertIfNegative val="0"/>
          <c:val>
            <c:numRef>
              <c:f>age_2013!$D$38</c:f>
              <c:numCache>
                <c:formatCode>General</c:formatCode>
                <c:ptCount val="1"/>
                <c:pt idx="0">
                  <c:v>-100</c:v>
                </c:pt>
              </c:numCache>
            </c:numRef>
          </c:val>
        </c:ser>
        <c:dLbls>
          <c:showLegendKey val="0"/>
          <c:showVal val="0"/>
          <c:showCatName val="0"/>
          <c:showSerName val="0"/>
          <c:showPercent val="0"/>
          <c:showBubbleSize val="0"/>
        </c:dLbls>
        <c:gapWidth val="100"/>
        <c:overlap val="100"/>
        <c:axId val="98762752"/>
        <c:axId val="98764288"/>
      </c:barChart>
      <c:catAx>
        <c:axId val="98762752"/>
        <c:scaling>
          <c:orientation val="minMax"/>
        </c:scaling>
        <c:delete val="0"/>
        <c:axPos val="b"/>
        <c:majorTickMark val="none"/>
        <c:minorTickMark val="none"/>
        <c:tickLblPos val="nextTo"/>
        <c:spPr>
          <a:ln>
            <a:solidFill>
              <a:srgbClr val="BFBFBF"/>
            </a:solidFill>
          </a:ln>
        </c:spPr>
        <c:txPr>
          <a:bodyPr rot="-5400000" vert="horz"/>
          <a:lstStyle/>
          <a:p>
            <a:pPr>
              <a:defRPr/>
            </a:pPr>
            <a:endParaRPr lang="en-US"/>
          </a:p>
        </c:txPr>
        <c:crossAx val="98764288"/>
        <c:crosses val="autoZero"/>
        <c:auto val="1"/>
        <c:lblAlgn val="ctr"/>
        <c:lblOffset val="100"/>
        <c:noMultiLvlLbl val="1"/>
      </c:catAx>
      <c:valAx>
        <c:axId val="98764288"/>
        <c:scaling>
          <c:orientation val="minMax"/>
          <c:max val="18"/>
          <c:min val="0"/>
        </c:scaling>
        <c:delete val="0"/>
        <c:axPos val="l"/>
        <c:majorGridlines>
          <c:spPr>
            <a:ln>
              <a:noFill/>
            </a:ln>
          </c:spPr>
        </c:majorGridlines>
        <c:title>
          <c:tx>
            <c:rich>
              <a:bodyPr rot="-5400000" vert="horz"/>
              <a:lstStyle/>
              <a:p>
                <a:pPr>
                  <a:defRPr/>
                </a:pPr>
                <a:r>
                  <a:rPr lang="en-AU"/>
                  <a:t>Per cent</a:t>
                </a:r>
              </a:p>
            </c:rich>
          </c:tx>
          <c:layout>
            <c:manualLayout>
              <c:xMode val="edge"/>
              <c:yMode val="edge"/>
              <c:x val="2.0862068965517202E-3"/>
              <c:y val="0.23935959595959599"/>
            </c:manualLayout>
          </c:layout>
          <c:overlay val="0"/>
        </c:title>
        <c:numFmt formatCode="General" sourceLinked="1"/>
        <c:majorTickMark val="out"/>
        <c:minorTickMark val="none"/>
        <c:tickLblPos val="nextTo"/>
        <c:spPr>
          <a:ln>
            <a:solidFill>
              <a:srgbClr val="BFBFBF"/>
            </a:solidFill>
          </a:ln>
        </c:spPr>
        <c:crossAx val="98762752"/>
        <c:crosses val="autoZero"/>
        <c:crossBetween val="between"/>
        <c:majorUnit val="3"/>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4735632183908005E-2"/>
          <c:y val="0.111643402777778"/>
          <c:w val="0.88939406130268195"/>
          <c:h val="0.71381076388888898"/>
        </c:manualLayout>
      </c:layout>
      <c:barChart>
        <c:barDir val="col"/>
        <c:grouping val="stacked"/>
        <c:varyColors val="0"/>
        <c:ser>
          <c:idx val="0"/>
          <c:order val="0"/>
          <c:spPr>
            <a:solidFill>
              <a:srgbClr val="78A22F"/>
            </a:solidFill>
            <a:ln>
              <a:noFill/>
            </a:ln>
          </c:spPr>
          <c:invertIfNegative val="0"/>
          <c:dPt>
            <c:idx val="10"/>
            <c:invertIfNegative val="0"/>
            <c:bubble3D val="0"/>
          </c:dPt>
          <c:dPt>
            <c:idx val="11"/>
            <c:invertIfNegative val="0"/>
            <c:bubble3D val="0"/>
            <c:spPr>
              <a:solidFill>
                <a:srgbClr val="265A9A"/>
              </a:solidFill>
              <a:ln>
                <a:noFill/>
              </a:ln>
            </c:spPr>
          </c:dPt>
          <c:dPt>
            <c:idx val="12"/>
            <c:invertIfNegative val="0"/>
            <c:bubble3D val="0"/>
            <c:spPr>
              <a:solidFill>
                <a:srgbClr val="265A9A"/>
              </a:solidFill>
              <a:ln>
                <a:noFill/>
              </a:ln>
            </c:spPr>
          </c:dPt>
          <c:dPt>
            <c:idx val="13"/>
            <c:invertIfNegative val="0"/>
            <c:bubble3D val="0"/>
            <c:spPr>
              <a:solidFill>
                <a:srgbClr val="265A9A"/>
              </a:solidFill>
              <a:ln>
                <a:noFill/>
              </a:ln>
            </c:spPr>
          </c:dPt>
          <c:dPt>
            <c:idx val="14"/>
            <c:invertIfNegative val="0"/>
            <c:bubble3D val="0"/>
            <c:spPr>
              <a:solidFill>
                <a:srgbClr val="265A9A"/>
              </a:solidFill>
              <a:ln>
                <a:noFill/>
              </a:ln>
            </c:spPr>
          </c:dPt>
          <c:dPt>
            <c:idx val="15"/>
            <c:invertIfNegative val="0"/>
            <c:bubble3D val="0"/>
            <c:spPr>
              <a:solidFill>
                <a:srgbClr val="265A9A"/>
              </a:solidFill>
              <a:ln>
                <a:noFill/>
              </a:ln>
            </c:spPr>
          </c:dPt>
          <c:dPt>
            <c:idx val="16"/>
            <c:invertIfNegative val="0"/>
            <c:bubble3D val="0"/>
            <c:spPr>
              <a:solidFill>
                <a:srgbClr val="265A9A"/>
              </a:solidFill>
              <a:ln>
                <a:noFill/>
              </a:ln>
            </c:spPr>
          </c:dPt>
          <c:dPt>
            <c:idx val="17"/>
            <c:invertIfNegative val="0"/>
            <c:bubble3D val="0"/>
            <c:spPr>
              <a:solidFill>
                <a:srgbClr val="265A9A"/>
              </a:solidFill>
              <a:ln>
                <a:noFill/>
              </a:ln>
            </c:spPr>
          </c:dPt>
          <c:dPt>
            <c:idx val="18"/>
            <c:invertIfNegative val="0"/>
            <c:bubble3D val="0"/>
            <c:spPr>
              <a:solidFill>
                <a:srgbClr val="265A9A"/>
              </a:solidFill>
              <a:ln>
                <a:noFill/>
              </a:ln>
            </c:spPr>
          </c:dPt>
          <c:dPt>
            <c:idx val="19"/>
            <c:invertIfNegative val="0"/>
            <c:bubble3D val="0"/>
            <c:spPr>
              <a:solidFill>
                <a:srgbClr val="265A9A"/>
              </a:solidFill>
              <a:ln>
                <a:noFill/>
              </a:ln>
            </c:spPr>
          </c:dPt>
          <c:dPt>
            <c:idx val="20"/>
            <c:invertIfNegative val="0"/>
            <c:bubble3D val="0"/>
            <c:spPr>
              <a:solidFill>
                <a:srgbClr val="265A9A"/>
              </a:solidFill>
              <a:ln>
                <a:noFill/>
              </a:ln>
            </c:spPr>
          </c:dPt>
          <c:dPt>
            <c:idx val="21"/>
            <c:invertIfNegative val="0"/>
            <c:bubble3D val="0"/>
            <c:spPr>
              <a:solidFill>
                <a:srgbClr val="265A9A"/>
              </a:solidFill>
              <a:ln>
                <a:noFill/>
              </a:ln>
            </c:spPr>
          </c:dPt>
          <c:dPt>
            <c:idx val="22"/>
            <c:invertIfNegative val="0"/>
            <c:bubble3D val="0"/>
            <c:spPr>
              <a:solidFill>
                <a:srgbClr val="B2D673"/>
              </a:solidFill>
              <a:ln>
                <a:noFill/>
              </a:ln>
            </c:spPr>
          </c:dPt>
          <c:dPt>
            <c:idx val="23"/>
            <c:invertIfNegative val="0"/>
            <c:bubble3D val="0"/>
            <c:spPr>
              <a:solidFill>
                <a:srgbClr val="B2D673"/>
              </a:solidFill>
              <a:ln>
                <a:noFill/>
              </a:ln>
            </c:spPr>
          </c:dPt>
          <c:dPt>
            <c:idx val="24"/>
            <c:invertIfNegative val="0"/>
            <c:bubble3D val="0"/>
            <c:spPr>
              <a:solidFill>
                <a:srgbClr val="B2D673"/>
              </a:solidFill>
              <a:ln>
                <a:noFill/>
              </a:ln>
            </c:spPr>
          </c:dPt>
          <c:dPt>
            <c:idx val="25"/>
            <c:invertIfNegative val="0"/>
            <c:bubble3D val="0"/>
            <c:spPr>
              <a:solidFill>
                <a:srgbClr val="B2D673"/>
              </a:solidFill>
              <a:ln>
                <a:noFill/>
              </a:ln>
            </c:spPr>
          </c:dPt>
          <c:dPt>
            <c:idx val="26"/>
            <c:invertIfNegative val="0"/>
            <c:bubble3D val="0"/>
            <c:spPr>
              <a:solidFill>
                <a:srgbClr val="B2D673"/>
              </a:solidFill>
              <a:ln>
                <a:noFill/>
              </a:ln>
            </c:spPr>
          </c:dPt>
          <c:dPt>
            <c:idx val="27"/>
            <c:invertIfNegative val="0"/>
            <c:bubble3D val="0"/>
            <c:spPr>
              <a:solidFill>
                <a:srgbClr val="B2D673"/>
              </a:solidFill>
              <a:ln>
                <a:noFill/>
              </a:ln>
            </c:spPr>
          </c:dPt>
          <c:dPt>
            <c:idx val="28"/>
            <c:invertIfNegative val="0"/>
            <c:bubble3D val="0"/>
            <c:spPr>
              <a:solidFill>
                <a:srgbClr val="B2D673"/>
              </a:solidFill>
              <a:ln>
                <a:noFill/>
              </a:ln>
            </c:spPr>
          </c:dPt>
          <c:dPt>
            <c:idx val="29"/>
            <c:invertIfNegative val="0"/>
            <c:bubble3D val="0"/>
            <c:spPr>
              <a:solidFill>
                <a:srgbClr val="B2D673"/>
              </a:solidFill>
              <a:ln>
                <a:noFill/>
              </a:ln>
            </c:spPr>
          </c:dPt>
          <c:dPt>
            <c:idx val="30"/>
            <c:invertIfNegative val="0"/>
            <c:bubble3D val="0"/>
            <c:spPr>
              <a:solidFill>
                <a:srgbClr val="B2D673"/>
              </a:solidFill>
              <a:ln>
                <a:noFill/>
              </a:ln>
            </c:spPr>
          </c:dPt>
          <c:dPt>
            <c:idx val="31"/>
            <c:invertIfNegative val="0"/>
            <c:bubble3D val="0"/>
            <c:spPr>
              <a:solidFill>
                <a:srgbClr val="B2D673"/>
              </a:solidFill>
              <a:ln>
                <a:noFill/>
              </a:ln>
            </c:spPr>
          </c:dPt>
          <c:dPt>
            <c:idx val="32"/>
            <c:invertIfNegative val="0"/>
            <c:bubble3D val="0"/>
            <c:spPr>
              <a:solidFill>
                <a:srgbClr val="B2D673"/>
              </a:solidFill>
              <a:ln>
                <a:noFill/>
              </a:ln>
            </c:spPr>
          </c:dPt>
          <c:cat>
            <c:strRef>
              <c:f>age_2013!$B$1:$C$33</c:f>
              <c:strCache>
                <c:ptCount val="33"/>
                <c:pt idx="1">
                  <c:v>15-19</c:v>
                </c:pt>
                <c:pt idx="2">
                  <c:v>20-24</c:v>
                </c:pt>
                <c:pt idx="3">
                  <c:v>25-29</c:v>
                </c:pt>
                <c:pt idx="4">
                  <c:v>30-34</c:v>
                </c:pt>
                <c:pt idx="5">
                  <c:v>35-30</c:v>
                </c:pt>
                <c:pt idx="6">
                  <c:v>40-44</c:v>
                </c:pt>
                <c:pt idx="7">
                  <c:v>45-49</c:v>
                </c:pt>
                <c:pt idx="8">
                  <c:v>50-54</c:v>
                </c:pt>
                <c:pt idx="9">
                  <c:v>55-59</c:v>
                </c:pt>
                <c:pt idx="10">
                  <c:v>60-65</c:v>
                </c:pt>
                <c:pt idx="12">
                  <c:v>15-19</c:v>
                </c:pt>
                <c:pt idx="13">
                  <c:v>20-24</c:v>
                </c:pt>
                <c:pt idx="14">
                  <c:v>25-29</c:v>
                </c:pt>
                <c:pt idx="15">
                  <c:v>30-34</c:v>
                </c:pt>
                <c:pt idx="16">
                  <c:v>35-30</c:v>
                </c:pt>
                <c:pt idx="17">
                  <c:v>40-44</c:v>
                </c:pt>
                <c:pt idx="18">
                  <c:v>45-49</c:v>
                </c:pt>
                <c:pt idx="19">
                  <c:v>50-54</c:v>
                </c:pt>
                <c:pt idx="20">
                  <c:v>55-59</c:v>
                </c:pt>
                <c:pt idx="21">
                  <c:v>60-65</c:v>
                </c:pt>
                <c:pt idx="23">
                  <c:v>15-19</c:v>
                </c:pt>
                <c:pt idx="24">
                  <c:v>20-24</c:v>
                </c:pt>
                <c:pt idx="25">
                  <c:v>25-29</c:v>
                </c:pt>
                <c:pt idx="26">
                  <c:v>30-34</c:v>
                </c:pt>
                <c:pt idx="27">
                  <c:v>35-30</c:v>
                </c:pt>
                <c:pt idx="28">
                  <c:v>40-44</c:v>
                </c:pt>
                <c:pt idx="29">
                  <c:v>45-49</c:v>
                </c:pt>
                <c:pt idx="30">
                  <c:v>50-54</c:v>
                </c:pt>
                <c:pt idx="31">
                  <c:v>55-59</c:v>
                </c:pt>
                <c:pt idx="32">
                  <c:v>60-65</c:v>
                </c:pt>
              </c:strCache>
            </c:strRef>
          </c:cat>
          <c:val>
            <c:numRef>
              <c:f>age_2013!$D$1:$D$33</c:f>
              <c:numCache>
                <c:formatCode>General</c:formatCode>
                <c:ptCount val="33"/>
                <c:pt idx="1">
                  <c:v>3.9327428894106462</c:v>
                </c:pt>
                <c:pt idx="2">
                  <c:v>14.141889109196745</c:v>
                </c:pt>
                <c:pt idx="3">
                  <c:v>13.185212861261245</c:v>
                </c:pt>
                <c:pt idx="4">
                  <c:v>12.504723409856112</c:v>
                </c:pt>
                <c:pt idx="5">
                  <c:v>11.755558763464371</c:v>
                </c:pt>
                <c:pt idx="6">
                  <c:v>11.366965426762734</c:v>
                </c:pt>
                <c:pt idx="7">
                  <c:v>9.2928047077005367</c:v>
                </c:pt>
                <c:pt idx="8">
                  <c:v>8.5587125152316705</c:v>
                </c:pt>
                <c:pt idx="9">
                  <c:v>7.6460860446059726</c:v>
                </c:pt>
                <c:pt idx="10">
                  <c:v>7.6153042725099667</c:v>
                </c:pt>
                <c:pt idx="12">
                  <c:v>1.1616673250751954</c:v>
                </c:pt>
                <c:pt idx="13">
                  <c:v>4.7495374843057565</c:v>
                </c:pt>
                <c:pt idx="14">
                  <c:v>6.9387132480922444</c:v>
                </c:pt>
                <c:pt idx="15">
                  <c:v>8.5517489546949736</c:v>
                </c:pt>
                <c:pt idx="16">
                  <c:v>10.172607336887436</c:v>
                </c:pt>
                <c:pt idx="17">
                  <c:v>12.941052228093575</c:v>
                </c:pt>
                <c:pt idx="18">
                  <c:v>13.468691696620997</c:v>
                </c:pt>
                <c:pt idx="19">
                  <c:v>14.204023202055799</c:v>
                </c:pt>
                <c:pt idx="20">
                  <c:v>13.997113432707389</c:v>
                </c:pt>
                <c:pt idx="21">
                  <c:v>13.814845091466635</c:v>
                </c:pt>
                <c:pt idx="23">
                  <c:v>12.851494089217189</c:v>
                </c:pt>
                <c:pt idx="24">
                  <c:v>16.35004146702077</c:v>
                </c:pt>
                <c:pt idx="25">
                  <c:v>8.2896841577015969</c:v>
                </c:pt>
                <c:pt idx="26">
                  <c:v>6.7877537712377158</c:v>
                </c:pt>
                <c:pt idx="27">
                  <c:v>6.7537632141937562</c:v>
                </c:pt>
                <c:pt idx="28">
                  <c:v>7.651084743710471</c:v>
                </c:pt>
                <c:pt idx="29">
                  <c:v>7.4407955249170472</c:v>
                </c:pt>
                <c:pt idx="30">
                  <c:v>8.3764840780499039</c:v>
                </c:pt>
                <c:pt idx="31">
                  <c:v>10.270035281614682</c:v>
                </c:pt>
                <c:pt idx="32">
                  <c:v>15.228863672336864</c:v>
                </c:pt>
              </c:numCache>
            </c:numRef>
          </c:val>
        </c:ser>
        <c:ser>
          <c:idx val="4"/>
          <c:order val="1"/>
          <c:tx>
            <c:strRef>
              <c:f>age_2013!$C$35</c:f>
              <c:strCache>
                <c:ptCount val="1"/>
                <c:pt idx="0">
                  <c:v>Gap</c:v>
                </c:pt>
              </c:strCache>
            </c:strRef>
          </c:tx>
          <c:spPr>
            <a:noFill/>
          </c:spPr>
          <c:invertIfNegative val="0"/>
          <c:val>
            <c:numRef>
              <c:f>age_2013!$D$35</c:f>
              <c:numCache>
                <c:formatCode>General</c:formatCode>
                <c:ptCount val="1"/>
                <c:pt idx="0">
                  <c:v>-100</c:v>
                </c:pt>
              </c:numCache>
            </c:numRef>
          </c:val>
        </c:ser>
        <c:ser>
          <c:idx val="1"/>
          <c:order val="2"/>
          <c:tx>
            <c:strRef>
              <c:f>age_2013!$C$36</c:f>
              <c:strCache>
                <c:ptCount val="1"/>
                <c:pt idx="0">
                  <c:v>Commonwealth Rent Assistance</c:v>
                </c:pt>
              </c:strCache>
            </c:strRef>
          </c:tx>
          <c:spPr>
            <a:solidFill>
              <a:srgbClr val="78A22F"/>
            </a:solidFill>
          </c:spPr>
          <c:invertIfNegative val="0"/>
          <c:val>
            <c:numRef>
              <c:f>age_2013!$D$36</c:f>
              <c:numCache>
                <c:formatCode>General</c:formatCode>
                <c:ptCount val="1"/>
                <c:pt idx="0">
                  <c:v>-100</c:v>
                </c:pt>
              </c:numCache>
            </c:numRef>
          </c:val>
        </c:ser>
        <c:ser>
          <c:idx val="2"/>
          <c:order val="3"/>
          <c:tx>
            <c:strRef>
              <c:f>age_2013!$C$37</c:f>
              <c:strCache>
                <c:ptCount val="1"/>
                <c:pt idx="0">
                  <c:v>Public housing </c:v>
                </c:pt>
              </c:strCache>
            </c:strRef>
          </c:tx>
          <c:spPr>
            <a:solidFill>
              <a:srgbClr val="265A9A"/>
            </a:solidFill>
          </c:spPr>
          <c:invertIfNegative val="0"/>
          <c:val>
            <c:numRef>
              <c:f>age_2013!$D$37</c:f>
              <c:numCache>
                <c:formatCode>General</c:formatCode>
                <c:ptCount val="1"/>
                <c:pt idx="0">
                  <c:v>-100</c:v>
                </c:pt>
              </c:numCache>
            </c:numRef>
          </c:val>
        </c:ser>
        <c:dLbls>
          <c:showLegendKey val="0"/>
          <c:showVal val="0"/>
          <c:showCatName val="0"/>
          <c:showSerName val="0"/>
          <c:showPercent val="0"/>
          <c:showBubbleSize val="0"/>
        </c:dLbls>
        <c:gapWidth val="20"/>
        <c:overlap val="100"/>
        <c:axId val="98918400"/>
        <c:axId val="98919936"/>
      </c:barChart>
      <c:catAx>
        <c:axId val="98918400"/>
        <c:scaling>
          <c:orientation val="minMax"/>
        </c:scaling>
        <c:delete val="1"/>
        <c:axPos val="b"/>
        <c:majorTickMark val="out"/>
        <c:minorTickMark val="none"/>
        <c:tickLblPos val="nextTo"/>
        <c:crossAx val="98919936"/>
        <c:crosses val="autoZero"/>
        <c:auto val="1"/>
        <c:lblAlgn val="ctr"/>
        <c:lblOffset val="100"/>
        <c:noMultiLvlLbl val="1"/>
      </c:catAx>
      <c:valAx>
        <c:axId val="98919936"/>
        <c:scaling>
          <c:orientation val="minMax"/>
          <c:max val="40"/>
          <c:min val="20"/>
        </c:scaling>
        <c:delete val="1"/>
        <c:axPos val="l"/>
        <c:majorGridlines>
          <c:spPr>
            <a:ln>
              <a:noFill/>
            </a:ln>
          </c:spPr>
        </c:majorGridlines>
        <c:numFmt formatCode="General" sourceLinked="1"/>
        <c:majorTickMark val="out"/>
        <c:minorTickMark val="none"/>
        <c:tickLblPos val="nextTo"/>
        <c:crossAx val="98918400"/>
        <c:crosses val="autoZero"/>
        <c:crossBetween val="between"/>
        <c:majorUnit val="3"/>
      </c:valAx>
      <c:spPr>
        <a:noFill/>
        <a:ln>
          <a:noFill/>
        </a:ln>
      </c:spPr>
    </c:plotArea>
    <c:legend>
      <c:legendPos val="t"/>
      <c:legendEntry>
        <c:idx val="0"/>
        <c:delete val="1"/>
      </c:legendEntry>
      <c:legendEntry>
        <c:idx val="1"/>
        <c:delete val="1"/>
      </c:legendEntry>
      <c:layout>
        <c:manualLayout>
          <c:xMode val="edge"/>
          <c:yMode val="edge"/>
          <c:x val="0"/>
          <c:y val="0"/>
          <c:w val="1"/>
          <c:h val="1"/>
        </c:manualLayout>
      </c:layout>
      <c:overlay val="0"/>
      <c:spPr>
        <a:solidFill>
          <a:sysClr val="window" lastClr="FFFFFF"/>
        </a:solidFill>
      </c:spPr>
    </c:legend>
    <c:plotVisOnly val="1"/>
    <c:dispBlanksAs val="gap"/>
    <c:showDLblsOverMax val="0"/>
  </c:chart>
  <c:spPr>
    <a:solidFill>
      <a:sysClr val="window" lastClr="FFFFFF"/>
    </a:solidFill>
    <a:ln>
      <a:noFill/>
    </a:ln>
  </c:spPr>
  <c:txPr>
    <a:bodyPr/>
    <a:lstStyle/>
    <a:p>
      <a:pPr>
        <a:defRPr sz="1000" spc="20" baseline="0">
          <a:latin typeface="Arial" pitchFamily="34" charset="0"/>
        </a:defRPr>
      </a:pPr>
      <a:endParaRPr lang="en-US"/>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rgbClr val="78A22F"/>
              </a:solidFill>
              <a:ln>
                <a:solidFill>
                  <a:srgbClr val="78A22F"/>
                </a:solidFill>
              </a:ln>
            </c:spPr>
          </c:dPt>
          <c:dPt>
            <c:idx val="1"/>
            <c:bubble3D val="0"/>
            <c:spPr>
              <a:solidFill>
                <a:srgbClr val="265A9A"/>
              </a:solidFill>
              <a:ln>
                <a:solidFill>
                  <a:srgbClr val="265A9A"/>
                </a:solidFill>
              </a:ln>
            </c:spPr>
          </c:dPt>
          <c:dPt>
            <c:idx val="2"/>
            <c:bubble3D val="0"/>
            <c:spPr>
              <a:solidFill>
                <a:srgbClr val="B2D673"/>
              </a:solidFill>
              <a:ln>
                <a:solidFill>
                  <a:srgbClr val="B2D673"/>
                </a:solidFill>
              </a:ln>
            </c:spPr>
          </c:dPt>
          <c:dPt>
            <c:idx val="3"/>
            <c:bubble3D val="0"/>
            <c:spPr>
              <a:solidFill>
                <a:srgbClr val="000000"/>
              </a:solidFill>
              <a:ln>
                <a:solidFill>
                  <a:srgbClr val="000000"/>
                </a:solidFill>
              </a:ln>
            </c:spPr>
          </c:dPt>
          <c:dPt>
            <c:idx val="4"/>
            <c:bubble3D val="0"/>
            <c:spPr>
              <a:solidFill>
                <a:srgbClr val="F2F2F2"/>
              </a:solidFill>
              <a:ln>
                <a:solidFill>
                  <a:srgbClr val="BFBFBF"/>
                </a:solidFill>
              </a:ln>
            </c:spPr>
          </c:dPt>
          <c:dPt>
            <c:idx val="5"/>
            <c:bubble3D val="0"/>
            <c:spPr>
              <a:pattFill prst="ltUpDiag">
                <a:fgClr>
                  <a:srgbClr val="78A22F"/>
                </a:fgClr>
                <a:bgClr>
                  <a:schemeClr val="bg1"/>
                </a:bgClr>
              </a:pattFill>
              <a:ln>
                <a:solidFill>
                  <a:srgbClr val="78A22F"/>
                </a:solidFill>
              </a:ln>
            </c:spPr>
          </c:dPt>
          <c:dPt>
            <c:idx val="6"/>
            <c:bubble3D val="0"/>
            <c:spPr>
              <a:pattFill prst="ltDnDiag">
                <a:fgClr>
                  <a:srgbClr val="265A9A"/>
                </a:fgClr>
                <a:bgClr>
                  <a:schemeClr val="bg1"/>
                </a:bgClr>
              </a:pattFill>
              <a:ln>
                <a:solidFill>
                  <a:srgbClr val="265A9A"/>
                </a:solidFill>
              </a:ln>
            </c:spPr>
          </c:dPt>
          <c:dPt>
            <c:idx val="7"/>
            <c:bubble3D val="0"/>
            <c:spPr>
              <a:pattFill prst="ltUpDiag">
                <a:fgClr>
                  <a:srgbClr val="B2D673"/>
                </a:fgClr>
                <a:bgClr>
                  <a:schemeClr val="bg1"/>
                </a:bgClr>
              </a:pattFill>
              <a:ln>
                <a:solidFill>
                  <a:srgbClr val="B2D673"/>
                </a:solidFill>
              </a:ln>
            </c:spPr>
          </c:dPt>
          <c:dLbls>
            <c:dLbl>
              <c:idx val="0"/>
              <c:layout>
                <c:manualLayout>
                  <c:x val="0"/>
                  <c:y val="3.60617283950617E-2"/>
                </c:manualLayout>
              </c:layout>
              <c:dLblPos val="bestFit"/>
              <c:showLegendKey val="0"/>
              <c:showVal val="0"/>
              <c:showCatName val="0"/>
              <c:showSerName val="0"/>
              <c:showPercent val="1"/>
              <c:showBubbleSize val="0"/>
              <c:separator> </c:separator>
            </c:dLbl>
            <c:dLblPos val="outEnd"/>
            <c:showLegendKey val="0"/>
            <c:showVal val="0"/>
            <c:showCatName val="0"/>
            <c:showSerName val="0"/>
            <c:showPercent val="1"/>
            <c:showBubbleSize val="0"/>
            <c:separator> </c:separator>
            <c:showLeaderLines val="1"/>
          </c:dLbls>
          <c:val>
            <c:numRef>
              <c:f>'income unit by brtenure_2013'!$E$128:$E$133</c:f>
              <c:numCache>
                <c:formatCode>0.0</c:formatCode>
                <c:ptCount val="6"/>
                <c:pt idx="0">
                  <c:v>53.309160021660361</c:v>
                </c:pt>
                <c:pt idx="1">
                  <c:v>19.348276191588539</c:v>
                </c:pt>
                <c:pt idx="2">
                  <c:v>4.9929391278495663</c:v>
                </c:pt>
                <c:pt idx="3">
                  <c:v>12.635138722247589</c:v>
                </c:pt>
                <c:pt idx="4">
                  <c:v>6.7240738577844752</c:v>
                </c:pt>
                <c:pt idx="5">
                  <c:v>2.9904120788694111</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spPr>
    <a:solidFill>
      <a:schemeClr val="bg1"/>
    </a:solidFill>
    <a:ln>
      <a:noFill/>
    </a:ln>
  </c:spPr>
  <c:txPr>
    <a:bodyPr/>
    <a:lstStyle/>
    <a:p>
      <a:pPr>
        <a:defRPr sz="900" spc="20" baseline="0">
          <a:latin typeface="Arial" panose="020B0604020202020204" pitchFamily="34" charset="0"/>
          <a:cs typeface="Arial" panose="020B0604020202020204" pitchFamily="34" charset="0"/>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rgbClr val="78A22F"/>
              </a:solidFill>
              <a:ln>
                <a:solidFill>
                  <a:srgbClr val="78A22F"/>
                </a:solidFill>
              </a:ln>
            </c:spPr>
          </c:dPt>
          <c:dPt>
            <c:idx val="1"/>
            <c:bubble3D val="0"/>
            <c:spPr>
              <a:solidFill>
                <a:srgbClr val="265A9A"/>
              </a:solidFill>
              <a:ln>
                <a:solidFill>
                  <a:srgbClr val="265A9A"/>
                </a:solidFill>
              </a:ln>
            </c:spPr>
          </c:dPt>
          <c:dPt>
            <c:idx val="2"/>
            <c:bubble3D val="0"/>
            <c:spPr>
              <a:solidFill>
                <a:srgbClr val="B2D673"/>
              </a:solidFill>
              <a:ln>
                <a:solidFill>
                  <a:srgbClr val="B2D673"/>
                </a:solidFill>
              </a:ln>
            </c:spPr>
          </c:dPt>
          <c:dPt>
            <c:idx val="3"/>
            <c:bubble3D val="0"/>
            <c:spPr>
              <a:solidFill>
                <a:srgbClr val="000000"/>
              </a:solidFill>
              <a:ln>
                <a:solidFill>
                  <a:srgbClr val="000000"/>
                </a:solidFill>
              </a:ln>
            </c:spPr>
          </c:dPt>
          <c:dPt>
            <c:idx val="4"/>
            <c:bubble3D val="0"/>
            <c:spPr>
              <a:solidFill>
                <a:srgbClr val="F2F2F2"/>
              </a:solidFill>
              <a:ln>
                <a:solidFill>
                  <a:srgbClr val="BFBFBF"/>
                </a:solidFill>
              </a:ln>
            </c:spPr>
          </c:dPt>
          <c:dPt>
            <c:idx val="5"/>
            <c:bubble3D val="0"/>
            <c:spPr>
              <a:pattFill prst="ltUpDiag">
                <a:fgClr>
                  <a:srgbClr val="78A22F"/>
                </a:fgClr>
                <a:bgClr>
                  <a:schemeClr val="bg1"/>
                </a:bgClr>
              </a:pattFill>
              <a:ln>
                <a:solidFill>
                  <a:srgbClr val="78A22F"/>
                </a:solidFill>
              </a:ln>
            </c:spPr>
          </c:dPt>
          <c:dPt>
            <c:idx val="6"/>
            <c:bubble3D val="0"/>
            <c:spPr>
              <a:pattFill prst="ltDnDiag">
                <a:fgClr>
                  <a:srgbClr val="265A9A"/>
                </a:fgClr>
                <a:bgClr>
                  <a:schemeClr val="bg1"/>
                </a:bgClr>
              </a:pattFill>
              <a:ln>
                <a:solidFill>
                  <a:srgbClr val="265A9A"/>
                </a:solidFill>
              </a:ln>
            </c:spPr>
          </c:dPt>
          <c:dPt>
            <c:idx val="7"/>
            <c:bubble3D val="0"/>
            <c:spPr>
              <a:pattFill prst="ltUpDiag">
                <a:fgClr>
                  <a:srgbClr val="B2D673"/>
                </a:fgClr>
                <a:bgClr>
                  <a:schemeClr val="bg1"/>
                </a:bgClr>
              </a:pattFill>
              <a:ln>
                <a:solidFill>
                  <a:srgbClr val="B2D673"/>
                </a:solidFill>
              </a:ln>
            </c:spPr>
          </c:dPt>
          <c:dLbls>
            <c:dLblPos val="outEnd"/>
            <c:showLegendKey val="0"/>
            <c:showVal val="0"/>
            <c:showCatName val="0"/>
            <c:showSerName val="0"/>
            <c:showPercent val="1"/>
            <c:showBubbleSize val="0"/>
            <c:separator> </c:separator>
            <c:showLeaderLines val="1"/>
          </c:dLbls>
          <c:cat>
            <c:strRef>
              <c:f>'income unit by brtenure_2013'!$C$134:$C$139</c:f>
              <c:strCache>
                <c:ptCount val="6"/>
                <c:pt idx="0">
                  <c:v>Single, no dependent children</c:v>
                </c:pt>
                <c:pt idx="1">
                  <c:v>Single, 1 or 2 children</c:v>
                </c:pt>
                <c:pt idx="2">
                  <c:v>Single, 3 or more children</c:v>
                </c:pt>
                <c:pt idx="3">
                  <c:v>Partnered, no dependent children</c:v>
                </c:pt>
                <c:pt idx="4">
                  <c:v>Partnered, 1 or 2 children</c:v>
                </c:pt>
                <c:pt idx="5">
                  <c:v>Partnered, 3 or more children</c:v>
                </c:pt>
              </c:strCache>
            </c:strRef>
          </c:cat>
          <c:val>
            <c:numRef>
              <c:f>'income unit by brtenure_2013'!$E$134:$E$139</c:f>
              <c:numCache>
                <c:formatCode>0.0</c:formatCode>
                <c:ptCount val="6"/>
                <c:pt idx="0">
                  <c:v>52.497271756519403</c:v>
                </c:pt>
                <c:pt idx="1">
                  <c:v>16.59828130439374</c:v>
                </c:pt>
                <c:pt idx="2">
                  <c:v>6.283760790740792</c:v>
                </c:pt>
                <c:pt idx="3">
                  <c:v>16.674945924062911</c:v>
                </c:pt>
                <c:pt idx="4">
                  <c:v>4.9108382650327176</c:v>
                </c:pt>
                <c:pt idx="5">
                  <c:v>3.0349019592504081</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spPr>
    <a:solidFill>
      <a:schemeClr val="bg1"/>
    </a:solidFill>
    <a:ln>
      <a:noFill/>
    </a:ln>
  </c:spPr>
  <c:txPr>
    <a:bodyPr/>
    <a:lstStyle/>
    <a:p>
      <a:pPr>
        <a:defRPr sz="900" spc="20" baseline="0">
          <a:latin typeface="Arial" panose="020B0604020202020204" pitchFamily="34" charset="0"/>
          <a:cs typeface="Arial" panose="020B0604020202020204" pitchFamily="34" charset="0"/>
        </a:defRPr>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rgbClr val="78A22F"/>
              </a:solidFill>
              <a:ln>
                <a:solidFill>
                  <a:srgbClr val="78A22F"/>
                </a:solidFill>
              </a:ln>
            </c:spPr>
          </c:dPt>
          <c:dPt>
            <c:idx val="1"/>
            <c:bubble3D val="0"/>
            <c:spPr>
              <a:solidFill>
                <a:srgbClr val="265A9A"/>
              </a:solidFill>
              <a:ln>
                <a:solidFill>
                  <a:srgbClr val="265A9A"/>
                </a:solidFill>
              </a:ln>
            </c:spPr>
          </c:dPt>
          <c:dPt>
            <c:idx val="2"/>
            <c:bubble3D val="0"/>
            <c:spPr>
              <a:solidFill>
                <a:srgbClr val="B2D673"/>
              </a:solidFill>
              <a:ln>
                <a:solidFill>
                  <a:srgbClr val="B2D673"/>
                </a:solidFill>
              </a:ln>
            </c:spPr>
          </c:dPt>
          <c:dPt>
            <c:idx val="3"/>
            <c:bubble3D val="0"/>
            <c:spPr>
              <a:solidFill>
                <a:srgbClr val="000000"/>
              </a:solidFill>
              <a:ln>
                <a:solidFill>
                  <a:srgbClr val="000000"/>
                </a:solidFill>
              </a:ln>
            </c:spPr>
          </c:dPt>
          <c:dPt>
            <c:idx val="4"/>
            <c:bubble3D val="0"/>
            <c:spPr>
              <a:solidFill>
                <a:srgbClr val="F2F2F2"/>
              </a:solidFill>
              <a:ln>
                <a:solidFill>
                  <a:srgbClr val="BFBFBF"/>
                </a:solidFill>
              </a:ln>
            </c:spPr>
          </c:dPt>
          <c:dPt>
            <c:idx val="5"/>
            <c:bubble3D val="0"/>
            <c:spPr>
              <a:pattFill prst="ltUpDiag">
                <a:fgClr>
                  <a:srgbClr val="78A22F"/>
                </a:fgClr>
                <a:bgClr>
                  <a:schemeClr val="bg1"/>
                </a:bgClr>
              </a:pattFill>
              <a:ln>
                <a:solidFill>
                  <a:srgbClr val="78A22F"/>
                </a:solidFill>
              </a:ln>
            </c:spPr>
          </c:dPt>
          <c:dPt>
            <c:idx val="6"/>
            <c:bubble3D val="0"/>
            <c:spPr>
              <a:pattFill prst="ltDnDiag">
                <a:fgClr>
                  <a:srgbClr val="265A9A"/>
                </a:fgClr>
                <a:bgClr>
                  <a:schemeClr val="bg1"/>
                </a:bgClr>
              </a:pattFill>
              <a:ln>
                <a:solidFill>
                  <a:srgbClr val="265A9A"/>
                </a:solidFill>
              </a:ln>
            </c:spPr>
          </c:dPt>
          <c:dPt>
            <c:idx val="7"/>
            <c:bubble3D val="0"/>
            <c:spPr>
              <a:pattFill prst="ltUpDiag">
                <a:fgClr>
                  <a:srgbClr val="B2D673"/>
                </a:fgClr>
                <a:bgClr>
                  <a:schemeClr val="bg1"/>
                </a:bgClr>
              </a:pattFill>
              <a:ln>
                <a:solidFill>
                  <a:srgbClr val="B2D673"/>
                </a:solidFill>
              </a:ln>
            </c:spPr>
          </c:dPt>
          <c:dLbls>
            <c:dLblPos val="outEnd"/>
            <c:showLegendKey val="0"/>
            <c:showVal val="0"/>
            <c:showCatName val="0"/>
            <c:showSerName val="0"/>
            <c:showPercent val="1"/>
            <c:showBubbleSize val="0"/>
            <c:separator> </c:separator>
            <c:showLeaderLines val="1"/>
          </c:dLbls>
          <c:cat>
            <c:strRef>
              <c:f>'income unit by brtenure_2013'!$C$134:$C$139</c:f>
              <c:strCache>
                <c:ptCount val="6"/>
                <c:pt idx="0">
                  <c:v>Single, no dependent children</c:v>
                </c:pt>
                <c:pt idx="1">
                  <c:v>Single, 1 or 2 children</c:v>
                </c:pt>
                <c:pt idx="2">
                  <c:v>Single, 3 or more children</c:v>
                </c:pt>
                <c:pt idx="3">
                  <c:v>Partnered, no dependent children</c:v>
                </c:pt>
                <c:pt idx="4">
                  <c:v>Partnered, 1 or 2 children</c:v>
                </c:pt>
                <c:pt idx="5">
                  <c:v>Partnered, 3 or more children</c:v>
                </c:pt>
              </c:strCache>
            </c:strRef>
          </c:cat>
          <c:val>
            <c:numRef>
              <c:f>'income unit by brtenure_2013'!$E$140:$E$145</c:f>
              <c:numCache>
                <c:formatCode>0.0</c:formatCode>
                <c:ptCount val="6"/>
                <c:pt idx="0">
                  <c:v>55.411863417481307</c:v>
                </c:pt>
                <c:pt idx="1">
                  <c:v>14.520249152467599</c:v>
                </c:pt>
                <c:pt idx="2">
                  <c:v>3.7224403503473278</c:v>
                </c:pt>
                <c:pt idx="3">
                  <c:v>17.857100438103831</c:v>
                </c:pt>
                <c:pt idx="4">
                  <c:v>5.8954828813726117</c:v>
                </c:pt>
                <c:pt idx="5">
                  <c:v>2.59286376022723</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spPr>
    <a:solidFill>
      <a:schemeClr val="bg1"/>
    </a:solidFill>
    <a:ln>
      <a:noFill/>
    </a:ln>
  </c:spPr>
  <c:txPr>
    <a:bodyPr/>
    <a:lstStyle/>
    <a:p>
      <a:pPr>
        <a:defRPr sz="900" spc="20" baseline="0">
          <a:latin typeface="Arial" panose="020B0604020202020204" pitchFamily="34" charset="0"/>
          <a:cs typeface="Arial" panose="020B0604020202020204" pitchFamily="34" charset="0"/>
        </a:defRPr>
      </a:pPr>
      <a:endParaRPr lang="en-US"/>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rgbClr val="78A22F"/>
              </a:solidFill>
              <a:ln>
                <a:solidFill>
                  <a:srgbClr val="78A22F"/>
                </a:solidFill>
              </a:ln>
            </c:spPr>
          </c:dPt>
          <c:dPt>
            <c:idx val="1"/>
            <c:bubble3D val="0"/>
            <c:spPr>
              <a:solidFill>
                <a:srgbClr val="265A9A"/>
              </a:solidFill>
              <a:ln>
                <a:solidFill>
                  <a:srgbClr val="265A9A"/>
                </a:solidFill>
              </a:ln>
            </c:spPr>
          </c:dPt>
          <c:dPt>
            <c:idx val="2"/>
            <c:bubble3D val="0"/>
            <c:spPr>
              <a:solidFill>
                <a:srgbClr val="B2D673"/>
              </a:solidFill>
              <a:ln>
                <a:solidFill>
                  <a:srgbClr val="B2D673"/>
                </a:solidFill>
              </a:ln>
            </c:spPr>
          </c:dPt>
          <c:dPt>
            <c:idx val="3"/>
            <c:bubble3D val="0"/>
            <c:spPr>
              <a:solidFill>
                <a:srgbClr val="000000"/>
              </a:solidFill>
              <a:ln>
                <a:solidFill>
                  <a:srgbClr val="000000"/>
                </a:solidFill>
              </a:ln>
            </c:spPr>
          </c:dPt>
          <c:dPt>
            <c:idx val="4"/>
            <c:bubble3D val="0"/>
            <c:spPr>
              <a:solidFill>
                <a:srgbClr val="F2F2F2"/>
              </a:solidFill>
              <a:ln>
                <a:solidFill>
                  <a:srgbClr val="BFBFBF"/>
                </a:solidFill>
              </a:ln>
            </c:spPr>
          </c:dPt>
          <c:dPt>
            <c:idx val="5"/>
            <c:bubble3D val="0"/>
            <c:spPr>
              <a:pattFill prst="ltUpDiag">
                <a:fgClr>
                  <a:srgbClr val="78A22F"/>
                </a:fgClr>
                <a:bgClr>
                  <a:schemeClr val="bg1"/>
                </a:bgClr>
              </a:pattFill>
              <a:ln>
                <a:solidFill>
                  <a:srgbClr val="78A22F"/>
                </a:solidFill>
              </a:ln>
            </c:spPr>
          </c:dPt>
          <c:dPt>
            <c:idx val="6"/>
            <c:bubble3D val="0"/>
            <c:spPr>
              <a:pattFill prst="ltDnDiag">
                <a:fgClr>
                  <a:srgbClr val="265A9A"/>
                </a:fgClr>
                <a:bgClr>
                  <a:schemeClr val="bg1"/>
                </a:bgClr>
              </a:pattFill>
              <a:ln>
                <a:solidFill>
                  <a:srgbClr val="265A9A"/>
                </a:solidFill>
              </a:ln>
            </c:spPr>
          </c:dPt>
          <c:dPt>
            <c:idx val="7"/>
            <c:bubble3D val="0"/>
            <c:spPr>
              <a:pattFill prst="ltUpDiag">
                <a:fgClr>
                  <a:srgbClr val="B2D673"/>
                </a:fgClr>
                <a:bgClr>
                  <a:schemeClr val="bg1"/>
                </a:bgClr>
              </a:pattFill>
              <a:ln>
                <a:solidFill>
                  <a:srgbClr val="B2D673"/>
                </a:solidFill>
              </a:ln>
            </c:spPr>
          </c:dPt>
          <c:dLbls>
            <c:dLblPos val="outEnd"/>
            <c:showLegendKey val="0"/>
            <c:showVal val="0"/>
            <c:showCatName val="0"/>
            <c:showSerName val="0"/>
            <c:showPercent val="1"/>
            <c:showBubbleSize val="0"/>
            <c:separator> </c:separator>
            <c:showLeaderLines val="1"/>
          </c:dLbls>
          <c:cat>
            <c:strRef>
              <c:f>'income unit by brtenure_2013'!$C$134:$C$139</c:f>
              <c:strCache>
                <c:ptCount val="6"/>
                <c:pt idx="0">
                  <c:v>Single, no dependent children</c:v>
                </c:pt>
                <c:pt idx="1">
                  <c:v>Single, 1 or 2 children</c:v>
                </c:pt>
                <c:pt idx="2">
                  <c:v>Single, 3 or more children</c:v>
                </c:pt>
                <c:pt idx="3">
                  <c:v>Partnered, no dependent children</c:v>
                </c:pt>
                <c:pt idx="4">
                  <c:v>Partnered, 1 or 2 children</c:v>
                </c:pt>
                <c:pt idx="5">
                  <c:v>Partnered, 3 or more children</c:v>
                </c:pt>
              </c:strCache>
            </c:strRef>
          </c:cat>
          <c:val>
            <c:numRef>
              <c:f>'income unit by brtenure_2013'!$E$134:$E$139</c:f>
              <c:numCache>
                <c:formatCode>0.0</c:formatCode>
                <c:ptCount val="6"/>
                <c:pt idx="0">
                  <c:v>52.497271756519403</c:v>
                </c:pt>
                <c:pt idx="1">
                  <c:v>16.59828130439374</c:v>
                </c:pt>
                <c:pt idx="2">
                  <c:v>6.283760790740792</c:v>
                </c:pt>
                <c:pt idx="3">
                  <c:v>16.674945924062911</c:v>
                </c:pt>
                <c:pt idx="4">
                  <c:v>4.9108382650327176</c:v>
                </c:pt>
                <c:pt idx="5">
                  <c:v>3.0349019592504081</c:v>
                </c:pt>
              </c:numCache>
            </c:numRef>
          </c:val>
        </c:ser>
        <c:dLbls>
          <c:showLegendKey val="0"/>
          <c:showVal val="0"/>
          <c:showCatName val="0"/>
          <c:showSerName val="0"/>
          <c:showPercent val="0"/>
          <c:showBubbleSize val="0"/>
          <c:showLeaderLines val="1"/>
        </c:dLbls>
        <c:firstSliceAng val="0"/>
      </c:pieChart>
    </c:plotArea>
    <c:legend>
      <c:legendPos val="t"/>
      <c:layout>
        <c:manualLayout>
          <c:xMode val="edge"/>
          <c:yMode val="edge"/>
          <c:x val="5.07718144427348E-3"/>
          <c:y val="5.1686785379235198E-2"/>
          <c:w val="0.99492281855572695"/>
          <c:h val="0.90926018559890598"/>
        </c:manualLayout>
      </c:layout>
      <c:overlay val="0"/>
      <c:spPr>
        <a:solidFill>
          <a:sysClr val="window" lastClr="FFFFFF"/>
        </a:solidFill>
      </c:spPr>
    </c:legend>
    <c:plotVisOnly val="1"/>
    <c:dispBlanksAs val="gap"/>
    <c:showDLblsOverMax val="0"/>
  </c:chart>
  <c:spPr>
    <a:solidFill>
      <a:schemeClr val="bg1"/>
    </a:solidFill>
    <a:ln>
      <a:noFill/>
    </a:ln>
  </c:spPr>
  <c:txPr>
    <a:bodyPr/>
    <a:lstStyle/>
    <a:p>
      <a:pPr>
        <a:defRPr sz="900" spc="20" baseline="0">
          <a:latin typeface="Arial" panose="020B0604020202020204" pitchFamily="34" charset="0"/>
          <a:cs typeface="Arial" panose="020B0604020202020204" pitchFamily="34" charset="0"/>
        </a:defRPr>
      </a:pPr>
      <a:endParaRPr lang="en-US"/>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78A22F"/>
            </a:solidFill>
            <a:ln>
              <a:noFill/>
            </a:ln>
          </c:spPr>
          <c:invertIfNegative val="0"/>
          <c:dPt>
            <c:idx val="1"/>
            <c:invertIfNegative val="0"/>
            <c:bubble3D val="0"/>
            <c:spPr>
              <a:solidFill>
                <a:srgbClr val="265A9A"/>
              </a:solidFill>
              <a:ln>
                <a:noFill/>
              </a:ln>
            </c:spPr>
          </c:dPt>
          <c:dPt>
            <c:idx val="2"/>
            <c:invertIfNegative val="0"/>
            <c:bubble3D val="0"/>
            <c:spPr>
              <a:solidFill>
                <a:srgbClr val="B2D673"/>
              </a:solidFill>
              <a:ln>
                <a:noFill/>
              </a:ln>
            </c:spPr>
          </c:dPt>
          <c:cat>
            <c:strRef>
              <c:f>atsi_2013!$B$2:$D$2</c:f>
              <c:strCache>
                <c:ptCount val="3"/>
                <c:pt idx="0">
                  <c:v>Commonwealth Rent Assistance</c:v>
                </c:pt>
                <c:pt idx="1">
                  <c:v>Public housing</c:v>
                </c:pt>
                <c:pt idx="2">
                  <c:v>Other tenure types</c:v>
                </c:pt>
              </c:strCache>
            </c:strRef>
          </c:cat>
          <c:val>
            <c:numRef>
              <c:f>atsi_2013!$B$3:$D$3</c:f>
              <c:numCache>
                <c:formatCode>General</c:formatCode>
                <c:ptCount val="3"/>
                <c:pt idx="0">
                  <c:v>5.4552730237040876</c:v>
                </c:pt>
                <c:pt idx="1">
                  <c:v>16.675597554631612</c:v>
                </c:pt>
                <c:pt idx="2">
                  <c:v>7.6415294583612026</c:v>
                </c:pt>
              </c:numCache>
            </c:numRef>
          </c:val>
        </c:ser>
        <c:dLbls>
          <c:showLegendKey val="0"/>
          <c:showVal val="0"/>
          <c:showCatName val="0"/>
          <c:showSerName val="0"/>
          <c:showPercent val="0"/>
          <c:showBubbleSize val="0"/>
        </c:dLbls>
        <c:gapWidth val="90"/>
        <c:axId val="101214080"/>
        <c:axId val="101215616"/>
      </c:barChart>
      <c:scatterChart>
        <c:scatterStyle val="lineMarker"/>
        <c:varyColors val="0"/>
        <c:ser>
          <c:idx val="1"/>
          <c:order val="1"/>
          <c:spPr>
            <a:ln w="28575">
              <a:noFill/>
            </a:ln>
          </c:spPr>
          <c:marker>
            <c:symbol val="none"/>
          </c:marker>
          <c:errBars>
            <c:errDir val="x"/>
            <c:errBarType val="both"/>
            <c:errValType val="fixedVal"/>
            <c:noEndCap val="1"/>
            <c:val val="1"/>
            <c:spPr>
              <a:ln w="22225">
                <a:solidFill>
                  <a:sysClr val="windowText" lastClr="000000"/>
                </a:solidFill>
                <a:prstDash val="sysDot"/>
              </a:ln>
            </c:spPr>
          </c:errBars>
          <c:xVal>
            <c:strRef>
              <c:f>atsi_2013!$B$2:$D$2</c:f>
              <c:strCache>
                <c:ptCount val="3"/>
                <c:pt idx="0">
                  <c:v>Commonwealth Rent Assistance</c:v>
                </c:pt>
                <c:pt idx="1">
                  <c:v>Public housing</c:v>
                </c:pt>
                <c:pt idx="2">
                  <c:v>Other tenure types</c:v>
                </c:pt>
              </c:strCache>
            </c:strRef>
          </c:xVal>
          <c:yVal>
            <c:numRef>
              <c:f>atsi_2013!$B$9:$D$9</c:f>
              <c:numCache>
                <c:formatCode>General</c:formatCode>
                <c:ptCount val="3"/>
                <c:pt idx="2">
                  <c:v>2.3029800914962681</c:v>
                </c:pt>
              </c:numCache>
            </c:numRef>
          </c:yVal>
          <c:smooth val="0"/>
        </c:ser>
        <c:dLbls>
          <c:showLegendKey val="0"/>
          <c:showVal val="0"/>
          <c:showCatName val="0"/>
          <c:showSerName val="0"/>
          <c:showPercent val="0"/>
          <c:showBubbleSize val="0"/>
        </c:dLbls>
        <c:axId val="101231616"/>
        <c:axId val="101230080"/>
      </c:scatterChart>
      <c:catAx>
        <c:axId val="101214080"/>
        <c:scaling>
          <c:orientation val="minMax"/>
        </c:scaling>
        <c:delete val="0"/>
        <c:axPos val="b"/>
        <c:majorTickMark val="none"/>
        <c:minorTickMark val="none"/>
        <c:tickLblPos val="nextTo"/>
        <c:spPr>
          <a:ln>
            <a:solidFill>
              <a:srgbClr val="BFBFBF"/>
            </a:solidFill>
          </a:ln>
        </c:spPr>
        <c:crossAx val="101215616"/>
        <c:crosses val="autoZero"/>
        <c:auto val="1"/>
        <c:lblAlgn val="ctr"/>
        <c:lblOffset val="100"/>
        <c:noMultiLvlLbl val="0"/>
      </c:catAx>
      <c:valAx>
        <c:axId val="101215616"/>
        <c:scaling>
          <c:orientation val="minMax"/>
          <c:max val="18"/>
          <c:min val="0"/>
        </c:scaling>
        <c:delete val="0"/>
        <c:axPos val="l"/>
        <c:majorGridlines>
          <c:spPr>
            <a:ln>
              <a:noFill/>
            </a:ln>
          </c:spPr>
        </c:majorGridlines>
        <c:title>
          <c:tx>
            <c:rich>
              <a:bodyPr rot="-5400000" vert="horz"/>
              <a:lstStyle/>
              <a:p>
                <a:pPr>
                  <a:defRPr/>
                </a:pPr>
                <a:r>
                  <a:rPr lang="en-AU"/>
                  <a:t>Per cent</a:t>
                </a:r>
              </a:p>
            </c:rich>
          </c:tx>
          <c:layout>
            <c:manualLayout>
              <c:xMode val="edge"/>
              <c:yMode val="edge"/>
              <c:x val="1.4111111111111111E-2"/>
              <c:y val="0.35726840277777777"/>
            </c:manualLayout>
          </c:layout>
          <c:overlay val="0"/>
        </c:title>
        <c:numFmt formatCode="General" sourceLinked="1"/>
        <c:majorTickMark val="out"/>
        <c:minorTickMark val="none"/>
        <c:tickLblPos val="nextTo"/>
        <c:spPr>
          <a:ln>
            <a:solidFill>
              <a:srgbClr val="BFBFBF"/>
            </a:solidFill>
          </a:ln>
        </c:spPr>
        <c:crossAx val="101214080"/>
        <c:crosses val="autoZero"/>
        <c:crossBetween val="between"/>
        <c:majorUnit val="3"/>
      </c:valAx>
      <c:valAx>
        <c:axId val="101230080"/>
        <c:scaling>
          <c:orientation val="minMax"/>
          <c:max val="18"/>
        </c:scaling>
        <c:delete val="1"/>
        <c:axPos val="r"/>
        <c:numFmt formatCode="General" sourceLinked="1"/>
        <c:majorTickMark val="out"/>
        <c:minorTickMark val="none"/>
        <c:tickLblPos val="nextTo"/>
        <c:crossAx val="101231616"/>
        <c:crosses val="max"/>
        <c:crossBetween val="midCat"/>
      </c:valAx>
      <c:valAx>
        <c:axId val="101231616"/>
        <c:scaling>
          <c:orientation val="minMax"/>
          <c:max val="3.5"/>
          <c:min val="2.5"/>
        </c:scaling>
        <c:delete val="0"/>
        <c:axPos val="t"/>
        <c:majorTickMark val="none"/>
        <c:minorTickMark val="none"/>
        <c:tickLblPos val="none"/>
        <c:spPr>
          <a:ln>
            <a:noFill/>
          </a:ln>
        </c:spPr>
        <c:crossAx val="101230080"/>
        <c:crosses val="max"/>
        <c:crossBetween val="midCat"/>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78A22F"/>
            </a:solidFill>
            <a:ln>
              <a:noFill/>
            </a:ln>
          </c:spPr>
          <c:invertIfNegative val="0"/>
          <c:dPt>
            <c:idx val="1"/>
            <c:invertIfNegative val="0"/>
            <c:bubble3D val="0"/>
            <c:spPr>
              <a:solidFill>
                <a:srgbClr val="265A9A"/>
              </a:solidFill>
              <a:ln>
                <a:noFill/>
              </a:ln>
            </c:spPr>
          </c:dPt>
          <c:dPt>
            <c:idx val="2"/>
            <c:invertIfNegative val="0"/>
            <c:bubble3D val="0"/>
            <c:spPr>
              <a:solidFill>
                <a:srgbClr val="B2D673"/>
              </a:solidFill>
              <a:ln>
                <a:noFill/>
              </a:ln>
            </c:spPr>
          </c:dPt>
          <c:cat>
            <c:strRef>
              <c:f>lang_2013!$B$2:$D$2</c:f>
              <c:strCache>
                <c:ptCount val="3"/>
                <c:pt idx="0">
                  <c:v>Commonwealth Rent Assistance</c:v>
                </c:pt>
                <c:pt idx="1">
                  <c:v>Public housing</c:v>
                </c:pt>
                <c:pt idx="2">
                  <c:v>All ISP recipients</c:v>
                </c:pt>
              </c:strCache>
            </c:strRef>
          </c:cat>
          <c:val>
            <c:numRef>
              <c:f>lang_2013!$B$3:$D$3</c:f>
              <c:numCache>
                <c:formatCode>General</c:formatCode>
                <c:ptCount val="3"/>
                <c:pt idx="0">
                  <c:v>7.2322230016268003</c:v>
                </c:pt>
                <c:pt idx="1">
                  <c:v>8.9849483865336843</c:v>
                </c:pt>
                <c:pt idx="2">
                  <c:v>7.4170100012580207</c:v>
                </c:pt>
              </c:numCache>
            </c:numRef>
          </c:val>
        </c:ser>
        <c:dLbls>
          <c:showLegendKey val="0"/>
          <c:showVal val="0"/>
          <c:showCatName val="0"/>
          <c:showSerName val="0"/>
          <c:showPercent val="0"/>
          <c:showBubbleSize val="0"/>
        </c:dLbls>
        <c:gapWidth val="90"/>
        <c:axId val="101415168"/>
        <c:axId val="101449728"/>
      </c:barChart>
      <c:scatterChart>
        <c:scatterStyle val="lineMarker"/>
        <c:varyColors val="0"/>
        <c:ser>
          <c:idx val="1"/>
          <c:order val="1"/>
          <c:spPr>
            <a:ln w="28575">
              <a:noFill/>
            </a:ln>
          </c:spPr>
          <c:marker>
            <c:symbol val="none"/>
          </c:marker>
          <c:errBars>
            <c:errDir val="x"/>
            <c:errBarType val="both"/>
            <c:errValType val="fixedVal"/>
            <c:noEndCap val="1"/>
            <c:val val="20"/>
            <c:spPr>
              <a:ln w="22225">
                <a:prstDash val="sysDot"/>
              </a:ln>
            </c:spPr>
          </c:errBars>
          <c:xVal>
            <c:strRef>
              <c:f>lang_2013!$B$2:$D$2</c:f>
              <c:strCache>
                <c:ptCount val="3"/>
                <c:pt idx="0">
                  <c:v>Commonwealth Rent Assistance</c:v>
                </c:pt>
                <c:pt idx="1">
                  <c:v>Public housing</c:v>
                </c:pt>
                <c:pt idx="2">
                  <c:v>All ISP recipients</c:v>
                </c:pt>
              </c:strCache>
            </c:strRef>
          </c:xVal>
          <c:yVal>
            <c:numRef>
              <c:f>lang_2013!$B$7:$C$7</c:f>
              <c:numCache>
                <c:formatCode>#,##0.00</c:formatCode>
                <c:ptCount val="2"/>
                <c:pt idx="1">
                  <c:v>7.250000958094347</c:v>
                </c:pt>
              </c:numCache>
            </c:numRef>
          </c:yVal>
          <c:smooth val="0"/>
        </c:ser>
        <c:dLbls>
          <c:showLegendKey val="0"/>
          <c:showVal val="0"/>
          <c:showCatName val="0"/>
          <c:showSerName val="0"/>
          <c:showPercent val="0"/>
          <c:showBubbleSize val="0"/>
        </c:dLbls>
        <c:axId val="101453184"/>
        <c:axId val="101451648"/>
      </c:scatterChart>
      <c:catAx>
        <c:axId val="101415168"/>
        <c:scaling>
          <c:orientation val="minMax"/>
        </c:scaling>
        <c:delete val="0"/>
        <c:axPos val="b"/>
        <c:majorTickMark val="out"/>
        <c:minorTickMark val="none"/>
        <c:tickLblPos val="nextTo"/>
        <c:spPr>
          <a:ln>
            <a:solidFill>
              <a:srgbClr val="BFBFBF"/>
            </a:solidFill>
          </a:ln>
        </c:spPr>
        <c:crossAx val="101449728"/>
        <c:crosses val="autoZero"/>
        <c:auto val="1"/>
        <c:lblAlgn val="ctr"/>
        <c:lblOffset val="100"/>
        <c:noMultiLvlLbl val="0"/>
      </c:catAx>
      <c:valAx>
        <c:axId val="101449728"/>
        <c:scaling>
          <c:orientation val="minMax"/>
          <c:max val="15"/>
          <c:min val="0"/>
        </c:scaling>
        <c:delete val="0"/>
        <c:axPos val="l"/>
        <c:majorGridlines>
          <c:spPr>
            <a:ln>
              <a:noFill/>
            </a:ln>
          </c:spPr>
        </c:majorGridlines>
        <c:title>
          <c:tx>
            <c:rich>
              <a:bodyPr rot="-5400000" vert="horz"/>
              <a:lstStyle/>
              <a:p>
                <a:pPr>
                  <a:defRPr/>
                </a:pPr>
                <a:r>
                  <a:rPr lang="en-AU"/>
                  <a:t>Per cent</a:t>
                </a:r>
              </a:p>
            </c:rich>
          </c:tx>
          <c:layout>
            <c:manualLayout>
              <c:xMode val="edge"/>
              <c:yMode val="edge"/>
              <c:x val="1.41111111111111E-2"/>
              <c:y val="0.35726840277777799"/>
            </c:manualLayout>
          </c:layout>
          <c:overlay val="0"/>
        </c:title>
        <c:numFmt formatCode="General" sourceLinked="1"/>
        <c:majorTickMark val="out"/>
        <c:minorTickMark val="none"/>
        <c:tickLblPos val="nextTo"/>
        <c:spPr>
          <a:ln>
            <a:solidFill>
              <a:srgbClr val="BFBFBF"/>
            </a:solidFill>
          </a:ln>
        </c:spPr>
        <c:crossAx val="101415168"/>
        <c:crosses val="autoZero"/>
        <c:crossBetween val="between"/>
        <c:majorUnit val="5"/>
      </c:valAx>
      <c:valAx>
        <c:axId val="101451648"/>
        <c:scaling>
          <c:orientation val="minMax"/>
          <c:max val="25"/>
          <c:min val="0"/>
        </c:scaling>
        <c:delete val="1"/>
        <c:axPos val="r"/>
        <c:numFmt formatCode="#,##0.00" sourceLinked="1"/>
        <c:majorTickMark val="out"/>
        <c:minorTickMark val="none"/>
        <c:tickLblPos val="nextTo"/>
        <c:crossAx val="101453184"/>
        <c:crosses val="max"/>
        <c:crossBetween val="midCat"/>
        <c:majorUnit val="5"/>
      </c:valAx>
      <c:valAx>
        <c:axId val="101453184"/>
        <c:scaling>
          <c:orientation val="minMax"/>
          <c:max val="10"/>
          <c:min val="-10"/>
        </c:scaling>
        <c:delete val="0"/>
        <c:axPos val="t"/>
        <c:majorTickMark val="none"/>
        <c:minorTickMark val="none"/>
        <c:tickLblPos val="none"/>
        <c:spPr>
          <a:ln>
            <a:noFill/>
          </a:ln>
        </c:spPr>
        <c:crossAx val="101451648"/>
        <c:crosses val="max"/>
        <c:crossBetween val="midCat"/>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9738888888888905E-2"/>
          <c:y val="2.3518402777777777E-2"/>
          <c:w val="0.89953122605363989"/>
          <c:h val="0.77348749999999999"/>
        </c:manualLayout>
      </c:layout>
      <c:lineChart>
        <c:grouping val="standard"/>
        <c:varyColors val="0"/>
        <c:ser>
          <c:idx val="0"/>
          <c:order val="0"/>
          <c:tx>
            <c:strRef>
              <c:f>employment_time!$L$2</c:f>
              <c:strCache>
                <c:ptCount val="1"/>
                <c:pt idx="0">
                  <c:v>Commonwealth Rent Assistance</c:v>
                </c:pt>
              </c:strCache>
            </c:strRef>
          </c:tx>
          <c:spPr>
            <a:ln>
              <a:solidFill>
                <a:srgbClr val="78A22F"/>
              </a:solidFill>
            </a:ln>
          </c:spPr>
          <c:marker>
            <c:symbol val="none"/>
          </c:marker>
          <c:cat>
            <c:numRef>
              <c:f>employment_time!$A$3:$A$13</c:f>
              <c:numCache>
                <c:formatCode>General</c:formatCode>
                <c:ptCount val="11"/>
                <c:pt idx="0">
                  <c:v>2003</c:v>
                </c:pt>
                <c:pt idx="1">
                  <c:v>2004</c:v>
                </c:pt>
                <c:pt idx="2">
                  <c:v>2005</c:v>
                </c:pt>
                <c:pt idx="3">
                  <c:v>2006</c:v>
                </c:pt>
                <c:pt idx="4">
                  <c:v>2007</c:v>
                </c:pt>
                <c:pt idx="5">
                  <c:v>2008</c:v>
                </c:pt>
                <c:pt idx="6">
                  <c:v>2009</c:v>
                </c:pt>
                <c:pt idx="7">
                  <c:v>2010</c:v>
                </c:pt>
                <c:pt idx="8">
                  <c:v>2011</c:v>
                </c:pt>
                <c:pt idx="9">
                  <c:v>2012</c:v>
                </c:pt>
                <c:pt idx="10">
                  <c:v>2013</c:v>
                </c:pt>
              </c:numCache>
            </c:numRef>
          </c:cat>
          <c:val>
            <c:numRef>
              <c:f>employment_time!$L$3:$L$13</c:f>
              <c:numCache>
                <c:formatCode>#,##0.00</c:formatCode>
                <c:ptCount val="11"/>
                <c:pt idx="0">
                  <c:v>21.166026508543698</c:v>
                </c:pt>
                <c:pt idx="1">
                  <c:v>23.589594722752743</c:v>
                </c:pt>
                <c:pt idx="2">
                  <c:v>24.93037601608437</c:v>
                </c:pt>
                <c:pt idx="3">
                  <c:v>25.764789475765816</c:v>
                </c:pt>
                <c:pt idx="4">
                  <c:v>26.830131517476673</c:v>
                </c:pt>
                <c:pt idx="5">
                  <c:v>27.49093127626908</c:v>
                </c:pt>
                <c:pt idx="6">
                  <c:v>24.55619951626888</c:v>
                </c:pt>
                <c:pt idx="7">
                  <c:v>24.231932053249999</c:v>
                </c:pt>
                <c:pt idx="8">
                  <c:v>23.919802072635608</c:v>
                </c:pt>
                <c:pt idx="9">
                  <c:v>22.540261949426231</c:v>
                </c:pt>
                <c:pt idx="10">
                  <c:v>21.831388066862253</c:v>
                </c:pt>
              </c:numCache>
            </c:numRef>
          </c:val>
          <c:smooth val="0"/>
        </c:ser>
        <c:ser>
          <c:idx val="1"/>
          <c:order val="1"/>
          <c:tx>
            <c:strRef>
              <c:f>employment_time!$M$2</c:f>
              <c:strCache>
                <c:ptCount val="1"/>
                <c:pt idx="0">
                  <c:v>Public housing</c:v>
                </c:pt>
              </c:strCache>
            </c:strRef>
          </c:tx>
          <c:spPr>
            <a:ln cmpd="sng">
              <a:solidFill>
                <a:srgbClr val="265A9A"/>
              </a:solidFill>
              <a:prstDash val="solid"/>
            </a:ln>
            <a:effectLst/>
          </c:spPr>
          <c:marker>
            <c:symbol val="none"/>
          </c:marker>
          <c:cat>
            <c:numRef>
              <c:f>employment_time!$A$3:$A$13</c:f>
              <c:numCache>
                <c:formatCode>General</c:formatCode>
                <c:ptCount val="11"/>
                <c:pt idx="0">
                  <c:v>2003</c:v>
                </c:pt>
                <c:pt idx="1">
                  <c:v>2004</c:v>
                </c:pt>
                <c:pt idx="2">
                  <c:v>2005</c:v>
                </c:pt>
                <c:pt idx="3">
                  <c:v>2006</c:v>
                </c:pt>
                <c:pt idx="4">
                  <c:v>2007</c:v>
                </c:pt>
                <c:pt idx="5">
                  <c:v>2008</c:v>
                </c:pt>
                <c:pt idx="6">
                  <c:v>2009</c:v>
                </c:pt>
                <c:pt idx="7">
                  <c:v>2010</c:v>
                </c:pt>
                <c:pt idx="8">
                  <c:v>2011</c:v>
                </c:pt>
                <c:pt idx="9">
                  <c:v>2012</c:v>
                </c:pt>
                <c:pt idx="10">
                  <c:v>2013</c:v>
                </c:pt>
              </c:numCache>
            </c:numRef>
          </c:cat>
          <c:val>
            <c:numRef>
              <c:f>employment_time!$M$3:$M$13</c:f>
              <c:numCache>
                <c:formatCode>#,##0.00</c:formatCode>
                <c:ptCount val="11"/>
                <c:pt idx="0">
                  <c:v>11.682423455989124</c:v>
                </c:pt>
                <c:pt idx="1">
                  <c:v>12.408708191840722</c:v>
                </c:pt>
                <c:pt idx="2">
                  <c:v>13.104133749915853</c:v>
                </c:pt>
                <c:pt idx="3">
                  <c:v>13.792567747897754</c:v>
                </c:pt>
                <c:pt idx="4">
                  <c:v>14.458750329470213</c:v>
                </c:pt>
                <c:pt idx="5">
                  <c:v>14.787351194064643</c:v>
                </c:pt>
                <c:pt idx="6">
                  <c:v>12.946923918162733</c:v>
                </c:pt>
                <c:pt idx="7">
                  <c:v>12.229283152126365</c:v>
                </c:pt>
                <c:pt idx="8">
                  <c:v>11.952662249222154</c:v>
                </c:pt>
                <c:pt idx="9">
                  <c:v>11.456958381705125</c:v>
                </c:pt>
                <c:pt idx="10">
                  <c:v>10.601289959204747</c:v>
                </c:pt>
              </c:numCache>
            </c:numRef>
          </c:val>
          <c:smooth val="0"/>
        </c:ser>
        <c:dLbls>
          <c:showLegendKey val="0"/>
          <c:showVal val="0"/>
          <c:showCatName val="0"/>
          <c:showSerName val="0"/>
          <c:showPercent val="0"/>
          <c:showBubbleSize val="0"/>
        </c:dLbls>
        <c:marker val="1"/>
        <c:smooth val="0"/>
        <c:axId val="101609856"/>
        <c:axId val="101611392"/>
      </c:lineChart>
      <c:catAx>
        <c:axId val="101609856"/>
        <c:scaling>
          <c:orientation val="minMax"/>
        </c:scaling>
        <c:delete val="0"/>
        <c:axPos val="b"/>
        <c:numFmt formatCode="General" sourceLinked="1"/>
        <c:majorTickMark val="none"/>
        <c:minorTickMark val="none"/>
        <c:tickLblPos val="nextTo"/>
        <c:spPr>
          <a:ln>
            <a:solidFill>
              <a:srgbClr val="BFBFBF"/>
            </a:solidFill>
          </a:ln>
        </c:spPr>
        <c:crossAx val="101611392"/>
        <c:crosses val="autoZero"/>
        <c:auto val="1"/>
        <c:lblAlgn val="ctr"/>
        <c:lblOffset val="100"/>
        <c:noMultiLvlLbl val="0"/>
      </c:catAx>
      <c:valAx>
        <c:axId val="101611392"/>
        <c:scaling>
          <c:orientation val="minMax"/>
        </c:scaling>
        <c:delete val="0"/>
        <c:axPos val="l"/>
        <c:title>
          <c:tx>
            <c:rich>
              <a:bodyPr rot="-5400000" vert="horz"/>
              <a:lstStyle/>
              <a:p>
                <a:pPr>
                  <a:defRPr/>
                </a:pPr>
                <a:r>
                  <a:rPr lang="en-AU"/>
                  <a:t>Per</a:t>
                </a:r>
                <a:r>
                  <a:rPr lang="en-AU" baseline="0"/>
                  <a:t> cent</a:t>
                </a:r>
                <a:endParaRPr lang="en-AU"/>
              </a:p>
            </c:rich>
          </c:tx>
          <c:layout>
            <c:manualLayout>
              <c:xMode val="edge"/>
              <c:yMode val="edge"/>
              <c:x val="1.2164750957854405E-2"/>
              <c:y val="0.34050138888888887"/>
            </c:manualLayout>
          </c:layout>
          <c:overlay val="0"/>
        </c:title>
        <c:numFmt formatCode="#,##0" sourceLinked="0"/>
        <c:majorTickMark val="out"/>
        <c:minorTickMark val="none"/>
        <c:tickLblPos val="nextTo"/>
        <c:spPr>
          <a:ln>
            <a:solidFill>
              <a:srgbClr val="BFBFBF"/>
            </a:solidFill>
          </a:ln>
        </c:spPr>
        <c:crossAx val="101609856"/>
        <c:crosses val="autoZero"/>
        <c:crossBetween val="between"/>
      </c:valAx>
      <c:spPr>
        <a:noFill/>
        <a:ln w="25400">
          <a:noFill/>
        </a:ln>
      </c:spPr>
    </c:plotArea>
    <c:legend>
      <c:legendPos val="b"/>
      <c:overlay val="0"/>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4301724137931036E-2"/>
          <c:y val="2.8073076923076923E-2"/>
          <c:w val="0.91569827586206898"/>
          <c:h val="0.68200520833333333"/>
        </c:manualLayout>
      </c:layout>
      <c:barChart>
        <c:barDir val="col"/>
        <c:grouping val="clustered"/>
        <c:varyColors val="0"/>
        <c:ser>
          <c:idx val="0"/>
          <c:order val="0"/>
          <c:tx>
            <c:strRef>
              <c:f>employment_2013!$D$11</c:f>
              <c:strCache>
                <c:ptCount val="1"/>
                <c:pt idx="0">
                  <c:v>Commonwealth Rent Asistance</c:v>
                </c:pt>
              </c:strCache>
            </c:strRef>
          </c:tx>
          <c:spPr>
            <a:solidFill>
              <a:srgbClr val="78A22F"/>
            </a:solidFill>
            <a:ln>
              <a:solidFill>
                <a:srgbClr val="78A22F"/>
              </a:solidFill>
            </a:ln>
          </c:spPr>
          <c:invertIfNegative val="0"/>
          <c:cat>
            <c:strRef>
              <c:f>employment_2013!$E$10:$L$10</c:f>
              <c:strCache>
                <c:ptCount val="8"/>
                <c:pt idx="0">
                  <c:v>Disability Support Pension</c:v>
                </c:pt>
                <c:pt idx="1">
                  <c:v>Newstart Allowance</c:v>
                </c:pt>
                <c:pt idx="2">
                  <c:v>Parenting Payment (Single)</c:v>
                </c:pt>
                <c:pt idx="3">
                  <c:v>Parenting Payment (Partnered)</c:v>
                </c:pt>
                <c:pt idx="4">
                  <c:v>Youth Allowance (Student)</c:v>
                </c:pt>
                <c:pt idx="5">
                  <c:v>Youth Allowance (Job seeker)</c:v>
                </c:pt>
                <c:pt idx="6">
                  <c:v>Carer Payment</c:v>
                </c:pt>
                <c:pt idx="7">
                  <c:v>Other</c:v>
                </c:pt>
              </c:strCache>
            </c:strRef>
          </c:cat>
          <c:val>
            <c:numRef>
              <c:f>employment_2013!$E$11:$L$11</c:f>
              <c:numCache>
                <c:formatCode>0.0</c:formatCode>
                <c:ptCount val="8"/>
                <c:pt idx="0">
                  <c:v>10.038534612202373</c:v>
                </c:pt>
                <c:pt idx="1">
                  <c:v>27.041916657297342</c:v>
                </c:pt>
                <c:pt idx="2">
                  <c:v>29.392459605026932</c:v>
                </c:pt>
                <c:pt idx="3">
                  <c:v>11.970954780019174</c:v>
                </c:pt>
                <c:pt idx="4">
                  <c:v>38.615050175678064</c:v>
                </c:pt>
                <c:pt idx="5">
                  <c:v>20.179101907263099</c:v>
                </c:pt>
                <c:pt idx="6">
                  <c:v>12.234013995024787</c:v>
                </c:pt>
                <c:pt idx="7">
                  <c:v>27.352697499878158</c:v>
                </c:pt>
              </c:numCache>
            </c:numRef>
          </c:val>
        </c:ser>
        <c:ser>
          <c:idx val="1"/>
          <c:order val="1"/>
          <c:tx>
            <c:strRef>
              <c:f>employment_2013!$D$12</c:f>
              <c:strCache>
                <c:ptCount val="1"/>
                <c:pt idx="0">
                  <c:v>Public housing</c:v>
                </c:pt>
              </c:strCache>
            </c:strRef>
          </c:tx>
          <c:spPr>
            <a:solidFill>
              <a:srgbClr val="265A9A"/>
            </a:solidFill>
            <a:ln>
              <a:solidFill>
                <a:srgbClr val="265A9A"/>
              </a:solidFill>
            </a:ln>
          </c:spPr>
          <c:invertIfNegative val="0"/>
          <c:cat>
            <c:strRef>
              <c:f>employment_2013!$E$10:$L$10</c:f>
              <c:strCache>
                <c:ptCount val="8"/>
                <c:pt idx="0">
                  <c:v>Disability Support Pension</c:v>
                </c:pt>
                <c:pt idx="1">
                  <c:v>Newstart Allowance</c:v>
                </c:pt>
                <c:pt idx="2">
                  <c:v>Parenting Payment (Single)</c:v>
                </c:pt>
                <c:pt idx="3">
                  <c:v>Parenting Payment (Partnered)</c:v>
                </c:pt>
                <c:pt idx="4">
                  <c:v>Youth Allowance (Student)</c:v>
                </c:pt>
                <c:pt idx="5">
                  <c:v>Youth Allowance (Job seeker)</c:v>
                </c:pt>
                <c:pt idx="6">
                  <c:v>Carer Payment</c:v>
                </c:pt>
                <c:pt idx="7">
                  <c:v>Other</c:v>
                </c:pt>
              </c:strCache>
            </c:strRef>
          </c:cat>
          <c:val>
            <c:numRef>
              <c:f>employment_2013!$E$12:$L$12</c:f>
              <c:numCache>
                <c:formatCode>0.0</c:formatCode>
                <c:ptCount val="8"/>
                <c:pt idx="0">
                  <c:v>6.0449036788370627</c:v>
                </c:pt>
                <c:pt idx="1">
                  <c:v>21.284618854307624</c:v>
                </c:pt>
                <c:pt idx="2">
                  <c:v>12.404580152671755</c:v>
                </c:pt>
                <c:pt idx="3">
                  <c:v>9.6791588029118358</c:v>
                </c:pt>
                <c:pt idx="4">
                  <c:v>19.540229885057471</c:v>
                </c:pt>
                <c:pt idx="5">
                  <c:v>9.220779220779221</c:v>
                </c:pt>
                <c:pt idx="6">
                  <c:v>8.1885656970912741</c:v>
                </c:pt>
                <c:pt idx="7">
                  <c:v>12.131014961585119</c:v>
                </c:pt>
              </c:numCache>
            </c:numRef>
          </c:val>
        </c:ser>
        <c:dLbls>
          <c:showLegendKey val="0"/>
          <c:showVal val="0"/>
          <c:showCatName val="0"/>
          <c:showSerName val="0"/>
          <c:showPercent val="0"/>
          <c:showBubbleSize val="0"/>
        </c:dLbls>
        <c:gapWidth val="150"/>
        <c:axId val="102599296"/>
        <c:axId val="102969728"/>
      </c:barChart>
      <c:catAx>
        <c:axId val="102599296"/>
        <c:scaling>
          <c:orientation val="minMax"/>
        </c:scaling>
        <c:delete val="0"/>
        <c:axPos val="b"/>
        <c:majorTickMark val="none"/>
        <c:minorTickMark val="none"/>
        <c:tickLblPos val="nextTo"/>
        <c:spPr>
          <a:ln>
            <a:solidFill>
              <a:srgbClr val="BFBFBF"/>
            </a:solidFill>
          </a:ln>
        </c:spPr>
        <c:txPr>
          <a:bodyPr/>
          <a:lstStyle/>
          <a:p>
            <a:pPr>
              <a:defRPr sz="800"/>
            </a:pPr>
            <a:endParaRPr lang="en-US"/>
          </a:p>
        </c:txPr>
        <c:crossAx val="102969728"/>
        <c:crosses val="autoZero"/>
        <c:auto val="1"/>
        <c:lblAlgn val="ctr"/>
        <c:lblOffset val="100"/>
        <c:noMultiLvlLbl val="0"/>
      </c:catAx>
      <c:valAx>
        <c:axId val="102969728"/>
        <c:scaling>
          <c:orientation val="minMax"/>
        </c:scaling>
        <c:delete val="0"/>
        <c:axPos val="l"/>
        <c:majorGridlines>
          <c:spPr>
            <a:ln>
              <a:noFill/>
            </a:ln>
          </c:spPr>
        </c:majorGridlines>
        <c:title>
          <c:tx>
            <c:rich>
              <a:bodyPr rot="-5400000" vert="horz"/>
              <a:lstStyle/>
              <a:p>
                <a:pPr>
                  <a:defRPr/>
                </a:pPr>
                <a:r>
                  <a:rPr lang="en-AU"/>
                  <a:t>Per cent</a:t>
                </a:r>
              </a:p>
            </c:rich>
          </c:tx>
          <c:layout>
            <c:manualLayout>
              <c:xMode val="edge"/>
              <c:yMode val="edge"/>
              <c:x val="1.3781609195402298E-3"/>
              <c:y val="0.30955624999999998"/>
            </c:manualLayout>
          </c:layout>
          <c:overlay val="0"/>
        </c:title>
        <c:numFmt formatCode="#,##0" sourceLinked="0"/>
        <c:majorTickMark val="out"/>
        <c:minorTickMark val="none"/>
        <c:tickLblPos val="nextTo"/>
        <c:spPr>
          <a:ln>
            <a:solidFill>
              <a:srgbClr val="BFBFBF"/>
            </a:solidFill>
          </a:ln>
        </c:spPr>
        <c:crossAx val="102599296"/>
        <c:crosses val="autoZero"/>
        <c:crossBetween val="between"/>
        <c:majorUnit val="9"/>
      </c:valAx>
      <c:spPr>
        <a:noFill/>
        <a:ln>
          <a:noFill/>
        </a:ln>
      </c:spPr>
    </c:plotArea>
    <c:legend>
      <c:legendPos val="b"/>
      <c:layout>
        <c:manualLayout>
          <c:xMode val="edge"/>
          <c:yMode val="edge"/>
          <c:x val="9.0686054754104628E-2"/>
          <c:y val="0.90435935704115422"/>
          <c:w val="0.79429699024848166"/>
          <c:h val="6.9496852109172627E-2"/>
        </c:manualLayout>
      </c:layout>
      <c:overlay val="0"/>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121462962963"/>
          <c:y val="3.5838888888888899E-2"/>
          <c:w val="0.84831462962963"/>
          <c:h val="0.86338383838383903"/>
        </c:manualLayout>
      </c:layout>
      <c:barChart>
        <c:barDir val="col"/>
        <c:grouping val="stacked"/>
        <c:varyColors val="0"/>
        <c:ser>
          <c:idx val="0"/>
          <c:order val="0"/>
          <c:tx>
            <c:strRef>
              <c:f>sgl_earns_Total_defl_update!$A$26</c:f>
              <c:strCache>
                <c:ptCount val="1"/>
                <c:pt idx="0">
                  <c:v>Bottom</c:v>
                </c:pt>
              </c:strCache>
            </c:strRef>
          </c:tx>
          <c:spPr>
            <a:noFill/>
            <a:ln>
              <a:noFill/>
            </a:ln>
          </c:spPr>
          <c:invertIfNegative val="0"/>
          <c:errBars>
            <c:errBarType val="minus"/>
            <c:errValType val="cust"/>
            <c:noEndCap val="0"/>
            <c:plus>
              <c:numLit>
                <c:formatCode>General</c:formatCode>
                <c:ptCount val="1"/>
                <c:pt idx="0">
                  <c:v>1</c:v>
                </c:pt>
              </c:numLit>
            </c:plus>
            <c:minus>
              <c:numRef>
                <c:f>sgl_earns_Total_defl_update!$B$30:$V$30</c:f>
                <c:numCache>
                  <c:formatCode>General</c:formatCode>
                  <c:ptCount val="21"/>
                  <c:pt idx="1">
                    <c:v>111.20299625468159</c:v>
                  </c:pt>
                  <c:pt idx="2">
                    <c:v>123.1286210892237</c:v>
                  </c:pt>
                  <c:pt idx="3">
                    <c:v>136.98176470588231</c:v>
                  </c:pt>
                  <c:pt idx="4">
                    <c:v>131.52833827893181</c:v>
                  </c:pt>
                  <c:pt idx="5">
                    <c:v>128.09611829944541</c:v>
                  </c:pt>
                  <c:pt idx="6">
                    <c:v>128</c:v>
                  </c:pt>
                  <c:pt idx="8">
                    <c:v>91.739155430711605</c:v>
                  </c:pt>
                  <c:pt idx="9">
                    <c:v>100.3364426419467</c:v>
                  </c:pt>
                  <c:pt idx="10">
                    <c:v>118.99588235294119</c:v>
                  </c:pt>
                  <c:pt idx="11">
                    <c:v>126.12462908011869</c:v>
                  </c:pt>
                  <c:pt idx="12">
                    <c:v>120.0901109057301</c:v>
                  </c:pt>
                  <c:pt idx="13">
                    <c:v>110.99</c:v>
                  </c:pt>
                  <c:pt idx="15">
                    <c:v>100.9507490636704</c:v>
                  </c:pt>
                  <c:pt idx="16">
                    <c:v>111.0834298957127</c:v>
                  </c:pt>
                  <c:pt idx="17">
                    <c:v>111.1394117647059</c:v>
                  </c:pt>
                  <c:pt idx="18">
                    <c:v>107.78857566765581</c:v>
                  </c:pt>
                  <c:pt idx="19">
                    <c:v>104.0140480591497</c:v>
                  </c:pt>
                  <c:pt idx="20">
                    <c:v>120</c:v>
                  </c:pt>
                </c:numCache>
              </c:numRef>
            </c:minus>
          </c:errBars>
          <c:cat>
            <c:numRef>
              <c:f>sgl_earns_Total_defl_update!$B$25:$V$25</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sgl_earns_Total_defl_update!$B$26:$O$26</c:f>
              <c:numCache>
                <c:formatCode>0</c:formatCode>
                <c:ptCount val="14"/>
                <c:pt idx="1">
                  <c:v>219.34906367041199</c:v>
                </c:pt>
                <c:pt idx="2">
                  <c:v>243.58053302433379</c:v>
                </c:pt>
                <c:pt idx="3">
                  <c:v>264.21705882352933</c:v>
                </c:pt>
                <c:pt idx="4">
                  <c:v>258.4069732937686</c:v>
                </c:pt>
                <c:pt idx="5">
                  <c:v>256.19223659889082</c:v>
                </c:pt>
                <c:pt idx="6">
                  <c:v>254</c:v>
                </c:pt>
                <c:pt idx="8" formatCode="General">
                  <c:v>181.68539325842701</c:v>
                </c:pt>
                <c:pt idx="9" formatCode="General">
                  <c:v>201.34206257242181</c:v>
                </c:pt>
                <c:pt idx="10" formatCode="General">
                  <c:v>227.04705882352951</c:v>
                </c:pt>
                <c:pt idx="11" formatCode="General">
                  <c:v>238.0830860534125</c:v>
                </c:pt>
                <c:pt idx="12" formatCode="General">
                  <c:v>227.02902033271721</c:v>
                </c:pt>
                <c:pt idx="13" formatCode="General">
                  <c:v>210.99</c:v>
                </c:pt>
              </c:numCache>
            </c:numRef>
          </c:val>
        </c:ser>
        <c:ser>
          <c:idx val="1"/>
          <c:order val="1"/>
          <c:tx>
            <c:strRef>
              <c:f>sgl_earns_Total_defl_update!$A$27</c:f>
              <c:strCache>
                <c:ptCount val="1"/>
                <c:pt idx="0">
                  <c:v>2q box</c:v>
                </c:pt>
              </c:strCache>
            </c:strRef>
          </c:tx>
          <c:spPr>
            <a:solidFill>
              <a:schemeClr val="accent1"/>
            </a:solidFill>
            <a:ln>
              <a:solidFill>
                <a:schemeClr val="tx2"/>
              </a:solidFill>
            </a:ln>
          </c:spPr>
          <c:invertIfNegative val="0"/>
          <c:dPt>
            <c:idx val="2"/>
            <c:invertIfNegative val="0"/>
            <c:bubble3D val="0"/>
          </c:dPt>
          <c:dPt>
            <c:idx val="3"/>
            <c:invertIfNegative val="0"/>
            <c:bubble3D val="0"/>
          </c:dPt>
          <c:dPt>
            <c:idx val="6"/>
            <c:invertIfNegative val="0"/>
            <c:bubble3D val="0"/>
          </c:dPt>
          <c:dPt>
            <c:idx val="7"/>
            <c:invertIfNegative val="0"/>
            <c:bubble3D val="0"/>
          </c:dPt>
          <c:dPt>
            <c:idx val="8"/>
            <c:invertIfNegative val="0"/>
            <c:bubble3D val="0"/>
            <c:spPr>
              <a:solidFill>
                <a:schemeClr val="accent2"/>
              </a:solidFill>
              <a:ln>
                <a:solidFill>
                  <a:schemeClr val="tx2"/>
                </a:solidFill>
              </a:ln>
            </c:spPr>
          </c:dPt>
          <c:dPt>
            <c:idx val="9"/>
            <c:invertIfNegative val="0"/>
            <c:bubble3D val="0"/>
            <c:spPr>
              <a:solidFill>
                <a:schemeClr val="accent2"/>
              </a:solidFill>
              <a:ln>
                <a:solidFill>
                  <a:schemeClr val="tx2"/>
                </a:solidFill>
              </a:ln>
            </c:spPr>
          </c:dPt>
          <c:dPt>
            <c:idx val="10"/>
            <c:invertIfNegative val="0"/>
            <c:bubble3D val="0"/>
            <c:spPr>
              <a:solidFill>
                <a:schemeClr val="accent2"/>
              </a:solidFill>
              <a:ln>
                <a:solidFill>
                  <a:schemeClr val="tx2"/>
                </a:solidFill>
              </a:ln>
            </c:spPr>
          </c:dPt>
          <c:dPt>
            <c:idx val="11"/>
            <c:invertIfNegative val="0"/>
            <c:bubble3D val="0"/>
            <c:spPr>
              <a:solidFill>
                <a:schemeClr val="accent2"/>
              </a:solidFill>
              <a:ln>
                <a:solidFill>
                  <a:schemeClr val="tx2"/>
                </a:solidFill>
              </a:ln>
            </c:spPr>
          </c:dPt>
          <c:dPt>
            <c:idx val="12"/>
            <c:invertIfNegative val="0"/>
            <c:bubble3D val="0"/>
            <c:spPr>
              <a:solidFill>
                <a:schemeClr val="accent2"/>
              </a:solidFill>
              <a:ln>
                <a:solidFill>
                  <a:schemeClr val="tx2"/>
                </a:solidFill>
              </a:ln>
            </c:spPr>
          </c:dPt>
          <c:dPt>
            <c:idx val="13"/>
            <c:invertIfNegative val="0"/>
            <c:bubble3D val="0"/>
            <c:spPr>
              <a:solidFill>
                <a:schemeClr val="accent2"/>
              </a:solidFill>
              <a:ln>
                <a:solidFill>
                  <a:schemeClr val="tx2"/>
                </a:solidFill>
              </a:ln>
            </c:spPr>
          </c:dPt>
          <c:dPt>
            <c:idx val="14"/>
            <c:invertIfNegative val="0"/>
            <c:bubble3D val="0"/>
            <c:spPr>
              <a:solidFill>
                <a:schemeClr val="accent2"/>
              </a:solidFill>
              <a:ln>
                <a:solidFill>
                  <a:schemeClr val="tx2"/>
                </a:solidFill>
              </a:ln>
            </c:spPr>
          </c:dPt>
          <c:dPt>
            <c:idx val="15"/>
            <c:invertIfNegative val="0"/>
            <c:bubble3D val="0"/>
            <c:spPr>
              <a:solidFill>
                <a:schemeClr val="accent3"/>
              </a:solidFill>
              <a:ln>
                <a:solidFill>
                  <a:schemeClr val="tx2"/>
                </a:solidFill>
              </a:ln>
            </c:spPr>
          </c:dPt>
          <c:dPt>
            <c:idx val="16"/>
            <c:invertIfNegative val="0"/>
            <c:bubble3D val="0"/>
            <c:spPr>
              <a:solidFill>
                <a:schemeClr val="accent3"/>
              </a:solidFill>
              <a:ln>
                <a:solidFill>
                  <a:schemeClr val="tx2"/>
                </a:solidFill>
              </a:ln>
            </c:spPr>
          </c:dPt>
          <c:dPt>
            <c:idx val="17"/>
            <c:invertIfNegative val="0"/>
            <c:bubble3D val="0"/>
            <c:spPr>
              <a:solidFill>
                <a:schemeClr val="accent3"/>
              </a:solidFill>
              <a:ln>
                <a:solidFill>
                  <a:schemeClr val="tx2"/>
                </a:solidFill>
              </a:ln>
            </c:spPr>
          </c:dPt>
          <c:dPt>
            <c:idx val="18"/>
            <c:invertIfNegative val="0"/>
            <c:bubble3D val="0"/>
            <c:spPr>
              <a:solidFill>
                <a:schemeClr val="accent3"/>
              </a:solidFill>
              <a:ln>
                <a:solidFill>
                  <a:schemeClr val="tx2"/>
                </a:solidFill>
              </a:ln>
            </c:spPr>
          </c:dPt>
          <c:dPt>
            <c:idx val="19"/>
            <c:invertIfNegative val="0"/>
            <c:bubble3D val="0"/>
            <c:spPr>
              <a:solidFill>
                <a:schemeClr val="accent3"/>
              </a:solidFill>
              <a:ln>
                <a:solidFill>
                  <a:schemeClr val="tx2"/>
                </a:solidFill>
              </a:ln>
            </c:spPr>
          </c:dPt>
          <c:dPt>
            <c:idx val="20"/>
            <c:invertIfNegative val="0"/>
            <c:bubble3D val="0"/>
            <c:spPr>
              <a:solidFill>
                <a:schemeClr val="accent3"/>
              </a:solidFill>
              <a:ln>
                <a:solidFill>
                  <a:schemeClr val="tx2"/>
                </a:solidFill>
              </a:ln>
            </c:spPr>
          </c:dPt>
          <c:dPt>
            <c:idx val="21"/>
            <c:invertIfNegative val="0"/>
            <c:bubble3D val="0"/>
            <c:spPr>
              <a:solidFill>
                <a:schemeClr val="accent2"/>
              </a:solidFill>
              <a:ln>
                <a:solidFill>
                  <a:schemeClr val="tx2"/>
                </a:solidFill>
              </a:ln>
            </c:spPr>
          </c:dPt>
          <c:dPt>
            <c:idx val="22"/>
            <c:invertIfNegative val="0"/>
            <c:bubble3D val="0"/>
            <c:spPr>
              <a:solidFill>
                <a:schemeClr val="accent2"/>
              </a:solidFill>
              <a:ln>
                <a:solidFill>
                  <a:schemeClr val="tx2"/>
                </a:solidFill>
              </a:ln>
            </c:spPr>
          </c:dPt>
          <c:dPt>
            <c:idx val="23"/>
            <c:invertIfNegative val="0"/>
            <c:bubble3D val="0"/>
            <c:spPr>
              <a:solidFill>
                <a:schemeClr val="accent2"/>
              </a:solidFill>
              <a:ln>
                <a:solidFill>
                  <a:schemeClr val="tx2"/>
                </a:solidFill>
              </a:ln>
            </c:spPr>
          </c:dPt>
          <c:dPt>
            <c:idx val="25"/>
            <c:invertIfNegative val="0"/>
            <c:bubble3D val="0"/>
            <c:spPr>
              <a:solidFill>
                <a:schemeClr val="accent3"/>
              </a:solidFill>
              <a:ln>
                <a:solidFill>
                  <a:schemeClr val="tx2"/>
                </a:solidFill>
              </a:ln>
            </c:spPr>
          </c:dPt>
          <c:dPt>
            <c:idx val="26"/>
            <c:invertIfNegative val="0"/>
            <c:bubble3D val="0"/>
            <c:spPr>
              <a:solidFill>
                <a:schemeClr val="accent3"/>
              </a:solidFill>
              <a:ln>
                <a:solidFill>
                  <a:schemeClr val="tx2"/>
                </a:solidFill>
              </a:ln>
            </c:spPr>
          </c:dPt>
          <c:dPt>
            <c:idx val="27"/>
            <c:invertIfNegative val="0"/>
            <c:bubble3D val="0"/>
            <c:spPr>
              <a:solidFill>
                <a:schemeClr val="accent3"/>
              </a:solidFill>
              <a:ln>
                <a:solidFill>
                  <a:schemeClr val="tx2"/>
                </a:solidFill>
              </a:ln>
            </c:spPr>
          </c:dPt>
          <c:dPt>
            <c:idx val="28"/>
            <c:invertIfNegative val="0"/>
            <c:bubble3D val="0"/>
            <c:spPr>
              <a:solidFill>
                <a:schemeClr val="accent3"/>
              </a:solidFill>
              <a:ln>
                <a:solidFill>
                  <a:schemeClr val="tx2"/>
                </a:solidFill>
              </a:ln>
            </c:spPr>
          </c:dPt>
          <c:dPt>
            <c:idx val="29"/>
            <c:invertIfNegative val="0"/>
            <c:bubble3D val="0"/>
            <c:spPr>
              <a:solidFill>
                <a:schemeClr val="accent3"/>
              </a:solidFill>
              <a:ln>
                <a:solidFill>
                  <a:schemeClr val="tx2"/>
                </a:solidFill>
              </a:ln>
            </c:spPr>
          </c:dPt>
          <c:dPt>
            <c:idx val="30"/>
            <c:invertIfNegative val="0"/>
            <c:bubble3D val="0"/>
            <c:spPr>
              <a:solidFill>
                <a:schemeClr val="accent3"/>
              </a:solidFill>
              <a:ln>
                <a:solidFill>
                  <a:schemeClr val="tx2"/>
                </a:solidFill>
              </a:ln>
            </c:spPr>
          </c:dPt>
          <c:dPt>
            <c:idx val="31"/>
            <c:invertIfNegative val="0"/>
            <c:bubble3D val="0"/>
            <c:spPr>
              <a:solidFill>
                <a:schemeClr val="accent3"/>
              </a:solidFill>
              <a:ln>
                <a:solidFill>
                  <a:schemeClr val="tx2"/>
                </a:solidFill>
              </a:ln>
            </c:spPr>
          </c:dPt>
          <c:dPt>
            <c:idx val="32"/>
            <c:invertIfNegative val="0"/>
            <c:bubble3D val="0"/>
            <c:spPr>
              <a:solidFill>
                <a:schemeClr val="accent3"/>
              </a:solidFill>
              <a:ln>
                <a:solidFill>
                  <a:schemeClr val="tx2"/>
                </a:solidFill>
              </a:ln>
            </c:spPr>
          </c:dPt>
          <c:dPt>
            <c:idx val="33"/>
            <c:invertIfNegative val="0"/>
            <c:bubble3D val="0"/>
            <c:spPr>
              <a:solidFill>
                <a:schemeClr val="accent3"/>
              </a:solidFill>
              <a:ln>
                <a:solidFill>
                  <a:schemeClr val="tx2"/>
                </a:solidFill>
              </a:ln>
            </c:spPr>
          </c:dPt>
          <c:dPt>
            <c:idx val="34"/>
            <c:invertIfNegative val="0"/>
            <c:bubble3D val="0"/>
            <c:spPr>
              <a:solidFill>
                <a:schemeClr val="accent3"/>
              </a:solidFill>
              <a:ln>
                <a:solidFill>
                  <a:schemeClr val="tx2"/>
                </a:solidFill>
              </a:ln>
            </c:spPr>
          </c:dPt>
          <c:dPt>
            <c:idx val="35"/>
            <c:invertIfNegative val="0"/>
            <c:bubble3D val="0"/>
            <c:spPr>
              <a:solidFill>
                <a:schemeClr val="accent3"/>
              </a:solidFill>
              <a:ln>
                <a:solidFill>
                  <a:schemeClr val="tx2"/>
                </a:solidFill>
              </a:ln>
            </c:spPr>
          </c:dPt>
          <c:cat>
            <c:numRef>
              <c:f>sgl_earns_Total_defl_update!$B$25:$V$25</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sgl_earns_Total_defl_update!$B$27:$O$27</c:f>
              <c:numCache>
                <c:formatCode>0</c:formatCode>
                <c:ptCount val="14"/>
                <c:pt idx="1">
                  <c:v>249.77415730337071</c:v>
                </c:pt>
                <c:pt idx="2">
                  <c:v>280.22468134414839</c:v>
                </c:pt>
                <c:pt idx="3">
                  <c:v>315.87705882352952</c:v>
                </c:pt>
                <c:pt idx="4">
                  <c:v>289.96097922848662</c:v>
                </c:pt>
                <c:pt idx="5">
                  <c:v>287.66118299445469</c:v>
                </c:pt>
                <c:pt idx="6">
                  <c:v>265</c:v>
                </c:pt>
                <c:pt idx="8" formatCode="General">
                  <c:v>268.20224719101128</c:v>
                </c:pt>
                <c:pt idx="9" formatCode="General">
                  <c:v>301.87925840092709</c:v>
                </c:pt>
                <c:pt idx="10" formatCode="General">
                  <c:v>318.95294117647069</c:v>
                </c:pt>
                <c:pt idx="11" formatCode="General">
                  <c:v>304.40133531157221</c:v>
                </c:pt>
                <c:pt idx="12" formatCode="General">
                  <c:v>293.04121996303132</c:v>
                </c:pt>
                <c:pt idx="13" formatCode="General">
                  <c:v>269.01</c:v>
                </c:pt>
              </c:numCache>
            </c:numRef>
          </c:val>
        </c:ser>
        <c:ser>
          <c:idx val="2"/>
          <c:order val="2"/>
          <c:tx>
            <c:strRef>
              <c:f>sgl_earns_Total_defl_update!$A$28</c:f>
              <c:strCache>
                <c:ptCount val="1"/>
                <c:pt idx="0">
                  <c:v>3q box</c:v>
                </c:pt>
              </c:strCache>
            </c:strRef>
          </c:tx>
          <c:spPr>
            <a:solidFill>
              <a:schemeClr val="accent1"/>
            </a:solidFill>
            <a:ln>
              <a:solidFill>
                <a:schemeClr val="tx2"/>
              </a:solidFill>
            </a:ln>
          </c:spPr>
          <c:invertIfNegative val="0"/>
          <c:dPt>
            <c:idx val="2"/>
            <c:invertIfNegative val="0"/>
            <c:bubble3D val="0"/>
          </c:dPt>
          <c:dPt>
            <c:idx val="3"/>
            <c:invertIfNegative val="0"/>
            <c:bubble3D val="0"/>
          </c:dPt>
          <c:dPt>
            <c:idx val="6"/>
            <c:invertIfNegative val="0"/>
            <c:bubble3D val="0"/>
          </c:dPt>
          <c:dPt>
            <c:idx val="7"/>
            <c:invertIfNegative val="0"/>
            <c:bubble3D val="0"/>
          </c:dPt>
          <c:dPt>
            <c:idx val="8"/>
            <c:invertIfNegative val="0"/>
            <c:bubble3D val="0"/>
            <c:spPr>
              <a:solidFill>
                <a:schemeClr val="accent2"/>
              </a:solidFill>
              <a:ln>
                <a:solidFill>
                  <a:schemeClr val="tx2"/>
                </a:solidFill>
              </a:ln>
            </c:spPr>
          </c:dPt>
          <c:dPt>
            <c:idx val="9"/>
            <c:invertIfNegative val="0"/>
            <c:bubble3D val="0"/>
            <c:spPr>
              <a:solidFill>
                <a:schemeClr val="accent2"/>
              </a:solidFill>
              <a:ln>
                <a:solidFill>
                  <a:schemeClr val="tx2"/>
                </a:solidFill>
              </a:ln>
            </c:spPr>
          </c:dPt>
          <c:dPt>
            <c:idx val="10"/>
            <c:invertIfNegative val="0"/>
            <c:bubble3D val="0"/>
            <c:spPr>
              <a:solidFill>
                <a:schemeClr val="accent2"/>
              </a:solidFill>
              <a:ln>
                <a:solidFill>
                  <a:schemeClr val="tx2"/>
                </a:solidFill>
              </a:ln>
            </c:spPr>
          </c:dPt>
          <c:dPt>
            <c:idx val="11"/>
            <c:invertIfNegative val="0"/>
            <c:bubble3D val="0"/>
            <c:spPr>
              <a:solidFill>
                <a:schemeClr val="accent2"/>
              </a:solidFill>
              <a:ln>
                <a:solidFill>
                  <a:schemeClr val="tx2"/>
                </a:solidFill>
              </a:ln>
            </c:spPr>
          </c:dPt>
          <c:dPt>
            <c:idx val="12"/>
            <c:invertIfNegative val="0"/>
            <c:bubble3D val="0"/>
            <c:spPr>
              <a:solidFill>
                <a:schemeClr val="accent2"/>
              </a:solidFill>
              <a:ln>
                <a:solidFill>
                  <a:schemeClr val="tx2"/>
                </a:solidFill>
              </a:ln>
            </c:spPr>
          </c:dPt>
          <c:dPt>
            <c:idx val="13"/>
            <c:invertIfNegative val="0"/>
            <c:bubble3D val="0"/>
            <c:spPr>
              <a:solidFill>
                <a:schemeClr val="accent2"/>
              </a:solidFill>
              <a:ln>
                <a:solidFill>
                  <a:schemeClr val="tx2"/>
                </a:solidFill>
              </a:ln>
            </c:spPr>
          </c:dPt>
          <c:dPt>
            <c:idx val="14"/>
            <c:invertIfNegative val="0"/>
            <c:bubble3D val="0"/>
            <c:spPr>
              <a:solidFill>
                <a:schemeClr val="accent2"/>
              </a:solidFill>
              <a:ln>
                <a:solidFill>
                  <a:schemeClr val="tx2"/>
                </a:solidFill>
              </a:ln>
            </c:spPr>
          </c:dPt>
          <c:dPt>
            <c:idx val="15"/>
            <c:invertIfNegative val="0"/>
            <c:bubble3D val="0"/>
            <c:spPr>
              <a:solidFill>
                <a:schemeClr val="accent3"/>
              </a:solidFill>
              <a:ln>
                <a:solidFill>
                  <a:schemeClr val="tx2"/>
                </a:solidFill>
              </a:ln>
            </c:spPr>
          </c:dPt>
          <c:dPt>
            <c:idx val="16"/>
            <c:invertIfNegative val="0"/>
            <c:bubble3D val="0"/>
            <c:spPr>
              <a:solidFill>
                <a:schemeClr val="accent3"/>
              </a:solidFill>
              <a:ln>
                <a:solidFill>
                  <a:schemeClr val="tx2"/>
                </a:solidFill>
              </a:ln>
            </c:spPr>
          </c:dPt>
          <c:dPt>
            <c:idx val="17"/>
            <c:invertIfNegative val="0"/>
            <c:bubble3D val="0"/>
            <c:spPr>
              <a:solidFill>
                <a:schemeClr val="accent3"/>
              </a:solidFill>
              <a:ln>
                <a:solidFill>
                  <a:schemeClr val="tx2"/>
                </a:solidFill>
              </a:ln>
            </c:spPr>
          </c:dPt>
          <c:dPt>
            <c:idx val="18"/>
            <c:invertIfNegative val="0"/>
            <c:bubble3D val="0"/>
            <c:spPr>
              <a:solidFill>
                <a:schemeClr val="accent3"/>
              </a:solidFill>
              <a:ln>
                <a:solidFill>
                  <a:schemeClr val="tx2"/>
                </a:solidFill>
              </a:ln>
            </c:spPr>
          </c:dPt>
          <c:dPt>
            <c:idx val="19"/>
            <c:invertIfNegative val="0"/>
            <c:bubble3D val="0"/>
            <c:spPr>
              <a:solidFill>
                <a:schemeClr val="accent3"/>
              </a:solidFill>
              <a:ln>
                <a:solidFill>
                  <a:schemeClr val="tx2"/>
                </a:solidFill>
              </a:ln>
            </c:spPr>
          </c:dPt>
          <c:dPt>
            <c:idx val="20"/>
            <c:invertIfNegative val="0"/>
            <c:bubble3D val="0"/>
            <c:spPr>
              <a:solidFill>
                <a:schemeClr val="accent3"/>
              </a:solidFill>
              <a:ln>
                <a:solidFill>
                  <a:schemeClr val="tx2"/>
                </a:solidFill>
              </a:ln>
            </c:spPr>
          </c:dPt>
          <c:dPt>
            <c:idx val="21"/>
            <c:invertIfNegative val="0"/>
            <c:bubble3D val="0"/>
            <c:spPr>
              <a:solidFill>
                <a:schemeClr val="accent2"/>
              </a:solidFill>
              <a:ln>
                <a:solidFill>
                  <a:schemeClr val="tx2"/>
                </a:solidFill>
              </a:ln>
            </c:spPr>
          </c:dPt>
          <c:dPt>
            <c:idx val="22"/>
            <c:invertIfNegative val="0"/>
            <c:bubble3D val="0"/>
            <c:spPr>
              <a:solidFill>
                <a:schemeClr val="accent2"/>
              </a:solidFill>
              <a:ln>
                <a:solidFill>
                  <a:schemeClr val="tx2"/>
                </a:solidFill>
              </a:ln>
            </c:spPr>
          </c:dPt>
          <c:dPt>
            <c:idx val="23"/>
            <c:invertIfNegative val="0"/>
            <c:bubble3D val="0"/>
            <c:spPr>
              <a:solidFill>
                <a:schemeClr val="accent2"/>
              </a:solidFill>
              <a:ln>
                <a:solidFill>
                  <a:schemeClr val="tx2"/>
                </a:solidFill>
              </a:ln>
            </c:spPr>
          </c:dPt>
          <c:dPt>
            <c:idx val="25"/>
            <c:invertIfNegative val="0"/>
            <c:bubble3D val="0"/>
            <c:spPr>
              <a:solidFill>
                <a:schemeClr val="accent3"/>
              </a:solidFill>
              <a:ln>
                <a:solidFill>
                  <a:schemeClr val="tx2"/>
                </a:solidFill>
              </a:ln>
            </c:spPr>
          </c:dPt>
          <c:dPt>
            <c:idx val="26"/>
            <c:invertIfNegative val="0"/>
            <c:bubble3D val="0"/>
            <c:spPr>
              <a:solidFill>
                <a:schemeClr val="accent3"/>
              </a:solidFill>
              <a:ln>
                <a:solidFill>
                  <a:schemeClr val="tx2"/>
                </a:solidFill>
              </a:ln>
            </c:spPr>
          </c:dPt>
          <c:dPt>
            <c:idx val="27"/>
            <c:invertIfNegative val="0"/>
            <c:bubble3D val="0"/>
            <c:spPr>
              <a:solidFill>
                <a:schemeClr val="accent3"/>
              </a:solidFill>
              <a:ln>
                <a:solidFill>
                  <a:schemeClr val="tx2"/>
                </a:solidFill>
              </a:ln>
            </c:spPr>
          </c:dPt>
          <c:dPt>
            <c:idx val="28"/>
            <c:invertIfNegative val="0"/>
            <c:bubble3D val="0"/>
            <c:spPr>
              <a:solidFill>
                <a:schemeClr val="accent3"/>
              </a:solidFill>
              <a:ln>
                <a:solidFill>
                  <a:schemeClr val="tx2"/>
                </a:solidFill>
              </a:ln>
            </c:spPr>
          </c:dPt>
          <c:dPt>
            <c:idx val="29"/>
            <c:invertIfNegative val="0"/>
            <c:bubble3D val="0"/>
            <c:spPr>
              <a:solidFill>
                <a:schemeClr val="accent3"/>
              </a:solidFill>
              <a:ln>
                <a:solidFill>
                  <a:schemeClr val="tx2"/>
                </a:solidFill>
              </a:ln>
            </c:spPr>
          </c:dPt>
          <c:dPt>
            <c:idx val="30"/>
            <c:invertIfNegative val="0"/>
            <c:bubble3D val="0"/>
            <c:spPr>
              <a:solidFill>
                <a:schemeClr val="accent3"/>
              </a:solidFill>
              <a:ln>
                <a:solidFill>
                  <a:schemeClr val="tx2"/>
                </a:solidFill>
              </a:ln>
            </c:spPr>
          </c:dPt>
          <c:dPt>
            <c:idx val="31"/>
            <c:invertIfNegative val="0"/>
            <c:bubble3D val="0"/>
            <c:spPr>
              <a:solidFill>
                <a:schemeClr val="accent3"/>
              </a:solidFill>
              <a:ln>
                <a:solidFill>
                  <a:schemeClr val="tx2"/>
                </a:solidFill>
              </a:ln>
            </c:spPr>
          </c:dPt>
          <c:dPt>
            <c:idx val="32"/>
            <c:invertIfNegative val="0"/>
            <c:bubble3D val="0"/>
            <c:spPr>
              <a:solidFill>
                <a:schemeClr val="accent3"/>
              </a:solidFill>
              <a:ln>
                <a:solidFill>
                  <a:schemeClr val="tx2"/>
                </a:solidFill>
              </a:ln>
            </c:spPr>
          </c:dPt>
          <c:dPt>
            <c:idx val="33"/>
            <c:invertIfNegative val="0"/>
            <c:bubble3D val="0"/>
            <c:spPr>
              <a:solidFill>
                <a:schemeClr val="accent3"/>
              </a:solidFill>
              <a:ln>
                <a:solidFill>
                  <a:schemeClr val="tx2"/>
                </a:solidFill>
              </a:ln>
            </c:spPr>
          </c:dPt>
          <c:dPt>
            <c:idx val="34"/>
            <c:invertIfNegative val="0"/>
            <c:bubble3D val="0"/>
            <c:spPr>
              <a:solidFill>
                <a:schemeClr val="accent3"/>
              </a:solidFill>
              <a:ln>
                <a:solidFill>
                  <a:schemeClr val="tx2"/>
                </a:solidFill>
              </a:ln>
            </c:spPr>
          </c:dPt>
          <c:dPt>
            <c:idx val="35"/>
            <c:invertIfNegative val="0"/>
            <c:bubble3D val="0"/>
            <c:spPr>
              <a:solidFill>
                <a:schemeClr val="accent3"/>
              </a:solidFill>
              <a:ln>
                <a:solidFill>
                  <a:schemeClr val="tx2"/>
                </a:solidFill>
              </a:ln>
            </c:spPr>
          </c:dPt>
          <c:errBars>
            <c:errBarType val="plus"/>
            <c:errValType val="cust"/>
            <c:noEndCap val="0"/>
            <c:plus>
              <c:numRef>
                <c:f>sgl_earns_Total_defl_update!$B$29:$V$29</c:f>
                <c:numCache>
                  <c:formatCode>General</c:formatCode>
                  <c:ptCount val="21"/>
                  <c:pt idx="1">
                    <c:v>454.89264044943832</c:v>
                  </c:pt>
                  <c:pt idx="2">
                    <c:v>497.85451911935132</c:v>
                  </c:pt>
                  <c:pt idx="3">
                    <c:v>475.58823529411762</c:v>
                  </c:pt>
                  <c:pt idx="4">
                    <c:v>461.98857566765531</c:v>
                  </c:pt>
                  <c:pt idx="5">
                    <c:v>478.88733826247642</c:v>
                  </c:pt>
                  <c:pt idx="6">
                    <c:v>415.11</c:v>
                  </c:pt>
                  <c:pt idx="8">
                    <c:v>454.59704119850181</c:v>
                  </c:pt>
                  <c:pt idx="9">
                    <c:v>487.69640787949049</c:v>
                  </c:pt>
                  <c:pt idx="10">
                    <c:v>482.32058823529383</c:v>
                  </c:pt>
                  <c:pt idx="11">
                    <c:v>460.41201780415412</c:v>
                  </c:pt>
                  <c:pt idx="12">
                    <c:v>465.41589648798521</c:v>
                  </c:pt>
                  <c:pt idx="13">
                    <c:v>400.86999999999989</c:v>
                  </c:pt>
                  <c:pt idx="15">
                    <c:v>500.1539325842698</c:v>
                  </c:pt>
                  <c:pt idx="16">
                    <c:v>524.83574739281539</c:v>
                  </c:pt>
                  <c:pt idx="17">
                    <c:v>522.9247058823529</c:v>
                  </c:pt>
                  <c:pt idx="18">
                    <c:v>526.49035608308589</c:v>
                  </c:pt>
                  <c:pt idx="19">
                    <c:v>543.08484288354839</c:v>
                  </c:pt>
                  <c:pt idx="20">
                    <c:v>493.56000000000012</c:v>
                  </c:pt>
                </c:numCache>
              </c:numRef>
            </c:plus>
            <c:minus>
              <c:numLit>
                <c:formatCode>General</c:formatCode>
                <c:ptCount val="1"/>
                <c:pt idx="0">
                  <c:v>1</c:v>
                </c:pt>
              </c:numLit>
            </c:minus>
          </c:errBars>
          <c:cat>
            <c:numRef>
              <c:f>sgl_earns_Total_defl_update!$B$25:$V$25</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sgl_earns_Total_defl_update!$B$28:$O$28</c:f>
              <c:numCache>
                <c:formatCode>0</c:formatCode>
                <c:ptCount val="14"/>
                <c:pt idx="1">
                  <c:v>427.63838951310868</c:v>
                </c:pt>
                <c:pt idx="2">
                  <c:v>477.29739281575911</c:v>
                </c:pt>
                <c:pt idx="3">
                  <c:v>457.5529411764706</c:v>
                </c:pt>
                <c:pt idx="4">
                  <c:v>406.26068249258162</c:v>
                </c:pt>
                <c:pt idx="5">
                  <c:v>395.51811460258722</c:v>
                </c:pt>
                <c:pt idx="6">
                  <c:v>345.57000000000011</c:v>
                </c:pt>
                <c:pt idx="8" formatCode="General">
                  <c:v>485.51816479400759</c:v>
                </c:pt>
                <c:pt idx="9" formatCode="General">
                  <c:v>511.25144843568921</c:v>
                </c:pt>
                <c:pt idx="10" formatCode="General">
                  <c:v>468.32470588235299</c:v>
                </c:pt>
                <c:pt idx="11" formatCode="General">
                  <c:v>404.58130563798193</c:v>
                </c:pt>
                <c:pt idx="12" formatCode="General">
                  <c:v>402.22181146025861</c:v>
                </c:pt>
                <c:pt idx="13" formatCode="General">
                  <c:v>330.7</c:v>
                </c:pt>
              </c:numCache>
            </c:numRef>
          </c:val>
        </c:ser>
        <c:ser>
          <c:idx val="4"/>
          <c:order val="3"/>
          <c:tx>
            <c:strRef>
              <c:f>sgl_earns_Total_defl_update!$A$33</c:f>
              <c:strCache>
                <c:ptCount val="1"/>
                <c:pt idx="0">
                  <c:v>Gap</c:v>
                </c:pt>
              </c:strCache>
            </c:strRef>
          </c:tx>
          <c:spPr>
            <a:noFill/>
          </c:spPr>
          <c:invertIfNegative val="0"/>
          <c:cat>
            <c:numRef>
              <c:f>sgl_earns_Total_defl_update!$B$25:$V$25</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sgl_earns_Total_defl_update!$B$33:$O$33</c:f>
              <c:numCache>
                <c:formatCode>General</c:formatCode>
                <c:ptCount val="14"/>
                <c:pt idx="1">
                  <c:v>-200</c:v>
                </c:pt>
                <c:pt idx="2">
                  <c:v>-200</c:v>
                </c:pt>
                <c:pt idx="3">
                  <c:v>-200</c:v>
                </c:pt>
                <c:pt idx="4">
                  <c:v>-200</c:v>
                </c:pt>
                <c:pt idx="5">
                  <c:v>-200</c:v>
                </c:pt>
                <c:pt idx="6">
                  <c:v>-200</c:v>
                </c:pt>
                <c:pt idx="8">
                  <c:v>-200</c:v>
                </c:pt>
                <c:pt idx="9">
                  <c:v>-200</c:v>
                </c:pt>
                <c:pt idx="10">
                  <c:v>-200</c:v>
                </c:pt>
                <c:pt idx="11">
                  <c:v>-200</c:v>
                </c:pt>
                <c:pt idx="12">
                  <c:v>-200</c:v>
                </c:pt>
                <c:pt idx="13">
                  <c:v>-200</c:v>
                </c:pt>
              </c:numCache>
            </c:numRef>
          </c:val>
        </c:ser>
        <c:ser>
          <c:idx val="5"/>
          <c:order val="4"/>
          <c:tx>
            <c:strRef>
              <c:f>sgl_earns_Total_defl_update!$A$34</c:f>
              <c:strCache>
                <c:ptCount val="1"/>
                <c:pt idx="0">
                  <c:v>Commonwealth Rent Assistance</c:v>
                </c:pt>
              </c:strCache>
            </c:strRef>
          </c:tx>
          <c:spPr>
            <a:solidFill>
              <a:schemeClr val="accent1"/>
            </a:solidFill>
            <a:ln w="9525">
              <a:solidFill>
                <a:schemeClr val="tx1"/>
              </a:solidFill>
            </a:ln>
          </c:spPr>
          <c:invertIfNegative val="0"/>
          <c:cat>
            <c:numRef>
              <c:f>sgl_earns_Total_defl_update!$B$25:$V$25</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sgl_earns_Total_defl_update!$B$34:$O$34</c:f>
              <c:numCache>
                <c:formatCode>General</c:formatCode>
                <c:ptCount val="14"/>
                <c:pt idx="1">
                  <c:v>-200</c:v>
                </c:pt>
                <c:pt idx="2">
                  <c:v>-200</c:v>
                </c:pt>
                <c:pt idx="3">
                  <c:v>-200</c:v>
                </c:pt>
                <c:pt idx="4">
                  <c:v>-200</c:v>
                </c:pt>
                <c:pt idx="5">
                  <c:v>-200</c:v>
                </c:pt>
                <c:pt idx="6">
                  <c:v>-200</c:v>
                </c:pt>
                <c:pt idx="8">
                  <c:v>-200</c:v>
                </c:pt>
                <c:pt idx="9">
                  <c:v>-200</c:v>
                </c:pt>
                <c:pt idx="10">
                  <c:v>-200</c:v>
                </c:pt>
                <c:pt idx="11">
                  <c:v>-200</c:v>
                </c:pt>
                <c:pt idx="12">
                  <c:v>-200</c:v>
                </c:pt>
                <c:pt idx="13">
                  <c:v>-200</c:v>
                </c:pt>
              </c:numCache>
            </c:numRef>
          </c:val>
        </c:ser>
        <c:ser>
          <c:idx val="6"/>
          <c:order val="5"/>
          <c:tx>
            <c:strRef>
              <c:f>sgl_earns_Total_defl_update!$A$35</c:f>
              <c:strCache>
                <c:ptCount val="1"/>
                <c:pt idx="0">
                  <c:v>Public housing</c:v>
                </c:pt>
              </c:strCache>
            </c:strRef>
          </c:tx>
          <c:spPr>
            <a:solidFill>
              <a:schemeClr val="accent2"/>
            </a:solidFill>
            <a:ln w="9525">
              <a:solidFill>
                <a:schemeClr val="tx1"/>
              </a:solidFill>
            </a:ln>
          </c:spPr>
          <c:invertIfNegative val="0"/>
          <c:cat>
            <c:numRef>
              <c:f>sgl_earns_Total_defl_update!$B$25:$V$25</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sgl_earns_Total_defl_update!$B$35:$O$35</c:f>
              <c:numCache>
                <c:formatCode>General</c:formatCode>
                <c:ptCount val="14"/>
                <c:pt idx="1">
                  <c:v>-200</c:v>
                </c:pt>
                <c:pt idx="2">
                  <c:v>-200</c:v>
                </c:pt>
                <c:pt idx="3">
                  <c:v>-200</c:v>
                </c:pt>
                <c:pt idx="4">
                  <c:v>-200</c:v>
                </c:pt>
                <c:pt idx="5">
                  <c:v>-200</c:v>
                </c:pt>
                <c:pt idx="6">
                  <c:v>-200</c:v>
                </c:pt>
                <c:pt idx="8">
                  <c:v>-200</c:v>
                </c:pt>
                <c:pt idx="9">
                  <c:v>-200</c:v>
                </c:pt>
                <c:pt idx="10">
                  <c:v>-200</c:v>
                </c:pt>
                <c:pt idx="11">
                  <c:v>-200</c:v>
                </c:pt>
                <c:pt idx="12">
                  <c:v>-200</c:v>
                </c:pt>
                <c:pt idx="13">
                  <c:v>-200</c:v>
                </c:pt>
              </c:numCache>
            </c:numRef>
          </c:val>
        </c:ser>
        <c:ser>
          <c:idx val="8"/>
          <c:order val="8"/>
          <c:tx>
            <c:strRef>
              <c:f>sgl_earns_Total_defl_update!$A$32</c:f>
              <c:strCache>
                <c:ptCount val="1"/>
                <c:pt idx="0">
                  <c:v>Other tenure</c:v>
                </c:pt>
              </c:strCache>
            </c:strRef>
          </c:tx>
          <c:spPr>
            <a:solidFill>
              <a:schemeClr val="accent3"/>
            </a:solidFill>
            <a:ln w="9525">
              <a:solidFill>
                <a:schemeClr val="tx2"/>
              </a:solidFill>
            </a:ln>
          </c:spPr>
          <c:invertIfNegative val="0"/>
          <c:cat>
            <c:numRef>
              <c:f>sgl_earns_Total_defl_update!$B$25:$V$25</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sgl_earns_Total_defl_update!$B$32:$O$32</c:f>
              <c:numCache>
                <c:formatCode>General</c:formatCode>
                <c:ptCount val="14"/>
                <c:pt idx="1">
                  <c:v>-200</c:v>
                </c:pt>
                <c:pt idx="2">
                  <c:v>-200</c:v>
                </c:pt>
                <c:pt idx="3">
                  <c:v>-200</c:v>
                </c:pt>
                <c:pt idx="4">
                  <c:v>-200</c:v>
                </c:pt>
                <c:pt idx="5">
                  <c:v>-200</c:v>
                </c:pt>
                <c:pt idx="6">
                  <c:v>-200</c:v>
                </c:pt>
                <c:pt idx="8">
                  <c:v>-200</c:v>
                </c:pt>
                <c:pt idx="9">
                  <c:v>-200</c:v>
                </c:pt>
                <c:pt idx="10">
                  <c:v>-200</c:v>
                </c:pt>
                <c:pt idx="11">
                  <c:v>-200</c:v>
                </c:pt>
                <c:pt idx="12">
                  <c:v>-200</c:v>
                </c:pt>
                <c:pt idx="13">
                  <c:v>-200</c:v>
                </c:pt>
              </c:numCache>
            </c:numRef>
          </c:val>
        </c:ser>
        <c:dLbls>
          <c:showLegendKey val="0"/>
          <c:showVal val="0"/>
          <c:showCatName val="0"/>
          <c:showSerName val="0"/>
          <c:showPercent val="0"/>
          <c:showBubbleSize val="0"/>
        </c:dLbls>
        <c:gapWidth val="15"/>
        <c:overlap val="100"/>
        <c:axId val="105711104"/>
        <c:axId val="105712640"/>
      </c:barChart>
      <c:lineChart>
        <c:grouping val="standard"/>
        <c:varyColors val="0"/>
        <c:ser>
          <c:idx val="3"/>
          <c:order val="6"/>
          <c:tx>
            <c:strRef>
              <c:f>sgl_earns_Total_defl_update!$A$31</c:f>
              <c:strCache>
                <c:ptCount val="1"/>
                <c:pt idx="0">
                  <c:v>Mean</c:v>
                </c:pt>
              </c:strCache>
            </c:strRef>
          </c:tx>
          <c:spPr>
            <a:ln>
              <a:noFill/>
            </a:ln>
          </c:spPr>
          <c:marker>
            <c:symbol val="diamond"/>
            <c:size val="7"/>
            <c:spPr>
              <a:solidFill>
                <a:schemeClr val="bg1">
                  <a:alpha val="80000"/>
                </a:schemeClr>
              </a:solidFill>
              <a:ln>
                <a:noFill/>
              </a:ln>
            </c:spPr>
          </c:marker>
          <c:val>
            <c:numRef>
              <c:f>sgl_earns_Total_defl_update!$B$31:$O$31</c:f>
              <c:numCache>
                <c:formatCode>0</c:formatCode>
                <c:ptCount val="14"/>
                <c:pt idx="1">
                  <c:v>618.60992509363302</c:v>
                </c:pt>
                <c:pt idx="2">
                  <c:v>684.20701042873725</c:v>
                </c:pt>
                <c:pt idx="3">
                  <c:v>715.06235294117653</c:v>
                </c:pt>
                <c:pt idx="4">
                  <c:v>677.83991097922842</c:v>
                </c:pt>
                <c:pt idx="5">
                  <c:v>672.73946395563803</c:v>
                </c:pt>
                <c:pt idx="6">
                  <c:v>635.30999999999938</c:v>
                </c:pt>
                <c:pt idx="8" formatCode="General">
                  <c:v>613.82265917602945</c:v>
                </c:pt>
                <c:pt idx="9" formatCode="General">
                  <c:v>675.54785631517939</c:v>
                </c:pt>
                <c:pt idx="10" formatCode="General">
                  <c:v>687.10764705882366</c:v>
                </c:pt>
                <c:pt idx="11" formatCode="General">
                  <c:v>660.96617210682439</c:v>
                </c:pt>
                <c:pt idx="12" formatCode="General">
                  <c:v>653.59976894639601</c:v>
                </c:pt>
                <c:pt idx="13" formatCode="General">
                  <c:v>584.93999999999949</c:v>
                </c:pt>
              </c:numCache>
            </c:numRef>
          </c:val>
          <c:smooth val="0"/>
        </c:ser>
        <c:ser>
          <c:idx val="7"/>
          <c:order val="7"/>
          <c:tx>
            <c:strRef>
              <c:f>sgl_earns_Total_defl_update!$A$36</c:f>
              <c:strCache>
                <c:ptCount val="1"/>
                <c:pt idx="0">
                  <c:v>Zero</c:v>
                </c:pt>
              </c:strCache>
            </c:strRef>
          </c:tx>
          <c:spPr>
            <a:ln w="9525">
              <a:solidFill>
                <a:schemeClr val="bg2"/>
              </a:solidFill>
            </a:ln>
          </c:spPr>
          <c:marker>
            <c:symbol val="none"/>
          </c:marker>
          <c:val>
            <c:numRef>
              <c:f>sgl_earns_Total_defl_update!$B$36:$O$36</c:f>
              <c:numCache>
                <c:formatCode>General</c:formatCode>
                <c:ptCount val="14"/>
                <c:pt idx="0">
                  <c:v>0</c:v>
                </c:pt>
                <c:pt idx="1">
                  <c:v>0</c:v>
                </c:pt>
                <c:pt idx="2">
                  <c:v>0</c:v>
                </c:pt>
                <c:pt idx="3">
                  <c:v>0</c:v>
                </c:pt>
                <c:pt idx="4">
                  <c:v>0</c:v>
                </c:pt>
                <c:pt idx="5">
                  <c:v>0</c:v>
                </c:pt>
                <c:pt idx="6">
                  <c:v>0</c:v>
                </c:pt>
                <c:pt idx="8">
                  <c:v>0</c:v>
                </c:pt>
                <c:pt idx="9">
                  <c:v>0</c:v>
                </c:pt>
                <c:pt idx="10">
                  <c:v>0</c:v>
                </c:pt>
                <c:pt idx="11">
                  <c:v>0</c:v>
                </c:pt>
                <c:pt idx="12">
                  <c:v>0</c:v>
                </c:pt>
                <c:pt idx="13">
                  <c:v>0</c:v>
                </c:pt>
              </c:numCache>
            </c:numRef>
          </c:val>
          <c:smooth val="0"/>
        </c:ser>
        <c:dLbls>
          <c:showLegendKey val="0"/>
          <c:showVal val="0"/>
          <c:showCatName val="0"/>
          <c:showSerName val="0"/>
          <c:showPercent val="0"/>
          <c:showBubbleSize val="0"/>
        </c:dLbls>
        <c:marker val="1"/>
        <c:smooth val="0"/>
        <c:axId val="105711104"/>
        <c:axId val="105712640"/>
      </c:lineChart>
      <c:catAx>
        <c:axId val="105711104"/>
        <c:scaling>
          <c:orientation val="minMax"/>
        </c:scaling>
        <c:delete val="0"/>
        <c:axPos val="b"/>
        <c:numFmt formatCode="General" sourceLinked="1"/>
        <c:majorTickMark val="none"/>
        <c:minorTickMark val="none"/>
        <c:tickLblPos val="nextTo"/>
        <c:spPr>
          <a:ln>
            <a:solidFill>
              <a:schemeClr val="bg2"/>
            </a:solidFill>
          </a:ln>
        </c:spPr>
        <c:txPr>
          <a:bodyPr/>
          <a:lstStyle/>
          <a:p>
            <a:pPr>
              <a:defRPr sz="1000"/>
            </a:pPr>
            <a:endParaRPr lang="en-US"/>
          </a:p>
        </c:txPr>
        <c:crossAx val="105712640"/>
        <c:crosses val="autoZero"/>
        <c:auto val="1"/>
        <c:lblAlgn val="l"/>
        <c:lblOffset val="0"/>
        <c:tickMarkSkip val="3"/>
        <c:noMultiLvlLbl val="0"/>
      </c:catAx>
      <c:valAx>
        <c:axId val="105712640"/>
        <c:scaling>
          <c:orientation val="minMax"/>
          <c:min val="0"/>
        </c:scaling>
        <c:delete val="0"/>
        <c:axPos val="l"/>
        <c:title>
          <c:tx>
            <c:rich>
              <a:bodyPr rot="-5400000" vert="horz"/>
              <a:lstStyle/>
              <a:p>
                <a:pPr>
                  <a:defRPr/>
                </a:pPr>
                <a:r>
                  <a:rPr lang="en-AU"/>
                  <a:t>Fortnightly </a:t>
                </a:r>
                <a:r>
                  <a:rPr lang="en-AU" baseline="0"/>
                  <a:t>earnings</a:t>
                </a:r>
                <a:endParaRPr lang="en-AU"/>
              </a:p>
            </c:rich>
          </c:tx>
          <c:layout>
            <c:manualLayout>
              <c:xMode val="edge"/>
              <c:yMode val="edge"/>
              <c:x val="2.6762962962962999E-3"/>
              <c:y val="7.8885858585858601E-2"/>
            </c:manualLayout>
          </c:layout>
          <c:overlay val="0"/>
        </c:title>
        <c:numFmt formatCode="&quot;$&quot;#\ ##0" sourceLinked="0"/>
        <c:majorTickMark val="out"/>
        <c:minorTickMark val="none"/>
        <c:tickLblPos val="nextTo"/>
        <c:spPr>
          <a:ln>
            <a:solidFill>
              <a:schemeClr val="bg2"/>
            </a:solidFill>
          </a:ln>
        </c:spPr>
        <c:crossAx val="105711104"/>
        <c:crosses val="autoZero"/>
        <c:crossBetween val="between"/>
        <c:majorUnit val="300"/>
      </c:valAx>
    </c:plotArea>
    <c:legend>
      <c:legendPos val="t"/>
      <c:legendEntry>
        <c:idx val="0"/>
        <c:delete val="1"/>
      </c:legendEntry>
      <c:legendEntry>
        <c:idx val="1"/>
        <c:delete val="1"/>
      </c:legendEntry>
      <c:legendEntry>
        <c:idx val="2"/>
        <c:delete val="1"/>
      </c:legendEntry>
      <c:legendEntry>
        <c:idx val="3"/>
        <c:delete val="1"/>
      </c:legendEntry>
      <c:legendEntry>
        <c:idx val="6"/>
        <c:delete val="1"/>
      </c:legendEntry>
      <c:legendEntry>
        <c:idx val="7"/>
        <c:delete val="1"/>
      </c:legendEntry>
      <c:legendEntry>
        <c:idx val="8"/>
        <c:delete val="1"/>
      </c:legendEntry>
      <c:layout>
        <c:manualLayout>
          <c:xMode val="edge"/>
          <c:yMode val="edge"/>
          <c:x val="0.18056796296296301"/>
          <c:y val="3.2070707070707097E-2"/>
          <c:w val="0.75880833333333297"/>
          <c:h val="0.10944595959596"/>
        </c:manualLayout>
      </c:layout>
      <c:overlay val="0"/>
    </c:legend>
    <c:plotVisOnly val="1"/>
    <c:dispBlanksAs val="gap"/>
    <c:showDLblsOverMax val="0"/>
  </c:chart>
  <c:spPr>
    <a:solidFill>
      <a:schemeClr val="bg1"/>
    </a:solidFill>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640592592592599"/>
          <c:y val="6.2020987654321E-2"/>
          <c:w val="0.83942166666666695"/>
          <c:h val="0.83720151515151497"/>
        </c:manualLayout>
      </c:layout>
      <c:barChart>
        <c:barDir val="col"/>
        <c:grouping val="stacked"/>
        <c:varyColors val="0"/>
        <c:ser>
          <c:idx val="0"/>
          <c:order val="0"/>
          <c:tx>
            <c:strRef>
              <c:f>recipient_earns_Total_update!$A$26</c:f>
              <c:strCache>
                <c:ptCount val="1"/>
                <c:pt idx="0">
                  <c:v>Bottom</c:v>
                </c:pt>
              </c:strCache>
            </c:strRef>
          </c:tx>
          <c:spPr>
            <a:noFill/>
            <a:ln>
              <a:noFill/>
            </a:ln>
          </c:spPr>
          <c:invertIfNegative val="0"/>
          <c:errBars>
            <c:errBarType val="minus"/>
            <c:errValType val="cust"/>
            <c:noEndCap val="0"/>
            <c:plus>
              <c:numLit>
                <c:formatCode>General</c:formatCode>
                <c:ptCount val="1"/>
                <c:pt idx="0">
                  <c:v>1</c:v>
                </c:pt>
              </c:numLit>
            </c:plus>
            <c:minus>
              <c:numRef>
                <c:f>recipient_earns_Total_update!$B$30:$V$30</c:f>
                <c:numCache>
                  <c:formatCode>General</c:formatCode>
                  <c:ptCount val="21"/>
                  <c:pt idx="1">
                    <c:v>104.5411985018727</c:v>
                  </c:pt>
                  <c:pt idx="2">
                    <c:v>120.5991309385864</c:v>
                  </c:pt>
                  <c:pt idx="3">
                    <c:v>128.47058823529409</c:v>
                  </c:pt>
                  <c:pt idx="4">
                    <c:v>132.5222551928783</c:v>
                  </c:pt>
                  <c:pt idx="5">
                    <c:v>133.0064695009242</c:v>
                  </c:pt>
                  <c:pt idx="6">
                    <c:v>123.05</c:v>
                  </c:pt>
                  <c:pt idx="8">
                    <c:v>92.010674157303399</c:v>
                  </c:pt>
                  <c:pt idx="9">
                    <c:v>101.7550984936269</c:v>
                  </c:pt>
                  <c:pt idx="10">
                    <c:v>110.9911764705882</c:v>
                  </c:pt>
                  <c:pt idx="11">
                    <c:v>119.829821958457</c:v>
                  </c:pt>
                  <c:pt idx="12">
                    <c:v>114.30443622920519</c:v>
                  </c:pt>
                  <c:pt idx="13">
                    <c:v>120.17</c:v>
                  </c:pt>
                  <c:pt idx="15">
                    <c:v>112.47191011235959</c:v>
                  </c:pt>
                  <c:pt idx="16">
                    <c:v>119.59536500579379</c:v>
                  </c:pt>
                  <c:pt idx="17">
                    <c:v>123.5294117647059</c:v>
                  </c:pt>
                  <c:pt idx="18">
                    <c:v>133.66468842729969</c:v>
                  </c:pt>
                  <c:pt idx="19">
                    <c:v>137.04683456561921</c:v>
                  </c:pt>
                  <c:pt idx="20">
                    <c:v>142.16999999999999</c:v>
                  </c:pt>
                </c:numCache>
              </c:numRef>
            </c:minus>
          </c:errBars>
          <c:cat>
            <c:numRef>
              <c:f>recipient_earns_Total_update!$B$25:$V$25</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recipient_earns_Total_update!$B$26:$O$26</c:f>
              <c:numCache>
                <c:formatCode>0</c:formatCode>
                <c:ptCount val="14"/>
                <c:pt idx="1">
                  <c:v>201.87265917603</c:v>
                </c:pt>
                <c:pt idx="2">
                  <c:v>238.37433371958289</c:v>
                </c:pt>
                <c:pt idx="3">
                  <c:v>253.2352941176471</c:v>
                </c:pt>
                <c:pt idx="4">
                  <c:v>262.759643916914</c:v>
                </c:pt>
                <c:pt idx="5">
                  <c:v>266.86691312384471</c:v>
                </c:pt>
                <c:pt idx="6">
                  <c:v>262.5</c:v>
                </c:pt>
                <c:pt idx="8" formatCode="General">
                  <c:v>192.9470037453184</c:v>
                </c:pt>
                <c:pt idx="9" formatCode="General">
                  <c:v>212.57085747392821</c:v>
                </c:pt>
                <c:pt idx="10" formatCode="General">
                  <c:v>234.52058823529421</c:v>
                </c:pt>
                <c:pt idx="11" formatCode="General">
                  <c:v>239.91097922848661</c:v>
                </c:pt>
                <c:pt idx="12" formatCode="General">
                  <c:v>240.18022181146031</c:v>
                </c:pt>
                <c:pt idx="13" formatCode="General">
                  <c:v>240.17</c:v>
                </c:pt>
              </c:numCache>
            </c:numRef>
          </c:val>
        </c:ser>
        <c:ser>
          <c:idx val="1"/>
          <c:order val="1"/>
          <c:tx>
            <c:strRef>
              <c:f>recipient_earns_Total_update!$A$27</c:f>
              <c:strCache>
                <c:ptCount val="1"/>
                <c:pt idx="0">
                  <c:v>2q box</c:v>
                </c:pt>
              </c:strCache>
            </c:strRef>
          </c:tx>
          <c:spPr>
            <a:solidFill>
              <a:schemeClr val="accent1"/>
            </a:solidFill>
            <a:ln>
              <a:solidFill>
                <a:schemeClr val="tx2"/>
              </a:solidFill>
            </a:ln>
          </c:spPr>
          <c:invertIfNegative val="0"/>
          <c:dPt>
            <c:idx val="2"/>
            <c:invertIfNegative val="0"/>
            <c:bubble3D val="0"/>
          </c:dPt>
          <c:dPt>
            <c:idx val="3"/>
            <c:invertIfNegative val="0"/>
            <c:bubble3D val="0"/>
          </c:dPt>
          <c:dPt>
            <c:idx val="6"/>
            <c:invertIfNegative val="0"/>
            <c:bubble3D val="0"/>
          </c:dPt>
          <c:dPt>
            <c:idx val="7"/>
            <c:invertIfNegative val="0"/>
            <c:bubble3D val="0"/>
          </c:dPt>
          <c:dPt>
            <c:idx val="8"/>
            <c:invertIfNegative val="0"/>
            <c:bubble3D val="0"/>
            <c:spPr>
              <a:solidFill>
                <a:schemeClr val="accent2"/>
              </a:solidFill>
              <a:ln>
                <a:solidFill>
                  <a:schemeClr val="tx2"/>
                </a:solidFill>
              </a:ln>
            </c:spPr>
          </c:dPt>
          <c:dPt>
            <c:idx val="9"/>
            <c:invertIfNegative val="0"/>
            <c:bubble3D val="0"/>
            <c:spPr>
              <a:solidFill>
                <a:schemeClr val="accent2"/>
              </a:solidFill>
              <a:ln>
                <a:solidFill>
                  <a:schemeClr val="tx2"/>
                </a:solidFill>
              </a:ln>
            </c:spPr>
          </c:dPt>
          <c:dPt>
            <c:idx val="10"/>
            <c:invertIfNegative val="0"/>
            <c:bubble3D val="0"/>
            <c:spPr>
              <a:solidFill>
                <a:schemeClr val="accent2"/>
              </a:solidFill>
              <a:ln>
                <a:solidFill>
                  <a:schemeClr val="tx2"/>
                </a:solidFill>
              </a:ln>
            </c:spPr>
          </c:dPt>
          <c:dPt>
            <c:idx val="11"/>
            <c:invertIfNegative val="0"/>
            <c:bubble3D val="0"/>
            <c:spPr>
              <a:solidFill>
                <a:schemeClr val="accent2"/>
              </a:solidFill>
              <a:ln>
                <a:solidFill>
                  <a:schemeClr val="tx2"/>
                </a:solidFill>
              </a:ln>
            </c:spPr>
          </c:dPt>
          <c:dPt>
            <c:idx val="12"/>
            <c:invertIfNegative val="0"/>
            <c:bubble3D val="0"/>
            <c:spPr>
              <a:solidFill>
                <a:schemeClr val="accent2"/>
              </a:solidFill>
              <a:ln>
                <a:solidFill>
                  <a:schemeClr val="tx2"/>
                </a:solidFill>
              </a:ln>
            </c:spPr>
          </c:dPt>
          <c:dPt>
            <c:idx val="13"/>
            <c:invertIfNegative val="0"/>
            <c:bubble3D val="0"/>
            <c:spPr>
              <a:solidFill>
                <a:schemeClr val="accent2"/>
              </a:solidFill>
              <a:ln>
                <a:solidFill>
                  <a:schemeClr val="tx2"/>
                </a:solidFill>
              </a:ln>
            </c:spPr>
          </c:dPt>
          <c:dPt>
            <c:idx val="14"/>
            <c:invertIfNegative val="0"/>
            <c:bubble3D val="0"/>
            <c:spPr>
              <a:solidFill>
                <a:schemeClr val="accent2"/>
              </a:solidFill>
              <a:ln>
                <a:solidFill>
                  <a:schemeClr val="tx2"/>
                </a:solidFill>
              </a:ln>
            </c:spPr>
          </c:dPt>
          <c:dPt>
            <c:idx val="15"/>
            <c:invertIfNegative val="0"/>
            <c:bubble3D val="0"/>
            <c:spPr>
              <a:solidFill>
                <a:schemeClr val="accent3"/>
              </a:solidFill>
              <a:ln>
                <a:solidFill>
                  <a:schemeClr val="tx2"/>
                </a:solidFill>
              </a:ln>
            </c:spPr>
          </c:dPt>
          <c:dPt>
            <c:idx val="16"/>
            <c:invertIfNegative val="0"/>
            <c:bubble3D val="0"/>
            <c:spPr>
              <a:solidFill>
                <a:schemeClr val="accent3"/>
              </a:solidFill>
              <a:ln>
                <a:solidFill>
                  <a:schemeClr val="tx2"/>
                </a:solidFill>
              </a:ln>
            </c:spPr>
          </c:dPt>
          <c:dPt>
            <c:idx val="17"/>
            <c:invertIfNegative val="0"/>
            <c:bubble3D val="0"/>
            <c:spPr>
              <a:solidFill>
                <a:schemeClr val="accent3"/>
              </a:solidFill>
              <a:ln>
                <a:solidFill>
                  <a:schemeClr val="tx2"/>
                </a:solidFill>
              </a:ln>
            </c:spPr>
          </c:dPt>
          <c:dPt>
            <c:idx val="18"/>
            <c:invertIfNegative val="0"/>
            <c:bubble3D val="0"/>
            <c:spPr>
              <a:solidFill>
                <a:schemeClr val="accent3"/>
              </a:solidFill>
              <a:ln>
                <a:solidFill>
                  <a:schemeClr val="tx2"/>
                </a:solidFill>
              </a:ln>
            </c:spPr>
          </c:dPt>
          <c:dPt>
            <c:idx val="19"/>
            <c:invertIfNegative val="0"/>
            <c:bubble3D val="0"/>
            <c:spPr>
              <a:solidFill>
                <a:schemeClr val="accent3"/>
              </a:solidFill>
              <a:ln>
                <a:solidFill>
                  <a:schemeClr val="tx2"/>
                </a:solidFill>
              </a:ln>
            </c:spPr>
          </c:dPt>
          <c:dPt>
            <c:idx val="20"/>
            <c:invertIfNegative val="0"/>
            <c:bubble3D val="0"/>
            <c:spPr>
              <a:solidFill>
                <a:schemeClr val="accent3"/>
              </a:solidFill>
              <a:ln>
                <a:solidFill>
                  <a:schemeClr val="tx2"/>
                </a:solidFill>
              </a:ln>
            </c:spPr>
          </c:dPt>
          <c:dPt>
            <c:idx val="21"/>
            <c:invertIfNegative val="0"/>
            <c:bubble3D val="0"/>
            <c:spPr>
              <a:solidFill>
                <a:schemeClr val="accent2"/>
              </a:solidFill>
              <a:ln>
                <a:solidFill>
                  <a:schemeClr val="tx2"/>
                </a:solidFill>
              </a:ln>
            </c:spPr>
          </c:dPt>
          <c:dPt>
            <c:idx val="22"/>
            <c:invertIfNegative val="0"/>
            <c:bubble3D val="0"/>
            <c:spPr>
              <a:solidFill>
                <a:schemeClr val="accent2"/>
              </a:solidFill>
              <a:ln>
                <a:solidFill>
                  <a:schemeClr val="tx2"/>
                </a:solidFill>
              </a:ln>
            </c:spPr>
          </c:dPt>
          <c:dPt>
            <c:idx val="23"/>
            <c:invertIfNegative val="0"/>
            <c:bubble3D val="0"/>
            <c:spPr>
              <a:solidFill>
                <a:schemeClr val="accent2"/>
              </a:solidFill>
              <a:ln>
                <a:solidFill>
                  <a:schemeClr val="tx2"/>
                </a:solidFill>
              </a:ln>
            </c:spPr>
          </c:dPt>
          <c:dPt>
            <c:idx val="25"/>
            <c:invertIfNegative val="0"/>
            <c:bubble3D val="0"/>
            <c:spPr>
              <a:solidFill>
                <a:schemeClr val="accent3"/>
              </a:solidFill>
              <a:ln>
                <a:solidFill>
                  <a:schemeClr val="tx2"/>
                </a:solidFill>
              </a:ln>
            </c:spPr>
          </c:dPt>
          <c:dPt>
            <c:idx val="26"/>
            <c:invertIfNegative val="0"/>
            <c:bubble3D val="0"/>
            <c:spPr>
              <a:solidFill>
                <a:schemeClr val="accent3"/>
              </a:solidFill>
              <a:ln>
                <a:solidFill>
                  <a:schemeClr val="tx2"/>
                </a:solidFill>
              </a:ln>
            </c:spPr>
          </c:dPt>
          <c:dPt>
            <c:idx val="27"/>
            <c:invertIfNegative val="0"/>
            <c:bubble3D val="0"/>
            <c:spPr>
              <a:solidFill>
                <a:schemeClr val="accent3"/>
              </a:solidFill>
              <a:ln>
                <a:solidFill>
                  <a:schemeClr val="tx2"/>
                </a:solidFill>
              </a:ln>
            </c:spPr>
          </c:dPt>
          <c:dPt>
            <c:idx val="28"/>
            <c:invertIfNegative val="0"/>
            <c:bubble3D val="0"/>
            <c:spPr>
              <a:solidFill>
                <a:schemeClr val="accent3"/>
              </a:solidFill>
              <a:ln>
                <a:solidFill>
                  <a:schemeClr val="tx2"/>
                </a:solidFill>
              </a:ln>
            </c:spPr>
          </c:dPt>
          <c:dPt>
            <c:idx val="29"/>
            <c:invertIfNegative val="0"/>
            <c:bubble3D val="0"/>
            <c:spPr>
              <a:solidFill>
                <a:schemeClr val="accent3"/>
              </a:solidFill>
              <a:ln>
                <a:solidFill>
                  <a:schemeClr val="tx2"/>
                </a:solidFill>
              </a:ln>
            </c:spPr>
          </c:dPt>
          <c:dPt>
            <c:idx val="30"/>
            <c:invertIfNegative val="0"/>
            <c:bubble3D val="0"/>
            <c:spPr>
              <a:solidFill>
                <a:schemeClr val="accent3"/>
              </a:solidFill>
              <a:ln>
                <a:solidFill>
                  <a:schemeClr val="tx2"/>
                </a:solidFill>
              </a:ln>
            </c:spPr>
          </c:dPt>
          <c:dPt>
            <c:idx val="31"/>
            <c:invertIfNegative val="0"/>
            <c:bubble3D val="0"/>
            <c:spPr>
              <a:solidFill>
                <a:schemeClr val="accent3"/>
              </a:solidFill>
              <a:ln>
                <a:solidFill>
                  <a:schemeClr val="tx2"/>
                </a:solidFill>
              </a:ln>
            </c:spPr>
          </c:dPt>
          <c:dPt>
            <c:idx val="32"/>
            <c:invertIfNegative val="0"/>
            <c:bubble3D val="0"/>
            <c:spPr>
              <a:solidFill>
                <a:schemeClr val="accent3"/>
              </a:solidFill>
              <a:ln>
                <a:solidFill>
                  <a:schemeClr val="tx2"/>
                </a:solidFill>
              </a:ln>
            </c:spPr>
          </c:dPt>
          <c:dPt>
            <c:idx val="33"/>
            <c:invertIfNegative val="0"/>
            <c:bubble3D val="0"/>
            <c:spPr>
              <a:solidFill>
                <a:schemeClr val="accent3"/>
              </a:solidFill>
              <a:ln>
                <a:solidFill>
                  <a:schemeClr val="tx2"/>
                </a:solidFill>
              </a:ln>
            </c:spPr>
          </c:dPt>
          <c:dPt>
            <c:idx val="34"/>
            <c:invertIfNegative val="0"/>
            <c:bubble3D val="0"/>
            <c:spPr>
              <a:solidFill>
                <a:schemeClr val="accent3"/>
              </a:solidFill>
              <a:ln>
                <a:solidFill>
                  <a:schemeClr val="tx2"/>
                </a:solidFill>
              </a:ln>
            </c:spPr>
          </c:dPt>
          <c:dPt>
            <c:idx val="35"/>
            <c:invertIfNegative val="0"/>
            <c:bubble3D val="0"/>
            <c:spPr>
              <a:solidFill>
                <a:schemeClr val="accent3"/>
              </a:solidFill>
              <a:ln>
                <a:solidFill>
                  <a:schemeClr val="tx2"/>
                </a:solidFill>
              </a:ln>
            </c:spPr>
          </c:dPt>
          <c:cat>
            <c:numRef>
              <c:f>recipient_earns_Total_update!$B$25:$V$25</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recipient_earns_Total_update!$B$27:$O$27</c:f>
              <c:numCache>
                <c:formatCode>0</c:formatCode>
                <c:ptCount val="14"/>
                <c:pt idx="1">
                  <c:v>221.48314606741579</c:v>
                </c:pt>
                <c:pt idx="2">
                  <c:v>258.43626882966402</c:v>
                </c:pt>
                <c:pt idx="3">
                  <c:v>287.24294117647059</c:v>
                </c:pt>
                <c:pt idx="4">
                  <c:v>283.67759643916912</c:v>
                </c:pt>
                <c:pt idx="5">
                  <c:v>273.59195933456567</c:v>
                </c:pt>
                <c:pt idx="6">
                  <c:v>247</c:v>
                </c:pt>
                <c:pt idx="8" formatCode="General">
                  <c:v>208.57771535580531</c:v>
                </c:pt>
                <c:pt idx="9" formatCode="General">
                  <c:v>236.0723638470453</c:v>
                </c:pt>
                <c:pt idx="10" formatCode="General">
                  <c:v>259.59705882352932</c:v>
                </c:pt>
                <c:pt idx="11" formatCode="General">
                  <c:v>262.759643916914</c:v>
                </c:pt>
                <c:pt idx="12" formatCode="General">
                  <c:v>266.31182994454701</c:v>
                </c:pt>
                <c:pt idx="13" formatCode="General">
                  <c:v>252.43</c:v>
                </c:pt>
              </c:numCache>
            </c:numRef>
          </c:val>
        </c:ser>
        <c:ser>
          <c:idx val="2"/>
          <c:order val="2"/>
          <c:tx>
            <c:strRef>
              <c:f>recipient_earns_Total_update!$A$28</c:f>
              <c:strCache>
                <c:ptCount val="1"/>
                <c:pt idx="0">
                  <c:v>3q box</c:v>
                </c:pt>
              </c:strCache>
            </c:strRef>
          </c:tx>
          <c:spPr>
            <a:solidFill>
              <a:schemeClr val="accent1"/>
            </a:solidFill>
            <a:ln>
              <a:solidFill>
                <a:schemeClr val="tx2"/>
              </a:solidFill>
            </a:ln>
          </c:spPr>
          <c:invertIfNegative val="0"/>
          <c:dPt>
            <c:idx val="2"/>
            <c:invertIfNegative val="0"/>
            <c:bubble3D val="0"/>
          </c:dPt>
          <c:dPt>
            <c:idx val="3"/>
            <c:invertIfNegative val="0"/>
            <c:bubble3D val="0"/>
          </c:dPt>
          <c:dPt>
            <c:idx val="6"/>
            <c:invertIfNegative val="0"/>
            <c:bubble3D val="0"/>
          </c:dPt>
          <c:dPt>
            <c:idx val="7"/>
            <c:invertIfNegative val="0"/>
            <c:bubble3D val="0"/>
          </c:dPt>
          <c:dPt>
            <c:idx val="8"/>
            <c:invertIfNegative val="0"/>
            <c:bubble3D val="0"/>
            <c:spPr>
              <a:solidFill>
                <a:schemeClr val="accent2"/>
              </a:solidFill>
              <a:ln>
                <a:solidFill>
                  <a:schemeClr val="tx2"/>
                </a:solidFill>
              </a:ln>
            </c:spPr>
          </c:dPt>
          <c:dPt>
            <c:idx val="9"/>
            <c:invertIfNegative val="0"/>
            <c:bubble3D val="0"/>
            <c:spPr>
              <a:solidFill>
                <a:schemeClr val="accent2"/>
              </a:solidFill>
              <a:ln>
                <a:solidFill>
                  <a:schemeClr val="tx2"/>
                </a:solidFill>
              </a:ln>
            </c:spPr>
          </c:dPt>
          <c:dPt>
            <c:idx val="10"/>
            <c:invertIfNegative val="0"/>
            <c:bubble3D val="0"/>
            <c:spPr>
              <a:solidFill>
                <a:schemeClr val="accent2"/>
              </a:solidFill>
              <a:ln>
                <a:solidFill>
                  <a:schemeClr val="tx2"/>
                </a:solidFill>
              </a:ln>
            </c:spPr>
          </c:dPt>
          <c:dPt>
            <c:idx val="11"/>
            <c:invertIfNegative val="0"/>
            <c:bubble3D val="0"/>
            <c:spPr>
              <a:solidFill>
                <a:schemeClr val="accent2"/>
              </a:solidFill>
              <a:ln>
                <a:solidFill>
                  <a:schemeClr val="tx2"/>
                </a:solidFill>
              </a:ln>
            </c:spPr>
          </c:dPt>
          <c:dPt>
            <c:idx val="12"/>
            <c:invertIfNegative val="0"/>
            <c:bubble3D val="0"/>
            <c:spPr>
              <a:solidFill>
                <a:schemeClr val="accent2"/>
              </a:solidFill>
              <a:ln>
                <a:solidFill>
                  <a:schemeClr val="tx2"/>
                </a:solidFill>
              </a:ln>
            </c:spPr>
          </c:dPt>
          <c:dPt>
            <c:idx val="13"/>
            <c:invertIfNegative val="0"/>
            <c:bubble3D val="0"/>
            <c:spPr>
              <a:solidFill>
                <a:schemeClr val="accent2"/>
              </a:solidFill>
              <a:ln>
                <a:solidFill>
                  <a:schemeClr val="tx2"/>
                </a:solidFill>
              </a:ln>
            </c:spPr>
          </c:dPt>
          <c:dPt>
            <c:idx val="14"/>
            <c:invertIfNegative val="0"/>
            <c:bubble3D val="0"/>
            <c:spPr>
              <a:solidFill>
                <a:schemeClr val="accent2"/>
              </a:solidFill>
              <a:ln>
                <a:solidFill>
                  <a:schemeClr val="tx2"/>
                </a:solidFill>
              </a:ln>
            </c:spPr>
          </c:dPt>
          <c:dPt>
            <c:idx val="15"/>
            <c:invertIfNegative val="0"/>
            <c:bubble3D val="0"/>
            <c:spPr>
              <a:solidFill>
                <a:schemeClr val="accent3"/>
              </a:solidFill>
              <a:ln>
                <a:solidFill>
                  <a:schemeClr val="tx2"/>
                </a:solidFill>
              </a:ln>
            </c:spPr>
          </c:dPt>
          <c:dPt>
            <c:idx val="16"/>
            <c:invertIfNegative val="0"/>
            <c:bubble3D val="0"/>
            <c:spPr>
              <a:solidFill>
                <a:schemeClr val="accent3"/>
              </a:solidFill>
              <a:ln>
                <a:solidFill>
                  <a:schemeClr val="tx2"/>
                </a:solidFill>
              </a:ln>
            </c:spPr>
          </c:dPt>
          <c:dPt>
            <c:idx val="17"/>
            <c:invertIfNegative val="0"/>
            <c:bubble3D val="0"/>
            <c:spPr>
              <a:solidFill>
                <a:schemeClr val="accent3"/>
              </a:solidFill>
              <a:ln>
                <a:solidFill>
                  <a:schemeClr val="tx2"/>
                </a:solidFill>
              </a:ln>
            </c:spPr>
          </c:dPt>
          <c:dPt>
            <c:idx val="18"/>
            <c:invertIfNegative val="0"/>
            <c:bubble3D val="0"/>
            <c:spPr>
              <a:solidFill>
                <a:schemeClr val="accent3"/>
              </a:solidFill>
              <a:ln>
                <a:solidFill>
                  <a:schemeClr val="tx2"/>
                </a:solidFill>
              </a:ln>
            </c:spPr>
          </c:dPt>
          <c:dPt>
            <c:idx val="19"/>
            <c:invertIfNegative val="0"/>
            <c:bubble3D val="0"/>
            <c:spPr>
              <a:solidFill>
                <a:schemeClr val="accent3"/>
              </a:solidFill>
              <a:ln>
                <a:solidFill>
                  <a:schemeClr val="tx2"/>
                </a:solidFill>
              </a:ln>
            </c:spPr>
          </c:dPt>
          <c:dPt>
            <c:idx val="20"/>
            <c:invertIfNegative val="0"/>
            <c:bubble3D val="0"/>
            <c:spPr>
              <a:solidFill>
                <a:schemeClr val="accent3"/>
              </a:solidFill>
              <a:ln>
                <a:solidFill>
                  <a:schemeClr val="tx2"/>
                </a:solidFill>
              </a:ln>
            </c:spPr>
          </c:dPt>
          <c:dPt>
            <c:idx val="21"/>
            <c:invertIfNegative val="0"/>
            <c:bubble3D val="0"/>
            <c:spPr>
              <a:solidFill>
                <a:schemeClr val="accent2"/>
              </a:solidFill>
              <a:ln>
                <a:solidFill>
                  <a:schemeClr val="tx2"/>
                </a:solidFill>
              </a:ln>
            </c:spPr>
          </c:dPt>
          <c:dPt>
            <c:idx val="22"/>
            <c:invertIfNegative val="0"/>
            <c:bubble3D val="0"/>
            <c:spPr>
              <a:solidFill>
                <a:schemeClr val="accent2"/>
              </a:solidFill>
              <a:ln>
                <a:solidFill>
                  <a:schemeClr val="tx2"/>
                </a:solidFill>
              </a:ln>
            </c:spPr>
          </c:dPt>
          <c:dPt>
            <c:idx val="23"/>
            <c:invertIfNegative val="0"/>
            <c:bubble3D val="0"/>
            <c:spPr>
              <a:solidFill>
                <a:schemeClr val="accent2"/>
              </a:solidFill>
              <a:ln>
                <a:solidFill>
                  <a:schemeClr val="tx2"/>
                </a:solidFill>
              </a:ln>
            </c:spPr>
          </c:dPt>
          <c:dPt>
            <c:idx val="25"/>
            <c:invertIfNegative val="0"/>
            <c:bubble3D val="0"/>
            <c:spPr>
              <a:solidFill>
                <a:schemeClr val="accent3"/>
              </a:solidFill>
              <a:ln>
                <a:solidFill>
                  <a:schemeClr val="tx2"/>
                </a:solidFill>
              </a:ln>
            </c:spPr>
          </c:dPt>
          <c:dPt>
            <c:idx val="26"/>
            <c:invertIfNegative val="0"/>
            <c:bubble3D val="0"/>
            <c:spPr>
              <a:solidFill>
                <a:schemeClr val="accent3"/>
              </a:solidFill>
              <a:ln>
                <a:solidFill>
                  <a:schemeClr val="tx2"/>
                </a:solidFill>
              </a:ln>
            </c:spPr>
          </c:dPt>
          <c:dPt>
            <c:idx val="27"/>
            <c:invertIfNegative val="0"/>
            <c:bubble3D val="0"/>
            <c:spPr>
              <a:solidFill>
                <a:schemeClr val="accent3"/>
              </a:solidFill>
              <a:ln>
                <a:solidFill>
                  <a:schemeClr val="tx2"/>
                </a:solidFill>
              </a:ln>
            </c:spPr>
          </c:dPt>
          <c:dPt>
            <c:idx val="28"/>
            <c:invertIfNegative val="0"/>
            <c:bubble3D val="0"/>
            <c:spPr>
              <a:solidFill>
                <a:schemeClr val="accent3"/>
              </a:solidFill>
              <a:ln>
                <a:solidFill>
                  <a:schemeClr val="tx2"/>
                </a:solidFill>
              </a:ln>
            </c:spPr>
          </c:dPt>
          <c:dPt>
            <c:idx val="29"/>
            <c:invertIfNegative val="0"/>
            <c:bubble3D val="0"/>
            <c:spPr>
              <a:solidFill>
                <a:schemeClr val="accent3"/>
              </a:solidFill>
              <a:ln>
                <a:solidFill>
                  <a:schemeClr val="tx2"/>
                </a:solidFill>
              </a:ln>
            </c:spPr>
          </c:dPt>
          <c:dPt>
            <c:idx val="30"/>
            <c:invertIfNegative val="0"/>
            <c:bubble3D val="0"/>
            <c:spPr>
              <a:solidFill>
                <a:schemeClr val="accent3"/>
              </a:solidFill>
              <a:ln>
                <a:solidFill>
                  <a:schemeClr val="tx2"/>
                </a:solidFill>
              </a:ln>
            </c:spPr>
          </c:dPt>
          <c:dPt>
            <c:idx val="31"/>
            <c:invertIfNegative val="0"/>
            <c:bubble3D val="0"/>
            <c:spPr>
              <a:solidFill>
                <a:schemeClr val="accent3"/>
              </a:solidFill>
              <a:ln>
                <a:solidFill>
                  <a:schemeClr val="tx2"/>
                </a:solidFill>
              </a:ln>
            </c:spPr>
          </c:dPt>
          <c:dPt>
            <c:idx val="32"/>
            <c:invertIfNegative val="0"/>
            <c:bubble3D val="0"/>
            <c:spPr>
              <a:solidFill>
                <a:schemeClr val="accent3"/>
              </a:solidFill>
              <a:ln>
                <a:solidFill>
                  <a:schemeClr val="tx2"/>
                </a:solidFill>
              </a:ln>
            </c:spPr>
          </c:dPt>
          <c:dPt>
            <c:idx val="33"/>
            <c:invertIfNegative val="0"/>
            <c:bubble3D val="0"/>
            <c:spPr>
              <a:solidFill>
                <a:schemeClr val="accent3"/>
              </a:solidFill>
              <a:ln>
                <a:solidFill>
                  <a:schemeClr val="tx2"/>
                </a:solidFill>
              </a:ln>
            </c:spPr>
          </c:dPt>
          <c:dPt>
            <c:idx val="34"/>
            <c:invertIfNegative val="0"/>
            <c:bubble3D val="0"/>
            <c:spPr>
              <a:solidFill>
                <a:schemeClr val="accent3"/>
              </a:solidFill>
              <a:ln>
                <a:solidFill>
                  <a:schemeClr val="tx2"/>
                </a:solidFill>
              </a:ln>
            </c:spPr>
          </c:dPt>
          <c:dPt>
            <c:idx val="35"/>
            <c:invertIfNegative val="0"/>
            <c:bubble3D val="0"/>
            <c:spPr>
              <a:solidFill>
                <a:schemeClr val="accent3"/>
              </a:solidFill>
              <a:ln>
                <a:solidFill>
                  <a:schemeClr val="tx2"/>
                </a:solidFill>
              </a:ln>
            </c:spPr>
          </c:dPt>
          <c:errBars>
            <c:errBarType val="plus"/>
            <c:errValType val="cust"/>
            <c:noEndCap val="0"/>
            <c:plus>
              <c:numRef>
                <c:f>recipient_earns_Total_update!$B$29:$V$29</c:f>
                <c:numCache>
                  <c:formatCode>General</c:formatCode>
                  <c:ptCount val="21"/>
                  <c:pt idx="1">
                    <c:v>586.06516853932601</c:v>
                  </c:pt>
                  <c:pt idx="2">
                    <c:v>575.49246813441414</c:v>
                  </c:pt>
                  <c:pt idx="3">
                    <c:v>543.86294117647037</c:v>
                  </c:pt>
                  <c:pt idx="4">
                    <c:v>527.19866468842736</c:v>
                  </c:pt>
                  <c:pt idx="5">
                    <c:v>521.40457486136802</c:v>
                  </c:pt>
                  <c:pt idx="6">
                    <c:v>464.37000000000012</c:v>
                  </c:pt>
                  <c:pt idx="8">
                    <c:v>631.02509363295837</c:v>
                  </c:pt>
                  <c:pt idx="9">
                    <c:v>615.38881807647795</c:v>
                  </c:pt>
                  <c:pt idx="10">
                    <c:v>537.84705882352807</c:v>
                  </c:pt>
                  <c:pt idx="11">
                    <c:v>521.04094955489597</c:v>
                  </c:pt>
                  <c:pt idx="12">
                    <c:v>515.82171903881704</c:v>
                  </c:pt>
                  <c:pt idx="13">
                    <c:v>460.33</c:v>
                  </c:pt>
                  <c:pt idx="15">
                    <c:v>670.50561797752823</c:v>
                  </c:pt>
                  <c:pt idx="16">
                    <c:v>642.08899188876023</c:v>
                  </c:pt>
                  <c:pt idx="17">
                    <c:v>595.72058823529426</c:v>
                  </c:pt>
                  <c:pt idx="18">
                    <c:v>579.37359050445116</c:v>
                  </c:pt>
                  <c:pt idx="19">
                    <c:v>562.56612754158937</c:v>
                  </c:pt>
                  <c:pt idx="20">
                    <c:v>544.55999999999938</c:v>
                  </c:pt>
                </c:numCache>
              </c:numRef>
            </c:plus>
            <c:minus>
              <c:numLit>
                <c:formatCode>General</c:formatCode>
                <c:ptCount val="1"/>
                <c:pt idx="0">
                  <c:v>1</c:v>
                </c:pt>
              </c:numLit>
            </c:minus>
          </c:errBars>
          <c:cat>
            <c:numRef>
              <c:f>recipient_earns_Total_update!$B$25:$V$25</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recipient_earns_Total_update!$B$28:$O$28</c:f>
              <c:numCache>
                <c:formatCode>0</c:formatCode>
                <c:ptCount val="14"/>
                <c:pt idx="1">
                  <c:v>403.86067415730332</c:v>
                </c:pt>
                <c:pt idx="2">
                  <c:v>466.80469293163401</c:v>
                </c:pt>
                <c:pt idx="3">
                  <c:v>446.10176470588232</c:v>
                </c:pt>
                <c:pt idx="4">
                  <c:v>417.23946587537102</c:v>
                </c:pt>
                <c:pt idx="5">
                  <c:v>411.18853974121902</c:v>
                </c:pt>
                <c:pt idx="6">
                  <c:v>360.26</c:v>
                </c:pt>
                <c:pt idx="8" formatCode="General">
                  <c:v>420.38539325842692</c:v>
                </c:pt>
                <c:pt idx="9" formatCode="General">
                  <c:v>488.45926998841259</c:v>
                </c:pt>
                <c:pt idx="10" formatCode="General">
                  <c:v>482.25882352941181</c:v>
                </c:pt>
                <c:pt idx="11" formatCode="General">
                  <c:v>417.0338278931751</c:v>
                </c:pt>
                <c:pt idx="12" formatCode="General">
                  <c:v>386.74353049907552</c:v>
                </c:pt>
                <c:pt idx="13" formatCode="General">
                  <c:v>347.06999999999982</c:v>
                </c:pt>
              </c:numCache>
            </c:numRef>
          </c:val>
        </c:ser>
        <c:ser>
          <c:idx val="4"/>
          <c:order val="3"/>
          <c:tx>
            <c:strRef>
              <c:f>recipient_earns_Total_update!$A$33</c:f>
              <c:strCache>
                <c:ptCount val="1"/>
                <c:pt idx="0">
                  <c:v>Gap</c:v>
                </c:pt>
              </c:strCache>
            </c:strRef>
          </c:tx>
          <c:spPr>
            <a:noFill/>
          </c:spPr>
          <c:invertIfNegative val="0"/>
          <c:cat>
            <c:numRef>
              <c:f>recipient_earns_Total_update!$B$25:$V$25</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recipient_earns_Total_update!$B$33:$O$33</c:f>
              <c:numCache>
                <c:formatCode>General</c:formatCode>
                <c:ptCount val="14"/>
                <c:pt idx="1">
                  <c:v>-200</c:v>
                </c:pt>
                <c:pt idx="2">
                  <c:v>-200</c:v>
                </c:pt>
                <c:pt idx="3">
                  <c:v>-200</c:v>
                </c:pt>
                <c:pt idx="4">
                  <c:v>-200</c:v>
                </c:pt>
                <c:pt idx="5">
                  <c:v>-200</c:v>
                </c:pt>
                <c:pt idx="6">
                  <c:v>-200</c:v>
                </c:pt>
                <c:pt idx="8">
                  <c:v>-200</c:v>
                </c:pt>
                <c:pt idx="9">
                  <c:v>-200</c:v>
                </c:pt>
                <c:pt idx="10">
                  <c:v>-200</c:v>
                </c:pt>
                <c:pt idx="11">
                  <c:v>-200</c:v>
                </c:pt>
                <c:pt idx="12">
                  <c:v>-200</c:v>
                </c:pt>
                <c:pt idx="13">
                  <c:v>-200</c:v>
                </c:pt>
              </c:numCache>
            </c:numRef>
          </c:val>
        </c:ser>
        <c:ser>
          <c:idx val="5"/>
          <c:order val="4"/>
          <c:tx>
            <c:strRef>
              <c:f>recipient_earns_Total_update!$A$34</c:f>
              <c:strCache>
                <c:ptCount val="1"/>
                <c:pt idx="0">
                  <c:v>Commonwealth Rent Assistance</c:v>
                </c:pt>
              </c:strCache>
            </c:strRef>
          </c:tx>
          <c:spPr>
            <a:solidFill>
              <a:schemeClr val="accent1"/>
            </a:solidFill>
            <a:ln w="9525">
              <a:solidFill>
                <a:schemeClr val="tx1"/>
              </a:solidFill>
            </a:ln>
          </c:spPr>
          <c:invertIfNegative val="0"/>
          <c:cat>
            <c:numRef>
              <c:f>recipient_earns_Total_update!$B$25:$V$25</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recipient_earns_Total_update!$B$34:$O$34</c:f>
              <c:numCache>
                <c:formatCode>General</c:formatCode>
                <c:ptCount val="14"/>
                <c:pt idx="1">
                  <c:v>-200</c:v>
                </c:pt>
                <c:pt idx="2">
                  <c:v>-200</c:v>
                </c:pt>
                <c:pt idx="3">
                  <c:v>-200</c:v>
                </c:pt>
                <c:pt idx="4">
                  <c:v>-200</c:v>
                </c:pt>
                <c:pt idx="5">
                  <c:v>-200</c:v>
                </c:pt>
                <c:pt idx="6">
                  <c:v>-200</c:v>
                </c:pt>
                <c:pt idx="8">
                  <c:v>-200</c:v>
                </c:pt>
                <c:pt idx="9">
                  <c:v>-200</c:v>
                </c:pt>
                <c:pt idx="10">
                  <c:v>-200</c:v>
                </c:pt>
                <c:pt idx="11">
                  <c:v>-200</c:v>
                </c:pt>
                <c:pt idx="12">
                  <c:v>-200</c:v>
                </c:pt>
                <c:pt idx="13">
                  <c:v>-200</c:v>
                </c:pt>
              </c:numCache>
            </c:numRef>
          </c:val>
        </c:ser>
        <c:ser>
          <c:idx val="6"/>
          <c:order val="5"/>
          <c:tx>
            <c:strRef>
              <c:f>recipient_earns_Total_update!$A$35</c:f>
              <c:strCache>
                <c:ptCount val="1"/>
                <c:pt idx="0">
                  <c:v>Public housing</c:v>
                </c:pt>
              </c:strCache>
            </c:strRef>
          </c:tx>
          <c:spPr>
            <a:solidFill>
              <a:schemeClr val="accent2"/>
            </a:solidFill>
            <a:ln w="9525">
              <a:solidFill>
                <a:schemeClr val="tx1"/>
              </a:solidFill>
            </a:ln>
          </c:spPr>
          <c:invertIfNegative val="0"/>
          <c:cat>
            <c:numRef>
              <c:f>recipient_earns_Total_update!$B$25:$V$25</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recipient_earns_Total_update!$B$35:$O$35</c:f>
              <c:numCache>
                <c:formatCode>General</c:formatCode>
                <c:ptCount val="14"/>
                <c:pt idx="1">
                  <c:v>-200</c:v>
                </c:pt>
                <c:pt idx="2">
                  <c:v>-200</c:v>
                </c:pt>
                <c:pt idx="3">
                  <c:v>-200</c:v>
                </c:pt>
                <c:pt idx="4">
                  <c:v>-200</c:v>
                </c:pt>
                <c:pt idx="5">
                  <c:v>-200</c:v>
                </c:pt>
                <c:pt idx="6">
                  <c:v>-200</c:v>
                </c:pt>
                <c:pt idx="8">
                  <c:v>-200</c:v>
                </c:pt>
                <c:pt idx="9">
                  <c:v>-200</c:v>
                </c:pt>
                <c:pt idx="10">
                  <c:v>-200</c:v>
                </c:pt>
                <c:pt idx="11">
                  <c:v>-200</c:v>
                </c:pt>
                <c:pt idx="12">
                  <c:v>-200</c:v>
                </c:pt>
                <c:pt idx="13">
                  <c:v>-200</c:v>
                </c:pt>
              </c:numCache>
            </c:numRef>
          </c:val>
        </c:ser>
        <c:ser>
          <c:idx val="8"/>
          <c:order val="8"/>
          <c:tx>
            <c:strRef>
              <c:f>recipient_earns_Total_update!$A$32</c:f>
              <c:strCache>
                <c:ptCount val="1"/>
                <c:pt idx="0">
                  <c:v>Other tenure</c:v>
                </c:pt>
              </c:strCache>
            </c:strRef>
          </c:tx>
          <c:spPr>
            <a:solidFill>
              <a:schemeClr val="accent3"/>
            </a:solidFill>
            <a:ln w="9525">
              <a:solidFill>
                <a:schemeClr val="tx2"/>
              </a:solidFill>
            </a:ln>
          </c:spPr>
          <c:invertIfNegative val="0"/>
          <c:cat>
            <c:numRef>
              <c:f>recipient_earns_Total_update!$B$25:$V$25</c:f>
              <c:numCache>
                <c:formatCode>General</c:formatCode>
                <c:ptCount val="21"/>
                <c:pt idx="1">
                  <c:v>2003</c:v>
                </c:pt>
                <c:pt idx="2">
                  <c:v>2005</c:v>
                </c:pt>
                <c:pt idx="3">
                  <c:v>2007</c:v>
                </c:pt>
                <c:pt idx="4">
                  <c:v>2009</c:v>
                </c:pt>
                <c:pt idx="5">
                  <c:v>2011</c:v>
                </c:pt>
                <c:pt idx="6">
                  <c:v>2013</c:v>
                </c:pt>
                <c:pt idx="8">
                  <c:v>2003</c:v>
                </c:pt>
                <c:pt idx="9">
                  <c:v>2005</c:v>
                </c:pt>
                <c:pt idx="10">
                  <c:v>2007</c:v>
                </c:pt>
                <c:pt idx="11">
                  <c:v>2009</c:v>
                </c:pt>
                <c:pt idx="12">
                  <c:v>2011</c:v>
                </c:pt>
                <c:pt idx="13">
                  <c:v>2013</c:v>
                </c:pt>
                <c:pt idx="15">
                  <c:v>2003</c:v>
                </c:pt>
                <c:pt idx="16">
                  <c:v>2005</c:v>
                </c:pt>
                <c:pt idx="17">
                  <c:v>2007</c:v>
                </c:pt>
                <c:pt idx="18">
                  <c:v>2009</c:v>
                </c:pt>
                <c:pt idx="19">
                  <c:v>2011</c:v>
                </c:pt>
                <c:pt idx="20">
                  <c:v>2013</c:v>
                </c:pt>
              </c:numCache>
            </c:numRef>
          </c:cat>
          <c:val>
            <c:numRef>
              <c:f>recipient_earns_Total_update!$B$32:$O$32</c:f>
              <c:numCache>
                <c:formatCode>General</c:formatCode>
                <c:ptCount val="14"/>
                <c:pt idx="1">
                  <c:v>-200</c:v>
                </c:pt>
                <c:pt idx="2">
                  <c:v>-200</c:v>
                </c:pt>
                <c:pt idx="3">
                  <c:v>-200</c:v>
                </c:pt>
                <c:pt idx="4">
                  <c:v>-200</c:v>
                </c:pt>
                <c:pt idx="5">
                  <c:v>-200</c:v>
                </c:pt>
                <c:pt idx="6">
                  <c:v>-200</c:v>
                </c:pt>
                <c:pt idx="8">
                  <c:v>-200</c:v>
                </c:pt>
                <c:pt idx="9">
                  <c:v>-200</c:v>
                </c:pt>
                <c:pt idx="10">
                  <c:v>-200</c:v>
                </c:pt>
                <c:pt idx="11">
                  <c:v>-200</c:v>
                </c:pt>
                <c:pt idx="12">
                  <c:v>-200</c:v>
                </c:pt>
                <c:pt idx="13">
                  <c:v>-200</c:v>
                </c:pt>
              </c:numCache>
            </c:numRef>
          </c:val>
        </c:ser>
        <c:dLbls>
          <c:showLegendKey val="0"/>
          <c:showVal val="0"/>
          <c:showCatName val="0"/>
          <c:showSerName val="0"/>
          <c:showPercent val="0"/>
          <c:showBubbleSize val="0"/>
        </c:dLbls>
        <c:gapWidth val="15"/>
        <c:overlap val="100"/>
        <c:axId val="115813376"/>
        <c:axId val="115831552"/>
      </c:barChart>
      <c:lineChart>
        <c:grouping val="standard"/>
        <c:varyColors val="0"/>
        <c:ser>
          <c:idx val="3"/>
          <c:order val="6"/>
          <c:tx>
            <c:strRef>
              <c:f>recipient_earns_Total_update!$A$31</c:f>
              <c:strCache>
                <c:ptCount val="1"/>
                <c:pt idx="0">
                  <c:v>Mean</c:v>
                </c:pt>
              </c:strCache>
            </c:strRef>
          </c:tx>
          <c:spPr>
            <a:ln>
              <a:noFill/>
            </a:ln>
          </c:spPr>
          <c:marker>
            <c:symbol val="diamond"/>
            <c:size val="7"/>
            <c:spPr>
              <a:solidFill>
                <a:schemeClr val="bg1">
                  <a:alpha val="80000"/>
                </a:schemeClr>
              </a:solidFill>
              <a:ln>
                <a:noFill/>
              </a:ln>
            </c:spPr>
          </c:marker>
          <c:val>
            <c:numRef>
              <c:f>recipient_earns_Total_update!$B$31:$O$31</c:f>
              <c:numCache>
                <c:formatCode>0</c:formatCode>
                <c:ptCount val="14"/>
                <c:pt idx="1">
                  <c:v>626.58389513108648</c:v>
                </c:pt>
                <c:pt idx="2">
                  <c:v>710.66628041714966</c:v>
                </c:pt>
                <c:pt idx="3">
                  <c:v>717.68117647058853</c:v>
                </c:pt>
                <c:pt idx="4">
                  <c:v>711.50741839762611</c:v>
                </c:pt>
                <c:pt idx="5">
                  <c:v>699.3300831792975</c:v>
                </c:pt>
                <c:pt idx="6">
                  <c:v>653.76</c:v>
                </c:pt>
                <c:pt idx="8" formatCode="General">
                  <c:v>621.26310861423235</c:v>
                </c:pt>
                <c:pt idx="9" formatCode="General">
                  <c:v>674.37010428736983</c:v>
                </c:pt>
                <c:pt idx="10" formatCode="General">
                  <c:v>682.80882352941182</c:v>
                </c:pt>
                <c:pt idx="11" formatCode="General">
                  <c:v>662.61127596439167</c:v>
                </c:pt>
                <c:pt idx="12" formatCode="General">
                  <c:v>660.02592421441739</c:v>
                </c:pt>
                <c:pt idx="13" formatCode="General">
                  <c:v>667</c:v>
                </c:pt>
              </c:numCache>
            </c:numRef>
          </c:val>
          <c:smooth val="0"/>
        </c:ser>
        <c:ser>
          <c:idx val="7"/>
          <c:order val="7"/>
          <c:tx>
            <c:strRef>
              <c:f>recipient_earns_Total_update!$A$36</c:f>
              <c:strCache>
                <c:ptCount val="1"/>
                <c:pt idx="0">
                  <c:v>Zero</c:v>
                </c:pt>
              </c:strCache>
            </c:strRef>
          </c:tx>
          <c:spPr>
            <a:ln w="9525">
              <a:solidFill>
                <a:schemeClr val="bg2"/>
              </a:solidFill>
            </a:ln>
          </c:spPr>
          <c:marker>
            <c:symbol val="none"/>
          </c:marker>
          <c:val>
            <c:numRef>
              <c:f>recipient_earns_Total_update!$B$36:$O$36</c:f>
              <c:numCache>
                <c:formatCode>General</c:formatCode>
                <c:ptCount val="14"/>
                <c:pt idx="0">
                  <c:v>0</c:v>
                </c:pt>
                <c:pt idx="1">
                  <c:v>0</c:v>
                </c:pt>
                <c:pt idx="2">
                  <c:v>0</c:v>
                </c:pt>
                <c:pt idx="3">
                  <c:v>0</c:v>
                </c:pt>
                <c:pt idx="4">
                  <c:v>0</c:v>
                </c:pt>
                <c:pt idx="5">
                  <c:v>0</c:v>
                </c:pt>
                <c:pt idx="6">
                  <c:v>0</c:v>
                </c:pt>
                <c:pt idx="8">
                  <c:v>0</c:v>
                </c:pt>
                <c:pt idx="9">
                  <c:v>0</c:v>
                </c:pt>
                <c:pt idx="10">
                  <c:v>0</c:v>
                </c:pt>
                <c:pt idx="11">
                  <c:v>0</c:v>
                </c:pt>
                <c:pt idx="12">
                  <c:v>0</c:v>
                </c:pt>
                <c:pt idx="13">
                  <c:v>0</c:v>
                </c:pt>
              </c:numCache>
            </c:numRef>
          </c:val>
          <c:smooth val="0"/>
        </c:ser>
        <c:dLbls>
          <c:showLegendKey val="0"/>
          <c:showVal val="0"/>
          <c:showCatName val="0"/>
          <c:showSerName val="0"/>
          <c:showPercent val="0"/>
          <c:showBubbleSize val="0"/>
        </c:dLbls>
        <c:marker val="1"/>
        <c:smooth val="0"/>
        <c:axId val="115813376"/>
        <c:axId val="115831552"/>
      </c:lineChart>
      <c:catAx>
        <c:axId val="115813376"/>
        <c:scaling>
          <c:orientation val="minMax"/>
        </c:scaling>
        <c:delete val="0"/>
        <c:axPos val="b"/>
        <c:numFmt formatCode="General" sourceLinked="1"/>
        <c:majorTickMark val="none"/>
        <c:minorTickMark val="none"/>
        <c:tickLblPos val="nextTo"/>
        <c:spPr>
          <a:ln>
            <a:solidFill>
              <a:schemeClr val="bg2"/>
            </a:solidFill>
          </a:ln>
        </c:spPr>
        <c:txPr>
          <a:bodyPr/>
          <a:lstStyle/>
          <a:p>
            <a:pPr>
              <a:defRPr sz="1000"/>
            </a:pPr>
            <a:endParaRPr lang="en-US"/>
          </a:p>
        </c:txPr>
        <c:crossAx val="115831552"/>
        <c:crosses val="autoZero"/>
        <c:auto val="1"/>
        <c:lblAlgn val="l"/>
        <c:lblOffset val="0"/>
        <c:tickMarkSkip val="3"/>
        <c:noMultiLvlLbl val="0"/>
      </c:catAx>
      <c:valAx>
        <c:axId val="115831552"/>
        <c:scaling>
          <c:orientation val="minMax"/>
          <c:max val="1800"/>
          <c:min val="0"/>
        </c:scaling>
        <c:delete val="0"/>
        <c:axPos val="l"/>
        <c:title>
          <c:tx>
            <c:rich>
              <a:bodyPr rot="-5400000" vert="horz"/>
              <a:lstStyle/>
              <a:p>
                <a:pPr>
                  <a:defRPr/>
                </a:pPr>
                <a:r>
                  <a:rPr lang="en-AU" baseline="0"/>
                  <a:t>Fortnightly earnings</a:t>
                </a:r>
                <a:endParaRPr lang="en-AU"/>
              </a:p>
            </c:rich>
          </c:tx>
          <c:layout>
            <c:manualLayout>
              <c:xMode val="edge"/>
              <c:yMode val="edge"/>
              <c:x val="6.4870370370370396E-4"/>
              <c:y val="8.0623232323232402E-2"/>
            </c:manualLayout>
          </c:layout>
          <c:overlay val="0"/>
        </c:title>
        <c:numFmt formatCode="&quot;$&quot;#\ ##0" sourceLinked="0"/>
        <c:majorTickMark val="out"/>
        <c:minorTickMark val="none"/>
        <c:tickLblPos val="nextTo"/>
        <c:spPr>
          <a:ln>
            <a:solidFill>
              <a:schemeClr val="bg2"/>
            </a:solidFill>
          </a:ln>
        </c:spPr>
        <c:crossAx val="115813376"/>
        <c:crosses val="autoZero"/>
        <c:crossBetween val="between"/>
        <c:majorUnit val="300"/>
      </c:valAx>
    </c:plotArea>
    <c:legend>
      <c:legendPos val="t"/>
      <c:legendEntry>
        <c:idx val="0"/>
        <c:delete val="1"/>
      </c:legendEntry>
      <c:legendEntry>
        <c:idx val="1"/>
        <c:delete val="1"/>
      </c:legendEntry>
      <c:legendEntry>
        <c:idx val="2"/>
        <c:delete val="1"/>
      </c:legendEntry>
      <c:legendEntry>
        <c:idx val="3"/>
        <c:delete val="1"/>
      </c:legendEntry>
      <c:legendEntry>
        <c:idx val="6"/>
        <c:delete val="1"/>
      </c:legendEntry>
      <c:legendEntry>
        <c:idx val="7"/>
        <c:delete val="1"/>
      </c:legendEntry>
      <c:legendEntry>
        <c:idx val="8"/>
        <c:delete val="1"/>
      </c:legendEntry>
      <c:layout>
        <c:manualLayout>
          <c:xMode val="edge"/>
          <c:yMode val="edge"/>
          <c:x val="0.19938277777777799"/>
          <c:y val="1.92424242424242E-2"/>
          <c:w val="0.74704907407407395"/>
          <c:h val="0.10944595959596"/>
        </c:manualLayout>
      </c:layout>
      <c:overlay val="0"/>
    </c:legend>
    <c:plotVisOnly val="1"/>
    <c:dispBlanksAs val="gap"/>
    <c:showDLblsOverMax val="0"/>
  </c:chart>
  <c:spPr>
    <a:solidFill>
      <a:schemeClr val="bg1"/>
    </a:solidFill>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413553536562177"/>
          <c:y val="5.5939583333333341E-2"/>
          <c:w val="0.89586446463437819"/>
          <c:h val="0.65942430555555542"/>
        </c:manualLayout>
      </c:layout>
      <c:barChart>
        <c:barDir val="col"/>
        <c:grouping val="stacked"/>
        <c:varyColors val="0"/>
        <c:ser>
          <c:idx val="0"/>
          <c:order val="0"/>
          <c:tx>
            <c:strRef>
              <c:f>stream_summary!$C$53</c:f>
              <c:strCache>
                <c:ptCount val="1"/>
                <c:pt idx="0">
                  <c:v>Severe barriers to employment</c:v>
                </c:pt>
              </c:strCache>
            </c:strRef>
          </c:tx>
          <c:spPr>
            <a:solidFill>
              <a:srgbClr val="78A22F"/>
            </a:solidFill>
            <a:ln>
              <a:noFill/>
            </a:ln>
          </c:spPr>
          <c:invertIfNegative val="0"/>
          <c:cat>
            <c:strRef>
              <c:f>stream_summary!$B$54:$B$56</c:f>
              <c:strCache>
                <c:ptCount val="3"/>
                <c:pt idx="0">
                  <c:v>Commonwealth Rent Assistance</c:v>
                </c:pt>
                <c:pt idx="1">
                  <c:v>Public housing</c:v>
                </c:pt>
                <c:pt idx="2">
                  <c:v>All Newstart and Youth Allowance (Job seeker) recipients</c:v>
                </c:pt>
              </c:strCache>
            </c:strRef>
          </c:cat>
          <c:val>
            <c:numRef>
              <c:f>stream_summary!$C$54:$C$56</c:f>
              <c:numCache>
                <c:formatCode>0.0</c:formatCode>
                <c:ptCount val="3"/>
                <c:pt idx="0">
                  <c:v>23.743163810360496</c:v>
                </c:pt>
                <c:pt idx="1">
                  <c:v>36.154944531907887</c:v>
                </c:pt>
                <c:pt idx="2">
                  <c:v>21.557912538465533</c:v>
                </c:pt>
              </c:numCache>
            </c:numRef>
          </c:val>
        </c:ser>
        <c:ser>
          <c:idx val="1"/>
          <c:order val="1"/>
          <c:tx>
            <c:strRef>
              <c:f>stream_summary!$D$53</c:f>
              <c:strCache>
                <c:ptCount val="1"/>
                <c:pt idx="0">
                  <c:v>Significant barriers to employment</c:v>
                </c:pt>
              </c:strCache>
            </c:strRef>
          </c:tx>
          <c:spPr>
            <a:solidFill>
              <a:srgbClr val="265A9A"/>
            </a:solidFill>
            <a:ln>
              <a:noFill/>
            </a:ln>
          </c:spPr>
          <c:invertIfNegative val="0"/>
          <c:cat>
            <c:strRef>
              <c:f>stream_summary!$B$54:$B$56</c:f>
              <c:strCache>
                <c:ptCount val="3"/>
                <c:pt idx="0">
                  <c:v>Commonwealth Rent Assistance</c:v>
                </c:pt>
                <c:pt idx="1">
                  <c:v>Public housing</c:v>
                </c:pt>
                <c:pt idx="2">
                  <c:v>All Newstart and Youth Allowance (Job seeker) recipients</c:v>
                </c:pt>
              </c:strCache>
            </c:strRef>
          </c:cat>
          <c:val>
            <c:numRef>
              <c:f>stream_summary!$D$54:$D$56</c:f>
              <c:numCache>
                <c:formatCode>0.0</c:formatCode>
                <c:ptCount val="3"/>
                <c:pt idx="0">
                  <c:v>21.713850765686772</c:v>
                </c:pt>
                <c:pt idx="1">
                  <c:v>37.613956723904366</c:v>
                </c:pt>
                <c:pt idx="2">
                  <c:v>22.706530311028072</c:v>
                </c:pt>
              </c:numCache>
            </c:numRef>
          </c:val>
        </c:ser>
        <c:dLbls>
          <c:showLegendKey val="0"/>
          <c:showVal val="0"/>
          <c:showCatName val="0"/>
          <c:showSerName val="0"/>
          <c:showPercent val="0"/>
          <c:showBubbleSize val="0"/>
        </c:dLbls>
        <c:gapWidth val="90"/>
        <c:overlap val="100"/>
        <c:axId val="115839744"/>
        <c:axId val="115841280"/>
      </c:barChart>
      <c:catAx>
        <c:axId val="115839744"/>
        <c:scaling>
          <c:orientation val="minMax"/>
        </c:scaling>
        <c:delete val="0"/>
        <c:axPos val="b"/>
        <c:majorTickMark val="none"/>
        <c:minorTickMark val="none"/>
        <c:tickLblPos val="nextTo"/>
        <c:spPr>
          <a:ln>
            <a:solidFill>
              <a:srgbClr val="BFBFBF"/>
            </a:solidFill>
          </a:ln>
        </c:spPr>
        <c:crossAx val="115841280"/>
        <c:crosses val="autoZero"/>
        <c:auto val="1"/>
        <c:lblAlgn val="ctr"/>
        <c:lblOffset val="100"/>
        <c:noMultiLvlLbl val="0"/>
      </c:catAx>
      <c:valAx>
        <c:axId val="115841280"/>
        <c:scaling>
          <c:orientation val="minMax"/>
          <c:max val="100"/>
        </c:scaling>
        <c:delete val="0"/>
        <c:axPos val="l"/>
        <c:majorGridlines>
          <c:spPr>
            <a:ln>
              <a:noFill/>
            </a:ln>
          </c:spPr>
        </c:majorGridlines>
        <c:title>
          <c:tx>
            <c:rich>
              <a:bodyPr rot="-5400000" vert="horz"/>
              <a:lstStyle/>
              <a:p>
                <a:pPr>
                  <a:defRPr/>
                </a:pPr>
                <a:r>
                  <a:rPr lang="en-AU"/>
                  <a:t>Per cent</a:t>
                </a:r>
              </a:p>
            </c:rich>
          </c:tx>
          <c:overlay val="0"/>
        </c:title>
        <c:numFmt formatCode="0" sourceLinked="0"/>
        <c:majorTickMark val="out"/>
        <c:minorTickMark val="none"/>
        <c:tickLblPos val="nextTo"/>
        <c:spPr>
          <a:ln>
            <a:solidFill>
              <a:srgbClr val="BFBFBF"/>
            </a:solidFill>
          </a:ln>
        </c:spPr>
        <c:crossAx val="115839744"/>
        <c:crosses val="autoZero"/>
        <c:crossBetween val="between"/>
        <c:majorUnit val="20"/>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rgbClr val="78A22F"/>
              </a:solidFill>
              <a:ln>
                <a:solidFill>
                  <a:srgbClr val="78A22F"/>
                </a:solidFill>
              </a:ln>
            </c:spPr>
          </c:dPt>
          <c:dPt>
            <c:idx val="1"/>
            <c:bubble3D val="0"/>
            <c:spPr>
              <a:solidFill>
                <a:srgbClr val="265A9A"/>
              </a:solidFill>
              <a:ln>
                <a:solidFill>
                  <a:srgbClr val="265A9A"/>
                </a:solidFill>
              </a:ln>
            </c:spPr>
          </c:dPt>
          <c:dPt>
            <c:idx val="2"/>
            <c:bubble3D val="0"/>
            <c:spPr>
              <a:solidFill>
                <a:srgbClr val="B2D673"/>
              </a:solidFill>
              <a:ln>
                <a:solidFill>
                  <a:srgbClr val="B2D673"/>
                </a:solidFill>
              </a:ln>
            </c:spPr>
          </c:dPt>
          <c:dPt>
            <c:idx val="3"/>
            <c:bubble3D val="0"/>
            <c:spPr>
              <a:solidFill>
                <a:srgbClr val="000000"/>
              </a:solidFill>
              <a:ln>
                <a:solidFill>
                  <a:srgbClr val="000000"/>
                </a:solidFill>
              </a:ln>
            </c:spPr>
          </c:dPt>
          <c:dPt>
            <c:idx val="4"/>
            <c:bubble3D val="0"/>
            <c:spPr>
              <a:solidFill>
                <a:srgbClr val="F2F2F2"/>
              </a:solidFill>
              <a:ln>
                <a:solidFill>
                  <a:srgbClr val="BFBFBF"/>
                </a:solidFill>
              </a:ln>
            </c:spPr>
          </c:dPt>
          <c:dPt>
            <c:idx val="5"/>
            <c:bubble3D val="0"/>
            <c:spPr>
              <a:pattFill prst="ltUpDiag">
                <a:fgClr>
                  <a:srgbClr val="78A22F"/>
                </a:fgClr>
                <a:bgClr>
                  <a:schemeClr val="bg1"/>
                </a:bgClr>
              </a:pattFill>
              <a:ln>
                <a:solidFill>
                  <a:srgbClr val="78A22F"/>
                </a:solidFill>
              </a:ln>
            </c:spPr>
          </c:dPt>
          <c:dPt>
            <c:idx val="6"/>
            <c:bubble3D val="0"/>
            <c:spPr>
              <a:pattFill prst="ltDnDiag">
                <a:fgClr>
                  <a:srgbClr val="265A9A"/>
                </a:fgClr>
                <a:bgClr>
                  <a:schemeClr val="bg1"/>
                </a:bgClr>
              </a:pattFill>
              <a:ln>
                <a:solidFill>
                  <a:srgbClr val="265A9A"/>
                </a:solidFill>
              </a:ln>
            </c:spPr>
          </c:dPt>
          <c:dPt>
            <c:idx val="7"/>
            <c:bubble3D val="0"/>
            <c:spPr>
              <a:pattFill prst="ltUpDiag">
                <a:fgClr>
                  <a:srgbClr val="B2D673"/>
                </a:fgClr>
                <a:bgClr>
                  <a:schemeClr val="bg1"/>
                </a:bgClr>
              </a:pattFill>
              <a:ln>
                <a:solidFill>
                  <a:srgbClr val="B2D673"/>
                </a:solidFill>
              </a:ln>
            </c:spPr>
          </c:dPt>
          <c:dLbls>
            <c:dLbl>
              <c:idx val="5"/>
              <c:layout>
                <c:manualLayout>
                  <c:x val="4.5815295815295797E-3"/>
                  <c:y val="2.07516339869281E-2"/>
                </c:manualLayout>
              </c:layout>
              <c:dLblPos val="bestFit"/>
              <c:showLegendKey val="0"/>
              <c:showVal val="0"/>
              <c:showCatName val="0"/>
              <c:showSerName val="0"/>
              <c:showPercent val="1"/>
              <c:showBubbleSize val="0"/>
              <c:separator> </c:separator>
            </c:dLbl>
            <c:dLbl>
              <c:idx val="6"/>
              <c:layout>
                <c:manualLayout>
                  <c:x val="-1.37445887445887E-2"/>
                  <c:y val="-3.1127450980392199E-2"/>
                </c:manualLayout>
              </c:layout>
              <c:dLblPos val="bestFit"/>
              <c:showLegendKey val="0"/>
              <c:showVal val="0"/>
              <c:showCatName val="0"/>
              <c:showSerName val="0"/>
              <c:showPercent val="1"/>
              <c:showBubbleSize val="0"/>
              <c:separator> </c:separator>
            </c:dLbl>
            <c:dLbl>
              <c:idx val="7"/>
              <c:layout>
                <c:manualLayout>
                  <c:x val="0.15128723404255301"/>
                  <c:y val="-1.5563580246913599E-2"/>
                </c:manualLayout>
              </c:layout>
              <c:dLblPos val="bestFit"/>
              <c:showLegendKey val="0"/>
              <c:showVal val="0"/>
              <c:showCatName val="0"/>
              <c:showSerName val="0"/>
              <c:showPercent val="1"/>
              <c:showBubbleSize val="0"/>
              <c:separator> </c:separator>
            </c:dLbl>
            <c:dLblPos val="outEnd"/>
            <c:showLegendKey val="0"/>
            <c:showVal val="0"/>
            <c:showCatName val="0"/>
            <c:showSerName val="0"/>
            <c:showPercent val="1"/>
            <c:showBubbleSize val="0"/>
            <c:separator> </c:separator>
            <c:showLeaderLines val="1"/>
          </c:dLbls>
          <c:val>
            <c:numRef>
              <c:f>states_2013!$F$2:$F$9</c:f>
              <c:numCache>
                <c:formatCode>General</c:formatCode>
                <c:ptCount val="8"/>
                <c:pt idx="0">
                  <c:v>315955</c:v>
                </c:pt>
                <c:pt idx="1">
                  <c:v>218231</c:v>
                </c:pt>
                <c:pt idx="2">
                  <c:v>227832</c:v>
                </c:pt>
                <c:pt idx="3">
                  <c:v>73603</c:v>
                </c:pt>
                <c:pt idx="4">
                  <c:v>66702</c:v>
                </c:pt>
                <c:pt idx="5">
                  <c:v>27546</c:v>
                </c:pt>
                <c:pt idx="6">
                  <c:v>6587</c:v>
                </c:pt>
                <c:pt idx="7">
                  <c:v>4585</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spPr>
    <a:solidFill>
      <a:schemeClr val="bg1"/>
    </a:solidFill>
    <a:ln>
      <a:noFill/>
    </a:ln>
  </c:spPr>
  <c:txPr>
    <a:bodyPr/>
    <a:lstStyle/>
    <a:p>
      <a:pPr>
        <a:defRPr sz="900" spc="20" baseline="0">
          <a:latin typeface="Arial" panose="020B0604020202020204" pitchFamily="34" charset="0"/>
          <a:cs typeface="Arial" panose="020B0604020202020204" pitchFamily="34" charset="0"/>
        </a:defRPr>
      </a:pPr>
      <a:endParaRPr lang="en-US"/>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rgbClr val="78A22F"/>
              </a:solidFill>
              <a:ln>
                <a:solidFill>
                  <a:srgbClr val="78A22F"/>
                </a:solidFill>
              </a:ln>
            </c:spPr>
          </c:dPt>
          <c:dPt>
            <c:idx val="1"/>
            <c:bubble3D val="0"/>
            <c:spPr>
              <a:solidFill>
                <a:srgbClr val="265A9A"/>
              </a:solidFill>
              <a:ln>
                <a:solidFill>
                  <a:srgbClr val="265A9A"/>
                </a:solidFill>
              </a:ln>
            </c:spPr>
          </c:dPt>
          <c:dPt>
            <c:idx val="2"/>
            <c:bubble3D val="0"/>
            <c:spPr>
              <a:solidFill>
                <a:srgbClr val="B2D673"/>
              </a:solidFill>
              <a:ln>
                <a:solidFill>
                  <a:srgbClr val="B2D673"/>
                </a:solidFill>
              </a:ln>
            </c:spPr>
          </c:dPt>
          <c:dPt>
            <c:idx val="3"/>
            <c:bubble3D val="0"/>
            <c:spPr>
              <a:solidFill>
                <a:srgbClr val="000000"/>
              </a:solidFill>
              <a:ln>
                <a:solidFill>
                  <a:srgbClr val="000000"/>
                </a:solidFill>
              </a:ln>
            </c:spPr>
          </c:dPt>
          <c:dPt>
            <c:idx val="4"/>
            <c:bubble3D val="0"/>
            <c:spPr>
              <a:solidFill>
                <a:srgbClr val="F2F2F2"/>
              </a:solidFill>
              <a:ln>
                <a:solidFill>
                  <a:srgbClr val="BFBFBF"/>
                </a:solidFill>
              </a:ln>
            </c:spPr>
          </c:dPt>
          <c:dPt>
            <c:idx val="5"/>
            <c:bubble3D val="0"/>
            <c:spPr>
              <a:pattFill prst="ltUpDiag">
                <a:fgClr>
                  <a:srgbClr val="78A22F"/>
                </a:fgClr>
                <a:bgClr>
                  <a:schemeClr val="bg1"/>
                </a:bgClr>
              </a:pattFill>
              <a:ln>
                <a:solidFill>
                  <a:srgbClr val="78A22F"/>
                </a:solidFill>
              </a:ln>
            </c:spPr>
          </c:dPt>
          <c:dPt>
            <c:idx val="6"/>
            <c:bubble3D val="0"/>
            <c:spPr>
              <a:pattFill prst="ltDnDiag">
                <a:fgClr>
                  <a:srgbClr val="265A9A"/>
                </a:fgClr>
                <a:bgClr>
                  <a:schemeClr val="bg1"/>
                </a:bgClr>
              </a:pattFill>
              <a:ln>
                <a:solidFill>
                  <a:srgbClr val="265A9A"/>
                </a:solidFill>
              </a:ln>
            </c:spPr>
          </c:dPt>
          <c:dPt>
            <c:idx val="7"/>
            <c:bubble3D val="0"/>
            <c:spPr>
              <a:pattFill prst="ltUpDiag">
                <a:fgClr>
                  <a:srgbClr val="B2D673"/>
                </a:fgClr>
                <a:bgClr>
                  <a:schemeClr val="bg1"/>
                </a:bgClr>
              </a:pattFill>
              <a:ln>
                <a:solidFill>
                  <a:srgbClr val="B2D673"/>
                </a:solidFill>
              </a:ln>
            </c:spPr>
          </c:dPt>
          <c:dLbls>
            <c:dLbl>
              <c:idx val="5"/>
              <c:layout>
                <c:manualLayout>
                  <c:x val="4.5815295815295797E-3"/>
                  <c:y val="2.07516339869281E-2"/>
                </c:manualLayout>
              </c:layout>
              <c:dLblPos val="bestFit"/>
              <c:showLegendKey val="0"/>
              <c:showVal val="0"/>
              <c:showCatName val="0"/>
              <c:showSerName val="0"/>
              <c:showPercent val="1"/>
              <c:showBubbleSize val="0"/>
              <c:separator> </c:separator>
            </c:dLbl>
            <c:dLbl>
              <c:idx val="6"/>
              <c:layout>
                <c:manualLayout>
                  <c:x val="-1.37445887445887E-2"/>
                  <c:y val="-3.1127450980392199E-2"/>
                </c:manualLayout>
              </c:layout>
              <c:dLblPos val="bestFit"/>
              <c:showLegendKey val="0"/>
              <c:showVal val="0"/>
              <c:showCatName val="0"/>
              <c:showSerName val="0"/>
              <c:showPercent val="1"/>
              <c:showBubbleSize val="0"/>
              <c:separator> </c:separator>
            </c:dLbl>
            <c:dLbl>
              <c:idx val="7"/>
              <c:layout>
                <c:manualLayout>
                  <c:x val="6.87229437229437E-2"/>
                  <c:y val="-1.5563725490196099E-2"/>
                </c:manualLayout>
              </c:layout>
              <c:dLblPos val="bestFit"/>
              <c:showLegendKey val="0"/>
              <c:showVal val="0"/>
              <c:showCatName val="0"/>
              <c:showSerName val="0"/>
              <c:showPercent val="1"/>
              <c:showBubbleSize val="0"/>
              <c:separator> </c:separator>
            </c:dLbl>
            <c:dLblPos val="outEnd"/>
            <c:showLegendKey val="0"/>
            <c:showVal val="0"/>
            <c:showCatName val="0"/>
            <c:showSerName val="0"/>
            <c:showPercent val="1"/>
            <c:showBubbleSize val="0"/>
            <c:separator> </c:separator>
            <c:showLeaderLines val="1"/>
          </c:dLbls>
          <c:val>
            <c:numRef>
              <c:f>states_2013!$G$2:$G$9</c:f>
              <c:numCache>
                <c:formatCode>General</c:formatCode>
                <c:ptCount val="8"/>
                <c:pt idx="0">
                  <c:v>81958</c:v>
                </c:pt>
                <c:pt idx="1">
                  <c:v>48917</c:v>
                </c:pt>
                <c:pt idx="2">
                  <c:v>42473</c:v>
                </c:pt>
                <c:pt idx="3">
                  <c:v>28440</c:v>
                </c:pt>
                <c:pt idx="4">
                  <c:v>26836</c:v>
                </c:pt>
                <c:pt idx="5">
                  <c:v>9270</c:v>
                </c:pt>
                <c:pt idx="6">
                  <c:v>6925</c:v>
                </c:pt>
                <c:pt idx="7">
                  <c:v>10363</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spPr>
    <a:noFill/>
    <a:ln>
      <a:noFill/>
    </a:ln>
  </c:spPr>
  <c:txPr>
    <a:bodyPr/>
    <a:lstStyle/>
    <a:p>
      <a:pPr>
        <a:defRPr sz="900" spc="20" baseline="0">
          <a:latin typeface="Arial" panose="020B0604020202020204" pitchFamily="34" charset="0"/>
          <a:cs typeface="Arial" panose="020B0604020202020204" pitchFamily="34" charset="0"/>
        </a:defRPr>
      </a:pPr>
      <a:endParaRPr lang="en-US"/>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rgbClr val="78A22F"/>
              </a:solidFill>
              <a:ln>
                <a:solidFill>
                  <a:srgbClr val="78A22F"/>
                </a:solidFill>
              </a:ln>
            </c:spPr>
          </c:dPt>
          <c:dPt>
            <c:idx val="1"/>
            <c:bubble3D val="0"/>
            <c:spPr>
              <a:solidFill>
                <a:srgbClr val="265A9A"/>
              </a:solidFill>
              <a:ln>
                <a:solidFill>
                  <a:srgbClr val="265A9A"/>
                </a:solidFill>
              </a:ln>
            </c:spPr>
          </c:dPt>
          <c:dPt>
            <c:idx val="2"/>
            <c:bubble3D val="0"/>
            <c:spPr>
              <a:solidFill>
                <a:srgbClr val="B2D673"/>
              </a:solidFill>
              <a:ln>
                <a:solidFill>
                  <a:srgbClr val="B2D673"/>
                </a:solidFill>
              </a:ln>
            </c:spPr>
          </c:dPt>
          <c:dPt>
            <c:idx val="3"/>
            <c:bubble3D val="0"/>
            <c:spPr>
              <a:solidFill>
                <a:srgbClr val="000000"/>
              </a:solidFill>
              <a:ln>
                <a:solidFill>
                  <a:srgbClr val="000000"/>
                </a:solidFill>
              </a:ln>
            </c:spPr>
          </c:dPt>
          <c:dPt>
            <c:idx val="4"/>
            <c:bubble3D val="0"/>
            <c:spPr>
              <a:solidFill>
                <a:srgbClr val="F2F2F2"/>
              </a:solidFill>
              <a:ln>
                <a:solidFill>
                  <a:srgbClr val="BFBFBF"/>
                </a:solidFill>
              </a:ln>
            </c:spPr>
          </c:dPt>
          <c:dPt>
            <c:idx val="5"/>
            <c:bubble3D val="0"/>
            <c:spPr>
              <a:pattFill prst="ltUpDiag">
                <a:fgClr>
                  <a:srgbClr val="78A22F"/>
                </a:fgClr>
                <a:bgClr>
                  <a:schemeClr val="bg1"/>
                </a:bgClr>
              </a:pattFill>
              <a:ln>
                <a:solidFill>
                  <a:srgbClr val="78A22F"/>
                </a:solidFill>
              </a:ln>
            </c:spPr>
          </c:dPt>
          <c:dPt>
            <c:idx val="6"/>
            <c:bubble3D val="0"/>
            <c:spPr>
              <a:pattFill prst="ltDnDiag">
                <a:fgClr>
                  <a:srgbClr val="265A9A"/>
                </a:fgClr>
                <a:bgClr>
                  <a:schemeClr val="bg1"/>
                </a:bgClr>
              </a:pattFill>
              <a:ln>
                <a:solidFill>
                  <a:srgbClr val="265A9A"/>
                </a:solidFill>
              </a:ln>
            </c:spPr>
          </c:dPt>
          <c:dPt>
            <c:idx val="7"/>
            <c:bubble3D val="0"/>
            <c:spPr>
              <a:pattFill prst="ltUpDiag">
                <a:fgClr>
                  <a:srgbClr val="B2D673"/>
                </a:fgClr>
                <a:bgClr>
                  <a:schemeClr val="bg1"/>
                </a:bgClr>
              </a:pattFill>
              <a:ln>
                <a:solidFill>
                  <a:srgbClr val="B2D673"/>
                </a:solidFill>
              </a:ln>
            </c:spPr>
          </c:dPt>
          <c:dLbls>
            <c:dLbl>
              <c:idx val="5"/>
              <c:layout>
                <c:manualLayout>
                  <c:x val="4.5815295815295797E-3"/>
                  <c:y val="2.07516339869281E-2"/>
                </c:manualLayout>
              </c:layout>
              <c:dLblPos val="bestFit"/>
              <c:showLegendKey val="0"/>
              <c:showVal val="0"/>
              <c:showCatName val="0"/>
              <c:showSerName val="0"/>
              <c:showPercent val="1"/>
              <c:showBubbleSize val="0"/>
              <c:separator> </c:separator>
            </c:dLbl>
            <c:dLbl>
              <c:idx val="6"/>
              <c:layout>
                <c:manualLayout>
                  <c:x val="-1.37445887445887E-2"/>
                  <c:y val="-3.1127450980392199E-2"/>
                </c:manualLayout>
              </c:layout>
              <c:dLblPos val="bestFit"/>
              <c:showLegendKey val="0"/>
              <c:showVal val="0"/>
              <c:showCatName val="0"/>
              <c:showSerName val="0"/>
              <c:showPercent val="1"/>
              <c:showBubbleSize val="0"/>
              <c:separator> </c:separator>
            </c:dLbl>
            <c:dLbl>
              <c:idx val="7"/>
              <c:layout>
                <c:manualLayout>
                  <c:x val="0.15128723404255301"/>
                  <c:y val="-1.5563580246913599E-2"/>
                </c:manualLayout>
              </c:layout>
              <c:dLblPos val="bestFit"/>
              <c:showLegendKey val="0"/>
              <c:showVal val="0"/>
              <c:showCatName val="0"/>
              <c:showSerName val="0"/>
              <c:showPercent val="1"/>
              <c:showBubbleSize val="0"/>
              <c:separator> </c:separator>
            </c:dLbl>
            <c:dLblPos val="outEnd"/>
            <c:showLegendKey val="0"/>
            <c:showVal val="0"/>
            <c:showCatName val="0"/>
            <c:showSerName val="0"/>
            <c:showPercent val="1"/>
            <c:showBubbleSize val="0"/>
            <c:separator> </c:separator>
            <c:showLeaderLines val="1"/>
          </c:dLbls>
          <c:val>
            <c:numRef>
              <c:f>states_2013!$I$2:$I$9</c:f>
              <c:numCache>
                <c:formatCode>General</c:formatCode>
                <c:ptCount val="8"/>
                <c:pt idx="0">
                  <c:v>837522</c:v>
                </c:pt>
                <c:pt idx="1">
                  <c:v>633004</c:v>
                </c:pt>
                <c:pt idx="2">
                  <c:v>527662</c:v>
                </c:pt>
                <c:pt idx="3">
                  <c:v>218184</c:v>
                </c:pt>
                <c:pt idx="4">
                  <c:v>202647</c:v>
                </c:pt>
                <c:pt idx="5">
                  <c:v>80925</c:v>
                </c:pt>
                <c:pt idx="6">
                  <c:v>23864</c:v>
                </c:pt>
                <c:pt idx="7">
                  <c:v>35260</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spPr>
    <a:solidFill>
      <a:schemeClr val="bg1"/>
    </a:solidFill>
    <a:ln>
      <a:noFill/>
    </a:ln>
  </c:spPr>
  <c:txPr>
    <a:bodyPr/>
    <a:lstStyle/>
    <a:p>
      <a:pPr>
        <a:defRPr sz="900" spc="20" baseline="0">
          <a:latin typeface="Arial" panose="020B0604020202020204" pitchFamily="34" charset="0"/>
          <a:cs typeface="Arial" panose="020B0604020202020204" pitchFamily="34" charset="0"/>
        </a:defRPr>
      </a:pPr>
      <a:endParaRPr lang="en-US"/>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1"/>
          <c:order val="1"/>
          <c:dPt>
            <c:idx val="0"/>
            <c:bubble3D val="0"/>
            <c:spPr>
              <a:solidFill>
                <a:srgbClr val="78A22F"/>
              </a:solidFill>
              <a:ln>
                <a:solidFill>
                  <a:srgbClr val="78A22F"/>
                </a:solidFill>
              </a:ln>
            </c:spPr>
          </c:dPt>
          <c:dPt>
            <c:idx val="1"/>
            <c:bubble3D val="0"/>
            <c:spPr>
              <a:solidFill>
                <a:srgbClr val="265A9A"/>
              </a:solidFill>
              <a:ln>
                <a:solidFill>
                  <a:srgbClr val="265A9A"/>
                </a:solidFill>
              </a:ln>
            </c:spPr>
          </c:dPt>
          <c:dPt>
            <c:idx val="2"/>
            <c:bubble3D val="0"/>
            <c:spPr>
              <a:solidFill>
                <a:srgbClr val="B2D673"/>
              </a:solidFill>
              <a:ln>
                <a:solidFill>
                  <a:srgbClr val="B2D673"/>
                </a:solidFill>
              </a:ln>
            </c:spPr>
          </c:dPt>
          <c:dPt>
            <c:idx val="3"/>
            <c:bubble3D val="0"/>
            <c:spPr>
              <a:solidFill>
                <a:srgbClr val="000000"/>
              </a:solidFill>
              <a:ln>
                <a:solidFill>
                  <a:srgbClr val="000000"/>
                </a:solidFill>
              </a:ln>
            </c:spPr>
          </c:dPt>
          <c:dPt>
            <c:idx val="4"/>
            <c:bubble3D val="0"/>
            <c:spPr>
              <a:solidFill>
                <a:srgbClr val="F2F2F2"/>
              </a:solidFill>
              <a:ln>
                <a:solidFill>
                  <a:srgbClr val="BFBFBF"/>
                </a:solidFill>
              </a:ln>
            </c:spPr>
          </c:dPt>
          <c:dPt>
            <c:idx val="5"/>
            <c:bubble3D val="0"/>
            <c:spPr>
              <a:pattFill prst="ltUpDiag">
                <a:fgClr>
                  <a:srgbClr val="78A22F"/>
                </a:fgClr>
                <a:bgClr>
                  <a:schemeClr val="bg1"/>
                </a:bgClr>
              </a:pattFill>
              <a:ln>
                <a:solidFill>
                  <a:srgbClr val="78A22F"/>
                </a:solidFill>
              </a:ln>
            </c:spPr>
          </c:dPt>
          <c:dPt>
            <c:idx val="6"/>
            <c:bubble3D val="0"/>
            <c:spPr>
              <a:pattFill prst="ltDnDiag">
                <a:fgClr>
                  <a:srgbClr val="265A9A"/>
                </a:fgClr>
                <a:bgClr>
                  <a:schemeClr val="bg1"/>
                </a:bgClr>
              </a:pattFill>
              <a:ln>
                <a:solidFill>
                  <a:srgbClr val="265A9A"/>
                </a:solidFill>
              </a:ln>
            </c:spPr>
          </c:dPt>
          <c:dPt>
            <c:idx val="7"/>
            <c:bubble3D val="0"/>
            <c:spPr>
              <a:pattFill prst="ltUpDiag">
                <a:fgClr>
                  <a:srgbClr val="B2D673"/>
                </a:fgClr>
                <a:bgClr>
                  <a:schemeClr val="bg1"/>
                </a:bgClr>
              </a:pattFill>
              <a:ln>
                <a:solidFill>
                  <a:srgbClr val="B2D673"/>
                </a:solidFill>
              </a:ln>
            </c:spPr>
          </c:dPt>
          <c:cat>
            <c:strRef>
              <c:f>states_2013!$E$2:$E$9</c:f>
              <c:strCache>
                <c:ptCount val="8"/>
                <c:pt idx="0">
                  <c:v>NSW</c:v>
                </c:pt>
                <c:pt idx="1">
                  <c:v>Vic</c:v>
                </c:pt>
                <c:pt idx="2">
                  <c:v>Qld</c:v>
                </c:pt>
                <c:pt idx="3">
                  <c:v>SA</c:v>
                </c:pt>
                <c:pt idx="4">
                  <c:v>WA</c:v>
                </c:pt>
                <c:pt idx="5">
                  <c:v>Tas</c:v>
                </c:pt>
                <c:pt idx="6">
                  <c:v>ACT</c:v>
                </c:pt>
                <c:pt idx="7">
                  <c:v>NT</c:v>
                </c:pt>
              </c:strCache>
            </c:strRef>
          </c:cat>
          <c:val>
            <c:numRef>
              <c:f>states_2013!$G$2:$G$9</c:f>
              <c:numCache>
                <c:formatCode>General</c:formatCode>
                <c:ptCount val="8"/>
                <c:pt idx="0">
                  <c:v>81958</c:v>
                </c:pt>
                <c:pt idx="1">
                  <c:v>48917</c:v>
                </c:pt>
                <c:pt idx="2">
                  <c:v>42473</c:v>
                </c:pt>
                <c:pt idx="3">
                  <c:v>28440</c:v>
                </c:pt>
                <c:pt idx="4">
                  <c:v>26836</c:v>
                </c:pt>
                <c:pt idx="5">
                  <c:v>9270</c:v>
                </c:pt>
                <c:pt idx="6">
                  <c:v>6925</c:v>
                </c:pt>
                <c:pt idx="7">
                  <c:v>10363</c:v>
                </c:pt>
              </c:numCache>
            </c:numRef>
          </c:val>
        </c:ser>
        <c:ser>
          <c:idx val="0"/>
          <c:order val="0"/>
          <c:dPt>
            <c:idx val="0"/>
            <c:bubble3D val="0"/>
            <c:spPr>
              <a:solidFill>
                <a:srgbClr val="78A22F"/>
              </a:solidFill>
              <a:ln>
                <a:solidFill>
                  <a:srgbClr val="78A22F"/>
                </a:solidFill>
              </a:ln>
            </c:spPr>
          </c:dPt>
          <c:dPt>
            <c:idx val="1"/>
            <c:bubble3D val="0"/>
            <c:spPr>
              <a:solidFill>
                <a:srgbClr val="265A9A"/>
              </a:solidFill>
              <a:ln>
                <a:solidFill>
                  <a:srgbClr val="265A9A"/>
                </a:solidFill>
              </a:ln>
            </c:spPr>
          </c:dPt>
          <c:dPt>
            <c:idx val="2"/>
            <c:bubble3D val="0"/>
            <c:spPr>
              <a:solidFill>
                <a:srgbClr val="B2D673"/>
              </a:solidFill>
              <a:ln>
                <a:solidFill>
                  <a:srgbClr val="B2D673"/>
                </a:solidFill>
              </a:ln>
            </c:spPr>
          </c:dPt>
          <c:dPt>
            <c:idx val="3"/>
            <c:bubble3D val="0"/>
            <c:spPr>
              <a:solidFill>
                <a:srgbClr val="000000"/>
              </a:solidFill>
              <a:ln>
                <a:solidFill>
                  <a:srgbClr val="000000"/>
                </a:solidFill>
              </a:ln>
            </c:spPr>
          </c:dPt>
          <c:dPt>
            <c:idx val="4"/>
            <c:bubble3D val="0"/>
            <c:spPr>
              <a:solidFill>
                <a:srgbClr val="F2F2F2"/>
              </a:solidFill>
              <a:ln>
                <a:solidFill>
                  <a:srgbClr val="BFBFBF"/>
                </a:solidFill>
              </a:ln>
            </c:spPr>
          </c:dPt>
          <c:dPt>
            <c:idx val="5"/>
            <c:bubble3D val="0"/>
            <c:spPr>
              <a:pattFill prst="ltUpDiag">
                <a:fgClr>
                  <a:srgbClr val="78A22F"/>
                </a:fgClr>
                <a:bgClr>
                  <a:schemeClr val="bg1"/>
                </a:bgClr>
              </a:pattFill>
              <a:ln>
                <a:solidFill>
                  <a:srgbClr val="78A22F"/>
                </a:solidFill>
              </a:ln>
            </c:spPr>
          </c:dPt>
          <c:dPt>
            <c:idx val="6"/>
            <c:bubble3D val="0"/>
            <c:spPr>
              <a:pattFill prst="ltDnDiag">
                <a:fgClr>
                  <a:srgbClr val="265A9A"/>
                </a:fgClr>
                <a:bgClr>
                  <a:schemeClr val="bg1"/>
                </a:bgClr>
              </a:pattFill>
              <a:ln>
                <a:solidFill>
                  <a:srgbClr val="265A9A"/>
                </a:solidFill>
              </a:ln>
            </c:spPr>
          </c:dPt>
          <c:dPt>
            <c:idx val="7"/>
            <c:bubble3D val="0"/>
            <c:spPr>
              <a:pattFill prst="ltUpDiag">
                <a:fgClr>
                  <a:srgbClr val="B2D673"/>
                </a:fgClr>
                <a:bgClr>
                  <a:schemeClr val="bg1"/>
                </a:bgClr>
              </a:pattFill>
              <a:ln>
                <a:solidFill>
                  <a:srgbClr val="B2D673"/>
                </a:solidFill>
              </a:ln>
            </c:spPr>
          </c:dPt>
          <c:dLbls>
            <c:dLbl>
              <c:idx val="5"/>
              <c:layout>
                <c:manualLayout>
                  <c:x val="4.5815295815295797E-3"/>
                  <c:y val="2.07516339869281E-2"/>
                </c:manualLayout>
              </c:layout>
              <c:dLblPos val="bestFit"/>
              <c:showLegendKey val="0"/>
              <c:showVal val="0"/>
              <c:showCatName val="0"/>
              <c:showSerName val="0"/>
              <c:showPercent val="1"/>
              <c:showBubbleSize val="0"/>
              <c:separator> </c:separator>
            </c:dLbl>
            <c:dLbl>
              <c:idx val="6"/>
              <c:layout>
                <c:manualLayout>
                  <c:x val="-1.37445887445887E-2"/>
                  <c:y val="-3.1127450980392199E-2"/>
                </c:manualLayout>
              </c:layout>
              <c:dLblPos val="bestFit"/>
              <c:showLegendKey val="0"/>
              <c:showVal val="0"/>
              <c:showCatName val="0"/>
              <c:showSerName val="0"/>
              <c:showPercent val="1"/>
              <c:showBubbleSize val="0"/>
              <c:separator> </c:separator>
            </c:dLbl>
            <c:dLbl>
              <c:idx val="7"/>
              <c:layout>
                <c:manualLayout>
                  <c:x val="6.87229437229437E-2"/>
                  <c:y val="-1.5563725490196099E-2"/>
                </c:manualLayout>
              </c:layout>
              <c:dLblPos val="bestFit"/>
              <c:showLegendKey val="0"/>
              <c:showVal val="0"/>
              <c:showCatName val="0"/>
              <c:showSerName val="0"/>
              <c:showPercent val="1"/>
              <c:showBubbleSize val="0"/>
              <c:separator> </c:separator>
            </c:dLbl>
            <c:dLblPos val="outEnd"/>
            <c:showLegendKey val="0"/>
            <c:showVal val="0"/>
            <c:showCatName val="0"/>
            <c:showSerName val="0"/>
            <c:showPercent val="1"/>
            <c:showBubbleSize val="0"/>
            <c:separator> </c:separator>
            <c:showLeaderLines val="1"/>
          </c:dLbls>
          <c:cat>
            <c:strRef>
              <c:f>states_2013!$E$2:$E$9</c:f>
              <c:strCache>
                <c:ptCount val="8"/>
                <c:pt idx="0">
                  <c:v>NSW</c:v>
                </c:pt>
                <c:pt idx="1">
                  <c:v>Vic</c:v>
                </c:pt>
                <c:pt idx="2">
                  <c:v>Qld</c:v>
                </c:pt>
                <c:pt idx="3">
                  <c:v>SA</c:v>
                </c:pt>
                <c:pt idx="4">
                  <c:v>WA</c:v>
                </c:pt>
                <c:pt idx="5">
                  <c:v>Tas</c:v>
                </c:pt>
                <c:pt idx="6">
                  <c:v>ACT</c:v>
                </c:pt>
                <c:pt idx="7">
                  <c:v>NT</c:v>
                </c:pt>
              </c:strCache>
            </c:strRef>
          </c:cat>
          <c:val>
            <c:numRef>
              <c:f>states_2013!$G$2:$G$9</c:f>
              <c:numCache>
                <c:formatCode>General</c:formatCode>
                <c:ptCount val="8"/>
                <c:pt idx="0">
                  <c:v>81958</c:v>
                </c:pt>
                <c:pt idx="1">
                  <c:v>48917</c:v>
                </c:pt>
                <c:pt idx="2">
                  <c:v>42473</c:v>
                </c:pt>
                <c:pt idx="3">
                  <c:v>28440</c:v>
                </c:pt>
                <c:pt idx="4">
                  <c:v>26836</c:v>
                </c:pt>
                <c:pt idx="5">
                  <c:v>9270</c:v>
                </c:pt>
                <c:pt idx="6">
                  <c:v>6925</c:v>
                </c:pt>
                <c:pt idx="7">
                  <c:v>10363</c:v>
                </c:pt>
              </c:numCache>
            </c:numRef>
          </c:val>
        </c:ser>
        <c:dLbls>
          <c:showLegendKey val="0"/>
          <c:showVal val="0"/>
          <c:showCatName val="0"/>
          <c:showSerName val="0"/>
          <c:showPercent val="0"/>
          <c:showBubbleSize val="0"/>
          <c:showLeaderLines val="1"/>
        </c:dLbls>
        <c:firstSliceAng val="0"/>
      </c:pieChart>
    </c:plotArea>
    <c:legend>
      <c:legendPos val="l"/>
      <c:layout>
        <c:manualLayout>
          <c:xMode val="edge"/>
          <c:yMode val="edge"/>
          <c:x val="3.6494252873563199E-2"/>
          <c:y val="0"/>
          <c:w val="0.96350555555555595"/>
          <c:h val="1"/>
        </c:manualLayout>
      </c:layout>
      <c:overlay val="0"/>
      <c:spPr>
        <a:solidFill>
          <a:sysClr val="window" lastClr="FFFFFF"/>
        </a:solidFill>
      </c:spPr>
    </c:legend>
    <c:plotVisOnly val="1"/>
    <c:dispBlanksAs val="gap"/>
    <c:showDLblsOverMax val="0"/>
  </c:chart>
  <c:spPr>
    <a:solidFill>
      <a:schemeClr val="bg1"/>
    </a:solidFill>
    <a:ln>
      <a:noFill/>
    </a:ln>
  </c:spPr>
  <c:txPr>
    <a:bodyPr/>
    <a:lstStyle/>
    <a:p>
      <a:pPr>
        <a:defRPr sz="900" spc="20" baseline="0">
          <a:latin typeface="Arial" panose="020B0604020202020204" pitchFamily="34" charset="0"/>
          <a:cs typeface="Arial" panose="020B0604020202020204" pitchFamily="34" charset="0"/>
        </a:defRPr>
      </a:pPr>
      <a:endParaRPr lang="en-US"/>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537164750957855E-2"/>
          <c:y val="3.0412499999999999E-2"/>
          <c:w val="0.87786590038314172"/>
          <c:h val="0.76659340277777777"/>
        </c:manualLayout>
      </c:layout>
      <c:barChart>
        <c:barDir val="col"/>
        <c:grouping val="stacked"/>
        <c:varyColors val="0"/>
        <c:ser>
          <c:idx val="0"/>
          <c:order val="0"/>
          <c:tx>
            <c:v>Commonwealth Rent Assistance</c:v>
          </c:tx>
          <c:spPr>
            <a:solidFill>
              <a:srgbClr val="78A22F"/>
            </a:solidFill>
            <a:ln>
              <a:solidFill>
                <a:srgbClr val="78A22F"/>
              </a:solidFill>
            </a:ln>
          </c:spPr>
          <c:invertIfNegative val="0"/>
          <c:cat>
            <c:strRef>
              <c:f>states_2013!$A$2:$A$9</c:f>
              <c:strCache>
                <c:ptCount val="8"/>
                <c:pt idx="0">
                  <c:v>NSW</c:v>
                </c:pt>
                <c:pt idx="1">
                  <c:v>Vic</c:v>
                </c:pt>
                <c:pt idx="2">
                  <c:v>Qld</c:v>
                </c:pt>
                <c:pt idx="3">
                  <c:v>SA</c:v>
                </c:pt>
                <c:pt idx="4">
                  <c:v>WA</c:v>
                </c:pt>
                <c:pt idx="5">
                  <c:v>Tas</c:v>
                </c:pt>
                <c:pt idx="6">
                  <c:v>ACT</c:v>
                </c:pt>
                <c:pt idx="7">
                  <c:v>NT</c:v>
                </c:pt>
              </c:strCache>
            </c:strRef>
          </c:cat>
          <c:val>
            <c:numRef>
              <c:f>states_2013!$B$2:$B$9</c:f>
              <c:numCache>
                <c:formatCode>0.0</c:formatCode>
                <c:ptCount val="8"/>
                <c:pt idx="0">
                  <c:v>37.72497916472642</c:v>
                </c:pt>
                <c:pt idx="1">
                  <c:v>34.475453551636328</c:v>
                </c:pt>
                <c:pt idx="2">
                  <c:v>43.177640231815062</c:v>
                </c:pt>
                <c:pt idx="3">
                  <c:v>33.734370989623436</c:v>
                </c:pt>
                <c:pt idx="4">
                  <c:v>32.915365142341116</c:v>
                </c:pt>
                <c:pt idx="5">
                  <c:v>34.038924930491191</c:v>
                </c:pt>
                <c:pt idx="6">
                  <c:v>27.602246061012401</c:v>
                </c:pt>
                <c:pt idx="7">
                  <c:v>13.003403289846851</c:v>
                </c:pt>
              </c:numCache>
            </c:numRef>
          </c:val>
        </c:ser>
        <c:ser>
          <c:idx val="1"/>
          <c:order val="1"/>
          <c:tx>
            <c:strRef>
              <c:f>states_2013!$C$1</c:f>
              <c:strCache>
                <c:ptCount val="1"/>
                <c:pt idx="0">
                  <c:v>Public housing</c:v>
                </c:pt>
              </c:strCache>
            </c:strRef>
          </c:tx>
          <c:spPr>
            <a:solidFill>
              <a:srgbClr val="265A9A"/>
            </a:solidFill>
            <a:ln>
              <a:solidFill>
                <a:srgbClr val="265A9A"/>
              </a:solidFill>
            </a:ln>
          </c:spPr>
          <c:invertIfNegative val="0"/>
          <c:cat>
            <c:strRef>
              <c:f>states_2013!$A$2:$A$9</c:f>
              <c:strCache>
                <c:ptCount val="8"/>
                <c:pt idx="0">
                  <c:v>NSW</c:v>
                </c:pt>
                <c:pt idx="1">
                  <c:v>Vic</c:v>
                </c:pt>
                <c:pt idx="2">
                  <c:v>Qld</c:v>
                </c:pt>
                <c:pt idx="3">
                  <c:v>SA</c:v>
                </c:pt>
                <c:pt idx="4">
                  <c:v>WA</c:v>
                </c:pt>
                <c:pt idx="5">
                  <c:v>Tas</c:v>
                </c:pt>
                <c:pt idx="6">
                  <c:v>ACT</c:v>
                </c:pt>
                <c:pt idx="7">
                  <c:v>NT</c:v>
                </c:pt>
              </c:strCache>
            </c:strRef>
          </c:cat>
          <c:val>
            <c:numRef>
              <c:f>states_2013!$C$2:$C$9</c:f>
              <c:numCache>
                <c:formatCode>0.0</c:formatCode>
                <c:ptCount val="8"/>
                <c:pt idx="0">
                  <c:v>9.7857727916401007</c:v>
                </c:pt>
                <c:pt idx="1">
                  <c:v>7.7277552748481844</c:v>
                </c:pt>
                <c:pt idx="2">
                  <c:v>8.0492815476574027</c:v>
                </c:pt>
                <c:pt idx="3">
                  <c:v>13.034869651303488</c:v>
                </c:pt>
                <c:pt idx="4">
                  <c:v>13.242732436206802</c:v>
                </c:pt>
                <c:pt idx="5">
                  <c:v>11.455050973123262</c:v>
                </c:pt>
                <c:pt idx="6">
                  <c:v>29.018605430774386</c:v>
                </c:pt>
                <c:pt idx="7">
                  <c:v>29.390243902439021</c:v>
                </c:pt>
              </c:numCache>
            </c:numRef>
          </c:val>
        </c:ser>
        <c:ser>
          <c:idx val="2"/>
          <c:order val="2"/>
          <c:tx>
            <c:strRef>
              <c:f>states_2013!$D$1</c:f>
              <c:strCache>
                <c:ptCount val="1"/>
                <c:pt idx="0">
                  <c:v>Other tenures</c:v>
                </c:pt>
              </c:strCache>
            </c:strRef>
          </c:tx>
          <c:spPr>
            <a:noFill/>
            <a:ln>
              <a:noFill/>
            </a:ln>
          </c:spPr>
          <c:invertIfNegative val="0"/>
          <c:cat>
            <c:strRef>
              <c:f>states_2013!$A$2:$A$9</c:f>
              <c:strCache>
                <c:ptCount val="8"/>
                <c:pt idx="0">
                  <c:v>NSW</c:v>
                </c:pt>
                <c:pt idx="1">
                  <c:v>Vic</c:v>
                </c:pt>
                <c:pt idx="2">
                  <c:v>Qld</c:v>
                </c:pt>
                <c:pt idx="3">
                  <c:v>SA</c:v>
                </c:pt>
                <c:pt idx="4">
                  <c:v>WA</c:v>
                </c:pt>
                <c:pt idx="5">
                  <c:v>Tas</c:v>
                </c:pt>
                <c:pt idx="6">
                  <c:v>ACT</c:v>
                </c:pt>
                <c:pt idx="7">
                  <c:v>NT</c:v>
                </c:pt>
              </c:strCache>
            </c:strRef>
          </c:cat>
          <c:val>
            <c:numRef>
              <c:f>states_2013!$D$2:$D$9</c:f>
              <c:numCache>
                <c:formatCode>0.0</c:formatCode>
                <c:ptCount val="8"/>
                <c:pt idx="0">
                  <c:v>52.489248043633488</c:v>
                </c:pt>
                <c:pt idx="1">
                  <c:v>57.796791173515494</c:v>
                </c:pt>
                <c:pt idx="2">
                  <c:v>48.77307822052753</c:v>
                </c:pt>
                <c:pt idx="3">
                  <c:v>53.230759359073076</c:v>
                </c:pt>
                <c:pt idx="4">
                  <c:v>53.841902421452083</c:v>
                </c:pt>
                <c:pt idx="5">
                  <c:v>54.506024096385545</c:v>
                </c:pt>
                <c:pt idx="6">
                  <c:v>43.379148508213206</c:v>
                </c:pt>
                <c:pt idx="7">
                  <c:v>57.606352807714124</c:v>
                </c:pt>
              </c:numCache>
            </c:numRef>
          </c:val>
        </c:ser>
        <c:dLbls>
          <c:showLegendKey val="0"/>
          <c:showVal val="0"/>
          <c:showCatName val="0"/>
          <c:showSerName val="0"/>
          <c:showPercent val="0"/>
          <c:showBubbleSize val="0"/>
        </c:dLbls>
        <c:gapWidth val="100"/>
        <c:overlap val="100"/>
        <c:axId val="117318400"/>
        <c:axId val="117319936"/>
      </c:barChart>
      <c:catAx>
        <c:axId val="117318400"/>
        <c:scaling>
          <c:orientation val="minMax"/>
        </c:scaling>
        <c:delete val="0"/>
        <c:axPos val="b"/>
        <c:majorTickMark val="none"/>
        <c:minorTickMark val="none"/>
        <c:tickLblPos val="nextTo"/>
        <c:spPr>
          <a:ln>
            <a:solidFill>
              <a:srgbClr val="BFBFBF"/>
            </a:solidFill>
          </a:ln>
        </c:spPr>
        <c:crossAx val="117319936"/>
        <c:crosses val="autoZero"/>
        <c:auto val="1"/>
        <c:lblAlgn val="ctr"/>
        <c:lblOffset val="100"/>
        <c:noMultiLvlLbl val="0"/>
      </c:catAx>
      <c:valAx>
        <c:axId val="117319936"/>
        <c:scaling>
          <c:orientation val="minMax"/>
          <c:max val="60"/>
          <c:min val="0"/>
        </c:scaling>
        <c:delete val="0"/>
        <c:axPos val="l"/>
        <c:majorGridlines>
          <c:spPr>
            <a:ln>
              <a:noFill/>
            </a:ln>
          </c:spPr>
        </c:majorGridlines>
        <c:title>
          <c:tx>
            <c:rich>
              <a:bodyPr rot="-5400000" vert="horz"/>
              <a:lstStyle/>
              <a:p>
                <a:pPr>
                  <a:defRPr/>
                </a:pPr>
                <a:r>
                  <a:rPr lang="en-AU"/>
                  <a:t>Per</a:t>
                </a:r>
                <a:r>
                  <a:rPr lang="en-AU" baseline="0"/>
                  <a:t> cent</a:t>
                </a:r>
                <a:endParaRPr lang="en-AU"/>
              </a:p>
            </c:rich>
          </c:tx>
          <c:layout>
            <c:manualLayout>
              <c:xMode val="edge"/>
              <c:yMode val="edge"/>
              <c:x val="4.8659003831417625E-3"/>
              <c:y val="0.34154829059829056"/>
            </c:manualLayout>
          </c:layout>
          <c:overlay val="0"/>
        </c:title>
        <c:numFmt formatCode="0" sourceLinked="0"/>
        <c:majorTickMark val="out"/>
        <c:minorTickMark val="none"/>
        <c:tickLblPos val="nextTo"/>
        <c:spPr>
          <a:ln>
            <a:solidFill>
              <a:srgbClr val="BFBFBF"/>
            </a:solidFill>
          </a:ln>
        </c:spPr>
        <c:crossAx val="117318400"/>
        <c:crosses val="autoZero"/>
        <c:crossBetween val="between"/>
        <c:majorUnit val="15"/>
      </c:valAx>
      <c:spPr>
        <a:noFill/>
        <a:ln>
          <a:noFill/>
        </a:ln>
      </c:spPr>
    </c:plotArea>
    <c:legend>
      <c:legendPos val="b"/>
      <c:legendEntry>
        <c:idx val="2"/>
        <c:delete val="1"/>
      </c:legendEntry>
      <c:layout>
        <c:manualLayout>
          <c:xMode val="edge"/>
          <c:yMode val="edge"/>
          <c:x val="0.18603256704980842"/>
          <c:y val="0.90622268518518523"/>
          <c:w val="0.62793486590038328"/>
          <c:h val="9.3777314814814813E-2"/>
        </c:manualLayout>
      </c:layout>
      <c:overlay val="0"/>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6202407407407417E-2"/>
          <c:y val="3.5004166666666663E-2"/>
          <c:w val="0.89196481481481482"/>
          <c:h val="0.69940325670498071"/>
        </c:manualLayout>
      </c:layout>
      <c:barChart>
        <c:barDir val="col"/>
        <c:grouping val="clustered"/>
        <c:varyColors val="0"/>
        <c:ser>
          <c:idx val="0"/>
          <c:order val="0"/>
          <c:tx>
            <c:strRef>
              <c:f>region_2013!$N$6</c:f>
              <c:strCache>
                <c:ptCount val="1"/>
                <c:pt idx="0">
                  <c:v>Commonwealth Rent Assistance</c:v>
                </c:pt>
              </c:strCache>
            </c:strRef>
          </c:tx>
          <c:spPr>
            <a:solidFill>
              <a:srgbClr val="78A22F"/>
            </a:solidFill>
            <a:ln>
              <a:solidFill>
                <a:srgbClr val="78A22F"/>
              </a:solidFill>
            </a:ln>
          </c:spPr>
          <c:invertIfNegative val="0"/>
          <c:cat>
            <c:strRef>
              <c:f>region_2013!$M$7:$M$10</c:f>
              <c:strCache>
                <c:ptCount val="4"/>
                <c:pt idx="0">
                  <c:v>Major cities</c:v>
                </c:pt>
                <c:pt idx="1">
                  <c:v>Inner regional</c:v>
                </c:pt>
                <c:pt idx="2">
                  <c:v>Outer regional</c:v>
                </c:pt>
                <c:pt idx="3">
                  <c:v>Remote or very remote</c:v>
                </c:pt>
              </c:strCache>
            </c:strRef>
          </c:cat>
          <c:val>
            <c:numRef>
              <c:f>region_2013!$N$7:$N$10</c:f>
              <c:numCache>
                <c:formatCode>General</c:formatCode>
                <c:ptCount val="4"/>
                <c:pt idx="0">
                  <c:v>63.9496792199173</c:v>
                </c:pt>
                <c:pt idx="1">
                  <c:v>25.023718155982504</c:v>
                </c:pt>
                <c:pt idx="2">
                  <c:v>9.9743886459166493</c:v>
                </c:pt>
                <c:pt idx="3">
                  <c:v>1.0522139781835509</c:v>
                </c:pt>
              </c:numCache>
            </c:numRef>
          </c:val>
        </c:ser>
        <c:ser>
          <c:idx val="1"/>
          <c:order val="1"/>
          <c:tx>
            <c:strRef>
              <c:f>region_2013!$O$6</c:f>
              <c:strCache>
                <c:ptCount val="1"/>
                <c:pt idx="0">
                  <c:v>Public housing</c:v>
                </c:pt>
              </c:strCache>
            </c:strRef>
          </c:tx>
          <c:spPr>
            <a:solidFill>
              <a:srgbClr val="265A9A"/>
            </a:solidFill>
            <a:ln>
              <a:solidFill>
                <a:srgbClr val="265A9A"/>
              </a:solidFill>
            </a:ln>
          </c:spPr>
          <c:invertIfNegative val="0"/>
          <c:cat>
            <c:strRef>
              <c:f>region_2013!$M$7:$M$10</c:f>
              <c:strCache>
                <c:ptCount val="4"/>
                <c:pt idx="0">
                  <c:v>Major cities</c:v>
                </c:pt>
                <c:pt idx="1">
                  <c:v>Inner regional</c:v>
                </c:pt>
                <c:pt idx="2">
                  <c:v>Outer regional</c:v>
                </c:pt>
                <c:pt idx="3">
                  <c:v>Remote or very remote</c:v>
                </c:pt>
              </c:strCache>
            </c:strRef>
          </c:cat>
          <c:val>
            <c:numRef>
              <c:f>region_2013!$O$7:$O$10</c:f>
              <c:numCache>
                <c:formatCode>General</c:formatCode>
                <c:ptCount val="4"/>
                <c:pt idx="0">
                  <c:v>67.031957735090714</c:v>
                </c:pt>
                <c:pt idx="1">
                  <c:v>16.816080133765613</c:v>
                </c:pt>
                <c:pt idx="2">
                  <c:v>9.65561635017702</c:v>
                </c:pt>
                <c:pt idx="3">
                  <c:v>6.49634578096666</c:v>
                </c:pt>
              </c:numCache>
            </c:numRef>
          </c:val>
        </c:ser>
        <c:ser>
          <c:idx val="3"/>
          <c:order val="2"/>
          <c:tx>
            <c:strRef>
              <c:f>region_2013!$K$6</c:f>
              <c:strCache>
                <c:ptCount val="1"/>
                <c:pt idx="0">
                  <c:v>General population</c:v>
                </c:pt>
              </c:strCache>
            </c:strRef>
          </c:tx>
          <c:spPr>
            <a:solidFill>
              <a:srgbClr val="B2D673"/>
            </a:solidFill>
          </c:spPr>
          <c:invertIfNegative val="0"/>
          <c:cat>
            <c:strRef>
              <c:f>region_2013!$M$7:$M$10</c:f>
              <c:strCache>
                <c:ptCount val="4"/>
                <c:pt idx="0">
                  <c:v>Major cities</c:v>
                </c:pt>
                <c:pt idx="1">
                  <c:v>Inner regional</c:v>
                </c:pt>
                <c:pt idx="2">
                  <c:v>Outer regional</c:v>
                </c:pt>
                <c:pt idx="3">
                  <c:v>Remote or very remote</c:v>
                </c:pt>
              </c:strCache>
            </c:strRef>
          </c:cat>
          <c:val>
            <c:numRef>
              <c:f>region_2013!$Q$7:$Q$10</c:f>
              <c:numCache>
                <c:formatCode>General</c:formatCode>
                <c:ptCount val="4"/>
                <c:pt idx="0">
                  <c:v>69.929550949044426</c:v>
                </c:pt>
                <c:pt idx="1">
                  <c:v>19.194351400872716</c:v>
                </c:pt>
                <c:pt idx="2">
                  <c:v>8.7993185296195424</c:v>
                </c:pt>
                <c:pt idx="3">
                  <c:v>2.0767791204633101</c:v>
                </c:pt>
              </c:numCache>
            </c:numRef>
          </c:val>
        </c:ser>
        <c:dLbls>
          <c:showLegendKey val="0"/>
          <c:showVal val="0"/>
          <c:showCatName val="0"/>
          <c:showSerName val="0"/>
          <c:showPercent val="0"/>
          <c:showBubbleSize val="0"/>
        </c:dLbls>
        <c:gapWidth val="150"/>
        <c:axId val="119992704"/>
        <c:axId val="119994240"/>
      </c:barChart>
      <c:catAx>
        <c:axId val="119992704"/>
        <c:scaling>
          <c:orientation val="minMax"/>
        </c:scaling>
        <c:delete val="0"/>
        <c:axPos val="b"/>
        <c:majorTickMark val="none"/>
        <c:minorTickMark val="none"/>
        <c:tickLblPos val="nextTo"/>
        <c:spPr>
          <a:ln>
            <a:solidFill>
              <a:srgbClr val="BFBFBF"/>
            </a:solidFill>
          </a:ln>
        </c:spPr>
        <c:crossAx val="119994240"/>
        <c:crosses val="autoZero"/>
        <c:auto val="1"/>
        <c:lblAlgn val="ctr"/>
        <c:lblOffset val="100"/>
        <c:noMultiLvlLbl val="0"/>
      </c:catAx>
      <c:valAx>
        <c:axId val="119994240"/>
        <c:scaling>
          <c:orientation val="minMax"/>
        </c:scaling>
        <c:delete val="0"/>
        <c:axPos val="l"/>
        <c:majorGridlines>
          <c:spPr>
            <a:ln>
              <a:noFill/>
            </a:ln>
          </c:spPr>
        </c:majorGridlines>
        <c:title>
          <c:tx>
            <c:rich>
              <a:bodyPr rot="-5400000" vert="horz"/>
              <a:lstStyle/>
              <a:p>
                <a:pPr>
                  <a:defRPr/>
                </a:pPr>
                <a:r>
                  <a:rPr lang="en-AU"/>
                  <a:t>Per cent</a:t>
                </a:r>
              </a:p>
            </c:rich>
          </c:tx>
          <c:layout>
            <c:manualLayout>
              <c:xMode val="edge"/>
              <c:yMode val="edge"/>
              <c:x val="6.4385185185185188E-3"/>
              <c:y val="0.29176628352490419"/>
            </c:manualLayout>
          </c:layout>
          <c:overlay val="0"/>
        </c:title>
        <c:numFmt formatCode="General" sourceLinked="1"/>
        <c:majorTickMark val="out"/>
        <c:minorTickMark val="none"/>
        <c:tickLblPos val="nextTo"/>
        <c:spPr>
          <a:ln>
            <a:solidFill>
              <a:srgbClr val="BFBFBF"/>
            </a:solidFill>
          </a:ln>
        </c:spPr>
        <c:crossAx val="119992704"/>
        <c:crosses val="autoZero"/>
        <c:crossBetween val="between"/>
        <c:majorUnit val="20"/>
      </c:valAx>
      <c:spPr>
        <a:noFill/>
        <a:ln>
          <a:noFill/>
        </a:ln>
      </c:spPr>
    </c:plotArea>
    <c:legend>
      <c:legendPos val="b"/>
      <c:layout>
        <c:manualLayout>
          <c:xMode val="edge"/>
          <c:yMode val="edge"/>
          <c:x val="7.1339629629629628E-2"/>
          <c:y val="0.89082423371647523"/>
          <c:w val="0.85732074074074072"/>
          <c:h val="9.7011015325670497E-2"/>
        </c:manualLayout>
      </c:layout>
      <c:overlay val="0"/>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7037739463602"/>
          <c:y val="3.2584821428571401E-2"/>
          <c:w val="0.69070296296296296"/>
          <c:h val="0.85858978174603096"/>
        </c:manualLayout>
      </c:layout>
      <c:barChart>
        <c:barDir val="col"/>
        <c:grouping val="stacked"/>
        <c:varyColors val="0"/>
        <c:ser>
          <c:idx val="0"/>
          <c:order val="0"/>
          <c:tx>
            <c:strRef>
              <c:f>seifa_2011!$J$2</c:f>
              <c:strCache>
                <c:ptCount val="1"/>
                <c:pt idx="0">
                  <c:v>Lowest Quintile</c:v>
                </c:pt>
              </c:strCache>
            </c:strRef>
          </c:tx>
          <c:spPr>
            <a:solidFill>
              <a:srgbClr val="78A22F"/>
            </a:solidFill>
            <a:ln>
              <a:noFill/>
            </a:ln>
          </c:spPr>
          <c:invertIfNegative val="0"/>
          <c:dPt>
            <c:idx val="1"/>
            <c:invertIfNegative val="0"/>
            <c:bubble3D val="0"/>
            <c:spPr>
              <a:solidFill>
                <a:srgbClr val="265A9A"/>
              </a:solidFill>
              <a:ln>
                <a:noFill/>
              </a:ln>
            </c:spPr>
          </c:dPt>
          <c:dPt>
            <c:idx val="2"/>
            <c:invertIfNegative val="0"/>
            <c:bubble3D val="0"/>
            <c:spPr>
              <a:solidFill>
                <a:srgbClr val="B2D673"/>
              </a:solidFill>
              <a:ln>
                <a:noFill/>
              </a:ln>
            </c:spPr>
          </c:dPt>
          <c:cat>
            <c:strRef>
              <c:f>seifa_2011!$K$1:$M$1</c:f>
              <c:strCache>
                <c:ptCount val="3"/>
                <c:pt idx="0">
                  <c:v>Commonwealth Rent Assistance</c:v>
                </c:pt>
                <c:pt idx="1">
                  <c:v>Public housing</c:v>
                </c:pt>
                <c:pt idx="2">
                  <c:v>Other tenure</c:v>
                </c:pt>
              </c:strCache>
            </c:strRef>
          </c:cat>
          <c:val>
            <c:numRef>
              <c:f>seifa_2011!$K$2:$L$2</c:f>
              <c:numCache>
                <c:formatCode>General</c:formatCode>
                <c:ptCount val="2"/>
                <c:pt idx="0">
                  <c:v>25.36359371336372</c:v>
                </c:pt>
                <c:pt idx="1">
                  <c:v>31.623291195865331</c:v>
                </c:pt>
              </c:numCache>
            </c:numRef>
          </c:val>
        </c:ser>
        <c:ser>
          <c:idx val="1"/>
          <c:order val="1"/>
          <c:tx>
            <c:strRef>
              <c:f>seifa_2011!$J$3</c:f>
              <c:strCache>
                <c:ptCount val="1"/>
                <c:pt idx="0">
                  <c:v>Second Quintile</c:v>
                </c:pt>
              </c:strCache>
            </c:strRef>
          </c:tx>
          <c:spPr>
            <a:pattFill prst="pct50">
              <a:fgClr>
                <a:srgbClr val="78A22F"/>
              </a:fgClr>
              <a:bgClr>
                <a:sysClr val="window" lastClr="FFFFFF"/>
              </a:bgClr>
            </a:pattFill>
            <a:ln>
              <a:noFill/>
            </a:ln>
          </c:spPr>
          <c:invertIfNegative val="0"/>
          <c:dPt>
            <c:idx val="1"/>
            <c:invertIfNegative val="0"/>
            <c:bubble3D val="0"/>
            <c:spPr>
              <a:pattFill prst="pct50">
                <a:fgClr>
                  <a:srgbClr val="265A9A"/>
                </a:fgClr>
                <a:bgClr>
                  <a:sysClr val="window" lastClr="FFFFFF"/>
                </a:bgClr>
              </a:pattFill>
              <a:ln>
                <a:noFill/>
              </a:ln>
            </c:spPr>
          </c:dPt>
          <c:dPt>
            <c:idx val="2"/>
            <c:invertIfNegative val="0"/>
            <c:bubble3D val="0"/>
            <c:spPr>
              <a:pattFill prst="pct50">
                <a:fgClr>
                  <a:srgbClr val="B2D673"/>
                </a:fgClr>
                <a:bgClr>
                  <a:sysClr val="window" lastClr="FFFFFF"/>
                </a:bgClr>
              </a:pattFill>
              <a:ln>
                <a:noFill/>
              </a:ln>
            </c:spPr>
          </c:dPt>
          <c:cat>
            <c:strRef>
              <c:f>seifa_2011!$K$1:$M$1</c:f>
              <c:strCache>
                <c:ptCount val="3"/>
                <c:pt idx="0">
                  <c:v>Commonwealth Rent Assistance</c:v>
                </c:pt>
                <c:pt idx="1">
                  <c:v>Public housing</c:v>
                </c:pt>
                <c:pt idx="2">
                  <c:v>Other tenure</c:v>
                </c:pt>
              </c:strCache>
            </c:strRef>
          </c:cat>
          <c:val>
            <c:numRef>
              <c:f>seifa_2011!$K$3:$L$3</c:f>
              <c:numCache>
                <c:formatCode>General</c:formatCode>
                <c:ptCount val="2"/>
                <c:pt idx="0">
                  <c:v>23.74852828173783</c:v>
                </c:pt>
                <c:pt idx="1">
                  <c:v>21.837071146418719</c:v>
                </c:pt>
              </c:numCache>
            </c:numRef>
          </c:val>
        </c:ser>
        <c:dLbls>
          <c:showLegendKey val="0"/>
          <c:showVal val="0"/>
          <c:showCatName val="0"/>
          <c:showSerName val="0"/>
          <c:showPercent val="0"/>
          <c:showBubbleSize val="0"/>
        </c:dLbls>
        <c:gapWidth val="150"/>
        <c:overlap val="100"/>
        <c:axId val="120049664"/>
        <c:axId val="120051200"/>
      </c:barChart>
      <c:scatterChart>
        <c:scatterStyle val="lineMarker"/>
        <c:varyColors val="0"/>
        <c:ser>
          <c:idx val="2"/>
          <c:order val="2"/>
          <c:spPr>
            <a:ln w="28575">
              <a:noFill/>
            </a:ln>
          </c:spPr>
          <c:marker>
            <c:symbol val="none"/>
          </c:marker>
          <c:errBars>
            <c:errDir val="x"/>
            <c:errBarType val="both"/>
            <c:errValType val="fixedVal"/>
            <c:noEndCap val="1"/>
            <c:val val="1"/>
            <c:spPr>
              <a:ln w="19050">
                <a:solidFill>
                  <a:sysClr val="windowText" lastClr="000000"/>
                </a:solidFill>
                <a:prstDash val="solid"/>
              </a:ln>
            </c:spPr>
          </c:errBars>
          <c:xVal>
            <c:strRef>
              <c:f>seifa_2011!$K$1:$M$1</c:f>
              <c:strCache>
                <c:ptCount val="3"/>
                <c:pt idx="0">
                  <c:v>Commonwealth Rent Assistance</c:v>
                </c:pt>
                <c:pt idx="1">
                  <c:v>Public housing</c:v>
                </c:pt>
                <c:pt idx="2">
                  <c:v>Other tenure</c:v>
                </c:pt>
              </c:strCache>
            </c:strRef>
          </c:xVal>
          <c:yVal>
            <c:numRef>
              <c:f>seifa_2011!$M$5:$N$5</c:f>
              <c:numCache>
                <c:formatCode>General</c:formatCode>
                <c:ptCount val="2"/>
                <c:pt idx="1">
                  <c:v>20</c:v>
                </c:pt>
              </c:numCache>
            </c:numRef>
          </c:yVal>
          <c:smooth val="0"/>
        </c:ser>
        <c:ser>
          <c:idx val="3"/>
          <c:order val="3"/>
          <c:spPr>
            <a:ln w="28575">
              <a:noFill/>
            </a:ln>
          </c:spPr>
          <c:marker>
            <c:symbol val="none"/>
          </c:marker>
          <c:errBars>
            <c:errDir val="x"/>
            <c:errBarType val="both"/>
            <c:errValType val="fixedVal"/>
            <c:noEndCap val="1"/>
            <c:val val="1"/>
            <c:spPr>
              <a:ln w="22225">
                <a:solidFill>
                  <a:sysClr val="windowText" lastClr="000000"/>
                </a:solidFill>
                <a:prstDash val="sysDot"/>
              </a:ln>
            </c:spPr>
          </c:errBars>
          <c:xVal>
            <c:strRef>
              <c:f>seifa_2011!$K$1:$M$1</c:f>
              <c:strCache>
                <c:ptCount val="3"/>
                <c:pt idx="0">
                  <c:v>Commonwealth Rent Assistance</c:v>
                </c:pt>
                <c:pt idx="1">
                  <c:v>Public housing</c:v>
                </c:pt>
                <c:pt idx="2">
                  <c:v>Other tenure</c:v>
                </c:pt>
              </c:strCache>
            </c:strRef>
          </c:xVal>
          <c:yVal>
            <c:numRef>
              <c:f>seifa_2011!$M$6:$N$6</c:f>
              <c:numCache>
                <c:formatCode>General</c:formatCode>
                <c:ptCount val="2"/>
                <c:pt idx="1">
                  <c:v>40</c:v>
                </c:pt>
              </c:numCache>
            </c:numRef>
          </c:yVal>
          <c:smooth val="0"/>
        </c:ser>
        <c:dLbls>
          <c:showLegendKey val="0"/>
          <c:showVal val="0"/>
          <c:showCatName val="0"/>
          <c:showSerName val="0"/>
          <c:showPercent val="0"/>
          <c:showBubbleSize val="0"/>
        </c:dLbls>
        <c:axId val="120063104"/>
        <c:axId val="120053120"/>
      </c:scatterChart>
      <c:catAx>
        <c:axId val="120049664"/>
        <c:scaling>
          <c:orientation val="minMax"/>
        </c:scaling>
        <c:delete val="0"/>
        <c:axPos val="b"/>
        <c:majorTickMark val="none"/>
        <c:minorTickMark val="none"/>
        <c:tickLblPos val="nextTo"/>
        <c:spPr>
          <a:ln>
            <a:solidFill>
              <a:srgbClr val="BFBFBF"/>
            </a:solidFill>
          </a:ln>
        </c:spPr>
        <c:crossAx val="120051200"/>
        <c:crosses val="autoZero"/>
        <c:auto val="1"/>
        <c:lblAlgn val="ctr"/>
        <c:lblOffset val="100"/>
        <c:noMultiLvlLbl val="0"/>
      </c:catAx>
      <c:valAx>
        <c:axId val="120051200"/>
        <c:scaling>
          <c:orientation val="minMax"/>
        </c:scaling>
        <c:delete val="0"/>
        <c:axPos val="l"/>
        <c:majorGridlines>
          <c:spPr>
            <a:ln>
              <a:noFill/>
            </a:ln>
          </c:spPr>
        </c:majorGridlines>
        <c:title>
          <c:tx>
            <c:rich>
              <a:bodyPr rot="-5400000" vert="horz"/>
              <a:lstStyle/>
              <a:p>
                <a:pPr>
                  <a:defRPr/>
                </a:pPr>
                <a:r>
                  <a:rPr lang="en-AU"/>
                  <a:t>Per</a:t>
                </a:r>
                <a:r>
                  <a:rPr lang="en-AU" baseline="0"/>
                  <a:t> cent</a:t>
                </a:r>
                <a:endParaRPr lang="en-AU"/>
              </a:p>
            </c:rich>
          </c:tx>
          <c:layout>
            <c:manualLayout>
              <c:xMode val="edge"/>
              <c:yMode val="edge"/>
              <c:x val="9.4074074074074095E-3"/>
              <c:y val="0.34403923611111098"/>
            </c:manualLayout>
          </c:layout>
          <c:overlay val="0"/>
        </c:title>
        <c:numFmt formatCode="General" sourceLinked="1"/>
        <c:majorTickMark val="out"/>
        <c:minorTickMark val="none"/>
        <c:tickLblPos val="nextTo"/>
        <c:spPr>
          <a:ln>
            <a:solidFill>
              <a:srgbClr val="BFBFBF"/>
            </a:solidFill>
          </a:ln>
        </c:spPr>
        <c:crossAx val="120049664"/>
        <c:crosses val="autoZero"/>
        <c:crossBetween val="between"/>
      </c:valAx>
      <c:valAx>
        <c:axId val="120053120"/>
        <c:scaling>
          <c:orientation val="minMax"/>
          <c:max val="60"/>
          <c:min val="0"/>
        </c:scaling>
        <c:delete val="1"/>
        <c:axPos val="r"/>
        <c:numFmt formatCode="General" sourceLinked="1"/>
        <c:majorTickMark val="out"/>
        <c:minorTickMark val="none"/>
        <c:tickLblPos val="nextTo"/>
        <c:crossAx val="120063104"/>
        <c:crosses val="max"/>
        <c:crossBetween val="midCat"/>
      </c:valAx>
      <c:valAx>
        <c:axId val="120063104"/>
        <c:scaling>
          <c:orientation val="minMax"/>
          <c:max val="2.5"/>
          <c:min val="1.5"/>
        </c:scaling>
        <c:delete val="0"/>
        <c:axPos val="t"/>
        <c:majorTickMark val="none"/>
        <c:minorTickMark val="none"/>
        <c:tickLblPos val="none"/>
        <c:spPr>
          <a:ln>
            <a:noFill/>
          </a:ln>
        </c:spPr>
        <c:crossAx val="120053120"/>
        <c:crosses val="max"/>
        <c:crossBetween val="midCat"/>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0.50331</cdr:x>
      <cdr:y>0.76111</cdr:y>
    </cdr:from>
    <cdr:to>
      <cdr:x>0.50331</cdr:x>
      <cdr:y>0.97778</cdr:y>
    </cdr:to>
    <cdr:cxnSp macro="">
      <cdr:nvCxnSpPr>
        <cdr:cNvPr id="4" name="Straight Connector 3"/>
        <cdr:cNvCxnSpPr/>
      </cdr:nvCxnSpPr>
      <cdr:spPr>
        <a:xfrm xmlns:a="http://schemas.openxmlformats.org/drawingml/2006/main">
          <a:off x="723900" y="1304925"/>
          <a:ext cx="0" cy="371475"/>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0.48344</cdr:x>
      <cdr:y>0.97778</cdr:y>
    </cdr:from>
    <cdr:to>
      <cdr:x>0.52649</cdr:x>
      <cdr:y>0.97778</cdr:y>
    </cdr:to>
    <cdr:cxnSp macro="">
      <cdr:nvCxnSpPr>
        <cdr:cNvPr id="16" name="Straight Connector 15"/>
        <cdr:cNvCxnSpPr/>
      </cdr:nvCxnSpPr>
      <cdr:spPr>
        <a:xfrm xmlns:a="http://schemas.openxmlformats.org/drawingml/2006/main">
          <a:off x="695325" y="1676400"/>
          <a:ext cx="61913" cy="0"/>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xml><?xml version="1.0" encoding="utf-8"?>
<c:userShapes xmlns:c="http://schemas.openxmlformats.org/drawingml/2006/chart">
  <cdr:relSizeAnchor xmlns:cdr="http://schemas.openxmlformats.org/drawingml/2006/chartDrawing">
    <cdr:from>
      <cdr:x>0.13504</cdr:x>
      <cdr:y>0.05292</cdr:y>
    </cdr:from>
    <cdr:to>
      <cdr:x>0.46898</cdr:x>
      <cdr:y>0.16838</cdr:y>
    </cdr:to>
    <cdr:sp macro="" textlink="">
      <cdr:nvSpPr>
        <cdr:cNvPr id="2" name="Text Box 1"/>
        <cdr:cNvSpPr txBox="1"/>
      </cdr:nvSpPr>
      <cdr:spPr>
        <a:xfrm xmlns:a="http://schemas.openxmlformats.org/drawingml/2006/main">
          <a:off x="704887" y="133358"/>
          <a:ext cx="1743167" cy="29096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effectLst/>
              <a:latin typeface="Arial" panose="020B0604020202020204" pitchFamily="34" charset="0"/>
              <a:ea typeface="+mn-ea"/>
              <a:cs typeface="Arial" panose="020B0604020202020204" pitchFamily="34" charset="0"/>
            </a:rPr>
            <a:t>September 2003 = 100</a:t>
          </a:r>
          <a:endParaRPr lang="en-AU" sz="900">
            <a:latin typeface="Arial" panose="020B0604020202020204" pitchFamily="34" charset="0"/>
            <a:cs typeface="Arial" panose="020B0604020202020204" pitchFamily="34"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0.38587</cdr:x>
      <cdr:y>0.52044</cdr:y>
    </cdr:from>
    <cdr:to>
      <cdr:x>0.51299</cdr:x>
      <cdr:y>0.75122</cdr:y>
    </cdr:to>
    <cdr:grpSp>
      <cdr:nvGrpSpPr>
        <cdr:cNvPr id="4" name="Group 3"/>
        <cdr:cNvGrpSpPr/>
      </cdr:nvGrpSpPr>
      <cdr:grpSpPr>
        <a:xfrm xmlns:a="http://schemas.openxmlformats.org/drawingml/2006/main">
          <a:off x="2083933" y="1125290"/>
          <a:ext cx="686534" cy="498987"/>
          <a:chOff x="2122033" y="1334840"/>
          <a:chExt cx="686534" cy="498987"/>
        </a:xfrm>
      </cdr:grpSpPr>
      <cdr:sp macro="" textlink="">
        <cdr:nvSpPr>
          <cdr:cNvPr id="2" name="TextBox 1"/>
          <cdr:cNvSpPr txBox="1"/>
        </cdr:nvSpPr>
        <cdr:spPr>
          <a:xfrm xmlns:a="http://schemas.openxmlformats.org/drawingml/2006/main">
            <a:off x="2355288" y="1334840"/>
            <a:ext cx="453279" cy="21928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latin typeface="Arial" panose="020B0604020202020204" pitchFamily="34" charset="0"/>
                <a:cs typeface="Arial" panose="020B0604020202020204" pitchFamily="34" charset="0"/>
              </a:rPr>
              <a:t>62%</a:t>
            </a:r>
          </a:p>
        </cdr:txBody>
      </cdr:sp>
      <cdr:sp macro="" textlink="">
        <cdr:nvSpPr>
          <cdr:cNvPr id="3" name="TextBox 1"/>
          <cdr:cNvSpPr txBox="1"/>
        </cdr:nvSpPr>
        <cdr:spPr>
          <a:xfrm xmlns:a="http://schemas.openxmlformats.org/drawingml/2006/main">
            <a:off x="2122033" y="1614518"/>
            <a:ext cx="453333" cy="21930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38%</a:t>
            </a:r>
          </a:p>
        </cdr:txBody>
      </cdr:sp>
      <cdr:cxnSp macro="">
        <cdr:nvCxnSpPr>
          <cdr:cNvPr id="5" name="Straight Arrow Connector 4"/>
          <cdr:cNvCxnSpPr/>
        </cdr:nvCxnSpPr>
        <cdr:spPr>
          <a:xfrm xmlns:a="http://schemas.openxmlformats.org/drawingml/2006/main">
            <a:off x="2483392" y="1735297"/>
            <a:ext cx="187242" cy="76281"/>
          </a:xfrm>
          <a:prstGeom xmlns:a="http://schemas.openxmlformats.org/drawingml/2006/main" prst="straightConnector1">
            <a:avLst/>
          </a:prstGeom>
          <a:ln xmlns:a="http://schemas.openxmlformats.org/drawingml/2006/main">
            <a:solidFill>
              <a:schemeClr val="tx1"/>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7" name="Straight Arrow Connector 6"/>
          <cdr:cNvCxnSpPr/>
        </cdr:nvCxnSpPr>
        <cdr:spPr>
          <a:xfrm xmlns:a="http://schemas.openxmlformats.org/drawingml/2006/main">
            <a:off x="2555653" y="1509652"/>
            <a:ext cx="144522" cy="158898"/>
          </a:xfrm>
          <a:prstGeom xmlns:a="http://schemas.openxmlformats.org/drawingml/2006/main" prst="straightConnector1">
            <a:avLst/>
          </a:prstGeom>
          <a:ln xmlns:a="http://schemas.openxmlformats.org/drawingml/2006/main">
            <a:solidFill>
              <a:schemeClr val="tx1"/>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grpSp>
  </cdr:relSizeAnchor>
</c:userShapes>
</file>

<file path=word/drawings/drawing4.xml><?xml version="1.0" encoding="utf-8"?>
<c:userShapes xmlns:c="http://schemas.openxmlformats.org/drawingml/2006/chart">
  <cdr:relSizeAnchor xmlns:cdr="http://schemas.openxmlformats.org/drawingml/2006/chartDrawing">
    <cdr:from>
      <cdr:x>0.68066</cdr:x>
      <cdr:y>0.20643</cdr:y>
    </cdr:from>
    <cdr:to>
      <cdr:x>0.87287</cdr:x>
      <cdr:y>0.68403</cdr:y>
    </cdr:to>
    <cdr:grpSp>
      <cdr:nvGrpSpPr>
        <cdr:cNvPr id="2" name="Group 1"/>
        <cdr:cNvGrpSpPr/>
      </cdr:nvGrpSpPr>
      <cdr:grpSpPr>
        <a:xfrm xmlns:a="http://schemas.openxmlformats.org/drawingml/2006/main">
          <a:off x="3552825" y="416063"/>
          <a:ext cx="1003279" cy="962598"/>
          <a:chOff x="3463897" y="520715"/>
          <a:chExt cx="1003331" cy="1117595"/>
        </a:xfrm>
      </cdr:grpSpPr>
      <cdr:sp macro="" textlink="">
        <cdr:nvSpPr>
          <cdr:cNvPr id="3" name="Text Box 2"/>
          <cdr:cNvSpPr txBox="1"/>
        </cdr:nvSpPr>
        <cdr:spPr>
          <a:xfrm xmlns:a="http://schemas.openxmlformats.org/drawingml/2006/main">
            <a:off x="3463897" y="520715"/>
            <a:ext cx="1003331" cy="609587"/>
          </a:xfrm>
          <a:prstGeom xmlns:a="http://schemas.openxmlformats.org/drawingml/2006/main" prst="rect">
            <a:avLst/>
          </a:prstGeom>
          <a:noFill xmlns:a="http://schemas.openxmlformats.org/drawingml/2006/main"/>
          <a:ln xmlns:a="http://schemas.openxmlformats.org/drawingml/2006/main">
            <a:noFill/>
          </a:ln>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Indigenous</a:t>
            </a:r>
            <a:r>
              <a:rPr lang="en-AU" sz="900" baseline="0">
                <a:latin typeface="Arial" panose="020B0604020202020204" pitchFamily="34" charset="0"/>
                <a:cs typeface="Arial" panose="020B0604020202020204" pitchFamily="34" charset="0"/>
              </a:rPr>
              <a:t> population share</a:t>
            </a:r>
            <a:endParaRPr lang="en-AU" sz="900">
              <a:latin typeface="Arial" panose="020B0604020202020204" pitchFamily="34" charset="0"/>
              <a:cs typeface="Arial" panose="020B0604020202020204" pitchFamily="34" charset="0"/>
            </a:endParaRPr>
          </a:p>
        </cdr:txBody>
      </cdr:sp>
      <cdr:cxnSp macro="">
        <cdr:nvCxnSpPr>
          <cdr:cNvPr id="4" name="Straight Arrow Connector 3"/>
          <cdr:cNvCxnSpPr/>
        </cdr:nvCxnSpPr>
        <cdr:spPr>
          <a:xfrm xmlns:a="http://schemas.openxmlformats.org/drawingml/2006/main" flipH="1">
            <a:off x="3505185" y="1047747"/>
            <a:ext cx="85760" cy="590563"/>
          </a:xfrm>
          <a:prstGeom xmlns:a="http://schemas.openxmlformats.org/drawingml/2006/main" prst="straightConnector1">
            <a:avLst/>
          </a:prstGeom>
          <a:ln xmlns:a="http://schemas.openxmlformats.org/drawingml/2006/main">
            <a:solidFill>
              <a:schemeClr val="tx1"/>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grpSp>
  </cdr:relSizeAnchor>
</c:userShapes>
</file>

<file path=word/drawings/drawing5.xml><?xml version="1.0" encoding="utf-8"?>
<c:userShapes xmlns:c="http://schemas.openxmlformats.org/drawingml/2006/chart">
  <cdr:relSizeAnchor xmlns:cdr="http://schemas.openxmlformats.org/drawingml/2006/chartDrawing">
    <cdr:from>
      <cdr:x>0.66788</cdr:x>
      <cdr:y>0.03197</cdr:y>
    </cdr:from>
    <cdr:to>
      <cdr:x>0.98596</cdr:x>
      <cdr:y>0.43664</cdr:y>
    </cdr:to>
    <cdr:grpSp>
      <cdr:nvGrpSpPr>
        <cdr:cNvPr id="2" name="Group 1"/>
        <cdr:cNvGrpSpPr/>
      </cdr:nvGrpSpPr>
      <cdr:grpSpPr>
        <a:xfrm xmlns:a="http://schemas.openxmlformats.org/drawingml/2006/main">
          <a:off x="3486151" y="69040"/>
          <a:ext cx="1660243" cy="873935"/>
          <a:chOff x="3464107" y="247641"/>
          <a:chExt cx="1660333" cy="823592"/>
        </a:xfrm>
      </cdr:grpSpPr>
      <cdr:sp macro="" textlink="">
        <cdr:nvSpPr>
          <cdr:cNvPr id="3" name="Text Box 2"/>
          <cdr:cNvSpPr txBox="1"/>
        </cdr:nvSpPr>
        <cdr:spPr>
          <a:xfrm xmlns:a="http://schemas.openxmlformats.org/drawingml/2006/main">
            <a:off x="3876671" y="247641"/>
            <a:ext cx="1247769" cy="59020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solidFill>
                  <a:sysClr val="windowText" lastClr="000000"/>
                </a:solidFill>
                <a:latin typeface="Arial" panose="020B0604020202020204" pitchFamily="34" charset="0"/>
                <a:cs typeface="Arial" panose="020B0604020202020204" pitchFamily="34" charset="0"/>
              </a:rPr>
              <a:t>Share of </a:t>
            </a:r>
            <a:r>
              <a:rPr lang="en-AU" sz="900">
                <a:solidFill>
                  <a:sysClr val="windowText" lastClr="000000"/>
                </a:solidFill>
                <a:latin typeface="Arial" panose="020B0604020202020204" pitchFamily="34" charset="0"/>
                <a:ea typeface="+mn-ea"/>
                <a:cs typeface="Arial" panose="020B0604020202020204" pitchFamily="34" charset="0"/>
              </a:rPr>
              <a:t>total population</a:t>
            </a:r>
            <a:r>
              <a:rPr lang="en-AU" sz="900">
                <a:solidFill>
                  <a:sysClr val="windowText" lastClr="000000"/>
                </a:solidFill>
                <a:latin typeface="Arial" panose="020B0604020202020204" pitchFamily="34" charset="0"/>
                <a:cs typeface="Arial" panose="020B0604020202020204" pitchFamily="34" charset="0"/>
              </a:rPr>
              <a:t> that does not speak English</a:t>
            </a:r>
            <a:r>
              <a:rPr lang="en-AU" sz="900" baseline="0">
                <a:solidFill>
                  <a:sysClr val="windowText" lastClr="000000"/>
                </a:solidFill>
                <a:latin typeface="Arial" panose="020B0604020202020204" pitchFamily="34" charset="0"/>
                <a:cs typeface="Arial" panose="020B0604020202020204" pitchFamily="34" charset="0"/>
              </a:rPr>
              <a:t> well.</a:t>
            </a:r>
            <a:endParaRPr lang="en-AU" sz="1250" b="1" baseline="30000">
              <a:solidFill>
                <a:sysClr val="windowText" lastClr="000000"/>
              </a:solidFill>
              <a:latin typeface="Arial" panose="020B0604020202020204" pitchFamily="34" charset="0"/>
              <a:cs typeface="Arial" panose="020B0604020202020204" pitchFamily="34" charset="0"/>
            </a:endParaRPr>
          </a:p>
        </cdr:txBody>
      </cdr:sp>
      <cdr:cxnSp macro="">
        <cdr:nvCxnSpPr>
          <cdr:cNvPr id="4" name="Straight Arrow Connector 3"/>
          <cdr:cNvCxnSpPr/>
        </cdr:nvCxnSpPr>
        <cdr:spPr>
          <a:xfrm xmlns:a="http://schemas.openxmlformats.org/drawingml/2006/main" flipH="1">
            <a:off x="3464107" y="561968"/>
            <a:ext cx="460169" cy="509265"/>
          </a:xfrm>
          <a:prstGeom xmlns:a="http://schemas.openxmlformats.org/drawingml/2006/main" prst="straightConnector1">
            <a:avLst/>
          </a:prstGeom>
          <a:ln xmlns:a="http://schemas.openxmlformats.org/drawingml/2006/main">
            <a:solidFill>
              <a:schemeClr val="tx1"/>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grpSp>
  </cdr:relSizeAnchor>
</c:userShapes>
</file>

<file path=word/drawings/drawing6.xml><?xml version="1.0" encoding="utf-8"?>
<c:userShapes xmlns:c="http://schemas.openxmlformats.org/drawingml/2006/chart">
  <cdr:relSizeAnchor xmlns:cdr="http://schemas.openxmlformats.org/drawingml/2006/chartDrawing">
    <cdr:from>
      <cdr:x>0.75178</cdr:x>
      <cdr:y>0.15686</cdr:y>
    </cdr:from>
    <cdr:to>
      <cdr:x>0.8193</cdr:x>
      <cdr:y>0.30994</cdr:y>
    </cdr:to>
    <cdr:cxnSp macro="">
      <cdr:nvCxnSpPr>
        <cdr:cNvPr id="3" name="Straight Arrow Connector 2"/>
        <cdr:cNvCxnSpPr>
          <a:stCxn xmlns:a="http://schemas.openxmlformats.org/drawingml/2006/main" id="5" idx="1"/>
        </cdr:cNvCxnSpPr>
      </cdr:nvCxnSpPr>
      <cdr:spPr>
        <a:xfrm xmlns:a="http://schemas.openxmlformats.org/drawingml/2006/main" flipH="1">
          <a:off x="3924300" y="395288"/>
          <a:ext cx="352426" cy="385762"/>
        </a:xfrm>
        <a:prstGeom xmlns:a="http://schemas.openxmlformats.org/drawingml/2006/main" prst="straightConnector1">
          <a:avLst/>
        </a:prstGeom>
        <a:ln xmlns:a="http://schemas.openxmlformats.org/drawingml/2006/main">
          <a:solidFill>
            <a:schemeClr val="tx1"/>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0.8193</cdr:x>
      <cdr:y>0.03402</cdr:y>
    </cdr:from>
    <cdr:to>
      <cdr:x>0.97622</cdr:x>
      <cdr:y>0.2797</cdr:y>
    </cdr:to>
    <cdr:sp macro="" textlink="">
      <cdr:nvSpPr>
        <cdr:cNvPr id="5" name="TextBox 4"/>
        <cdr:cNvSpPr txBox="1"/>
      </cdr:nvSpPr>
      <cdr:spPr>
        <a:xfrm xmlns:a="http://schemas.openxmlformats.org/drawingml/2006/main">
          <a:off x="4276726" y="85725"/>
          <a:ext cx="819150" cy="6191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900" b="0">
              <a:effectLst/>
              <a:latin typeface="Arial" panose="020B0604020202020204" pitchFamily="34" charset="0"/>
              <a:ea typeface="+mn-ea"/>
              <a:cs typeface="Arial" panose="020B0604020202020204" pitchFamily="34" charset="0"/>
            </a:rPr>
            <a:t>2</a:t>
          </a:r>
          <a:r>
            <a:rPr lang="en-AU" sz="900" b="0" baseline="30000">
              <a:effectLst/>
              <a:latin typeface="Arial" panose="020B0604020202020204" pitchFamily="34" charset="0"/>
              <a:ea typeface="+mn-ea"/>
              <a:cs typeface="Arial" panose="020B0604020202020204" pitchFamily="34" charset="0"/>
            </a:rPr>
            <a:t>nd</a:t>
          </a:r>
          <a:r>
            <a:rPr lang="en-AU" sz="900" b="0">
              <a:effectLst/>
              <a:latin typeface="Arial" panose="020B0604020202020204" pitchFamily="34" charset="0"/>
              <a:ea typeface="+mn-ea"/>
              <a:cs typeface="Arial" panose="020B0604020202020204" pitchFamily="34" charset="0"/>
            </a:rPr>
            <a:t> </a:t>
          </a:r>
          <a:r>
            <a:rPr lang="en-AU" sz="900" b="0">
              <a:latin typeface="Arial" panose="020B0604020202020204" pitchFamily="34" charset="0"/>
              <a:cs typeface="Arial" panose="020B0604020202020204" pitchFamily="34" charset="0"/>
            </a:rPr>
            <a:t>quintile</a:t>
          </a:r>
          <a:r>
            <a:rPr lang="en-AU" sz="900">
              <a:latin typeface="Arial" panose="020B0604020202020204" pitchFamily="34" charset="0"/>
              <a:cs typeface="Arial" panose="020B0604020202020204" pitchFamily="34" charset="0"/>
            </a:rPr>
            <a:t>, general population</a:t>
          </a:r>
        </a:p>
      </cdr:txBody>
    </cdr:sp>
  </cdr:relSizeAnchor>
  <cdr:relSizeAnchor xmlns:cdr="http://schemas.openxmlformats.org/drawingml/2006/chartDrawing">
    <cdr:from>
      <cdr:x>0.75178</cdr:x>
      <cdr:y>0.635</cdr:y>
    </cdr:from>
    <cdr:to>
      <cdr:x>0.83754</cdr:x>
      <cdr:y>0.72949</cdr:y>
    </cdr:to>
    <cdr:cxnSp macro="">
      <cdr:nvCxnSpPr>
        <cdr:cNvPr id="8" name="Straight Arrow Connector 7"/>
        <cdr:cNvCxnSpPr/>
      </cdr:nvCxnSpPr>
      <cdr:spPr>
        <a:xfrm xmlns:a="http://schemas.openxmlformats.org/drawingml/2006/main" flipH="1" flipV="1">
          <a:off x="3924302" y="1600200"/>
          <a:ext cx="447673" cy="238125"/>
        </a:xfrm>
        <a:prstGeom xmlns:a="http://schemas.openxmlformats.org/drawingml/2006/main" prst="straightConnector1">
          <a:avLst/>
        </a:prstGeom>
        <a:ln xmlns:a="http://schemas.openxmlformats.org/drawingml/2006/main">
          <a:solidFill>
            <a:schemeClr val="tx1"/>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0.83085</cdr:x>
      <cdr:y>0.63626</cdr:y>
    </cdr:from>
    <cdr:to>
      <cdr:x>0.98778</cdr:x>
      <cdr:y>0.88194</cdr:y>
    </cdr:to>
    <cdr:sp macro="" textlink="">
      <cdr:nvSpPr>
        <cdr:cNvPr id="11" name="TextBox 1"/>
        <cdr:cNvSpPr txBox="1"/>
      </cdr:nvSpPr>
      <cdr:spPr>
        <a:xfrm xmlns:a="http://schemas.openxmlformats.org/drawingml/2006/main">
          <a:off x="4337050" y="1603375"/>
          <a:ext cx="819150" cy="6191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900" b="0">
              <a:effectLst/>
              <a:latin typeface="Arial" panose="020B0604020202020204" pitchFamily="34" charset="0"/>
              <a:ea typeface="+mn-ea"/>
              <a:cs typeface="Arial" panose="020B0604020202020204" pitchFamily="34" charset="0"/>
            </a:rPr>
            <a:t>1</a:t>
          </a:r>
          <a:r>
            <a:rPr lang="en-AU" sz="900" b="0" baseline="30000">
              <a:effectLst/>
              <a:latin typeface="Arial" panose="020B0604020202020204" pitchFamily="34" charset="0"/>
              <a:ea typeface="+mn-ea"/>
              <a:cs typeface="Arial" panose="020B0604020202020204" pitchFamily="34" charset="0"/>
            </a:rPr>
            <a:t>st</a:t>
          </a:r>
          <a:r>
            <a:rPr lang="en-AU" sz="900" b="0">
              <a:effectLst/>
              <a:latin typeface="Arial" panose="020B0604020202020204" pitchFamily="34" charset="0"/>
              <a:ea typeface="+mn-ea"/>
              <a:cs typeface="Arial" panose="020B0604020202020204" pitchFamily="34" charset="0"/>
            </a:rPr>
            <a:t> </a:t>
          </a:r>
          <a:r>
            <a:rPr lang="en-AU" sz="900">
              <a:latin typeface="Arial" panose="020B0604020202020204" pitchFamily="34" charset="0"/>
              <a:cs typeface="Arial" panose="020B0604020202020204" pitchFamily="34" charset="0"/>
            </a:rPr>
            <a:t>quintile, general population</a:t>
          </a:r>
        </a:p>
      </cdr:txBody>
    </cdr:sp>
  </cdr:relSizeAnchor>
</c:userShape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PC colour scheme">
    <a:dk1>
      <a:sysClr val="windowText" lastClr="000000"/>
    </a:dk1>
    <a:lt1>
      <a:sysClr val="window" lastClr="FFFFFF"/>
    </a:lt1>
    <a:dk2>
      <a:srgbClr val="000000"/>
    </a:dk2>
    <a:lt2>
      <a:srgbClr val="C8C8C8"/>
    </a:lt2>
    <a:accent1>
      <a:srgbClr val="78A22F"/>
    </a:accent1>
    <a:accent2>
      <a:srgbClr val="265A9A"/>
    </a:accent2>
    <a:accent3>
      <a:srgbClr val="B2D673"/>
    </a:accent3>
    <a:accent4>
      <a:srgbClr val="000000"/>
    </a:accent4>
    <a:accent5>
      <a:srgbClr val="F2F2F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PC colour scheme">
    <a:dk1>
      <a:sysClr val="windowText" lastClr="000000"/>
    </a:dk1>
    <a:lt1>
      <a:sysClr val="window" lastClr="FFFFFF"/>
    </a:lt1>
    <a:dk2>
      <a:srgbClr val="000000"/>
    </a:dk2>
    <a:lt2>
      <a:srgbClr val="C8C8C8"/>
    </a:lt2>
    <a:accent1>
      <a:srgbClr val="78A22F"/>
    </a:accent1>
    <a:accent2>
      <a:srgbClr val="265A9A"/>
    </a:accent2>
    <a:accent3>
      <a:srgbClr val="B2D673"/>
    </a:accent3>
    <a:accent4>
      <a:srgbClr val="000000"/>
    </a:accent4>
    <a:accent5>
      <a:srgbClr val="F2F2F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PC colour scheme">
    <a:dk1>
      <a:sysClr val="windowText" lastClr="000000"/>
    </a:dk1>
    <a:lt1>
      <a:sysClr val="window" lastClr="FFFFFF"/>
    </a:lt1>
    <a:dk2>
      <a:srgbClr val="000000"/>
    </a:dk2>
    <a:lt2>
      <a:srgbClr val="C8C8C8"/>
    </a:lt2>
    <a:accent1>
      <a:srgbClr val="78A22F"/>
    </a:accent1>
    <a:accent2>
      <a:srgbClr val="265A9A"/>
    </a:accent2>
    <a:accent3>
      <a:srgbClr val="B2D673"/>
    </a:accent3>
    <a:accent4>
      <a:srgbClr val="000000"/>
    </a:accent4>
    <a:accent5>
      <a:srgbClr val="F2F2F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PC colour scheme">
    <a:dk1>
      <a:sysClr val="windowText" lastClr="000000"/>
    </a:dk1>
    <a:lt1>
      <a:sysClr val="window" lastClr="FFFFFF"/>
    </a:lt1>
    <a:dk2>
      <a:srgbClr val="000000"/>
    </a:dk2>
    <a:lt2>
      <a:srgbClr val="C8C8C8"/>
    </a:lt2>
    <a:accent1>
      <a:srgbClr val="78A22F"/>
    </a:accent1>
    <a:accent2>
      <a:srgbClr val="265A9A"/>
    </a:accent2>
    <a:accent3>
      <a:srgbClr val="B2D673"/>
    </a:accent3>
    <a:accent4>
      <a:srgbClr val="000000"/>
    </a:accent4>
    <a:accent5>
      <a:srgbClr val="F2F2F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PC colour scheme">
    <a:dk1>
      <a:sysClr val="windowText" lastClr="000000"/>
    </a:dk1>
    <a:lt1>
      <a:sysClr val="window" lastClr="FFFFFF"/>
    </a:lt1>
    <a:dk2>
      <a:srgbClr val="000000"/>
    </a:dk2>
    <a:lt2>
      <a:srgbClr val="C8C8C8"/>
    </a:lt2>
    <a:accent1>
      <a:srgbClr val="78A22F"/>
    </a:accent1>
    <a:accent2>
      <a:srgbClr val="265A9A"/>
    </a:accent2>
    <a:accent3>
      <a:srgbClr val="B2D673"/>
    </a:accent3>
    <a:accent4>
      <a:srgbClr val="000000"/>
    </a:accent4>
    <a:accent5>
      <a:srgbClr val="F2F2F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PC colour scheme">
    <a:dk1>
      <a:sysClr val="windowText" lastClr="000000"/>
    </a:dk1>
    <a:lt1>
      <a:sysClr val="window" lastClr="FFFFFF"/>
    </a:lt1>
    <a:dk2>
      <a:srgbClr val="000000"/>
    </a:dk2>
    <a:lt2>
      <a:srgbClr val="C8C8C8"/>
    </a:lt2>
    <a:accent1>
      <a:srgbClr val="78A22F"/>
    </a:accent1>
    <a:accent2>
      <a:srgbClr val="265A9A"/>
    </a:accent2>
    <a:accent3>
      <a:srgbClr val="B2D673"/>
    </a:accent3>
    <a:accent4>
      <a:srgbClr val="000000"/>
    </a:accent4>
    <a:accent5>
      <a:srgbClr val="F2F2F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PC colour scheme">
    <a:dk1>
      <a:sysClr val="windowText" lastClr="000000"/>
    </a:dk1>
    <a:lt1>
      <a:sysClr val="window" lastClr="FFFFFF"/>
    </a:lt1>
    <a:dk2>
      <a:srgbClr val="000000"/>
    </a:dk2>
    <a:lt2>
      <a:srgbClr val="C8C8C8"/>
    </a:lt2>
    <a:accent1>
      <a:srgbClr val="78A22F"/>
    </a:accent1>
    <a:accent2>
      <a:srgbClr val="265A9A"/>
    </a:accent2>
    <a:accent3>
      <a:srgbClr val="B2D673"/>
    </a:accent3>
    <a:accent4>
      <a:srgbClr val="000000"/>
    </a:accent4>
    <a:accent5>
      <a:srgbClr val="F2F2F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PC colour scheme">
    <a:dk1>
      <a:sysClr val="windowText" lastClr="000000"/>
    </a:dk1>
    <a:lt1>
      <a:sysClr val="window" lastClr="FFFFFF"/>
    </a:lt1>
    <a:dk2>
      <a:srgbClr val="000000"/>
    </a:dk2>
    <a:lt2>
      <a:srgbClr val="C8C8C8"/>
    </a:lt2>
    <a:accent1>
      <a:srgbClr val="78A22F"/>
    </a:accent1>
    <a:accent2>
      <a:srgbClr val="265A9A"/>
    </a:accent2>
    <a:accent3>
      <a:srgbClr val="B2D673"/>
    </a:accent3>
    <a:accent4>
      <a:srgbClr val="000000"/>
    </a:accent4>
    <a:accent5>
      <a:srgbClr val="F2F2F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PC colour scheme">
    <a:dk1>
      <a:sysClr val="windowText" lastClr="000000"/>
    </a:dk1>
    <a:lt1>
      <a:sysClr val="window" lastClr="FFFFFF"/>
    </a:lt1>
    <a:dk2>
      <a:srgbClr val="000000"/>
    </a:dk2>
    <a:lt2>
      <a:srgbClr val="C8C8C8"/>
    </a:lt2>
    <a:accent1>
      <a:srgbClr val="78A22F"/>
    </a:accent1>
    <a:accent2>
      <a:srgbClr val="265A9A"/>
    </a:accent2>
    <a:accent3>
      <a:srgbClr val="B2D673"/>
    </a:accent3>
    <a:accent4>
      <a:srgbClr val="000000"/>
    </a:accent4>
    <a:accent5>
      <a:srgbClr val="F2F2F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PC colour scheme">
    <a:dk1>
      <a:sysClr val="windowText" lastClr="000000"/>
    </a:dk1>
    <a:lt1>
      <a:sysClr val="window" lastClr="FFFFFF"/>
    </a:lt1>
    <a:dk2>
      <a:srgbClr val="000000"/>
    </a:dk2>
    <a:lt2>
      <a:srgbClr val="C8C8C8"/>
    </a:lt2>
    <a:accent1>
      <a:srgbClr val="78A22F"/>
    </a:accent1>
    <a:accent2>
      <a:srgbClr val="265A9A"/>
    </a:accent2>
    <a:accent3>
      <a:srgbClr val="B2D673"/>
    </a:accent3>
    <a:accent4>
      <a:srgbClr val="000000"/>
    </a:accent4>
    <a:accent5>
      <a:srgbClr val="F2F2F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PC colour scheme">
    <a:dk1>
      <a:sysClr val="windowText" lastClr="000000"/>
    </a:dk1>
    <a:lt1>
      <a:sysClr val="window" lastClr="FFFFFF"/>
    </a:lt1>
    <a:dk2>
      <a:srgbClr val="000000"/>
    </a:dk2>
    <a:lt2>
      <a:srgbClr val="C8C8C8"/>
    </a:lt2>
    <a:accent1>
      <a:srgbClr val="78A22F"/>
    </a:accent1>
    <a:accent2>
      <a:srgbClr val="265A9A"/>
    </a:accent2>
    <a:accent3>
      <a:srgbClr val="B2D673"/>
    </a:accent3>
    <a:accent4>
      <a:srgbClr val="000000"/>
    </a:accent4>
    <a:accent5>
      <a:srgbClr val="F2F2F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PC colour scheme">
    <a:dk1>
      <a:sysClr val="windowText" lastClr="000000"/>
    </a:dk1>
    <a:lt1>
      <a:sysClr val="window" lastClr="FFFFFF"/>
    </a:lt1>
    <a:dk2>
      <a:srgbClr val="000000"/>
    </a:dk2>
    <a:lt2>
      <a:srgbClr val="C8C8C8"/>
    </a:lt2>
    <a:accent1>
      <a:srgbClr val="78A22F"/>
    </a:accent1>
    <a:accent2>
      <a:srgbClr val="265A9A"/>
    </a:accent2>
    <a:accent3>
      <a:srgbClr val="B2D673"/>
    </a:accent3>
    <a:accent4>
      <a:srgbClr val="000000"/>
    </a:accent4>
    <a:accent5>
      <a:srgbClr val="F2F2F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PC colour scheme">
    <a:dk1>
      <a:sysClr val="windowText" lastClr="000000"/>
    </a:dk1>
    <a:lt1>
      <a:sysClr val="window" lastClr="FFFFFF"/>
    </a:lt1>
    <a:dk2>
      <a:srgbClr val="000000"/>
    </a:dk2>
    <a:lt2>
      <a:srgbClr val="C8C8C8"/>
    </a:lt2>
    <a:accent1>
      <a:srgbClr val="78A22F"/>
    </a:accent1>
    <a:accent2>
      <a:srgbClr val="265A9A"/>
    </a:accent2>
    <a:accent3>
      <a:srgbClr val="B2D673"/>
    </a:accent3>
    <a:accent4>
      <a:srgbClr val="000000"/>
    </a:accent4>
    <a:accent5>
      <a:srgbClr val="F2F2F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PC colour scheme">
    <a:dk1>
      <a:sysClr val="windowText" lastClr="000000"/>
    </a:dk1>
    <a:lt1>
      <a:sysClr val="window" lastClr="FFFFFF"/>
    </a:lt1>
    <a:dk2>
      <a:srgbClr val="000000"/>
    </a:dk2>
    <a:lt2>
      <a:srgbClr val="C8C8C8"/>
    </a:lt2>
    <a:accent1>
      <a:srgbClr val="78A22F"/>
    </a:accent1>
    <a:accent2>
      <a:srgbClr val="265A9A"/>
    </a:accent2>
    <a:accent3>
      <a:srgbClr val="B2D673"/>
    </a:accent3>
    <a:accent4>
      <a:srgbClr val="000000"/>
    </a:accent4>
    <a:accent5>
      <a:srgbClr val="F2F2F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PC colour scheme">
    <a:dk1>
      <a:sysClr val="windowText" lastClr="000000"/>
    </a:dk1>
    <a:lt1>
      <a:sysClr val="window" lastClr="FFFFFF"/>
    </a:lt1>
    <a:dk2>
      <a:srgbClr val="000000"/>
    </a:dk2>
    <a:lt2>
      <a:srgbClr val="C8C8C8"/>
    </a:lt2>
    <a:accent1>
      <a:srgbClr val="78A22F"/>
    </a:accent1>
    <a:accent2>
      <a:srgbClr val="265A9A"/>
    </a:accent2>
    <a:accent3>
      <a:srgbClr val="B2D673"/>
    </a:accent3>
    <a:accent4>
      <a:srgbClr val="000000"/>
    </a:accent4>
    <a:accent5>
      <a:srgbClr val="F2F2F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694EA7-D793-4E65-9566-E81907E17A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149</TotalTime>
  <Pages>30</Pages>
  <Words>5818</Words>
  <Characters>33222</Characters>
  <Application>Microsoft Office Word</Application>
  <DocSecurity>0</DocSecurity>
  <Lines>874</Lines>
  <Paragraphs>639</Paragraphs>
  <ScaleCrop>false</ScaleCrop>
  <HeadingPairs>
    <vt:vector size="2" baseType="variant">
      <vt:variant>
        <vt:lpstr>Title</vt:lpstr>
      </vt:variant>
      <vt:variant>
        <vt:i4>1</vt:i4>
      </vt:variant>
    </vt:vector>
  </HeadingPairs>
  <TitlesOfParts>
    <vt:vector size="1" baseType="lpstr">
      <vt:lpstr>A profile of working-age housing assistance recipients</vt:lpstr>
    </vt:vector>
  </TitlesOfParts>
  <Company>Productivity Commission</Company>
  <LinksUpToDate>false</LinksUpToDate>
  <CharactersWithSpaces>38401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 profile of working-age housing assistance recipients</dc:title>
  <dc:subject>Housing assistance and employment</dc:subject>
  <dc:creator>Productivity Commission</dc:creator>
  <dc:description>1.</dc:description>
  <cp:lastModifiedBy>Cross, Michelle</cp:lastModifiedBy>
  <cp:revision>33</cp:revision>
  <cp:lastPrinted>2015-03-27T01:58:00Z</cp:lastPrinted>
  <dcterms:created xsi:type="dcterms:W3CDTF">2015-03-26T23:22:00Z</dcterms:created>
  <dcterms:modified xsi:type="dcterms:W3CDTF">2015-03-31T05:21:00Z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zotero-version="4.0.20"&gt;&lt;session id="h2aFkDxl"/&gt;&lt;style id="http://www.zotero.org/styles/unisa-harvard" hasBibliography="1" bibliographyStyleHasBeenSet="1"/&gt;&lt;prefs&gt;&lt;pref name="fieldType" value="Field"/&gt;&lt;pref name="storeReferences" va</vt:lpwstr>
  </property>
  <property fmtid="{D5CDD505-2E9C-101B-9397-08002B2CF9AE}" pid="3" name="ZOTERO_PREF_2">
    <vt:lpwstr>lue="true"/&gt;&lt;pref name="automaticJournalAbbreviations" value="true"/&gt;&lt;pref name="noteType" value="0"/&gt;&lt;/prefs&gt;&lt;/data&gt;</vt:lpwstr>
  </property>
</Properties>
</file>