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0710F1" w14:textId="4D33FCFF" w:rsidR="007221EE" w:rsidRDefault="007221EE" w:rsidP="00D8076D">
      <w:pPr>
        <w:pStyle w:val="Heading1"/>
        <w:spacing w:before="0" w:after="1080"/>
        <w:ind w:left="0" w:firstLine="0"/>
      </w:pPr>
      <w:bookmarkStart w:id="0" w:name="ChapterTitle"/>
      <w:bookmarkStart w:id="1" w:name="_GoBack"/>
      <w:bookmarkEnd w:id="1"/>
      <w:r>
        <w:t>Background Paper 5</w:t>
      </w:r>
      <w:r>
        <w:br/>
        <w:t>Links between housing assistance and employment</w:t>
      </w:r>
    </w:p>
    <w:p w14:paraId="4921B422" w14:textId="4CA248D9" w:rsidR="007221EE" w:rsidRDefault="007221EE" w:rsidP="007221EE">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221EE" w14:paraId="347AA07D" w14:textId="77777777" w:rsidTr="007221EE">
        <w:tc>
          <w:tcPr>
            <w:tcW w:w="8771" w:type="dxa"/>
            <w:tcBorders>
              <w:top w:val="single" w:sz="6" w:space="0" w:color="78A22F"/>
              <w:left w:val="nil"/>
              <w:bottom w:val="nil"/>
              <w:right w:val="nil"/>
            </w:tcBorders>
            <w:shd w:val="clear" w:color="auto" w:fill="F2F2F2"/>
          </w:tcPr>
          <w:p w14:paraId="2D085A3D" w14:textId="77777777" w:rsidR="007221EE" w:rsidRPr="00791937" w:rsidRDefault="007221EE" w:rsidP="007221EE">
            <w:pPr>
              <w:pStyle w:val="BoxTitle"/>
            </w:pPr>
            <w:r w:rsidRPr="00791937">
              <w:t>Key points</w:t>
            </w:r>
          </w:p>
        </w:tc>
      </w:tr>
      <w:tr w:rsidR="007221EE" w14:paraId="3B183E78" w14:textId="77777777" w:rsidTr="007221EE">
        <w:trPr>
          <w:cantSplit/>
        </w:trPr>
        <w:tc>
          <w:tcPr>
            <w:tcW w:w="8771" w:type="dxa"/>
            <w:tcBorders>
              <w:top w:val="nil"/>
              <w:left w:val="nil"/>
              <w:bottom w:val="nil"/>
              <w:right w:val="nil"/>
            </w:tcBorders>
            <w:shd w:val="clear" w:color="auto" w:fill="F2F2F2"/>
          </w:tcPr>
          <w:p w14:paraId="5F6BBC71" w14:textId="77777777" w:rsidR="007221EE" w:rsidRDefault="007221EE" w:rsidP="007221EE">
            <w:pPr>
              <w:pStyle w:val="BoxListBullet"/>
            </w:pPr>
            <w:r>
              <w:t xml:space="preserve">Housing assistance — in the form of Commonwealth Rent Assistance </w:t>
            </w:r>
            <w:r w:rsidR="00160F97">
              <w:t xml:space="preserve">(CRA) </w:t>
            </w:r>
            <w:r>
              <w:t>or the provision of public housing — has the potential to limit recipients’ incentives to work, and may reduce employment rates among housing assistance recipients.</w:t>
            </w:r>
          </w:p>
          <w:p w14:paraId="43291D82" w14:textId="172D45FC" w:rsidR="007221EE" w:rsidRDefault="007221EE" w:rsidP="007221EE">
            <w:pPr>
              <w:pStyle w:val="BoxListBullet"/>
            </w:pPr>
            <w:r>
              <w:t xml:space="preserve">A large dataset compiled from the Department of Employment’s Research and Evaluation Database was used to assess the effect of housing assistance on employment. The data </w:t>
            </w:r>
            <w:r w:rsidR="00885A96">
              <w:t xml:space="preserve">consist of </w:t>
            </w:r>
            <w:r w:rsidR="00160F97">
              <w:t xml:space="preserve">confidentialised </w:t>
            </w:r>
            <w:r>
              <w:t>individual</w:t>
            </w:r>
            <w:r>
              <w:noBreakHyphen/>
              <w:t>level information about eligibility for and payment of income support between 200</w:t>
            </w:r>
            <w:r w:rsidR="00160F97">
              <w:t>4</w:t>
            </w:r>
            <w:r>
              <w:t xml:space="preserve"> and 2013, and provide a unique opportunity for an in</w:t>
            </w:r>
            <w:r>
              <w:noBreakHyphen/>
              <w:t>depth analysis of the possible effects of housing assistance on employment.</w:t>
            </w:r>
          </w:p>
          <w:p w14:paraId="1B5DD1A1" w14:textId="77777777" w:rsidR="007221EE" w:rsidRDefault="007221EE" w:rsidP="007221EE">
            <w:pPr>
              <w:pStyle w:val="BoxListBullet"/>
            </w:pPr>
            <w:r>
              <w:t>Regression analysis takes into account differences in the characteristics of Income Support Payment (ISP) recipients and allows for the effects of housing assistance to be isolated from other factors that may also affect employment. Two regression techniques are used in this paper:</w:t>
            </w:r>
          </w:p>
          <w:p w14:paraId="793FD950" w14:textId="77777777" w:rsidR="007221EE" w:rsidRDefault="007221EE" w:rsidP="007221EE">
            <w:pPr>
              <w:pStyle w:val="BoxListBullet2"/>
            </w:pPr>
            <w:r>
              <w:t>Cross</w:t>
            </w:r>
            <w:r>
              <w:noBreakHyphen/>
              <w:t xml:space="preserve">sectional models </w:t>
            </w:r>
            <w:r w:rsidR="006205BA">
              <w:t xml:space="preserve">that </w:t>
            </w:r>
            <w:r>
              <w:t>take into account differences between individuals that are observed in the data.</w:t>
            </w:r>
          </w:p>
          <w:p w14:paraId="2180CB60" w14:textId="77777777" w:rsidR="007221EE" w:rsidRDefault="007221EE" w:rsidP="007221EE">
            <w:pPr>
              <w:pStyle w:val="BoxListBullet2"/>
            </w:pPr>
            <w:r>
              <w:t xml:space="preserve">Fixed effects regressions </w:t>
            </w:r>
            <w:r w:rsidR="006205BA">
              <w:t xml:space="preserve">that </w:t>
            </w:r>
            <w:r w:rsidRPr="00906FD0">
              <w:t>isolat</w:t>
            </w:r>
            <w:r>
              <w:t>e</w:t>
            </w:r>
            <w:r w:rsidRPr="00906FD0">
              <w:t xml:space="preserve"> the effects of housing assistance on employment </w:t>
            </w:r>
            <w:r>
              <w:t>from individual characteristics recorded in the data and characteristics that are not recorded. These techniques rely on the assumption that unobserved characteristics do not change over time.</w:t>
            </w:r>
          </w:p>
          <w:p w14:paraId="6506D859" w14:textId="1DEA3D77" w:rsidR="007221EE" w:rsidRPr="008A2612" w:rsidRDefault="007221EE" w:rsidP="007221EE">
            <w:pPr>
              <w:pStyle w:val="BoxListBullet"/>
            </w:pPr>
            <w:r>
              <w:t xml:space="preserve">After accounting for differences in observed characteristics, residents of public housing have a predicted probability of employment in the order </w:t>
            </w:r>
            <w:r w:rsidRPr="00106998">
              <w:t xml:space="preserve">of </w:t>
            </w:r>
            <w:r w:rsidR="00106998" w:rsidRPr="00106998">
              <w:t>15 per cent</w:t>
            </w:r>
            <w:r>
              <w:t>, about 6 percentage points below that of ISP recipients who do not reside in public housing.</w:t>
            </w:r>
            <w:r w:rsidR="00160F97">
              <w:t xml:space="preserve"> Recipients of CRA have a slightly </w:t>
            </w:r>
            <w:r w:rsidR="007C47B5">
              <w:t>lower</w:t>
            </w:r>
            <w:r w:rsidR="00160F97">
              <w:t xml:space="preserve"> predicted probability of employment than ISP recipients who do not receive housing assistance.</w:t>
            </w:r>
          </w:p>
          <w:p w14:paraId="52A6AA31" w14:textId="208656A4" w:rsidR="007221EE" w:rsidRPr="009851D7" w:rsidRDefault="007221EE" w:rsidP="007221EE">
            <w:pPr>
              <w:pStyle w:val="BoxListBullet"/>
            </w:pPr>
            <w:r>
              <w:t xml:space="preserve">However, the fixed effects models indicate that, once </w:t>
            </w:r>
            <w:r w:rsidR="006205BA">
              <w:t>time</w:t>
            </w:r>
            <w:r w:rsidR="00056061">
              <w:noBreakHyphen/>
            </w:r>
            <w:r w:rsidR="006205BA">
              <w:t xml:space="preserve">invariant </w:t>
            </w:r>
            <w:r>
              <w:t xml:space="preserve">unobserved </w:t>
            </w:r>
            <w:r w:rsidR="00A83C82">
              <w:t xml:space="preserve">characteristics </w:t>
            </w:r>
            <w:r>
              <w:t>have been accounted for, housing assistance ha</w:t>
            </w:r>
            <w:r w:rsidR="00160F97">
              <w:t>s</w:t>
            </w:r>
            <w:r>
              <w:t xml:space="preserve"> a </w:t>
            </w:r>
            <w:r w:rsidR="00160F97">
              <w:t xml:space="preserve">very </w:t>
            </w:r>
            <w:r>
              <w:t xml:space="preserve">small effect on employment. That is, individual </w:t>
            </w:r>
            <w:r w:rsidRPr="00906FD0">
              <w:t>characteristics of ISP recipients</w:t>
            </w:r>
            <w:r w:rsidR="00885A96">
              <w:t>,</w:t>
            </w:r>
            <w:r w:rsidRPr="00906FD0">
              <w:t xml:space="preserve"> rather than</w:t>
            </w:r>
            <w:r w:rsidRPr="009851D7">
              <w:t xml:space="preserve"> their housing assistance status</w:t>
            </w:r>
            <w:r>
              <w:t>,</w:t>
            </w:r>
            <w:r w:rsidRPr="009851D7">
              <w:t xml:space="preserve"> </w:t>
            </w:r>
            <w:r>
              <w:t>affect</w:t>
            </w:r>
            <w:r w:rsidRPr="009851D7">
              <w:t xml:space="preserve"> whether or not they are in employment.</w:t>
            </w:r>
            <w:r>
              <w:t xml:space="preserve"> </w:t>
            </w:r>
            <w:r w:rsidR="00160F97">
              <w:t>For public housing, t</w:t>
            </w:r>
            <w:r>
              <w:t xml:space="preserve">his result is consistent with </w:t>
            </w:r>
            <w:r w:rsidR="006205BA">
              <w:t xml:space="preserve">the </w:t>
            </w:r>
            <w:r w:rsidR="00160F97">
              <w:t>provision of housing assistance</w:t>
            </w:r>
            <w:r w:rsidR="006205BA">
              <w:t xml:space="preserve"> to </w:t>
            </w:r>
            <w:r>
              <w:t>high needs individuals, who may have difficulty finding and maintaining employment.</w:t>
            </w:r>
          </w:p>
          <w:p w14:paraId="5EDC0E2A" w14:textId="77777777" w:rsidR="007221EE" w:rsidRPr="00A3442A" w:rsidRDefault="007221EE" w:rsidP="007221EE">
            <w:pPr>
              <w:pStyle w:val="BoxListBullet"/>
              <w:rPr>
                <w:rStyle w:val="DraftingNote"/>
                <w:b w:val="0"/>
                <w:color w:val="auto"/>
                <w:sz w:val="20"/>
                <w:u w:val="none"/>
              </w:rPr>
            </w:pPr>
            <w:r>
              <w:t>The effect of neighbourhood disadvantage on employment was also examined, with the analysis restricted to public housing residents to minimise problems of selection bias. L</w:t>
            </w:r>
            <w:r w:rsidRPr="00436A13">
              <w:t>iving in a highly disadvantaged area</w:t>
            </w:r>
            <w:r>
              <w:t xml:space="preserve"> was found to be associated with lower levels</w:t>
            </w:r>
            <w:r w:rsidRPr="00436A13">
              <w:t xml:space="preserve"> of employment, </w:t>
            </w:r>
            <w:r>
              <w:t xml:space="preserve">even after accounting for the effects of individual differences, </w:t>
            </w:r>
            <w:r w:rsidRPr="00436A13">
              <w:t>but th</w:t>
            </w:r>
            <w:r>
              <w:t xml:space="preserve">is effect is small when compared to other determinants of employment. </w:t>
            </w:r>
          </w:p>
        </w:tc>
      </w:tr>
      <w:tr w:rsidR="007221EE" w14:paraId="16840596" w14:textId="77777777" w:rsidTr="007221EE">
        <w:trPr>
          <w:cantSplit/>
        </w:trPr>
        <w:tc>
          <w:tcPr>
            <w:tcW w:w="8771" w:type="dxa"/>
            <w:tcBorders>
              <w:top w:val="nil"/>
              <w:left w:val="nil"/>
              <w:bottom w:val="single" w:sz="6" w:space="0" w:color="78A22F"/>
              <w:right w:val="nil"/>
            </w:tcBorders>
            <w:shd w:val="clear" w:color="auto" w:fill="F2F2F2"/>
          </w:tcPr>
          <w:p w14:paraId="2C2159F0" w14:textId="77777777" w:rsidR="007221EE" w:rsidRDefault="007221EE" w:rsidP="007221EE">
            <w:pPr>
              <w:pStyle w:val="Box"/>
              <w:spacing w:before="0" w:line="120" w:lineRule="exact"/>
            </w:pPr>
          </w:p>
        </w:tc>
      </w:tr>
      <w:tr w:rsidR="007221EE" w:rsidRPr="000863A5" w14:paraId="10C978B7" w14:textId="77777777" w:rsidTr="007221EE">
        <w:tc>
          <w:tcPr>
            <w:tcW w:w="8771" w:type="dxa"/>
            <w:tcBorders>
              <w:top w:val="single" w:sz="6" w:space="0" w:color="78A22F"/>
              <w:left w:val="nil"/>
              <w:bottom w:val="nil"/>
              <w:right w:val="nil"/>
            </w:tcBorders>
          </w:tcPr>
          <w:p w14:paraId="61D70436" w14:textId="08D18CE5" w:rsidR="007221EE" w:rsidRPr="00626D32" w:rsidRDefault="007221EE" w:rsidP="007221EE">
            <w:pPr>
              <w:pStyle w:val="BoxSpaceBelow"/>
            </w:pPr>
          </w:p>
        </w:tc>
      </w:tr>
    </w:tbl>
    <w:p w14:paraId="1C28C9F1" w14:textId="5CDDDCCB" w:rsidR="007221EE" w:rsidRDefault="00D8076D" w:rsidP="007221EE">
      <w:pPr>
        <w:pStyle w:val="Heading2"/>
      </w:pPr>
      <w:r>
        <w:rPr>
          <w:noProof/>
        </w:rPr>
        <w:lastRenderedPageBreak/>
        <w:t>1</w:t>
      </w:r>
      <w:r w:rsidR="007221EE">
        <w:tab/>
        <w:t>Introduction</w:t>
      </w:r>
    </w:p>
    <w:p w14:paraId="63D7E4A3" w14:textId="77777777" w:rsidR="007221EE" w:rsidRDefault="007221EE" w:rsidP="007221EE">
      <w:pPr>
        <w:pStyle w:val="BodyText"/>
      </w:pPr>
      <w:r>
        <w:t>Employment decisions typically involve a process where the expected benefits of employment are weighed up against the expected costs associated with working, including, for parts of the population, the potential loss of income support payments (ISPs) and housing assistance. The net benefits of employment are likely to vary across individuals, depending on their likelihood of finding and maintaining employment, the wages that they can expect and their individual circumstances, including whether they have children, their level of education and the neighbourhood in which they live. T</w:t>
      </w:r>
      <w:r w:rsidRPr="00A65A09">
        <w:t xml:space="preserve">o assess </w:t>
      </w:r>
      <w:r>
        <w:t>whether</w:t>
      </w:r>
      <w:r w:rsidRPr="00A65A09">
        <w:t xml:space="preserve"> housing assistance affects employment, it is necessary</w:t>
      </w:r>
      <w:r>
        <w:t xml:space="preserve"> to</w:t>
      </w:r>
      <w:r w:rsidRPr="00A65A09">
        <w:t xml:space="preserve"> account </w:t>
      </w:r>
      <w:r>
        <w:t xml:space="preserve">for </w:t>
      </w:r>
      <w:r w:rsidRPr="00A65A09">
        <w:t xml:space="preserve">the various factors that affect </w:t>
      </w:r>
      <w:r>
        <w:t>the decision to enter paid work</w:t>
      </w:r>
      <w:r w:rsidRPr="00A65A09">
        <w:t>.</w:t>
      </w:r>
    </w:p>
    <w:p w14:paraId="6C6B22FE" w14:textId="47EECC8C" w:rsidR="007221EE" w:rsidRDefault="007221EE" w:rsidP="007221EE">
      <w:pPr>
        <w:pStyle w:val="BodyText"/>
      </w:pPr>
      <w:r>
        <w:t xml:space="preserve">This paper focuses on the potential effects </w:t>
      </w:r>
      <w:r w:rsidR="00734859">
        <w:t xml:space="preserve">of two key housing assistance strategies </w:t>
      </w:r>
      <w:r w:rsidR="005B4121">
        <w:t>on ISP recipients’ employment:</w:t>
      </w:r>
    </w:p>
    <w:p w14:paraId="652A6C0C" w14:textId="76C77769" w:rsidR="007221EE" w:rsidRDefault="005B4121" w:rsidP="007221EE">
      <w:pPr>
        <w:pStyle w:val="ListBullet"/>
      </w:pPr>
      <w:r>
        <w:t>r</w:t>
      </w:r>
      <w:r w:rsidR="007221EE">
        <w:t>ent subsidies provided by the Australian Government in the form of Commonwealth Rent Assistance (CRA)</w:t>
      </w:r>
    </w:p>
    <w:p w14:paraId="277FF947" w14:textId="2E182B16" w:rsidR="007221EE" w:rsidRDefault="005B4121" w:rsidP="007221EE">
      <w:pPr>
        <w:pStyle w:val="ListBullet"/>
      </w:pPr>
      <w:r>
        <w:t>pu</w:t>
      </w:r>
      <w:r w:rsidR="007221EE">
        <w:t>blic housing provided by state housing authorities.</w:t>
      </w:r>
      <w:r w:rsidR="007221EE">
        <w:rPr>
          <w:rStyle w:val="FootnoteReference"/>
        </w:rPr>
        <w:footnoteReference w:id="2"/>
      </w:r>
      <w:r w:rsidR="007221EE">
        <w:t xml:space="preserve"> People with urgent housing needs, including those who are homeless or are at risk of homelessness, are typically prioritised in the allocation of public housing.</w:t>
      </w:r>
      <w:r w:rsidR="007221EE">
        <w:rPr>
          <w:rStyle w:val="FootnoteReference"/>
        </w:rPr>
        <w:footnoteReference w:id="3"/>
      </w:r>
      <w:r w:rsidR="007221EE">
        <w:t xml:space="preserve"> </w:t>
      </w:r>
    </w:p>
    <w:p w14:paraId="738AE85D" w14:textId="77777777" w:rsidR="007221EE" w:rsidRDefault="007221EE" w:rsidP="007221EE">
      <w:pPr>
        <w:pStyle w:val="BodyText"/>
      </w:pPr>
      <w:r>
        <w:t>Detailed unit record information derived from administrative ISP records allows an empirical assessment of the relationship between housing assistance and employment.</w:t>
      </w:r>
    </w:p>
    <w:p w14:paraId="3301343E" w14:textId="77777777" w:rsidR="00571749" w:rsidRDefault="00571749" w:rsidP="00571749">
      <w:pPr>
        <w:pStyle w:val="Heading3"/>
      </w:pPr>
      <w:bookmarkStart w:id="2" w:name="begin"/>
      <w:bookmarkEnd w:id="0"/>
      <w:bookmarkEnd w:id="2"/>
      <w:r>
        <w:t>Why might employment be affected by housing assistance?</w:t>
      </w:r>
    </w:p>
    <w:p w14:paraId="503DFD1F" w14:textId="560C7F9B" w:rsidR="00571749" w:rsidRDefault="00571749" w:rsidP="00571749">
      <w:pPr>
        <w:pStyle w:val="BodyText"/>
      </w:pPr>
      <w:r>
        <w:t xml:space="preserve">Housing assistance could reduce </w:t>
      </w:r>
      <w:r w:rsidR="002812F6">
        <w:t xml:space="preserve">a recipient’s </w:t>
      </w:r>
      <w:r>
        <w:t>incentive to work (box</w:t>
      </w:r>
      <w:r w:rsidR="00F858B3">
        <w:t> </w:t>
      </w:r>
      <w:r>
        <w:t>1, with more details in B</w:t>
      </w:r>
      <w:r w:rsidR="007221EE">
        <w:t xml:space="preserve">ackground </w:t>
      </w:r>
      <w:r w:rsidR="001F49E1">
        <w:t>P</w:t>
      </w:r>
      <w:r w:rsidR="007221EE">
        <w:t>aper</w:t>
      </w:r>
      <w:r>
        <w:t> 2</w:t>
      </w:r>
      <w:r w:rsidR="00056061">
        <w:t xml:space="preserve"> (BP 2)</w:t>
      </w:r>
      <w:r>
        <w:t>).</w:t>
      </w:r>
      <w:r w:rsidR="00912FA8">
        <w:rPr>
          <w:rStyle w:val="FootnoteReference"/>
        </w:rPr>
        <w:footnoteReference w:id="4"/>
      </w:r>
      <w:r w:rsidR="007221EE" w:rsidDel="007221EE">
        <w:rPr>
          <w:rStyle w:val="FootnoteReference"/>
        </w:rPr>
        <w:t xml:space="preserve"> </w:t>
      </w:r>
      <w:r>
        <w:t xml:space="preserve">This </w:t>
      </w:r>
      <w:r w:rsidR="002812F6">
        <w:t xml:space="preserve">might occur because the recipient faces </w:t>
      </w:r>
      <w:r w:rsidR="00B2004E">
        <w:t>either</w:t>
      </w:r>
      <w:r w:rsidR="002812F6">
        <w:t>:</w:t>
      </w:r>
    </w:p>
    <w:p w14:paraId="75247CDA" w14:textId="77777777" w:rsidR="00571749" w:rsidRDefault="00571749" w:rsidP="00571749">
      <w:pPr>
        <w:pStyle w:val="ListBullet"/>
      </w:pPr>
      <w:r>
        <w:t xml:space="preserve">an ‘unemployment trap’, where the financial benefits of remaining out of work are greater or not substantially less than the benefits of </w:t>
      </w:r>
      <w:r w:rsidR="008E5A61">
        <w:t>participation in paid work</w:t>
      </w:r>
      <w:r w:rsidR="00B2004E">
        <w:t>, or</w:t>
      </w:r>
    </w:p>
    <w:p w14:paraId="13D6BB4C" w14:textId="3321E6EC" w:rsidR="00571749" w:rsidRDefault="00571749" w:rsidP="00571749">
      <w:pPr>
        <w:pStyle w:val="ListBullet"/>
      </w:pPr>
      <w:r>
        <w:t>a ‘low</w:t>
      </w:r>
      <w:r w:rsidR="00F858B3">
        <w:noBreakHyphen/>
      </w:r>
      <w:r>
        <w:t xml:space="preserve">income trap’, where </w:t>
      </w:r>
      <w:r w:rsidR="00B2004E">
        <w:t>they have</w:t>
      </w:r>
      <w:r>
        <w:t xml:space="preserve"> little incentive to increase earnings through additional hours </w:t>
      </w:r>
      <w:r w:rsidR="004235A4" w:rsidRPr="004235A4">
        <w:rPr>
          <w:szCs w:val="24"/>
        </w:rPr>
        <w:t>(Hulse et al. 2003; Whiteford and Angenent 2002)</w:t>
      </w:r>
      <w:r>
        <w:t>.</w:t>
      </w:r>
    </w:p>
    <w:p w14:paraId="2FDC0F14" w14:textId="023D2B9E" w:rsidR="00571749" w:rsidRDefault="00571749" w:rsidP="0057174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221EE" w14:paraId="037F3508" w14:textId="77777777" w:rsidTr="004235A4">
        <w:tc>
          <w:tcPr>
            <w:tcW w:w="8771" w:type="dxa"/>
            <w:tcBorders>
              <w:top w:val="single" w:sz="6" w:space="0" w:color="78A22F"/>
              <w:left w:val="nil"/>
              <w:bottom w:val="nil"/>
              <w:right w:val="nil"/>
            </w:tcBorders>
            <w:shd w:val="clear" w:color="auto" w:fill="F2F2F2"/>
          </w:tcPr>
          <w:p w14:paraId="283B3C26" w14:textId="3388F3FB" w:rsidR="007221EE" w:rsidRDefault="007221EE" w:rsidP="004235A4">
            <w:pPr>
              <w:pStyle w:val="BoxTitle"/>
            </w:pPr>
            <w:r>
              <w:rPr>
                <w:b w:val="0"/>
              </w:rPr>
              <w:t xml:space="preserve">Box </w:t>
            </w:r>
            <w:r w:rsidR="00D8076D">
              <w:rPr>
                <w:b w:val="0"/>
                <w:noProof/>
              </w:rPr>
              <w:t>1</w:t>
            </w:r>
            <w:r>
              <w:tab/>
              <w:t>An economic approach to assessing the effect of housing assistance on employment</w:t>
            </w:r>
          </w:p>
        </w:tc>
      </w:tr>
      <w:tr w:rsidR="007221EE" w14:paraId="38A444EE" w14:textId="77777777" w:rsidTr="004235A4">
        <w:trPr>
          <w:cantSplit/>
        </w:trPr>
        <w:tc>
          <w:tcPr>
            <w:tcW w:w="8771" w:type="dxa"/>
            <w:tcBorders>
              <w:top w:val="nil"/>
              <w:left w:val="nil"/>
              <w:bottom w:val="nil"/>
              <w:right w:val="nil"/>
            </w:tcBorders>
            <w:shd w:val="clear" w:color="auto" w:fill="F2F2F2"/>
          </w:tcPr>
          <w:p w14:paraId="4222225D" w14:textId="77777777" w:rsidR="007221EE" w:rsidRPr="0026585A" w:rsidRDefault="007221EE" w:rsidP="007221EE">
            <w:pPr>
              <w:pStyle w:val="Box"/>
            </w:pPr>
            <w:r>
              <w:t>Housing assistance may affect the employment of recipients by influencing their incentives to work.</w:t>
            </w:r>
            <w:r>
              <w:rPr>
                <w:rStyle w:val="FootnoteReference"/>
              </w:rPr>
              <w:footnoteReference w:id="5"/>
            </w:r>
            <w:r>
              <w:t xml:space="preserve"> </w:t>
            </w:r>
            <w:r w:rsidRPr="0026585A">
              <w:t xml:space="preserve">The conventional economic approach to the supply of labour describes an individual’s employment decision as the outcome of a constrained optimisation problem, where individuals </w:t>
            </w:r>
            <w:r w:rsidRPr="00E73643">
              <w:t xml:space="preserve">allocate their time between paid </w:t>
            </w:r>
            <w:r w:rsidRPr="0026585A">
              <w:t>work and unpaid</w:t>
            </w:r>
            <w:r w:rsidRPr="0026585A" w:rsidDel="00C506C2">
              <w:t xml:space="preserve"> </w:t>
            </w:r>
            <w:r w:rsidRPr="0026585A">
              <w:t xml:space="preserve">activities to maximise utility. Employment is rewarded in terms of wages — used to purchase goods or services that yield utility — whereas </w:t>
            </w:r>
            <w:r>
              <w:t xml:space="preserve">unpaid </w:t>
            </w:r>
            <w:r w:rsidRPr="0026585A">
              <w:t>activities are assumed to yield utility directly.</w:t>
            </w:r>
          </w:p>
          <w:p w14:paraId="328D14F0" w14:textId="77777777" w:rsidR="007221EE" w:rsidRDefault="007221EE" w:rsidP="007221EE">
            <w:pPr>
              <w:pStyle w:val="Box"/>
            </w:pPr>
            <w:r w:rsidRPr="0026585A">
              <w:t xml:space="preserve">The choice of time allocation is subject to a budget constraint that </w:t>
            </w:r>
            <w:r>
              <w:t>is based on</w:t>
            </w:r>
            <w:r w:rsidRPr="0026585A">
              <w:t xml:space="preserve"> feasible combinations of </w:t>
            </w:r>
            <w:r>
              <w:t xml:space="preserve">paid </w:t>
            </w:r>
            <w:r w:rsidRPr="0026585A">
              <w:t xml:space="preserve">and </w:t>
            </w:r>
            <w:r>
              <w:t>unpaid</w:t>
            </w:r>
            <w:r w:rsidRPr="0026585A">
              <w:t xml:space="preserve"> activities</w:t>
            </w:r>
            <w:r w:rsidR="00363722">
              <w:t xml:space="preserve"> for a given level of wages</w:t>
            </w:r>
            <w:r w:rsidRPr="0026585A">
              <w:t>. The budget constraint is determined by an individual’s time endowment, the wage rate at which they are offered work and any non</w:t>
            </w:r>
            <w:r>
              <w:noBreakHyphen/>
            </w:r>
            <w:r w:rsidRPr="0026585A">
              <w:t xml:space="preserve">labour income, including transfer payments. Time spent on </w:t>
            </w:r>
            <w:r>
              <w:t>unpaid</w:t>
            </w:r>
            <w:r w:rsidRPr="0026585A">
              <w:t xml:space="preserve"> activities, such as childcare and </w:t>
            </w:r>
            <w:r>
              <w:t>commuting</w:t>
            </w:r>
            <w:r w:rsidRPr="0026585A">
              <w:t xml:space="preserve">, is valued at the wage rate </w:t>
            </w:r>
            <w:r>
              <w:t xml:space="preserve">that </w:t>
            </w:r>
            <w:r w:rsidRPr="0026585A">
              <w:t xml:space="preserve">an individual </w:t>
            </w:r>
            <w:r>
              <w:t>faces</w:t>
            </w:r>
            <w:r w:rsidRPr="0026585A">
              <w:t xml:space="preserve">. </w:t>
            </w:r>
            <w:r w:rsidRPr="00E73643">
              <w:t xml:space="preserve">In the absence of transfer payments or other forms of unearned income, an individual allocating an additional hour to </w:t>
            </w:r>
            <w:r>
              <w:t xml:space="preserve">unpaid </w:t>
            </w:r>
            <w:r w:rsidRPr="00E73643">
              <w:t>activities forego</w:t>
            </w:r>
            <w:r>
              <w:t>es</w:t>
            </w:r>
            <w:r w:rsidRPr="00E73643">
              <w:t xml:space="preserve"> an hour’s wages. </w:t>
            </w:r>
          </w:p>
          <w:p w14:paraId="69691C24" w14:textId="77777777" w:rsidR="007221EE" w:rsidRPr="00E73643" w:rsidRDefault="007221EE" w:rsidP="007221EE">
            <w:pPr>
              <w:pStyle w:val="Box"/>
            </w:pPr>
            <w:r>
              <w:t>U</w:t>
            </w:r>
            <w:r w:rsidRPr="001B3F89">
              <w:t>nearned income — such as transfer payments — may reduce incentive</w:t>
            </w:r>
            <w:r>
              <w:t>s</w:t>
            </w:r>
            <w:r w:rsidRPr="001B3F89">
              <w:t xml:space="preserve"> to work, as </w:t>
            </w:r>
            <w:r>
              <w:t>it</w:t>
            </w:r>
            <w:r w:rsidRPr="001B3F89">
              <w:t xml:space="preserve"> </w:t>
            </w:r>
            <w:r>
              <w:t>enables</w:t>
            </w:r>
            <w:r w:rsidRPr="001B3F89">
              <w:t xml:space="preserve"> consumption </w:t>
            </w:r>
            <w:r>
              <w:t xml:space="preserve">without </w:t>
            </w:r>
            <w:r w:rsidRPr="001B3F89">
              <w:t>paid employment. The higher income associated with a transfer payment may allow increased allocation of time to non</w:t>
            </w:r>
            <w:r>
              <w:noBreakHyphen/>
            </w:r>
            <w:r w:rsidRPr="001B3F89">
              <w:t xml:space="preserve">work activities (an ‘income effect’). </w:t>
            </w:r>
            <w:r>
              <w:t>P</w:t>
            </w:r>
            <w:r w:rsidRPr="001B3F89">
              <w:t xml:space="preserve">ublic housing </w:t>
            </w:r>
            <w:r>
              <w:t>could have</w:t>
            </w:r>
            <w:r w:rsidRPr="001B3F89">
              <w:t xml:space="preserve"> a similar effect, due to the </w:t>
            </w:r>
            <w:r>
              <w:t xml:space="preserve">subsidy implied by the </w:t>
            </w:r>
            <w:r w:rsidRPr="001B3F89">
              <w:t>difference between market rent and rent paid by a tenant</w:t>
            </w:r>
            <w:r w:rsidRPr="00E73643">
              <w:t>.</w:t>
            </w:r>
          </w:p>
          <w:p w14:paraId="006992EF" w14:textId="77777777" w:rsidR="007221EE" w:rsidRPr="008A1C0E" w:rsidRDefault="007221EE" w:rsidP="007221EE">
            <w:pPr>
              <w:pStyle w:val="Box"/>
            </w:pPr>
            <w:r w:rsidRPr="00E73643">
              <w:t xml:space="preserve">The tapered withdrawal of transfer payments as market income increases can affect </w:t>
            </w:r>
            <w:r>
              <w:t xml:space="preserve">work </w:t>
            </w:r>
            <w:r w:rsidRPr="00E73643">
              <w:t xml:space="preserve">incentives in two ways. Individuals who </w:t>
            </w:r>
            <w:r>
              <w:t>increase their employment receive the</w:t>
            </w:r>
            <w:r w:rsidRPr="00E73643">
              <w:t xml:space="preserve"> financial benefit of working</w:t>
            </w:r>
            <w:r w:rsidRPr="0026585A">
              <w:t xml:space="preserve">, </w:t>
            </w:r>
            <w:r>
              <w:t>less any</w:t>
            </w:r>
            <w:r w:rsidRPr="0026585A">
              <w:t xml:space="preserve"> transfer payments </w:t>
            </w:r>
            <w:r>
              <w:t xml:space="preserve">that are </w:t>
            </w:r>
            <w:r w:rsidRPr="0026585A">
              <w:t>withdrawn. This reduction in the net returns to work</w:t>
            </w:r>
            <w:r w:rsidR="00BB3EB8">
              <w:t xml:space="preserve"> (in comparison with a situation where benefits were not withdrawn)</w:t>
            </w:r>
            <w:r w:rsidRPr="0026585A">
              <w:t>, induces a ‘substitution effect’ toward non</w:t>
            </w:r>
            <w:r>
              <w:noBreakHyphen/>
            </w:r>
            <w:r w:rsidRPr="0026585A">
              <w:t xml:space="preserve">work activities. At the same time, individuals will have less disposable income for a given number of hours worked </w:t>
            </w:r>
            <w:r w:rsidR="00BB3EB8">
              <w:t>(</w:t>
            </w:r>
            <w:r w:rsidRPr="0026585A">
              <w:t xml:space="preserve">than </w:t>
            </w:r>
            <w:r w:rsidR="00BB3EB8">
              <w:t xml:space="preserve">would be the case </w:t>
            </w:r>
            <w:r>
              <w:t>if transfers were not withdrawn</w:t>
            </w:r>
            <w:r w:rsidR="00BB3EB8">
              <w:t>)</w:t>
            </w:r>
            <w:r w:rsidRPr="0026585A">
              <w:t xml:space="preserve">, meaning that </w:t>
            </w:r>
            <w:r>
              <w:t>there is an incentive</w:t>
            </w:r>
            <w:r w:rsidRPr="0026585A">
              <w:t xml:space="preserve"> to work more (the income effect associated with </w:t>
            </w:r>
            <w:r>
              <w:t xml:space="preserve">benefit </w:t>
            </w:r>
            <w:r w:rsidRPr="0026585A">
              <w:t>withdrawal). The overall effect of the tapered withdrawal of transfer payments is the sum of the income and substitution effects.</w:t>
            </w:r>
          </w:p>
          <w:p w14:paraId="5FBEE000" w14:textId="5DCFB6E3" w:rsidR="007221EE" w:rsidRPr="00617ED4" w:rsidRDefault="007221EE" w:rsidP="00DE561D">
            <w:pPr>
              <w:pStyle w:val="Box"/>
              <w:rPr>
                <w:rStyle w:val="DraftingNote"/>
                <w:b w:val="0"/>
                <w:color w:val="auto"/>
                <w:sz w:val="20"/>
                <w:u w:val="none"/>
              </w:rPr>
            </w:pPr>
            <w:r w:rsidRPr="0026585A">
              <w:t xml:space="preserve">As </w:t>
            </w:r>
            <w:r>
              <w:t xml:space="preserve">with </w:t>
            </w:r>
            <w:r w:rsidRPr="0026585A">
              <w:t xml:space="preserve">all models, this </w:t>
            </w:r>
            <w:r>
              <w:t xml:space="preserve">approach to explaining labour supply </w:t>
            </w:r>
            <w:r w:rsidRPr="0026585A">
              <w:t xml:space="preserve">makes simplifying assumptions. For example, it is assumed that individuals choose to work the number of hours that maximise the utility that they gain from their income and </w:t>
            </w:r>
            <w:r>
              <w:t>unpaid</w:t>
            </w:r>
            <w:r w:rsidRPr="0026585A">
              <w:t xml:space="preserve"> activities. In fact, the number of hours worked is generally a ‘lumpy’ decision with a small </w:t>
            </w:r>
            <w:r w:rsidR="00885A96">
              <w:t>number of discrete</w:t>
            </w:r>
            <w:r w:rsidRPr="0026585A">
              <w:t xml:space="preserve"> choices</w:t>
            </w:r>
            <w:r>
              <w:t> — </w:t>
            </w:r>
            <w:r w:rsidRPr="0026585A">
              <w:t xml:space="preserve">something that will limit the ability </w:t>
            </w:r>
            <w:r w:rsidR="00885A96">
              <w:t>to choose the utility</w:t>
            </w:r>
            <w:r w:rsidR="00056061">
              <w:noBreakHyphen/>
            </w:r>
            <w:r w:rsidR="00885A96">
              <w:t>maximising number of hours, especially where there are caring obligations</w:t>
            </w:r>
            <w:r w:rsidRPr="0026585A">
              <w:t xml:space="preserve">. Further, minimum wages may limit employment opportunities for low productivity workers </w:t>
            </w:r>
            <w:r>
              <w:t xml:space="preserve">by precluding them from </w:t>
            </w:r>
            <w:r w:rsidRPr="0026585A">
              <w:t>accept</w:t>
            </w:r>
            <w:r>
              <w:t>ing</w:t>
            </w:r>
            <w:r w:rsidRPr="0026585A">
              <w:t xml:space="preserve"> lower wage</w:t>
            </w:r>
            <w:r>
              <w:t>s</w:t>
            </w:r>
            <w:r w:rsidRPr="0026585A">
              <w:t xml:space="preserve"> in order to engage in employment commensurate with their expected productivity. </w:t>
            </w:r>
            <w:r>
              <w:t>T</w:t>
            </w:r>
            <w:r w:rsidRPr="0026585A">
              <w:t xml:space="preserve">his paper does not </w:t>
            </w:r>
            <w:r>
              <w:t xml:space="preserve">examine </w:t>
            </w:r>
            <w:r w:rsidR="00885A96">
              <w:t xml:space="preserve">the effect </w:t>
            </w:r>
            <w:r w:rsidR="00A84063">
              <w:t xml:space="preserve">of </w:t>
            </w:r>
            <w:r w:rsidR="00885A96">
              <w:t>minimum wages</w:t>
            </w:r>
            <w:r>
              <w:t xml:space="preserve"> </w:t>
            </w:r>
            <w:r w:rsidRPr="0026585A">
              <w:t xml:space="preserve">on the ability of low productivity workers to find </w:t>
            </w:r>
            <w:r>
              <w:t>work</w:t>
            </w:r>
            <w:r w:rsidRPr="0026585A">
              <w:t>.</w:t>
            </w:r>
          </w:p>
        </w:tc>
      </w:tr>
      <w:tr w:rsidR="00571749" w14:paraId="2897E981" w14:textId="77777777" w:rsidTr="004235A4">
        <w:trPr>
          <w:cantSplit/>
        </w:trPr>
        <w:tc>
          <w:tcPr>
            <w:tcW w:w="8771" w:type="dxa"/>
            <w:tcBorders>
              <w:top w:val="nil"/>
              <w:left w:val="nil"/>
              <w:bottom w:val="single" w:sz="6" w:space="0" w:color="78A22F"/>
              <w:right w:val="nil"/>
            </w:tcBorders>
            <w:shd w:val="clear" w:color="auto" w:fill="F2F2F2"/>
          </w:tcPr>
          <w:p w14:paraId="10F52BA4" w14:textId="77777777" w:rsidR="00571749" w:rsidRDefault="00571749" w:rsidP="004235A4">
            <w:pPr>
              <w:pStyle w:val="Box"/>
              <w:spacing w:before="0" w:line="120" w:lineRule="exact"/>
            </w:pPr>
          </w:p>
        </w:tc>
      </w:tr>
      <w:tr w:rsidR="00571749" w:rsidRPr="000863A5" w14:paraId="15098AD7" w14:textId="77777777" w:rsidTr="004235A4">
        <w:tc>
          <w:tcPr>
            <w:tcW w:w="8771" w:type="dxa"/>
            <w:tcBorders>
              <w:top w:val="single" w:sz="6" w:space="0" w:color="78A22F"/>
              <w:left w:val="nil"/>
              <w:bottom w:val="nil"/>
              <w:right w:val="nil"/>
            </w:tcBorders>
          </w:tcPr>
          <w:p w14:paraId="66E5B2CF" w14:textId="7FBEF84E" w:rsidR="00571749" w:rsidRPr="00626D32" w:rsidRDefault="00571749" w:rsidP="004235A4">
            <w:pPr>
              <w:pStyle w:val="BoxSpaceBelow"/>
            </w:pPr>
          </w:p>
        </w:tc>
      </w:tr>
    </w:tbl>
    <w:p w14:paraId="2A201334" w14:textId="306965C0" w:rsidR="00571749" w:rsidRDefault="00912FA8" w:rsidP="00A84063">
      <w:pPr>
        <w:pStyle w:val="BodyText"/>
      </w:pPr>
      <w:r>
        <w:lastRenderedPageBreak/>
        <w:t>CRA potentially affects a recipient’s incentive</w:t>
      </w:r>
      <w:r w:rsidDel="00912FA8">
        <w:t xml:space="preserve"> </w:t>
      </w:r>
      <w:r w:rsidR="00571749">
        <w:t xml:space="preserve">to work through </w:t>
      </w:r>
      <w:r w:rsidR="0027234B">
        <w:t xml:space="preserve">its </w:t>
      </w:r>
      <w:r w:rsidR="00571749">
        <w:t>interaction</w:t>
      </w:r>
      <w:r w:rsidR="0027234B">
        <w:t xml:space="preserve"> with</w:t>
      </w:r>
      <w:r w:rsidR="007221EE">
        <w:t xml:space="preserve"> </w:t>
      </w:r>
      <w:r w:rsidR="00571749">
        <w:t xml:space="preserve">the withdrawal of transfer payments as </w:t>
      </w:r>
      <w:r w:rsidR="0027234B">
        <w:t>earnings</w:t>
      </w:r>
      <w:r w:rsidR="007221EE">
        <w:t xml:space="preserve"> </w:t>
      </w:r>
      <w:r w:rsidR="00571749">
        <w:t xml:space="preserve">increase. As market income increases beyond a specified threshold, income support is steadily withdrawn. </w:t>
      </w:r>
      <w:r w:rsidR="00773607">
        <w:t xml:space="preserve">Different thresholds are applied to different ISPs. </w:t>
      </w:r>
      <w:r w:rsidR="00571749">
        <w:t>For example, Disability Support Pension (DSP) payments are reduced by 50 cents for each dollar earned in excess of $160 in a given fortnight</w:t>
      </w:r>
      <w:r w:rsidR="00773607">
        <w:t>.</w:t>
      </w:r>
      <w:r w:rsidR="00773607">
        <w:rPr>
          <w:rStyle w:val="FootnoteReference"/>
        </w:rPr>
        <w:footnoteReference w:id="6"/>
      </w:r>
      <w:r w:rsidR="00571749">
        <w:t xml:space="preserve"> For private renters who receive CRA because they are eligible for </w:t>
      </w:r>
      <w:r w:rsidR="00F156BE">
        <w:t>an ISP</w:t>
      </w:r>
      <w:r w:rsidR="00571749">
        <w:t xml:space="preserve">, CRA is withdrawn at the same rate as </w:t>
      </w:r>
      <w:r w:rsidR="00DE561D">
        <w:t xml:space="preserve">the </w:t>
      </w:r>
      <w:r w:rsidR="00571749">
        <w:t>ISP</w:t>
      </w:r>
      <w:r w:rsidR="00DE561D">
        <w:t xml:space="preserve">, </w:t>
      </w:r>
      <w:r w:rsidR="00571749">
        <w:t>once the primary ISP reaches $0.</w:t>
      </w:r>
      <w:r w:rsidR="00571749">
        <w:rPr>
          <w:rStyle w:val="FootnoteReference"/>
        </w:rPr>
        <w:footnoteReference w:id="7"/>
      </w:r>
      <w:r w:rsidR="00571749">
        <w:t xml:space="preserve"> This means that effective marginal tax rates associated with the withdrawal of transfer payments persist over a broader income range for individuals who receive CRA </w:t>
      </w:r>
      <w:r w:rsidR="00773607" w:rsidRPr="00773607">
        <w:t xml:space="preserve">(Hulse and Randolph 2005; </w:t>
      </w:r>
      <w:r>
        <w:t xml:space="preserve">BP </w:t>
      </w:r>
      <w:r w:rsidR="00773607" w:rsidRPr="00773607">
        <w:t>2)</w:t>
      </w:r>
      <w:r w:rsidR="00571749">
        <w:t>.</w:t>
      </w:r>
    </w:p>
    <w:p w14:paraId="2B8D751A" w14:textId="795E2ED2" w:rsidR="00571749" w:rsidRDefault="00571749" w:rsidP="00571749">
      <w:pPr>
        <w:pStyle w:val="BodyText"/>
      </w:pPr>
      <w:r>
        <w:t xml:space="preserve">The provision of public housing </w:t>
      </w:r>
      <w:r w:rsidR="00F746CB">
        <w:t xml:space="preserve">is likely to </w:t>
      </w:r>
      <w:r>
        <w:t xml:space="preserve">affect the work decisions of recipients differently. For most public housing tenants, rent is set at about 25 per cent of their assessable income, capped at the market rent for the property occupied. This means that their rent increases as </w:t>
      </w:r>
      <w:r w:rsidR="00F746CB">
        <w:t>their earnings</w:t>
      </w:r>
      <w:r>
        <w:t xml:space="preserve"> increase, until rent paid is equal to market rent.</w:t>
      </w:r>
      <w:r>
        <w:rPr>
          <w:rStyle w:val="FootnoteReference"/>
        </w:rPr>
        <w:footnoteReference w:id="8"/>
      </w:r>
      <w:r>
        <w:t xml:space="preserve"> This, combined with the withdrawal of ISPs as income increases, reduces returns to </w:t>
      </w:r>
      <w:r w:rsidR="00F156BE">
        <w:t>entering, or</w:t>
      </w:r>
      <w:r>
        <w:t xml:space="preserve"> increasing</w:t>
      </w:r>
      <w:r w:rsidR="00F156BE">
        <w:t>,</w:t>
      </w:r>
      <w:r>
        <w:t xml:space="preserve"> work. Public housing tenants face effective marginal tax rates that are higher than comparable CRA recipients at low levels of income (</w:t>
      </w:r>
      <w:r w:rsidR="00912FA8">
        <w:t xml:space="preserve">BP </w:t>
      </w:r>
      <w:r>
        <w:t>2). The measure of income used to determine the amount of rent paid by a household can include the income of working</w:t>
      </w:r>
      <w:r w:rsidR="00F858B3">
        <w:noBreakHyphen/>
      </w:r>
      <w:r>
        <w:t xml:space="preserve">age children who reside at home, meaning that children who </w:t>
      </w:r>
      <w:r w:rsidR="00F156BE">
        <w:t xml:space="preserve">live with </w:t>
      </w:r>
      <w:r>
        <w:t>parents in public housing may also face a disincentive to find work.</w:t>
      </w:r>
    </w:p>
    <w:p w14:paraId="6CD23DA9" w14:textId="77777777" w:rsidR="00571749" w:rsidRDefault="00F746CB" w:rsidP="00571749">
      <w:pPr>
        <w:pStyle w:val="BodyText"/>
      </w:pPr>
      <w:r>
        <w:t>O</w:t>
      </w:r>
      <w:r w:rsidR="00571749">
        <w:t>ther factors may affect the net benefits of employment</w:t>
      </w:r>
      <w:r w:rsidR="00773607">
        <w:t xml:space="preserve"> </w:t>
      </w:r>
      <w:r>
        <w:t xml:space="preserve">for </w:t>
      </w:r>
      <w:r w:rsidR="00571749">
        <w:t>public housing residents, including:</w:t>
      </w:r>
    </w:p>
    <w:p w14:paraId="589466B7" w14:textId="77777777" w:rsidR="00571749" w:rsidRPr="00DE611F" w:rsidRDefault="00571749" w:rsidP="00571749">
      <w:pPr>
        <w:pStyle w:val="ListBullet"/>
      </w:pPr>
      <w:r>
        <w:t>e</w:t>
      </w:r>
      <w:r w:rsidRPr="00DE611F">
        <w:t>ligibility requirements, where public housing residents may be</w:t>
      </w:r>
      <w:r>
        <w:t>come ineligible</w:t>
      </w:r>
      <w:r w:rsidRPr="00DE611F">
        <w:t xml:space="preserve"> if their income </w:t>
      </w:r>
      <w:r>
        <w:t>exceeds a threshold</w:t>
      </w:r>
    </w:p>
    <w:p w14:paraId="50357117" w14:textId="77777777" w:rsidR="00571749" w:rsidRPr="00DE611F" w:rsidRDefault="00571749" w:rsidP="00571749">
      <w:pPr>
        <w:pStyle w:val="ListBullet"/>
      </w:pPr>
      <w:r>
        <w:t>m</w:t>
      </w:r>
      <w:r w:rsidRPr="00DE611F">
        <w:t xml:space="preserve">obility restrictions </w:t>
      </w:r>
      <w:r>
        <w:t>— t</w:t>
      </w:r>
      <w:r w:rsidRPr="00DE611F">
        <w:t>he limited availability of public housing means that residents</w:t>
      </w:r>
      <w:r>
        <w:t xml:space="preserve"> </w:t>
      </w:r>
      <w:r w:rsidRPr="00DE611F">
        <w:t>seeking to relocate to areas with better employment prospects may be required to move into a private rental tenancy, which may mean higher rents and a less secure tenancy</w:t>
      </w:r>
      <w:r>
        <w:t>;</w:t>
      </w:r>
      <w:r w:rsidRPr="00DE611F">
        <w:t xml:space="preserve"> </w:t>
      </w:r>
      <w:r>
        <w:t>t</w:t>
      </w:r>
      <w:r w:rsidRPr="00DE611F">
        <w:t xml:space="preserve">his is likely to </w:t>
      </w:r>
      <w:r>
        <w:t xml:space="preserve">reduce the incentive to </w:t>
      </w:r>
      <w:r w:rsidRPr="00DE611F">
        <w:t>relocat</w:t>
      </w:r>
      <w:r>
        <w:t>e</w:t>
      </w:r>
      <w:r w:rsidRPr="00DE611F">
        <w:t xml:space="preserve"> for employment purposes</w:t>
      </w:r>
    </w:p>
    <w:p w14:paraId="2D406DCD" w14:textId="77777777" w:rsidR="00571749" w:rsidRDefault="00571749" w:rsidP="00571749">
      <w:pPr>
        <w:pStyle w:val="ListBullet"/>
      </w:pPr>
      <w:r>
        <w:t>t</w:t>
      </w:r>
      <w:r w:rsidRPr="00DE611F">
        <w:t>he stability afforded by secure</w:t>
      </w:r>
      <w:r>
        <w:t>,</w:t>
      </w:r>
      <w:r w:rsidRPr="00DE611F">
        <w:t xml:space="preserve"> ongoing public tenancies may </w:t>
      </w:r>
      <w:r>
        <w:t>provide public housing residents with better opportunities to find and maintain employment than would otherwise be the case</w:t>
      </w:r>
    </w:p>
    <w:p w14:paraId="1BC12146" w14:textId="77777777" w:rsidR="00571749" w:rsidRDefault="00571749" w:rsidP="00571749">
      <w:pPr>
        <w:pStyle w:val="ListBullet"/>
      </w:pPr>
      <w:r>
        <w:lastRenderedPageBreak/>
        <w:t xml:space="preserve">the location of affordable rental housing — either public or subsidised — may be in areas where there is geographically concentrated disadvantage, including limited employment opportunities, which could </w:t>
      </w:r>
      <w:r w:rsidR="00F746CB">
        <w:t>reduce the</w:t>
      </w:r>
      <w:r>
        <w:t xml:space="preserve"> probability of entering employment.</w:t>
      </w:r>
    </w:p>
    <w:p w14:paraId="5B263F10" w14:textId="77777777" w:rsidR="00E51CCB" w:rsidRDefault="00571749" w:rsidP="00571749">
      <w:pPr>
        <w:pStyle w:val="BodyText"/>
      </w:pPr>
      <w:r>
        <w:t xml:space="preserve">The </w:t>
      </w:r>
      <w:r w:rsidRPr="005C1D13">
        <w:t xml:space="preserve">key hypothesis </w:t>
      </w:r>
      <w:r>
        <w:t xml:space="preserve">examined in this paper </w:t>
      </w:r>
      <w:r w:rsidRPr="005C1D13">
        <w:t>is that</w:t>
      </w:r>
      <w:r>
        <w:t xml:space="preserve"> housing assistance </w:t>
      </w:r>
      <w:r w:rsidR="00E51CCB">
        <w:t xml:space="preserve">has a negative effect on the </w:t>
      </w:r>
      <w:r w:rsidRPr="005C1D13">
        <w:t xml:space="preserve">employment </w:t>
      </w:r>
      <w:r>
        <w:t xml:space="preserve">of housing assistance recipients. </w:t>
      </w:r>
      <w:r w:rsidR="00C85734">
        <w:t>Th</w:t>
      </w:r>
      <w:r w:rsidR="001743D3">
        <w:t xml:space="preserve">e focus of the analysis is on </w:t>
      </w:r>
      <w:r w:rsidR="00C85734">
        <w:t>employment</w:t>
      </w:r>
      <w:r w:rsidR="00912FA8">
        <w:t xml:space="preserve"> status</w:t>
      </w:r>
      <w:r w:rsidR="00C85734">
        <w:t xml:space="preserve">, rather than the </w:t>
      </w:r>
      <w:r w:rsidR="00E51CCB">
        <w:t>number of hours</w:t>
      </w:r>
      <w:r w:rsidR="00C85734">
        <w:t xml:space="preserve"> worked by ISP recipients,</w:t>
      </w:r>
      <w:r w:rsidR="00E51CCB">
        <w:t xml:space="preserve"> due to limitations of the administrative data used in this analysis. </w:t>
      </w:r>
      <w:r w:rsidR="001928BC">
        <w:t xml:space="preserve">The data used </w:t>
      </w:r>
      <w:r w:rsidR="0030093A">
        <w:t>are</w:t>
      </w:r>
      <w:r w:rsidR="00E51CCB">
        <w:t xml:space="preserve"> discussed in section</w:t>
      </w:r>
      <w:r w:rsidR="00531BBF">
        <w:t> </w:t>
      </w:r>
      <w:r w:rsidR="00E51CCB">
        <w:t>2.</w:t>
      </w:r>
    </w:p>
    <w:p w14:paraId="654E3156" w14:textId="77777777" w:rsidR="00571749" w:rsidRDefault="00C85734" w:rsidP="007E4221">
      <w:pPr>
        <w:pStyle w:val="BodyText"/>
      </w:pPr>
      <w:r>
        <w:t xml:space="preserve">The research examines the extent to which receipt of housing assistance affects employment, once the characteristics of those who receive it are taken into account. </w:t>
      </w:r>
      <w:r w:rsidR="001C2420">
        <w:t>The effect of parental receipt of housing assistance on the employment of their children who live at home is also tested. In addition, the effect of neighbourhood disadvantage on employment</w:t>
      </w:r>
      <w:r w:rsidR="00912FA8">
        <w:t xml:space="preserve"> status</w:t>
      </w:r>
      <w:r w:rsidR="001C2420">
        <w:t xml:space="preserve"> is briefly examined.</w:t>
      </w:r>
    </w:p>
    <w:p w14:paraId="03C798FF" w14:textId="77777777" w:rsidR="00571749" w:rsidRDefault="00571749" w:rsidP="00571749">
      <w:pPr>
        <w:pStyle w:val="Heading3"/>
      </w:pPr>
      <w:r>
        <w:t>Previous research</w:t>
      </w:r>
    </w:p>
    <w:p w14:paraId="1B451F91" w14:textId="4DE28FD9" w:rsidR="00571749" w:rsidRPr="00F858B3" w:rsidRDefault="00571749" w:rsidP="00F858B3">
      <w:pPr>
        <w:pStyle w:val="BodyText"/>
      </w:pPr>
      <w:r w:rsidRPr="00F858B3">
        <w:t xml:space="preserve">Previous research has shown that housing assistance recipients are less likely to be in paid employment than other people. In particular, the employment rate of public housing residents is recognised as being substantially below that of residents of other tenures (Groenhart and Burke 2014; Wood, Ong and Dockery 2009). </w:t>
      </w:r>
    </w:p>
    <w:p w14:paraId="45D8C89B" w14:textId="77777777" w:rsidR="00571749" w:rsidRPr="00F858B3" w:rsidRDefault="00571749" w:rsidP="00F858B3">
      <w:pPr>
        <w:pStyle w:val="BodyText"/>
      </w:pPr>
      <w:r w:rsidRPr="00F858B3">
        <w:t xml:space="preserve">A negative relationship between housing assistance and </w:t>
      </w:r>
      <w:r w:rsidR="004D6BF8">
        <w:t>participation in</w:t>
      </w:r>
      <w:r w:rsidRPr="00F858B3">
        <w:t xml:space="preserve"> employment may be expected, given that housing assistance is targeted towards people with low income and with complex needs. But it is important to distinguish </w:t>
      </w:r>
      <w:r w:rsidR="004D6BF8">
        <w:t>the extent to which</w:t>
      </w:r>
      <w:r w:rsidR="004D6BF8" w:rsidRPr="00F858B3">
        <w:t xml:space="preserve"> </w:t>
      </w:r>
      <w:r w:rsidRPr="00F858B3">
        <w:t xml:space="preserve">lower employment </w:t>
      </w:r>
      <w:r w:rsidR="004D6BF8">
        <w:t>rates</w:t>
      </w:r>
      <w:r w:rsidR="004D6BF8" w:rsidRPr="00F858B3">
        <w:t xml:space="preserve"> </w:t>
      </w:r>
      <w:r w:rsidRPr="00F858B3">
        <w:t xml:space="preserve">among recipients </w:t>
      </w:r>
      <w:r w:rsidR="004D6BF8">
        <w:t>are</w:t>
      </w:r>
      <w:r w:rsidRPr="00F858B3">
        <w:t xml:space="preserve"> related to housing assistance itself or to recipients’ characteristics. </w:t>
      </w:r>
    </w:p>
    <w:p w14:paraId="2894AE5D" w14:textId="067BF931" w:rsidR="00571749" w:rsidRPr="00F858B3" w:rsidRDefault="00571749" w:rsidP="00F858B3">
      <w:pPr>
        <w:pStyle w:val="BodyText"/>
      </w:pPr>
      <w:r w:rsidRPr="00F858B3">
        <w:t xml:space="preserve">Recent Australian studies that attempt to make this distinction by using multivariate approaches include Whelan </w:t>
      </w:r>
      <w:r w:rsidR="00497AB1" w:rsidRPr="00497AB1">
        <w:t>(2004)</w:t>
      </w:r>
      <w:r w:rsidRPr="00F858B3">
        <w:t>, Whelan and Ong</w:t>
      </w:r>
      <w:r w:rsidR="0070267B">
        <w:t xml:space="preserve"> </w:t>
      </w:r>
      <w:r w:rsidR="0070267B" w:rsidRPr="0070267B">
        <w:t>(2008)</w:t>
      </w:r>
      <w:r w:rsidRPr="00F858B3">
        <w:t>, Dockery et al.</w:t>
      </w:r>
      <w:r w:rsidR="00870F42">
        <w:t xml:space="preserve"> </w:t>
      </w:r>
      <w:r w:rsidR="00870F42" w:rsidRPr="00870F42">
        <w:t>(2008)</w:t>
      </w:r>
      <w:r w:rsidRPr="00F858B3">
        <w:t xml:space="preserve"> and Wood, Ong and Dockery (2009). These studies rely on survey data and cross</w:t>
      </w:r>
      <w:r w:rsidR="00F858B3">
        <w:noBreakHyphen/>
      </w:r>
      <w:r w:rsidRPr="00F858B3">
        <w:t>sectional methods to isolate the employment effects of housing assistance.</w:t>
      </w:r>
    </w:p>
    <w:p w14:paraId="6AF1E745" w14:textId="2AC51A8D" w:rsidR="00571749" w:rsidRPr="00F858B3" w:rsidRDefault="00571749" w:rsidP="00F858B3">
      <w:pPr>
        <w:pStyle w:val="BodyText"/>
      </w:pPr>
      <w:r w:rsidRPr="00F858B3">
        <w:t xml:space="preserve">Whelan </w:t>
      </w:r>
      <w:r w:rsidR="00497AB1" w:rsidRPr="00497AB1">
        <w:t>(2004)</w:t>
      </w:r>
      <w:r w:rsidRPr="00F858B3">
        <w:t xml:space="preserve">, Whelan and Ong </w:t>
      </w:r>
      <w:r w:rsidR="0070267B" w:rsidRPr="0070267B">
        <w:t>(2008)</w:t>
      </w:r>
      <w:r w:rsidRPr="00F858B3">
        <w:t xml:space="preserve"> and Dockery et al. </w:t>
      </w:r>
      <w:r w:rsidR="00870F42" w:rsidRPr="00870F42">
        <w:t>(2008)</w:t>
      </w:r>
      <w:r w:rsidRPr="00F858B3">
        <w:t xml:space="preserve"> use the Household,</w:t>
      </w:r>
      <w:r w:rsidR="00F858B3">
        <w:t xml:space="preserve"> </w:t>
      </w:r>
      <w:r w:rsidRPr="00F858B3">
        <w:t xml:space="preserve">Income and Labour Dynamics in Australia (HILDA) survey to estimate the relationship between CRA and employment </w:t>
      </w:r>
      <w:r w:rsidR="00D00EFE">
        <w:t>status</w:t>
      </w:r>
      <w:r w:rsidRPr="00F858B3">
        <w:t>, after taking into account individuals’ characteristics</w:t>
      </w:r>
      <w:r w:rsidR="005D095B">
        <w:t>.</w:t>
      </w:r>
      <w:r w:rsidR="00F746CB">
        <w:rPr>
          <w:rStyle w:val="FootnoteReference"/>
        </w:rPr>
        <w:footnoteReference w:id="9"/>
      </w:r>
      <w:r w:rsidRPr="00F858B3">
        <w:t xml:space="preserve"> They find that CRA has a small negative effect on employment, however</w:t>
      </w:r>
      <w:r w:rsidR="004D6BF8">
        <w:t>,</w:t>
      </w:r>
      <w:r w:rsidRPr="00F858B3">
        <w:t xml:space="preserve"> many of the estimates are not statistically significant.</w:t>
      </w:r>
    </w:p>
    <w:p w14:paraId="5D4238D4" w14:textId="21CF0BBA" w:rsidR="00571749" w:rsidRPr="00F858B3" w:rsidRDefault="00571749" w:rsidP="00F858B3">
      <w:pPr>
        <w:pStyle w:val="BodyText"/>
      </w:pPr>
      <w:r w:rsidRPr="00F858B3">
        <w:t>Wood, Ong and Dockery (2009) use repeated cross</w:t>
      </w:r>
      <w:r w:rsidR="00F858B3">
        <w:noBreakHyphen/>
      </w:r>
      <w:r w:rsidRPr="00F858B3">
        <w:t xml:space="preserve">sections from the ABS Survey of Income and Housing Costs between 1982 and 2002. Most of the decline in employment </w:t>
      </w:r>
      <w:r w:rsidRPr="00F858B3">
        <w:lastRenderedPageBreak/>
        <w:t xml:space="preserve">among male public housing tenants is attributed to changes in their observed characteristics. However, differences in observed characteristics do not explain the decline in employment rates among female residents of public housing, relative to women residing in other tenures. The authors suggest that unobserved </w:t>
      </w:r>
      <w:r w:rsidR="009114C1">
        <w:t>characteristics</w:t>
      </w:r>
      <w:r w:rsidR="009114C1" w:rsidRPr="00F858B3">
        <w:t xml:space="preserve"> </w:t>
      </w:r>
      <w:r w:rsidRPr="00F858B3">
        <w:t>are one potential explanation for lower employment among this group.</w:t>
      </w:r>
    </w:p>
    <w:p w14:paraId="508AF31C" w14:textId="449C9CA6" w:rsidR="00571749" w:rsidRPr="00F858B3" w:rsidRDefault="0055661A" w:rsidP="00F858B3">
      <w:pPr>
        <w:pStyle w:val="BodyText"/>
      </w:pPr>
      <w:r>
        <w:t>Like all empirical research projects, t</w:t>
      </w:r>
      <w:r w:rsidR="00571749" w:rsidRPr="00F858B3">
        <w:t xml:space="preserve">hese studies </w:t>
      </w:r>
      <w:r w:rsidR="005D095B">
        <w:t xml:space="preserve">faced </w:t>
      </w:r>
      <w:r>
        <w:t xml:space="preserve">some </w:t>
      </w:r>
      <w:r w:rsidR="00957BDD" w:rsidRPr="00F858B3">
        <w:t>data limitations</w:t>
      </w:r>
      <w:r w:rsidR="00571749" w:rsidRPr="00F858B3">
        <w:t>. In particular, the HILDA</w:t>
      </w:r>
      <w:r w:rsidR="00F858B3">
        <w:noBreakHyphen/>
      </w:r>
      <w:r w:rsidR="00571749" w:rsidRPr="00F858B3">
        <w:t xml:space="preserve">based studies </w:t>
      </w:r>
      <w:r w:rsidR="00957BDD" w:rsidRPr="00F858B3">
        <w:t xml:space="preserve">have no direct indicator of CRA status. </w:t>
      </w:r>
      <w:r w:rsidR="00571749" w:rsidRPr="00F858B3">
        <w:t xml:space="preserve">CRA status </w:t>
      </w:r>
      <w:r w:rsidR="00957BDD" w:rsidRPr="00F858B3">
        <w:t xml:space="preserve">is inferred </w:t>
      </w:r>
      <w:r w:rsidR="00571749" w:rsidRPr="00F858B3">
        <w:t xml:space="preserve">using reported income, income support payments, demographic characteristics and tenure status </w:t>
      </w:r>
      <w:r w:rsidR="004D6BF8">
        <w:t>(</w:t>
      </w:r>
      <w:r w:rsidR="00571749" w:rsidRPr="00F858B3">
        <w:t xml:space="preserve">Whelan </w:t>
      </w:r>
      <w:r w:rsidR="00497AB1" w:rsidRPr="00497AB1">
        <w:t>2004</w:t>
      </w:r>
      <w:r w:rsidR="00571749" w:rsidRPr="00F858B3">
        <w:t xml:space="preserve">, Whelan and Ong </w:t>
      </w:r>
      <w:r w:rsidR="0070267B" w:rsidRPr="0070267B">
        <w:t>2008</w:t>
      </w:r>
      <w:r w:rsidR="00571749" w:rsidRPr="00F858B3">
        <w:t xml:space="preserve"> and Dockery et al. </w:t>
      </w:r>
      <w:r w:rsidR="00AD1087" w:rsidRPr="00AD1087">
        <w:t>2008</w:t>
      </w:r>
      <w:r w:rsidR="004D6BF8">
        <w:t>)</w:t>
      </w:r>
      <w:r w:rsidR="00571749" w:rsidRPr="00F858B3">
        <w:t>. In addition, the comparatively small number of public housing residents means that there is a very small number of corresponding observations in the HILD</w:t>
      </w:r>
      <w:r w:rsidR="00F331D1">
        <w:t>A survey. For example, the 2001 </w:t>
      </w:r>
      <w:r w:rsidR="00571749" w:rsidRPr="00F858B3">
        <w:t xml:space="preserve">HILDA survey reports 379 households living in public housing </w:t>
      </w:r>
      <w:r w:rsidR="00497AB1" w:rsidRPr="00497AB1">
        <w:rPr>
          <w:szCs w:val="24"/>
        </w:rPr>
        <w:t>(Whelan 2004)</w:t>
      </w:r>
      <w:r w:rsidR="00571749" w:rsidRPr="00F858B3">
        <w:t>. The small number of observations means that it can be difficult to estimate any housing assistance effects precisely.</w:t>
      </w:r>
    </w:p>
    <w:p w14:paraId="7D9D47B1" w14:textId="77777777" w:rsidR="00571749" w:rsidRDefault="00571749" w:rsidP="00F858B3">
      <w:pPr>
        <w:pStyle w:val="BodyText"/>
      </w:pPr>
      <w:r w:rsidRPr="00F858B3">
        <w:t xml:space="preserve">The reliance on survey data that include limited housing assistance information suggests that panel models with </w:t>
      </w:r>
      <w:r w:rsidR="005A0B51">
        <w:t xml:space="preserve">large </w:t>
      </w:r>
      <w:r w:rsidRPr="00F858B3">
        <w:t>longitudinal administrative data</w:t>
      </w:r>
      <w:r w:rsidR="005A0B51">
        <w:t>sets</w:t>
      </w:r>
      <w:r w:rsidR="00670090">
        <w:t xml:space="preserve"> </w:t>
      </w:r>
      <w:r w:rsidR="005A0B51">
        <w:t xml:space="preserve">of the type used in this paper </w:t>
      </w:r>
      <w:r w:rsidR="00F746CB">
        <w:t>could</w:t>
      </w:r>
      <w:r w:rsidR="00F746CB" w:rsidRPr="00F858B3">
        <w:t xml:space="preserve"> </w:t>
      </w:r>
      <w:r w:rsidRPr="00F858B3">
        <w:t xml:space="preserve">provide </w:t>
      </w:r>
      <w:r w:rsidR="00F746CB">
        <w:t xml:space="preserve">additional </w:t>
      </w:r>
      <w:r w:rsidRPr="00F858B3">
        <w:t>insights into the effects of housing assistance</w:t>
      </w:r>
      <w:r w:rsidR="00885A96">
        <w:t xml:space="preserve"> on employment</w:t>
      </w:r>
      <w:r w:rsidRPr="00F858B3">
        <w:t>.</w:t>
      </w:r>
    </w:p>
    <w:p w14:paraId="15D45F4B" w14:textId="75D70CCD" w:rsidR="00571749" w:rsidRDefault="00D8076D" w:rsidP="00571749">
      <w:pPr>
        <w:pStyle w:val="Heading2"/>
      </w:pPr>
      <w:r>
        <w:rPr>
          <w:noProof/>
        </w:rPr>
        <w:t>2</w:t>
      </w:r>
      <w:r w:rsidR="00571749">
        <w:tab/>
        <w:t>Data</w:t>
      </w:r>
      <w:r w:rsidR="009C6277">
        <w:t xml:space="preserve"> used in this paper</w:t>
      </w:r>
    </w:p>
    <w:p w14:paraId="5092C3E9" w14:textId="790B61AE" w:rsidR="00877876" w:rsidRDefault="00571749" w:rsidP="00D47E94">
      <w:pPr>
        <w:pStyle w:val="BodyText"/>
        <w:rPr>
          <w:rStyle w:val="BodyTextChar"/>
        </w:rPr>
      </w:pPr>
      <w:r w:rsidRPr="00F858B3">
        <w:rPr>
          <w:rStyle w:val="BodyTextChar"/>
        </w:rPr>
        <w:t xml:space="preserve">The Research and Evaluation Database (RED) is a large database consisting of the </w:t>
      </w:r>
      <w:r w:rsidR="005A0B51">
        <w:rPr>
          <w:rStyle w:val="BodyTextChar"/>
        </w:rPr>
        <w:t xml:space="preserve">confidentialised </w:t>
      </w:r>
      <w:r w:rsidRPr="00F858B3">
        <w:rPr>
          <w:rStyle w:val="BodyTextChar"/>
        </w:rPr>
        <w:t xml:space="preserve">administrative records of </w:t>
      </w:r>
      <w:r w:rsidR="0098531F">
        <w:rPr>
          <w:rStyle w:val="BodyTextChar"/>
        </w:rPr>
        <w:t>ISP</w:t>
      </w:r>
      <w:r w:rsidRPr="00F858B3">
        <w:rPr>
          <w:rStyle w:val="BodyTextChar"/>
        </w:rPr>
        <w:t xml:space="preserve"> recipients, extracted from Centrelink’s Income Security Integrated System and the Department of Employment’s Integrated Employment System. RED includes </w:t>
      </w:r>
      <w:r w:rsidR="00F83BAA">
        <w:rPr>
          <w:rStyle w:val="BodyTextChar"/>
        </w:rPr>
        <w:t>de</w:t>
      </w:r>
      <w:r w:rsidR="00056061">
        <w:rPr>
          <w:rStyle w:val="BodyTextChar"/>
        </w:rPr>
        <w:noBreakHyphen/>
      </w:r>
      <w:r w:rsidR="00F83BAA">
        <w:rPr>
          <w:rStyle w:val="BodyTextChar"/>
        </w:rPr>
        <w:t xml:space="preserve">identified, </w:t>
      </w:r>
      <w:r w:rsidRPr="00F858B3">
        <w:rPr>
          <w:rStyle w:val="BodyTextChar"/>
        </w:rPr>
        <w:t>individual</w:t>
      </w:r>
      <w:r w:rsidR="00F858B3">
        <w:rPr>
          <w:rStyle w:val="BodyTextChar"/>
        </w:rPr>
        <w:noBreakHyphen/>
      </w:r>
      <w:r w:rsidRPr="00F858B3">
        <w:rPr>
          <w:rStyle w:val="BodyTextChar"/>
        </w:rPr>
        <w:t xml:space="preserve">level income support, demographic, housing assistance and </w:t>
      </w:r>
      <w:r w:rsidR="00734859">
        <w:rPr>
          <w:rStyle w:val="BodyTextChar"/>
        </w:rPr>
        <w:t xml:space="preserve">employment </w:t>
      </w:r>
      <w:r w:rsidR="0098531F">
        <w:rPr>
          <w:rStyle w:val="BodyTextChar"/>
        </w:rPr>
        <w:t>earnings</w:t>
      </w:r>
      <w:r w:rsidRPr="00F858B3">
        <w:rPr>
          <w:rStyle w:val="BodyTextChar"/>
        </w:rPr>
        <w:t xml:space="preserve"> </w:t>
      </w:r>
      <w:r w:rsidR="0098531F">
        <w:rPr>
          <w:rStyle w:val="BodyTextChar"/>
        </w:rPr>
        <w:t>information</w:t>
      </w:r>
      <w:r w:rsidRPr="00F858B3">
        <w:rPr>
          <w:rStyle w:val="BodyTextChar"/>
        </w:rPr>
        <w:t xml:space="preserve"> </w:t>
      </w:r>
      <w:r w:rsidR="0098531F">
        <w:rPr>
          <w:rStyle w:val="BodyTextChar"/>
        </w:rPr>
        <w:t>for</w:t>
      </w:r>
      <w:r w:rsidRPr="00F858B3">
        <w:rPr>
          <w:rStyle w:val="BodyTextChar"/>
        </w:rPr>
        <w:t xml:space="preserve"> all ISP recipients (box</w:t>
      </w:r>
      <w:r w:rsidR="00F858B3">
        <w:rPr>
          <w:rStyle w:val="BodyTextChar"/>
        </w:rPr>
        <w:t> </w:t>
      </w:r>
      <w:r w:rsidR="009C6277">
        <w:rPr>
          <w:rStyle w:val="BodyTextChar"/>
        </w:rPr>
        <w:t>2</w:t>
      </w:r>
      <w:r w:rsidRPr="00F858B3">
        <w:rPr>
          <w:rStyle w:val="BodyTextChar"/>
        </w:rPr>
        <w:t>).</w:t>
      </w:r>
      <w:r w:rsidR="008042F1">
        <w:rPr>
          <w:rStyle w:val="FootnoteReference"/>
        </w:rPr>
        <w:footnoteReference w:id="10"/>
      </w:r>
    </w:p>
    <w:p w14:paraId="44AF41CD" w14:textId="71142BF6" w:rsidR="00D47E94" w:rsidRDefault="00D47E94" w:rsidP="00D47E94">
      <w:pPr>
        <w:pStyle w:val="BodyText"/>
      </w:pPr>
      <w:r>
        <w:t>The estimation dataset comprised a series of linked annual cross</w:t>
      </w:r>
      <w:r>
        <w:noBreakHyphen/>
        <w:t>sections, with each cross</w:t>
      </w:r>
      <w:r>
        <w:noBreakHyphen/>
        <w:t>section consisting of ISP recipients aged between 16 and 65 active at June 30 of each year. Recipients of the Age Pension are not included due to the focus on employment status.</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77876" w14:paraId="2EFCDC1D" w14:textId="77777777" w:rsidTr="00050EEF">
        <w:tc>
          <w:tcPr>
            <w:tcW w:w="8771" w:type="dxa"/>
            <w:tcBorders>
              <w:top w:val="single" w:sz="6" w:space="0" w:color="78A22F"/>
              <w:left w:val="nil"/>
              <w:bottom w:val="nil"/>
              <w:right w:val="nil"/>
            </w:tcBorders>
            <w:shd w:val="clear" w:color="auto" w:fill="F2F2F2"/>
          </w:tcPr>
          <w:p w14:paraId="2972AA52" w14:textId="5710ECBA" w:rsidR="00877876" w:rsidRDefault="00877876" w:rsidP="00050EEF">
            <w:pPr>
              <w:pStyle w:val="BoxTitle"/>
            </w:pPr>
            <w:r>
              <w:rPr>
                <w:b w:val="0"/>
              </w:rPr>
              <w:lastRenderedPageBreak/>
              <w:t xml:space="preserve">Box </w:t>
            </w:r>
            <w:r w:rsidR="00D8076D">
              <w:rPr>
                <w:b w:val="0"/>
                <w:noProof/>
              </w:rPr>
              <w:t>2</w:t>
            </w:r>
            <w:r>
              <w:tab/>
              <w:t>The Research and Evaluation Database</w:t>
            </w:r>
          </w:p>
        </w:tc>
      </w:tr>
      <w:tr w:rsidR="00877876" w14:paraId="5D087D2D" w14:textId="77777777" w:rsidTr="00050EEF">
        <w:trPr>
          <w:cantSplit/>
        </w:trPr>
        <w:tc>
          <w:tcPr>
            <w:tcW w:w="8771" w:type="dxa"/>
            <w:tcBorders>
              <w:top w:val="nil"/>
              <w:left w:val="nil"/>
              <w:bottom w:val="nil"/>
              <w:right w:val="nil"/>
            </w:tcBorders>
            <w:shd w:val="clear" w:color="auto" w:fill="F2F2F2"/>
          </w:tcPr>
          <w:p w14:paraId="35951396" w14:textId="5601152C" w:rsidR="00877876" w:rsidRDefault="00877876" w:rsidP="00050EEF">
            <w:pPr>
              <w:pStyle w:val="Box"/>
            </w:pPr>
            <w:r>
              <w:t xml:space="preserve">The Research and Evaluation Database (RED) is a large administrative database </w:t>
            </w:r>
            <w:r w:rsidR="00DE561D">
              <w:t xml:space="preserve">maintained </w:t>
            </w:r>
            <w:r w:rsidR="00363722">
              <w:t>by</w:t>
            </w:r>
            <w:r>
              <w:t xml:space="preserve"> the Department of Employment. It consists of confidentialised information about eligibility for, and receipt of, income support payments (ISPs) over time. These longitudinal data include changes in individuals’ circumstances over time that affect ISPs and housing assistance. Any changes in employment</w:t>
            </w:r>
            <w:r w:rsidR="00056061">
              <w:noBreakHyphen/>
            </w:r>
            <w:r>
              <w:t>related earnings are recorded.</w:t>
            </w:r>
          </w:p>
          <w:p w14:paraId="331D2D2C" w14:textId="77777777" w:rsidR="00877876" w:rsidRDefault="00877876" w:rsidP="00050EEF">
            <w:pPr>
              <w:pStyle w:val="Box"/>
            </w:pPr>
            <w:r>
              <w:t>As an administrative database, RED provides comprehensive coverage of ISP recipients and, because of its size, allows the examination of detailed population subgroups. RED also identifies recipients of Commonwealth Rent Assistance (CRA) directly, which is a distinct advantage when compared with other sources, such as the Housing, Income and Labour Dynamics in Australia survey, in which CRA status must be imputed.</w:t>
            </w:r>
          </w:p>
          <w:p w14:paraId="015AB5FF" w14:textId="77777777" w:rsidR="00877876" w:rsidRDefault="00877876" w:rsidP="00050EEF">
            <w:pPr>
              <w:pStyle w:val="Box"/>
            </w:pPr>
            <w:r>
              <w:t>RED also has a number of limitations. First, it does not include information about ISP recipients’ highest level of education. To the extent that education remains constant over time, this is taken into account in the fixed effects model, discussed below. Second, the number of hours worked by ISP recipients is an unreliable variable as it is not collected for all ISP recipients, and was not mandatory for any ISP recipients prior to July 2006. This precluded analysis of the relationship between housing assistance and hours worked.</w:t>
            </w:r>
          </w:p>
          <w:p w14:paraId="1004B648" w14:textId="0BDD33A2" w:rsidR="00877876" w:rsidRDefault="00877876" w:rsidP="00050EEF">
            <w:pPr>
              <w:pStyle w:val="Box"/>
            </w:pPr>
            <w:r w:rsidRPr="00A30A1E">
              <w:t xml:space="preserve">Third, RED only includes individuals receiving ISPs, </w:t>
            </w:r>
            <w:r>
              <w:t>so does not include all working age recipients of housing assistance. Specifically, RED does not include information about: public housing residents who do not receive an ISP; recipients of Department of Veterans’ Affairs pensions; and people who receive CRA because they receive Family Tax</w:t>
            </w:r>
            <w:r w:rsidR="00B175C3">
              <w:t xml:space="preserve"> Benefit</w:t>
            </w:r>
            <w:r>
              <w:t xml:space="preserve"> Part A but do not receive an ISP. E</w:t>
            </w:r>
            <w:r w:rsidRPr="00A30A1E">
              <w:t>xcluding these groups from an analysis of the links between housing assistance and participation in employment</w:t>
            </w:r>
            <w:r>
              <w:t xml:space="preserve"> may be justified on the basis that:</w:t>
            </w:r>
          </w:p>
          <w:p w14:paraId="1FD195F1" w14:textId="75F85E22" w:rsidR="00877876" w:rsidRPr="00A30A1E" w:rsidRDefault="009632EB" w:rsidP="00050EEF">
            <w:pPr>
              <w:pStyle w:val="BoxListBullet"/>
            </w:pPr>
            <w:r>
              <w:t>p</w:t>
            </w:r>
            <w:r w:rsidR="00877876" w:rsidRPr="00A30A1E">
              <w:t>ublic housing residents who do not receive an ISP are likely to be paying market rents, and therefore not receiving a housing subsidy that might</w:t>
            </w:r>
            <w:r>
              <w:t xml:space="preserve"> reduce their incentive to work</w:t>
            </w:r>
          </w:p>
          <w:p w14:paraId="4671FCDB" w14:textId="1BC3BE07" w:rsidR="00877876" w:rsidRPr="00C70D01" w:rsidRDefault="009632EB" w:rsidP="00050EEF">
            <w:pPr>
              <w:pStyle w:val="BoxListBullet"/>
            </w:pPr>
            <w:r>
              <w:t>a</w:t>
            </w:r>
            <w:r w:rsidR="00165564">
              <w:t xml:space="preserve"> large</w:t>
            </w:r>
            <w:r w:rsidR="00E76F03">
              <w:t xml:space="preserve"> majority of Department of Veterans’ Aff</w:t>
            </w:r>
            <w:r w:rsidR="00165564">
              <w:t>airs pensioners are older than 6</w:t>
            </w:r>
            <w:r>
              <w:t>5 years of age </w:t>
            </w:r>
            <w:r w:rsidR="00C35E63" w:rsidRPr="00C35E63">
              <w:rPr>
                <w:rFonts w:cs="Arial"/>
                <w:szCs w:val="24"/>
              </w:rPr>
              <w:t>(DVA 2014)</w:t>
            </w:r>
          </w:p>
          <w:p w14:paraId="1DFE2588" w14:textId="372DBE79" w:rsidR="00877876" w:rsidRPr="00A30A1E" w:rsidRDefault="009632EB" w:rsidP="00050EEF">
            <w:pPr>
              <w:pStyle w:val="BoxListBullet"/>
            </w:pPr>
            <w:r>
              <w:t>p</w:t>
            </w:r>
            <w:r w:rsidR="00877876" w:rsidRPr="00A30A1E">
              <w:t xml:space="preserve">eople who do not receive income support but are eligible for CRA because they receive Family Tax Benefit Part A are not included in all RED tables, and so cannot be </w:t>
            </w:r>
            <w:r w:rsidR="00877876">
              <w:t>included in the</w:t>
            </w:r>
            <w:r w:rsidR="00877876" w:rsidRPr="00A30A1E">
              <w:t xml:space="preserve"> multivariate analysis. This group accounts for </w:t>
            </w:r>
            <w:r w:rsidR="00B175C3">
              <w:t>about</w:t>
            </w:r>
            <w:r w:rsidR="00B175C3" w:rsidRPr="00A30A1E">
              <w:t xml:space="preserve"> </w:t>
            </w:r>
            <w:r w:rsidR="00877876" w:rsidRPr="00A30A1E">
              <w:t>14 per cent of the CRA population, has relatively high rates of employment, and typically live</w:t>
            </w:r>
            <w:r w:rsidR="00877876">
              <w:t>s</w:t>
            </w:r>
            <w:r w:rsidR="00877876" w:rsidRPr="00A30A1E">
              <w:t xml:space="preserve"> in households with higher incomes than ISP recipients</w:t>
            </w:r>
            <w:r w:rsidR="00877876">
              <w:t xml:space="preserve"> (chapter</w:t>
            </w:r>
            <w:r w:rsidR="00531BBF">
              <w:t> </w:t>
            </w:r>
            <w:r w:rsidR="00877876">
              <w:t>3 in volume 1 of this report).</w:t>
            </w:r>
          </w:p>
          <w:p w14:paraId="39F2849C" w14:textId="77777777" w:rsidR="00877876" w:rsidRDefault="00877876" w:rsidP="00050EEF">
            <w:pPr>
              <w:pStyle w:val="Box"/>
            </w:pPr>
            <w:r>
              <w:t>Fourth, as noted above, RED does not allow the separate identification of community housing recipients. This is a comparatively small group of ISP recipients who are likely to face similar incentives to those residing in public housing, even though they are in receipt of CRA.</w:t>
            </w:r>
          </w:p>
          <w:p w14:paraId="27D622F9" w14:textId="77777777" w:rsidR="00877876" w:rsidRPr="009F6539" w:rsidRDefault="00877876" w:rsidP="00050EEF">
            <w:pPr>
              <w:pStyle w:val="Box"/>
              <w:rPr>
                <w:rStyle w:val="DraftingNote"/>
                <w:b w:val="0"/>
                <w:color w:val="auto"/>
                <w:sz w:val="20"/>
                <w:u w:val="none"/>
              </w:rPr>
            </w:pPr>
            <w:r>
              <w:t>Finally, RED does not specifically identify working age ISP recipients who live with their parents who receive housing assistance. However, it is possible to link some young ISP recipients (aged 16–24) to their parents who also received an ISP, and assign the young ISP recipient their parent’s housing assistance status. Linking is made possible by virtue of the fact that a parent had previously applied either for Family Tax Benefit Part A or Child Care Rebate payments. Linked parents and children who live in the same (SA1) geographic region are assumed to be living together. This work is discussed later in this section.</w:t>
            </w:r>
          </w:p>
        </w:tc>
      </w:tr>
      <w:tr w:rsidR="00877876" w14:paraId="6FC33CEE" w14:textId="77777777" w:rsidTr="00050EEF">
        <w:trPr>
          <w:cantSplit/>
        </w:trPr>
        <w:tc>
          <w:tcPr>
            <w:tcW w:w="8771" w:type="dxa"/>
            <w:tcBorders>
              <w:top w:val="nil"/>
              <w:left w:val="nil"/>
              <w:bottom w:val="single" w:sz="6" w:space="0" w:color="78A22F"/>
              <w:right w:val="nil"/>
            </w:tcBorders>
            <w:shd w:val="clear" w:color="auto" w:fill="F2F2F2"/>
          </w:tcPr>
          <w:p w14:paraId="29B71592" w14:textId="77777777" w:rsidR="00877876" w:rsidRDefault="00877876" w:rsidP="00050EEF">
            <w:pPr>
              <w:pStyle w:val="Box"/>
              <w:spacing w:before="0" w:line="120" w:lineRule="exact"/>
            </w:pPr>
          </w:p>
        </w:tc>
      </w:tr>
      <w:tr w:rsidR="00877876" w:rsidRPr="000863A5" w14:paraId="5B52F8C4" w14:textId="77777777" w:rsidTr="00050EEF">
        <w:tc>
          <w:tcPr>
            <w:tcW w:w="8771" w:type="dxa"/>
            <w:tcBorders>
              <w:top w:val="single" w:sz="6" w:space="0" w:color="78A22F"/>
              <w:left w:val="nil"/>
              <w:bottom w:val="nil"/>
              <w:right w:val="nil"/>
            </w:tcBorders>
          </w:tcPr>
          <w:p w14:paraId="30056DD3" w14:textId="6C0C23CB" w:rsidR="00877876" w:rsidRPr="00626D32" w:rsidRDefault="00877876" w:rsidP="00050EEF">
            <w:pPr>
              <w:pStyle w:val="BoxSpaceBelow"/>
            </w:pPr>
          </w:p>
        </w:tc>
      </w:tr>
    </w:tbl>
    <w:p w14:paraId="259C066C" w14:textId="0D127121" w:rsidR="005E373E" w:rsidRPr="00D47E94" w:rsidRDefault="005E373E" w:rsidP="005E373E">
      <w:pPr>
        <w:pStyle w:val="BodyText"/>
        <w:rPr>
          <w:spacing w:val="-2"/>
        </w:rPr>
      </w:pPr>
      <w:r w:rsidRPr="00D47E94">
        <w:rPr>
          <w:spacing w:val="-2"/>
        </w:rPr>
        <w:t xml:space="preserve">Data for the years between 2004 and 2013 were initially extracted from RED. People who were receiving an ISP at 30 June of a given year were included in this data extraction. However, the housing assistance status variable used in the analysis was lagged by one year, </w:t>
      </w:r>
      <w:r w:rsidRPr="00D47E94">
        <w:rPr>
          <w:spacing w:val="-2"/>
        </w:rPr>
        <w:lastRenderedPageBreak/>
        <w:t xml:space="preserve">to address the potential for reverse causality, meaning that the estimation dataset spans from 2005 to 2013. (Reverse causality and the use of lagged housing assistance as an approach to addressing this problem are discussed in section 3.) As a result of using lagged housing assistance status, people must appear in RED at 30 June in two consecutive years to be included in the estimation dataset — that is, information about their housing assistance at 30 June of the previous year as well as contemporaneous information for other variables, must be available. </w:t>
      </w:r>
    </w:p>
    <w:p w14:paraId="3A34CEE3" w14:textId="3FD6266D" w:rsidR="00877876" w:rsidRPr="00D47E94" w:rsidRDefault="00877876" w:rsidP="00877876">
      <w:pPr>
        <w:pStyle w:val="BodyText"/>
        <w:rPr>
          <w:spacing w:val="-2"/>
        </w:rPr>
      </w:pPr>
      <w:r w:rsidRPr="00D47E94">
        <w:rPr>
          <w:rStyle w:val="BodyTextChar"/>
          <w:spacing w:val="-2"/>
        </w:rPr>
        <w:t>Th</w:t>
      </w:r>
      <w:r w:rsidR="005E373E" w:rsidRPr="00D47E94">
        <w:rPr>
          <w:rStyle w:val="BodyTextChar"/>
          <w:spacing w:val="-2"/>
        </w:rPr>
        <w:t>e</w:t>
      </w:r>
      <w:r w:rsidR="006F41EB" w:rsidRPr="00D47E94">
        <w:rPr>
          <w:rStyle w:val="BodyTextChar"/>
          <w:spacing w:val="-2"/>
        </w:rPr>
        <w:t xml:space="preserve"> estimation dataset </w:t>
      </w:r>
      <w:r w:rsidRPr="00D47E94">
        <w:rPr>
          <w:rStyle w:val="BodyTextChar"/>
          <w:spacing w:val="-2"/>
        </w:rPr>
        <w:t>comprise</w:t>
      </w:r>
      <w:r w:rsidR="006F33A7" w:rsidRPr="00D47E94">
        <w:rPr>
          <w:rStyle w:val="BodyTextChar"/>
          <w:spacing w:val="-2"/>
        </w:rPr>
        <w:t>d</w:t>
      </w:r>
      <w:r w:rsidRPr="00D47E94">
        <w:rPr>
          <w:rStyle w:val="BodyTextChar"/>
          <w:spacing w:val="-2"/>
        </w:rPr>
        <w:t xml:space="preserve"> </w:t>
      </w:r>
      <w:r w:rsidRPr="00D47E94">
        <w:rPr>
          <w:spacing w:val="-2"/>
        </w:rPr>
        <w:t xml:space="preserve">over 18 million observations of over 4.1 million working age ISP recipients between the years 2005 and 2013. On average, there </w:t>
      </w:r>
      <w:r w:rsidR="006F33A7" w:rsidRPr="00D47E94">
        <w:rPr>
          <w:spacing w:val="-2"/>
        </w:rPr>
        <w:t>were</w:t>
      </w:r>
      <w:r w:rsidRPr="00D47E94">
        <w:rPr>
          <w:spacing w:val="-2"/>
        </w:rPr>
        <w:t xml:space="preserve"> around 2</w:t>
      </w:r>
      <w:r w:rsidR="00B175C3" w:rsidRPr="00D47E94">
        <w:rPr>
          <w:spacing w:val="-2"/>
        </w:rPr>
        <w:t> </w:t>
      </w:r>
      <w:r w:rsidRPr="00D47E94">
        <w:rPr>
          <w:spacing w:val="-2"/>
        </w:rPr>
        <w:t xml:space="preserve">million individual observations in each year of the dataset. While RED provides information on ISP recipients from 1998 onwards, the lack of a reliable housing assistance variable prior to late 2002 and the size of the database precluded using all available observations. </w:t>
      </w:r>
    </w:p>
    <w:p w14:paraId="16F1A027" w14:textId="42974119" w:rsidR="00877876" w:rsidRDefault="00877876" w:rsidP="00877876">
      <w:pPr>
        <w:pStyle w:val="BodyText"/>
      </w:pPr>
      <w:r>
        <w:t>The panel data are not balanced. While around 18 per cent of ISP recipients are present in all years of the panel dataset, the remainder appear only in a portion of the panel because they transition into and out of the longitudinal dataset over time (figure 1). Given that RED contains a comprehensive representation of ISP recipients at any point in time, the transitions out of the data represent people dying, reaching retirement age or moving off income support as their income changes. It is not possible to ascertain whether income support ceases because people become employed or for other reasons.</w:t>
      </w:r>
    </w:p>
    <w:p w14:paraId="6ADC6A94" w14:textId="28C60ECB" w:rsidR="00877876" w:rsidRDefault="00877876" w:rsidP="0087787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77876" w14:paraId="631BBB54" w14:textId="77777777" w:rsidTr="00050EEF">
        <w:tc>
          <w:tcPr>
            <w:tcW w:w="8771" w:type="dxa"/>
            <w:tcBorders>
              <w:top w:val="single" w:sz="6" w:space="0" w:color="78A22F"/>
              <w:left w:val="nil"/>
              <w:bottom w:val="nil"/>
              <w:right w:val="nil"/>
            </w:tcBorders>
            <w:shd w:val="clear" w:color="auto" w:fill="auto"/>
          </w:tcPr>
          <w:p w14:paraId="24F19632" w14:textId="6A125D61" w:rsidR="00877876" w:rsidRPr="00B175C3" w:rsidRDefault="00877876" w:rsidP="00D47E94">
            <w:pPr>
              <w:pStyle w:val="FigureTitle"/>
              <w:rPr>
                <w:rStyle w:val="NoteLabel"/>
              </w:rPr>
            </w:pPr>
            <w:r w:rsidRPr="00784A05">
              <w:rPr>
                <w:b w:val="0"/>
              </w:rPr>
              <w:t xml:space="preserve">Figure </w:t>
            </w:r>
            <w:r w:rsidR="00D8076D">
              <w:rPr>
                <w:b w:val="0"/>
                <w:noProof/>
              </w:rPr>
              <w:t>1</w:t>
            </w:r>
            <w:r>
              <w:tab/>
              <w:t>Number of times a person appears in the data, 2005–2013</w:t>
            </w:r>
            <w:r w:rsidR="00B175C3" w:rsidRPr="00B175C3">
              <w:rPr>
                <w:rStyle w:val="NoteLabel"/>
                <w:b/>
              </w:rPr>
              <w:t>a</w:t>
            </w:r>
          </w:p>
        </w:tc>
      </w:tr>
      <w:tr w:rsidR="00877876" w14:paraId="5E1CED26" w14:textId="77777777" w:rsidTr="00050EEF">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877876" w14:paraId="09820F96" w14:textId="77777777" w:rsidTr="00050EEF">
              <w:trPr>
                <w:jc w:val="center"/>
              </w:trPr>
              <w:tc>
                <w:tcPr>
                  <w:tcW w:w="8504" w:type="dxa"/>
                  <w:tcBorders>
                    <w:top w:val="nil"/>
                    <w:bottom w:val="nil"/>
                  </w:tcBorders>
                </w:tcPr>
                <w:p w14:paraId="39EE6413" w14:textId="773965AE" w:rsidR="00877876" w:rsidRDefault="00FF6C99" w:rsidP="00050EEF">
                  <w:pPr>
                    <w:pStyle w:val="Figure"/>
                    <w:spacing w:before="60" w:after="60"/>
                  </w:pPr>
                  <w:r>
                    <w:rPr>
                      <w:noProof/>
                    </w:rPr>
                    <w:drawing>
                      <wp:inline distT="0" distB="0" distL="0" distR="0" wp14:anchorId="15043030" wp14:editId="30251E12">
                        <wp:extent cx="5257800" cy="2571750"/>
                        <wp:effectExtent l="0" t="0" r="0" b="0"/>
                        <wp:docPr id="7" name="Picture 7" descr="This figure shows the number of times an individual appears in the panel dataset. The highest frequency is two appearances, with over 820,000 people appearing twice. About 730,000 appear in all nine years." title="Figure 1: Number of times a person appears in the panel data, 2005–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57800" cy="2571750"/>
                                </a:xfrm>
                                <a:prstGeom prst="rect">
                                  <a:avLst/>
                                </a:prstGeom>
                                <a:noFill/>
                                <a:ln>
                                  <a:noFill/>
                                </a:ln>
                              </pic:spPr>
                            </pic:pic>
                          </a:graphicData>
                        </a:graphic>
                      </wp:inline>
                    </w:drawing>
                  </w:r>
                </w:p>
              </w:tc>
            </w:tr>
          </w:tbl>
          <w:p w14:paraId="5D9CA96F" w14:textId="77777777" w:rsidR="00877876" w:rsidRDefault="00877876" w:rsidP="00050EEF">
            <w:pPr>
              <w:pStyle w:val="Figure"/>
            </w:pPr>
          </w:p>
        </w:tc>
      </w:tr>
      <w:tr w:rsidR="00877876" w:rsidRPr="00176D3F" w14:paraId="4915875B" w14:textId="77777777" w:rsidTr="00050EEF">
        <w:tc>
          <w:tcPr>
            <w:tcW w:w="8771" w:type="dxa"/>
            <w:tcBorders>
              <w:top w:val="nil"/>
              <w:left w:val="nil"/>
              <w:bottom w:val="nil"/>
              <w:right w:val="nil"/>
            </w:tcBorders>
            <w:shd w:val="clear" w:color="auto" w:fill="auto"/>
          </w:tcPr>
          <w:p w14:paraId="16C2C53E" w14:textId="77777777" w:rsidR="00877876" w:rsidRPr="00176D3F" w:rsidRDefault="00877876" w:rsidP="00050EEF">
            <w:pPr>
              <w:pStyle w:val="Note"/>
            </w:pPr>
            <w:r>
              <w:rPr>
                <w:rStyle w:val="NoteLabel"/>
              </w:rPr>
              <w:t>a</w:t>
            </w:r>
            <w:r>
              <w:t xml:space="preserve"> Number of </w:t>
            </w:r>
            <w:r w:rsidRPr="00F62E12">
              <w:t>ISP recipients aged 16–</w:t>
            </w:r>
            <w:r>
              <w:t>65</w:t>
            </w:r>
            <w:r w:rsidRPr="00F62E12">
              <w:t xml:space="preserve"> at 30 June </w:t>
            </w:r>
            <w:r>
              <w:t>of each year. Individuals who make a single appearance in the estimation dataset have one contemporaneous observation and were in the dataset at the preceding 30 June (so their housing assistance status at that point is known).</w:t>
            </w:r>
          </w:p>
        </w:tc>
      </w:tr>
      <w:tr w:rsidR="00877876" w:rsidRPr="00176D3F" w14:paraId="6346A306" w14:textId="77777777" w:rsidTr="00050EEF">
        <w:tc>
          <w:tcPr>
            <w:tcW w:w="8771" w:type="dxa"/>
            <w:tcBorders>
              <w:top w:val="nil"/>
              <w:left w:val="nil"/>
              <w:bottom w:val="nil"/>
              <w:right w:val="nil"/>
            </w:tcBorders>
            <w:shd w:val="clear" w:color="auto" w:fill="auto"/>
          </w:tcPr>
          <w:p w14:paraId="59F691DD" w14:textId="77777777" w:rsidR="00877876" w:rsidRPr="00176D3F" w:rsidRDefault="00877876" w:rsidP="00050EEF">
            <w:pPr>
              <w:pStyle w:val="Source"/>
            </w:pPr>
            <w:r>
              <w:rPr>
                <w:i/>
              </w:rPr>
              <w:t>S</w:t>
            </w:r>
            <w:r w:rsidRPr="00784A05">
              <w:rPr>
                <w:i/>
              </w:rPr>
              <w:t>ource</w:t>
            </w:r>
            <w:r w:rsidRPr="00176D3F">
              <w:t xml:space="preserve">: </w:t>
            </w:r>
            <w:r>
              <w:t>Author estimates, Research and Evaluation Database.</w:t>
            </w:r>
          </w:p>
        </w:tc>
      </w:tr>
      <w:tr w:rsidR="00877876" w14:paraId="33613E10" w14:textId="77777777" w:rsidTr="00050EEF">
        <w:tc>
          <w:tcPr>
            <w:tcW w:w="8771" w:type="dxa"/>
            <w:tcBorders>
              <w:top w:val="nil"/>
              <w:left w:val="nil"/>
              <w:bottom w:val="single" w:sz="6" w:space="0" w:color="78A22F"/>
              <w:right w:val="nil"/>
            </w:tcBorders>
            <w:shd w:val="clear" w:color="auto" w:fill="auto"/>
          </w:tcPr>
          <w:p w14:paraId="27E911EB" w14:textId="77777777" w:rsidR="00877876" w:rsidRDefault="00877876" w:rsidP="00050EEF">
            <w:pPr>
              <w:pStyle w:val="Figurespace"/>
            </w:pPr>
          </w:p>
        </w:tc>
      </w:tr>
      <w:tr w:rsidR="00877876" w:rsidRPr="000863A5" w14:paraId="13D96F7E" w14:textId="77777777" w:rsidTr="00050EEF">
        <w:tc>
          <w:tcPr>
            <w:tcW w:w="8771" w:type="dxa"/>
            <w:tcBorders>
              <w:top w:val="single" w:sz="6" w:space="0" w:color="78A22F"/>
              <w:left w:val="nil"/>
              <w:bottom w:val="nil"/>
              <w:right w:val="nil"/>
            </w:tcBorders>
          </w:tcPr>
          <w:p w14:paraId="3496AF8C" w14:textId="28727BCE" w:rsidR="00877876" w:rsidRPr="00626D32" w:rsidRDefault="00877876" w:rsidP="00050EEF">
            <w:pPr>
              <w:pStyle w:val="BoxSpaceBelow"/>
            </w:pPr>
          </w:p>
        </w:tc>
      </w:tr>
    </w:tbl>
    <w:p w14:paraId="5BE29C17" w14:textId="6E798232" w:rsidR="00D47E94" w:rsidRPr="00F858B3" w:rsidRDefault="00D47E94" w:rsidP="00D47E94">
      <w:pPr>
        <w:pStyle w:val="BodyText"/>
        <w:rPr>
          <w:rStyle w:val="BodyTextChar"/>
        </w:rPr>
      </w:pPr>
      <w:r w:rsidRPr="00B8169C">
        <w:t>Variables drawn from RED and used in the estimation dataset are described in table 1</w:t>
      </w:r>
      <w:r>
        <w:t>.</w:t>
      </w:r>
    </w:p>
    <w:p w14:paraId="17970241" w14:textId="4B044DD3" w:rsidR="00571749" w:rsidRDefault="00571749" w:rsidP="0057174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71749" w14:paraId="45F9AF2F" w14:textId="77777777" w:rsidTr="004235A4">
        <w:tc>
          <w:tcPr>
            <w:tcW w:w="8771" w:type="dxa"/>
            <w:tcBorders>
              <w:top w:val="single" w:sz="6" w:space="0" w:color="78A22F"/>
              <w:left w:val="nil"/>
              <w:bottom w:val="nil"/>
              <w:right w:val="nil"/>
            </w:tcBorders>
            <w:shd w:val="clear" w:color="auto" w:fill="auto"/>
          </w:tcPr>
          <w:p w14:paraId="173E240C" w14:textId="1AC7940E" w:rsidR="00571749" w:rsidRPr="00784A05" w:rsidRDefault="00571749" w:rsidP="004235A4">
            <w:pPr>
              <w:pStyle w:val="TableTitle"/>
            </w:pPr>
            <w:r>
              <w:rPr>
                <w:b w:val="0"/>
              </w:rPr>
              <w:t xml:space="preserve">Table </w:t>
            </w:r>
            <w:r w:rsidR="00D8076D">
              <w:rPr>
                <w:b w:val="0"/>
                <w:noProof/>
              </w:rPr>
              <w:t>1</w:t>
            </w:r>
            <w:r>
              <w:tab/>
              <w:t>Variables used in housing assistance analysis</w:t>
            </w:r>
          </w:p>
        </w:tc>
      </w:tr>
      <w:tr w:rsidR="00571749" w14:paraId="0C12AC1C" w14:textId="77777777" w:rsidTr="004235A4">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821"/>
              <w:gridCol w:w="6666"/>
            </w:tblGrid>
            <w:tr w:rsidR="00571749" w14:paraId="44BCA8CA" w14:textId="77777777" w:rsidTr="004235A4">
              <w:tc>
                <w:tcPr>
                  <w:tcW w:w="1073" w:type="pct"/>
                  <w:tcBorders>
                    <w:top w:val="single" w:sz="6" w:space="0" w:color="BFBFBF"/>
                    <w:bottom w:val="single" w:sz="6" w:space="0" w:color="BFBFBF"/>
                  </w:tcBorders>
                  <w:shd w:val="clear" w:color="auto" w:fill="auto"/>
                  <w:tcMar>
                    <w:top w:w="28" w:type="dxa"/>
                  </w:tcMar>
                </w:tcPr>
                <w:p w14:paraId="16C27B37" w14:textId="77777777" w:rsidR="00571749" w:rsidRDefault="00571749" w:rsidP="004235A4">
                  <w:pPr>
                    <w:pStyle w:val="TableColumnHeading"/>
                    <w:jc w:val="left"/>
                  </w:pPr>
                  <w:r>
                    <w:t>Variable</w:t>
                  </w:r>
                </w:p>
              </w:tc>
              <w:tc>
                <w:tcPr>
                  <w:tcW w:w="3927" w:type="pct"/>
                  <w:tcBorders>
                    <w:top w:val="single" w:sz="6" w:space="0" w:color="BFBFBF"/>
                    <w:bottom w:val="single" w:sz="6" w:space="0" w:color="BFBFBF"/>
                  </w:tcBorders>
                  <w:shd w:val="clear" w:color="auto" w:fill="auto"/>
                  <w:tcMar>
                    <w:top w:w="28" w:type="dxa"/>
                  </w:tcMar>
                </w:tcPr>
                <w:p w14:paraId="3DFD97FD" w14:textId="77777777" w:rsidR="00571749" w:rsidRDefault="00571749" w:rsidP="004235A4">
                  <w:pPr>
                    <w:pStyle w:val="TableColumnHeading"/>
                    <w:ind w:right="28"/>
                    <w:jc w:val="left"/>
                  </w:pPr>
                  <w:r>
                    <w:t>Definition</w:t>
                  </w:r>
                </w:p>
              </w:tc>
            </w:tr>
            <w:tr w:rsidR="00571749" w14:paraId="1C145086" w14:textId="77777777" w:rsidTr="004235A4">
              <w:tc>
                <w:tcPr>
                  <w:tcW w:w="1073" w:type="pct"/>
                  <w:tcBorders>
                    <w:top w:val="single" w:sz="6" w:space="0" w:color="BFBFBF"/>
                  </w:tcBorders>
                </w:tcPr>
                <w:p w14:paraId="14A42C18" w14:textId="77777777" w:rsidR="00571749" w:rsidRDefault="00571749" w:rsidP="004235A4">
                  <w:pPr>
                    <w:pStyle w:val="TableUnitsRow"/>
                    <w:jc w:val="left"/>
                  </w:pPr>
                  <w:r>
                    <w:t xml:space="preserve">Employment </w:t>
                  </w:r>
                </w:p>
              </w:tc>
              <w:tc>
                <w:tcPr>
                  <w:tcW w:w="3927" w:type="pct"/>
                  <w:tcBorders>
                    <w:top w:val="single" w:sz="6" w:space="0" w:color="BFBFBF"/>
                  </w:tcBorders>
                </w:tcPr>
                <w:p w14:paraId="793C5EF8" w14:textId="77777777" w:rsidR="00571749" w:rsidRDefault="00571749" w:rsidP="00885A96">
                  <w:pPr>
                    <w:pStyle w:val="TableUnitsRow"/>
                    <w:ind w:right="28"/>
                    <w:jc w:val="both"/>
                  </w:pPr>
                  <w:r>
                    <w:t xml:space="preserve">Indicates employment status, </w:t>
                  </w:r>
                  <w:r w:rsidR="00885A96">
                    <w:t xml:space="preserve">imputed from </w:t>
                  </w:r>
                  <w:r>
                    <w:t>reported earnings.</w:t>
                  </w:r>
                </w:p>
              </w:tc>
            </w:tr>
            <w:tr w:rsidR="00571749" w14:paraId="6663F179" w14:textId="77777777" w:rsidTr="004235A4">
              <w:tc>
                <w:tcPr>
                  <w:tcW w:w="1073" w:type="pct"/>
                </w:tcPr>
                <w:p w14:paraId="5261E50B" w14:textId="77777777" w:rsidR="00571749" w:rsidRDefault="00571749" w:rsidP="004235A4">
                  <w:pPr>
                    <w:pStyle w:val="TableBodyText"/>
                    <w:jc w:val="left"/>
                  </w:pPr>
                  <w:r>
                    <w:t>Age group</w:t>
                  </w:r>
                </w:p>
              </w:tc>
              <w:tc>
                <w:tcPr>
                  <w:tcW w:w="3927" w:type="pct"/>
                </w:tcPr>
                <w:p w14:paraId="109CB1F6" w14:textId="77777777" w:rsidR="00571749" w:rsidRDefault="00571749" w:rsidP="004235A4">
                  <w:pPr>
                    <w:pStyle w:val="TableBodyText"/>
                    <w:ind w:right="28"/>
                    <w:jc w:val="both"/>
                  </w:pPr>
                  <w:r>
                    <w:t>Age group in a given year.</w:t>
                  </w:r>
                </w:p>
              </w:tc>
            </w:tr>
            <w:tr w:rsidR="00571749" w14:paraId="349365F2" w14:textId="77777777" w:rsidTr="004235A4">
              <w:tc>
                <w:tcPr>
                  <w:tcW w:w="1073" w:type="pct"/>
                  <w:shd w:val="clear" w:color="auto" w:fill="auto"/>
                </w:tcPr>
                <w:p w14:paraId="23339742" w14:textId="77777777" w:rsidR="00571749" w:rsidRDefault="00571749" w:rsidP="004235A4">
                  <w:pPr>
                    <w:pStyle w:val="TableBodyText"/>
                    <w:jc w:val="left"/>
                  </w:pPr>
                  <w:r>
                    <w:t>Female</w:t>
                  </w:r>
                </w:p>
              </w:tc>
              <w:tc>
                <w:tcPr>
                  <w:tcW w:w="3927" w:type="pct"/>
                  <w:shd w:val="clear" w:color="auto" w:fill="auto"/>
                </w:tcPr>
                <w:p w14:paraId="0D3E92D3" w14:textId="77777777" w:rsidR="00571749" w:rsidRDefault="00571749" w:rsidP="00782E4E">
                  <w:pPr>
                    <w:pStyle w:val="TableBodyText"/>
                    <w:ind w:right="28"/>
                    <w:jc w:val="both"/>
                  </w:pPr>
                  <w:r>
                    <w:t xml:space="preserve">Indicates </w:t>
                  </w:r>
                  <w:r w:rsidR="00782E4E">
                    <w:t xml:space="preserve">if </w:t>
                  </w:r>
                  <w:r>
                    <w:t>an ISP recipient</w:t>
                  </w:r>
                  <w:r w:rsidR="00782E4E">
                    <w:t xml:space="preserve"> is female</w:t>
                  </w:r>
                  <w:r>
                    <w:t>.</w:t>
                  </w:r>
                </w:p>
              </w:tc>
            </w:tr>
            <w:tr w:rsidR="00571749" w14:paraId="2847DACF" w14:textId="77777777" w:rsidTr="004235A4">
              <w:tc>
                <w:tcPr>
                  <w:tcW w:w="1073" w:type="pct"/>
                  <w:shd w:val="clear" w:color="auto" w:fill="auto"/>
                </w:tcPr>
                <w:p w14:paraId="15BABEB9" w14:textId="77777777" w:rsidR="00571749" w:rsidRDefault="00782E4E" w:rsidP="004235A4">
                  <w:pPr>
                    <w:pStyle w:val="TableBodyText"/>
                    <w:jc w:val="left"/>
                  </w:pPr>
                  <w:r>
                    <w:t>Married/de facto</w:t>
                  </w:r>
                </w:p>
              </w:tc>
              <w:tc>
                <w:tcPr>
                  <w:tcW w:w="3927" w:type="pct"/>
                  <w:shd w:val="clear" w:color="auto" w:fill="auto"/>
                </w:tcPr>
                <w:p w14:paraId="38336F76" w14:textId="77777777" w:rsidR="00571749" w:rsidRDefault="00571749" w:rsidP="004235A4">
                  <w:pPr>
                    <w:pStyle w:val="TableBodyText"/>
                    <w:ind w:right="28"/>
                    <w:jc w:val="both"/>
                  </w:pPr>
                  <w:r>
                    <w:t>Indicates if an individual is married or in a de facto relationship</w:t>
                  </w:r>
                  <w:r w:rsidR="00782E4E">
                    <w:t>. The variable is binary, with the default category being ‘single’.</w:t>
                  </w:r>
                </w:p>
              </w:tc>
            </w:tr>
            <w:tr w:rsidR="00571749" w14:paraId="2DD52BB4" w14:textId="77777777" w:rsidTr="004235A4">
              <w:tc>
                <w:tcPr>
                  <w:tcW w:w="1073" w:type="pct"/>
                  <w:shd w:val="clear" w:color="auto" w:fill="auto"/>
                </w:tcPr>
                <w:p w14:paraId="67A201FA" w14:textId="77777777" w:rsidR="00571749" w:rsidRDefault="00571749" w:rsidP="004235A4">
                  <w:pPr>
                    <w:pStyle w:val="TableBodyText"/>
                    <w:jc w:val="left"/>
                  </w:pPr>
                  <w:r>
                    <w:t>Indigenous</w:t>
                  </w:r>
                </w:p>
              </w:tc>
              <w:tc>
                <w:tcPr>
                  <w:tcW w:w="3927" w:type="pct"/>
                  <w:shd w:val="clear" w:color="auto" w:fill="auto"/>
                </w:tcPr>
                <w:p w14:paraId="4D32B84C" w14:textId="77777777" w:rsidR="00571749" w:rsidRDefault="00571749" w:rsidP="004235A4">
                  <w:pPr>
                    <w:pStyle w:val="TableBodyText"/>
                    <w:ind w:right="28"/>
                    <w:jc w:val="both"/>
                  </w:pPr>
                  <w:r>
                    <w:t>Indicates if an individual identifies as an Aboriginal or Torres Strait Islander.</w:t>
                  </w:r>
                </w:p>
              </w:tc>
            </w:tr>
            <w:tr w:rsidR="00571749" w14:paraId="196A8B12" w14:textId="77777777" w:rsidTr="004235A4">
              <w:tc>
                <w:tcPr>
                  <w:tcW w:w="1073" w:type="pct"/>
                  <w:shd w:val="clear" w:color="auto" w:fill="auto"/>
                </w:tcPr>
                <w:p w14:paraId="65FA680A" w14:textId="77777777" w:rsidR="00571749" w:rsidRDefault="00571749" w:rsidP="004235A4">
                  <w:pPr>
                    <w:pStyle w:val="TableBodyText"/>
                    <w:jc w:val="left"/>
                  </w:pPr>
                  <w:r>
                    <w:t>English</w:t>
                  </w:r>
                  <w:r w:rsidR="00782E4E">
                    <w:t xml:space="preserve"> as preferred language</w:t>
                  </w:r>
                  <w:r>
                    <w:t xml:space="preserve"> </w:t>
                  </w:r>
                </w:p>
              </w:tc>
              <w:tc>
                <w:tcPr>
                  <w:tcW w:w="3927" w:type="pct"/>
                  <w:shd w:val="clear" w:color="auto" w:fill="auto"/>
                </w:tcPr>
                <w:p w14:paraId="527624B1" w14:textId="77777777" w:rsidR="00571749" w:rsidRDefault="00571749" w:rsidP="004235A4">
                  <w:pPr>
                    <w:pStyle w:val="TableBodyText"/>
                    <w:ind w:right="28"/>
                    <w:jc w:val="both"/>
                  </w:pPr>
                  <w:r>
                    <w:t>Indicates if an individual’s preferred spoken language for communication is English.</w:t>
                  </w:r>
                </w:p>
              </w:tc>
            </w:tr>
            <w:tr w:rsidR="00571749" w14:paraId="5AE17E59" w14:textId="77777777" w:rsidTr="004235A4">
              <w:tc>
                <w:tcPr>
                  <w:tcW w:w="1073" w:type="pct"/>
                  <w:shd w:val="clear" w:color="auto" w:fill="auto"/>
                </w:tcPr>
                <w:p w14:paraId="2765F32E" w14:textId="77777777" w:rsidR="00571749" w:rsidRDefault="00571749" w:rsidP="00C23DDC">
                  <w:pPr>
                    <w:pStyle w:val="TableBodyText"/>
                    <w:jc w:val="left"/>
                  </w:pPr>
                  <w:r>
                    <w:t>Dependent children, aged</w:t>
                  </w:r>
                  <w:r w:rsidR="00C23DDC">
                    <w:t xml:space="preserve"> </w:t>
                  </w:r>
                  <w:r>
                    <w:t>0</w:t>
                  </w:r>
                  <w:r w:rsidR="00C23DDC">
                    <w:t>–4</w:t>
                  </w:r>
                </w:p>
              </w:tc>
              <w:tc>
                <w:tcPr>
                  <w:tcW w:w="3927" w:type="pct"/>
                  <w:shd w:val="clear" w:color="auto" w:fill="auto"/>
                </w:tcPr>
                <w:p w14:paraId="0D2EE3B0" w14:textId="77777777" w:rsidR="00571749" w:rsidRDefault="00571749" w:rsidP="00C23DDC">
                  <w:pPr>
                    <w:pStyle w:val="TableBodyText"/>
                    <w:ind w:right="28"/>
                    <w:jc w:val="both"/>
                  </w:pPr>
                  <w:r>
                    <w:t xml:space="preserve">Number of dependent children </w:t>
                  </w:r>
                  <w:r w:rsidR="00C23DDC">
                    <w:t>under the age of 5</w:t>
                  </w:r>
                  <w:r>
                    <w:t>.</w:t>
                  </w:r>
                </w:p>
              </w:tc>
            </w:tr>
            <w:tr w:rsidR="00571749" w14:paraId="4B174F06" w14:textId="77777777" w:rsidTr="004235A4">
              <w:tc>
                <w:tcPr>
                  <w:tcW w:w="1073" w:type="pct"/>
                  <w:shd w:val="clear" w:color="auto" w:fill="auto"/>
                </w:tcPr>
                <w:p w14:paraId="17B90B01" w14:textId="77777777" w:rsidR="00571749" w:rsidRDefault="00571749" w:rsidP="004235A4">
                  <w:pPr>
                    <w:pStyle w:val="TableBodyText"/>
                    <w:jc w:val="left"/>
                  </w:pPr>
                  <w:r>
                    <w:t>Dependent children, aged 5–14</w:t>
                  </w:r>
                </w:p>
              </w:tc>
              <w:tc>
                <w:tcPr>
                  <w:tcW w:w="3927" w:type="pct"/>
                  <w:shd w:val="clear" w:color="auto" w:fill="auto"/>
                </w:tcPr>
                <w:p w14:paraId="30E7E3B4" w14:textId="77777777" w:rsidR="00571749" w:rsidRDefault="00571749" w:rsidP="004235A4">
                  <w:pPr>
                    <w:pStyle w:val="TableBodyText"/>
                    <w:ind w:right="28"/>
                    <w:jc w:val="both"/>
                  </w:pPr>
                  <w:r>
                    <w:t>Number of dependent children aged between 5 and 14</w:t>
                  </w:r>
                  <w:r w:rsidR="009D1E8E">
                    <w:t xml:space="preserve"> years</w:t>
                  </w:r>
                  <w:r>
                    <w:t>.</w:t>
                  </w:r>
                </w:p>
              </w:tc>
            </w:tr>
            <w:tr w:rsidR="00571749" w14:paraId="4554D3BB" w14:textId="77777777" w:rsidTr="004235A4">
              <w:tc>
                <w:tcPr>
                  <w:tcW w:w="1073" w:type="pct"/>
                  <w:shd w:val="clear" w:color="auto" w:fill="auto"/>
                </w:tcPr>
                <w:p w14:paraId="583F82D4" w14:textId="77777777" w:rsidR="00571749" w:rsidRDefault="00571749" w:rsidP="004235A4">
                  <w:pPr>
                    <w:pStyle w:val="TableBodyText"/>
                    <w:jc w:val="left"/>
                  </w:pPr>
                  <w:r>
                    <w:t>Medical condition</w:t>
                  </w:r>
                </w:p>
              </w:tc>
              <w:tc>
                <w:tcPr>
                  <w:tcW w:w="3927" w:type="pct"/>
                  <w:shd w:val="clear" w:color="auto" w:fill="auto"/>
                </w:tcPr>
                <w:p w14:paraId="178ADD34" w14:textId="77777777" w:rsidR="00571749" w:rsidRDefault="00571749" w:rsidP="004235A4">
                  <w:pPr>
                    <w:pStyle w:val="TableBodyText"/>
                    <w:ind w:right="28"/>
                    <w:jc w:val="both"/>
                  </w:pPr>
                  <w:r>
                    <w:t xml:space="preserve">Indicates if </w:t>
                  </w:r>
                  <w:r w:rsidR="009D1E8E">
                    <w:t>an</w:t>
                  </w:r>
                  <w:r>
                    <w:t xml:space="preserve"> </w:t>
                  </w:r>
                  <w:r w:rsidRPr="00872285">
                    <w:t xml:space="preserve">individual has been assessed </w:t>
                  </w:r>
                  <w:r>
                    <w:t>as</w:t>
                  </w:r>
                  <w:r w:rsidRPr="00872285">
                    <w:t xml:space="preserve"> suffer</w:t>
                  </w:r>
                  <w:r>
                    <w:t>ing</w:t>
                  </w:r>
                  <w:r w:rsidRPr="00872285">
                    <w:t xml:space="preserve"> from a medical condition that impairs their work capacity. These assessments are made for people who receive a Disability Support Pension or who apply for a variation to their activity requirements</w:t>
                  </w:r>
                  <w:r>
                    <w:t xml:space="preserve"> while receiving another ISP. People may suffer from unobserved medical conditions that are not recorded by this variable.</w:t>
                  </w:r>
                </w:p>
              </w:tc>
            </w:tr>
            <w:tr w:rsidR="00571749" w14:paraId="474041E4" w14:textId="77777777" w:rsidTr="004235A4">
              <w:tc>
                <w:tcPr>
                  <w:tcW w:w="1073" w:type="pct"/>
                  <w:shd w:val="clear" w:color="auto" w:fill="auto"/>
                </w:tcPr>
                <w:p w14:paraId="624B7D7B" w14:textId="77777777" w:rsidR="00571749" w:rsidRDefault="00571749" w:rsidP="004235A4">
                  <w:pPr>
                    <w:pStyle w:val="TableBodyText"/>
                    <w:jc w:val="left"/>
                  </w:pPr>
                  <w:r>
                    <w:t>Housing assistance</w:t>
                  </w:r>
                </w:p>
              </w:tc>
              <w:tc>
                <w:tcPr>
                  <w:tcW w:w="3927" w:type="pct"/>
                  <w:shd w:val="clear" w:color="auto" w:fill="auto"/>
                </w:tcPr>
                <w:p w14:paraId="0519BBA4" w14:textId="77777777" w:rsidR="00571749" w:rsidRDefault="00571749" w:rsidP="004235A4">
                  <w:pPr>
                    <w:pStyle w:val="TableBodyText"/>
                    <w:jc w:val="both"/>
                  </w:pPr>
                  <w:r>
                    <w:t>Indicates if a person had rented from a state housing authority, whether they — or their partner — received CRA, or whether they did not receive any housing assistance. The housing assistance variable is lagged by one year.</w:t>
                  </w:r>
                </w:p>
              </w:tc>
            </w:tr>
            <w:tr w:rsidR="00571749" w14:paraId="234CB9EA" w14:textId="77777777" w:rsidTr="004235A4">
              <w:tc>
                <w:tcPr>
                  <w:tcW w:w="1073" w:type="pct"/>
                  <w:shd w:val="clear" w:color="auto" w:fill="auto"/>
                </w:tcPr>
                <w:p w14:paraId="072CB454" w14:textId="77777777" w:rsidR="00571749" w:rsidRDefault="00571749" w:rsidP="004235A4">
                  <w:pPr>
                    <w:pStyle w:val="TableBodyText"/>
                    <w:jc w:val="left"/>
                  </w:pPr>
                  <w:r>
                    <w:t>ISP type</w:t>
                  </w:r>
                </w:p>
              </w:tc>
              <w:tc>
                <w:tcPr>
                  <w:tcW w:w="3927" w:type="pct"/>
                  <w:shd w:val="clear" w:color="auto" w:fill="auto"/>
                </w:tcPr>
                <w:p w14:paraId="590EAE97" w14:textId="77777777" w:rsidR="00571749" w:rsidRDefault="00571749" w:rsidP="004235A4">
                  <w:pPr>
                    <w:pStyle w:val="TableBodyText"/>
                    <w:jc w:val="both"/>
                  </w:pPr>
                  <w:r>
                    <w:t xml:space="preserve">Indicates the income support payment received by the individual. </w:t>
                  </w:r>
                </w:p>
              </w:tc>
            </w:tr>
            <w:tr w:rsidR="00571749" w14:paraId="01184805" w14:textId="77777777" w:rsidTr="004235A4">
              <w:tc>
                <w:tcPr>
                  <w:tcW w:w="1073" w:type="pct"/>
                  <w:shd w:val="clear" w:color="auto" w:fill="auto"/>
                </w:tcPr>
                <w:p w14:paraId="5184FE6E" w14:textId="77777777" w:rsidR="00571749" w:rsidRDefault="00571749" w:rsidP="004235A4">
                  <w:pPr>
                    <w:pStyle w:val="TableBodyText"/>
                    <w:jc w:val="left"/>
                  </w:pPr>
                  <w:r>
                    <w:t>State</w:t>
                  </w:r>
                </w:p>
              </w:tc>
              <w:tc>
                <w:tcPr>
                  <w:tcW w:w="3927" w:type="pct"/>
                  <w:shd w:val="clear" w:color="auto" w:fill="auto"/>
                </w:tcPr>
                <w:p w14:paraId="7621932E" w14:textId="77777777" w:rsidR="00571749" w:rsidRDefault="00571749" w:rsidP="004235A4">
                  <w:pPr>
                    <w:pStyle w:val="TableBodyText"/>
                    <w:ind w:right="28"/>
                    <w:jc w:val="both"/>
                  </w:pPr>
                  <w:r>
                    <w:t>State or territory of residence.</w:t>
                  </w:r>
                </w:p>
              </w:tc>
            </w:tr>
            <w:tr w:rsidR="00571749" w14:paraId="2399B205" w14:textId="77777777" w:rsidTr="004235A4">
              <w:tc>
                <w:tcPr>
                  <w:tcW w:w="1073" w:type="pct"/>
                  <w:shd w:val="clear" w:color="auto" w:fill="auto"/>
                </w:tcPr>
                <w:p w14:paraId="1B8FA87B" w14:textId="77777777" w:rsidR="00571749" w:rsidRDefault="00571749" w:rsidP="004235A4">
                  <w:pPr>
                    <w:pStyle w:val="TableBodyText"/>
                    <w:jc w:val="left"/>
                  </w:pPr>
                  <w:r>
                    <w:t>Region</w:t>
                  </w:r>
                </w:p>
              </w:tc>
              <w:tc>
                <w:tcPr>
                  <w:tcW w:w="3927" w:type="pct"/>
                  <w:shd w:val="clear" w:color="auto" w:fill="auto"/>
                </w:tcPr>
                <w:p w14:paraId="713F4728" w14:textId="77777777" w:rsidR="00571749" w:rsidRPr="007266CB" w:rsidRDefault="00571749" w:rsidP="005972E1">
                  <w:pPr>
                    <w:pStyle w:val="TableBodyText"/>
                    <w:ind w:right="28"/>
                    <w:jc w:val="both"/>
                    <w:rPr>
                      <w:rStyle w:val="NoteLabel"/>
                    </w:rPr>
                  </w:pPr>
                  <w:r>
                    <w:t>Indicates if an individual resides in a major city, an inner regional</w:t>
                  </w:r>
                  <w:r w:rsidR="005972E1">
                    <w:t>,</w:t>
                  </w:r>
                  <w:r>
                    <w:t xml:space="preserve"> outer regional</w:t>
                  </w:r>
                  <w:r w:rsidR="009D1E8E">
                    <w:t xml:space="preserve"> area</w:t>
                  </w:r>
                  <w:r>
                    <w:t xml:space="preserve">, or </w:t>
                  </w:r>
                  <w:r w:rsidR="009D1E8E">
                    <w:t xml:space="preserve">a </w:t>
                  </w:r>
                  <w:r>
                    <w:t>remote or very remote region.</w:t>
                  </w:r>
                  <w:r>
                    <w:rPr>
                      <w:rStyle w:val="NoteLabel"/>
                    </w:rPr>
                    <w:t>a</w:t>
                  </w:r>
                </w:p>
              </w:tc>
            </w:tr>
            <w:tr w:rsidR="00571749" w14:paraId="154D82EF" w14:textId="77777777" w:rsidTr="000D5A00">
              <w:tc>
                <w:tcPr>
                  <w:tcW w:w="1073" w:type="pct"/>
                  <w:shd w:val="clear" w:color="auto" w:fill="auto"/>
                </w:tcPr>
                <w:p w14:paraId="5A4F3C03" w14:textId="77777777" w:rsidR="00571749" w:rsidRDefault="00571749" w:rsidP="004235A4">
                  <w:pPr>
                    <w:pStyle w:val="TableBodyText"/>
                    <w:jc w:val="left"/>
                  </w:pPr>
                  <w:r>
                    <w:t>Number of address changes</w:t>
                  </w:r>
                </w:p>
              </w:tc>
              <w:tc>
                <w:tcPr>
                  <w:tcW w:w="3927" w:type="pct"/>
                  <w:shd w:val="clear" w:color="auto" w:fill="auto"/>
                </w:tcPr>
                <w:p w14:paraId="2CBE22E5" w14:textId="77777777" w:rsidR="00571749" w:rsidRDefault="00571749" w:rsidP="004235A4">
                  <w:pPr>
                    <w:pStyle w:val="TableBodyText"/>
                    <w:ind w:right="28"/>
                    <w:jc w:val="both"/>
                  </w:pPr>
                  <w:r>
                    <w:t>Number of postcode changes recorded within the preceding year</w:t>
                  </w:r>
                  <w:r w:rsidR="009D1E8E">
                    <w:t>.</w:t>
                  </w:r>
                  <w:r>
                    <w:t xml:space="preserve"> </w:t>
                  </w:r>
                  <w:r w:rsidR="009D1E8E">
                    <w:t>U</w:t>
                  </w:r>
                  <w:r>
                    <w:t>sed as an indicator of an individual’s stability of residence.</w:t>
                  </w:r>
                </w:p>
              </w:tc>
            </w:tr>
            <w:tr w:rsidR="00571749" w14:paraId="79DE4F13" w14:textId="77777777" w:rsidTr="000D5A00">
              <w:tc>
                <w:tcPr>
                  <w:tcW w:w="1073" w:type="pct"/>
                  <w:tcBorders>
                    <w:bottom w:val="single" w:sz="4" w:space="0" w:color="BFBFBF" w:themeColor="background2"/>
                  </w:tcBorders>
                  <w:shd w:val="clear" w:color="auto" w:fill="auto"/>
                </w:tcPr>
                <w:p w14:paraId="59A4D933" w14:textId="77777777" w:rsidR="00571749" w:rsidRDefault="00571749" w:rsidP="004235A4">
                  <w:pPr>
                    <w:pStyle w:val="TableBodyText"/>
                    <w:jc w:val="left"/>
                  </w:pPr>
                  <w:r>
                    <w:t>Neighbourhood disadvantage</w:t>
                  </w:r>
                </w:p>
              </w:tc>
              <w:tc>
                <w:tcPr>
                  <w:tcW w:w="3927" w:type="pct"/>
                  <w:tcBorders>
                    <w:bottom w:val="single" w:sz="4" w:space="0" w:color="BFBFBF" w:themeColor="background2"/>
                  </w:tcBorders>
                  <w:shd w:val="clear" w:color="auto" w:fill="auto"/>
                </w:tcPr>
                <w:p w14:paraId="242D5338" w14:textId="6ED61AD4" w:rsidR="00571749" w:rsidRDefault="00571749" w:rsidP="00F80D10">
                  <w:pPr>
                    <w:pStyle w:val="TableBodyText"/>
                    <w:jc w:val="both"/>
                  </w:pPr>
                  <w:r>
                    <w:t>Neighbourhood disadvantage is based on the Index of Relative Socioeconomic Disadvantage (IRSD)</w:t>
                  </w:r>
                  <w:r w:rsidR="00F80D10">
                    <w:t xml:space="preserve"> </w:t>
                  </w:r>
                  <w:r w:rsidR="00F80D10" w:rsidRPr="00F80D10">
                    <w:rPr>
                      <w:rFonts w:cs="Arial"/>
                      <w:szCs w:val="24"/>
                    </w:rPr>
                    <w:t>(ABS 2013)</w:t>
                  </w:r>
                  <w:r>
                    <w:t xml:space="preserve">, which ranks geographic areas in terms of the relative disadvantage of </w:t>
                  </w:r>
                  <w:r w:rsidR="009D1E8E">
                    <w:t xml:space="preserve">their </w:t>
                  </w:r>
                  <w:r>
                    <w:t xml:space="preserve">residents. </w:t>
                  </w:r>
                  <w:r w:rsidR="0085371B">
                    <w:t xml:space="preserve">A lower score indicates greater disadvantage. </w:t>
                  </w:r>
                  <w:r>
                    <w:t xml:space="preserve">The decile of IRSD score assigned to the Statistical Area level 1 (SA1 level) in which an individual lives is used in the regression models </w:t>
                  </w:r>
                  <w:r w:rsidR="009D1E8E">
                    <w:t xml:space="preserve">presented </w:t>
                  </w:r>
                  <w:r>
                    <w:t>below.</w:t>
                  </w:r>
                  <w:r w:rsidRPr="00357FDC">
                    <w:rPr>
                      <w:rStyle w:val="NoteLabel"/>
                    </w:rPr>
                    <w:t>b</w:t>
                  </w:r>
                  <w:r>
                    <w:rPr>
                      <w:rStyle w:val="NoteLabel"/>
                    </w:rPr>
                    <w:t>,c</w:t>
                  </w:r>
                </w:p>
              </w:tc>
            </w:tr>
          </w:tbl>
          <w:p w14:paraId="608C93E5" w14:textId="77777777" w:rsidR="00571749" w:rsidRDefault="00571749" w:rsidP="004235A4">
            <w:pPr>
              <w:pStyle w:val="Box"/>
            </w:pPr>
          </w:p>
        </w:tc>
      </w:tr>
      <w:tr w:rsidR="00571749" w14:paraId="09E90F1C" w14:textId="77777777" w:rsidTr="004235A4">
        <w:trPr>
          <w:cantSplit/>
        </w:trPr>
        <w:tc>
          <w:tcPr>
            <w:tcW w:w="8771" w:type="dxa"/>
            <w:tcBorders>
              <w:top w:val="nil"/>
              <w:left w:val="nil"/>
              <w:bottom w:val="nil"/>
              <w:right w:val="nil"/>
            </w:tcBorders>
            <w:shd w:val="clear" w:color="auto" w:fill="auto"/>
          </w:tcPr>
          <w:p w14:paraId="43616193" w14:textId="5AE668A6" w:rsidR="00571749" w:rsidRPr="007266CB" w:rsidRDefault="00571749" w:rsidP="00B175C3">
            <w:pPr>
              <w:pStyle w:val="Note"/>
              <w:rPr>
                <w:i/>
              </w:rPr>
            </w:pPr>
            <w:r w:rsidRPr="00357FDC">
              <w:rPr>
                <w:rStyle w:val="NoteLabel"/>
              </w:rPr>
              <w:t>a</w:t>
            </w:r>
            <w:r w:rsidRPr="00357FDC">
              <w:t xml:space="preserve"> Region is classified according to the ABS Remoteness Structure</w:t>
            </w:r>
            <w:r w:rsidR="00D35267" w:rsidRPr="00D35267">
              <w:rPr>
                <w:rFonts w:cs="Arial"/>
                <w:szCs w:val="24"/>
              </w:rPr>
              <w:t>(ABS 2010)</w:t>
            </w:r>
            <w:r w:rsidRPr="00357FDC">
              <w:t xml:space="preserve">. Remote and very remote regions are combined due to a comparatively small number of observations. </w:t>
            </w:r>
            <w:r w:rsidRPr="00357FDC">
              <w:rPr>
                <w:rStyle w:val="NoteLabel"/>
              </w:rPr>
              <w:t xml:space="preserve">b </w:t>
            </w:r>
            <w:r>
              <w:t>T</w:t>
            </w:r>
            <w:r w:rsidRPr="00357FDC">
              <w:t xml:space="preserve">he </w:t>
            </w:r>
            <w:r>
              <w:t>IRSD</w:t>
            </w:r>
            <w:r w:rsidRPr="00357FDC">
              <w:t xml:space="preserve"> is </w:t>
            </w:r>
            <w:r>
              <w:t xml:space="preserve">an index </w:t>
            </w:r>
            <w:r w:rsidR="005972E1">
              <w:t xml:space="preserve">value assigned to the geographical area in which an individual lives. It is </w:t>
            </w:r>
            <w:r w:rsidRPr="00357FDC">
              <w:t xml:space="preserve">based on </w:t>
            </w:r>
            <w:r w:rsidR="003B77B9">
              <w:t xml:space="preserve">the </w:t>
            </w:r>
            <w:r w:rsidR="0085371B">
              <w:t xml:space="preserve">characteristics of </w:t>
            </w:r>
            <w:r w:rsidR="003B77B9">
              <w:t xml:space="preserve">the population </w:t>
            </w:r>
            <w:r w:rsidR="00B218CA">
              <w:t xml:space="preserve">living in an </w:t>
            </w:r>
            <w:r w:rsidR="0085371B">
              <w:t>area</w:t>
            </w:r>
            <w:r w:rsidR="0085371B" w:rsidRPr="00357FDC">
              <w:t xml:space="preserve"> </w:t>
            </w:r>
            <w:r w:rsidRPr="00357FDC">
              <w:t>such as the prevalence of unemployment</w:t>
            </w:r>
            <w:r w:rsidR="003B77B9">
              <w:t xml:space="preserve"> and</w:t>
            </w:r>
            <w:r w:rsidRPr="00357FDC">
              <w:t xml:space="preserve"> </w:t>
            </w:r>
            <w:r w:rsidR="003B77B9">
              <w:t>low</w:t>
            </w:r>
            <w:r w:rsidR="003B77B9">
              <w:noBreakHyphen/>
              <w:t xml:space="preserve">skilled employment, </w:t>
            </w:r>
            <w:r w:rsidRPr="00357FDC">
              <w:t>low income</w:t>
            </w:r>
            <w:r w:rsidR="003B77B9">
              <w:t xml:space="preserve"> and/or overcrowded households</w:t>
            </w:r>
            <w:r w:rsidRPr="00357FDC">
              <w:t xml:space="preserve">, </w:t>
            </w:r>
            <w:r>
              <w:t xml:space="preserve">single parent families, </w:t>
            </w:r>
            <w:r w:rsidR="003B77B9">
              <w:t xml:space="preserve">people with </w:t>
            </w:r>
            <w:r>
              <w:t xml:space="preserve">disability, low </w:t>
            </w:r>
            <w:r w:rsidR="003B77B9">
              <w:t xml:space="preserve">levels of </w:t>
            </w:r>
            <w:r>
              <w:t>education</w:t>
            </w:r>
            <w:r w:rsidR="003B77B9">
              <w:t xml:space="preserve"> and/or</w:t>
            </w:r>
            <w:r>
              <w:t xml:space="preserve"> poor English skills and a lack of access to cars and the internet</w:t>
            </w:r>
            <w:r w:rsidR="003B77B9">
              <w:t xml:space="preserve"> among residents</w:t>
            </w:r>
            <w:r>
              <w:t>.</w:t>
            </w:r>
            <w:r w:rsidRPr="00357FDC">
              <w:rPr>
                <w:rStyle w:val="NoteLabel"/>
              </w:rPr>
              <w:t xml:space="preserve"> </w:t>
            </w:r>
            <w:r>
              <w:rPr>
                <w:rStyle w:val="NoteLabel"/>
              </w:rPr>
              <w:t xml:space="preserve">c </w:t>
            </w:r>
            <w:r>
              <w:t xml:space="preserve">The SA1 level is the most disaggregated geographical unit for which the IRSD is </w:t>
            </w:r>
            <w:r w:rsidRPr="00DD517F">
              <w:t>available</w:t>
            </w:r>
            <w:r w:rsidR="009D1E8E">
              <w:t>.</w:t>
            </w:r>
            <w:r>
              <w:t xml:space="preserve"> </w:t>
            </w:r>
            <w:r w:rsidR="009D1E8E">
              <w:t>U</w:t>
            </w:r>
            <w:r w:rsidR="00F331D1">
              <w:t>nder the 2011 </w:t>
            </w:r>
            <w:r>
              <w:t>Australian Statistical Geography Standard there were over 5</w:t>
            </w:r>
            <w:r w:rsidR="006700E5">
              <w:t>4</w:t>
            </w:r>
            <w:r w:rsidR="008C6AB8">
              <w:t> </w:t>
            </w:r>
            <w:r>
              <w:t>000 different SA1 areas across Australia, with an average population of 400 people.</w:t>
            </w:r>
          </w:p>
        </w:tc>
      </w:tr>
      <w:tr w:rsidR="00571749" w14:paraId="7BE383A3" w14:textId="77777777" w:rsidTr="004235A4">
        <w:trPr>
          <w:cantSplit/>
        </w:trPr>
        <w:tc>
          <w:tcPr>
            <w:tcW w:w="8771" w:type="dxa"/>
            <w:tcBorders>
              <w:top w:val="nil"/>
              <w:left w:val="nil"/>
              <w:bottom w:val="single" w:sz="6" w:space="0" w:color="78A22F"/>
              <w:right w:val="nil"/>
            </w:tcBorders>
            <w:shd w:val="clear" w:color="auto" w:fill="auto"/>
          </w:tcPr>
          <w:p w14:paraId="4CF55C52" w14:textId="77777777" w:rsidR="00571749" w:rsidRDefault="00571749" w:rsidP="004235A4">
            <w:pPr>
              <w:pStyle w:val="Box"/>
              <w:spacing w:before="0" w:line="120" w:lineRule="exact"/>
            </w:pPr>
          </w:p>
        </w:tc>
      </w:tr>
      <w:tr w:rsidR="00571749" w:rsidRPr="000863A5" w14:paraId="7EA700ED" w14:textId="77777777" w:rsidTr="004235A4">
        <w:tc>
          <w:tcPr>
            <w:tcW w:w="8771" w:type="dxa"/>
            <w:tcBorders>
              <w:top w:val="single" w:sz="6" w:space="0" w:color="78A22F"/>
              <w:left w:val="nil"/>
              <w:bottom w:val="nil"/>
              <w:right w:val="nil"/>
            </w:tcBorders>
          </w:tcPr>
          <w:p w14:paraId="623DF9DA" w14:textId="5C015406" w:rsidR="00571749" w:rsidRPr="00626D32" w:rsidRDefault="00571749" w:rsidP="004235A4">
            <w:pPr>
              <w:pStyle w:val="BoxSpaceBelow"/>
            </w:pPr>
          </w:p>
        </w:tc>
      </w:tr>
    </w:tbl>
    <w:p w14:paraId="67DB710B" w14:textId="77777777" w:rsidR="00571749" w:rsidRDefault="00571749" w:rsidP="00571749">
      <w:pPr>
        <w:pStyle w:val="Heading3"/>
      </w:pPr>
      <w:r>
        <w:t>Characteristics of people in the estimation dataset</w:t>
      </w:r>
    </w:p>
    <w:p w14:paraId="688C9107" w14:textId="2ED41286" w:rsidR="00571749" w:rsidRDefault="00571749" w:rsidP="00571749">
      <w:pPr>
        <w:pStyle w:val="BodyText"/>
      </w:pPr>
      <w:r>
        <w:t>On average</w:t>
      </w:r>
      <w:r w:rsidR="00B175C3">
        <w:t>,</w:t>
      </w:r>
      <w:r>
        <w:t xml:space="preserve"> there were around 640</w:t>
      </w:r>
      <w:r w:rsidR="00F858B3">
        <w:t> </w:t>
      </w:r>
      <w:r>
        <w:t>000 CRA recipients, 230</w:t>
      </w:r>
      <w:r w:rsidR="00F858B3">
        <w:t> </w:t>
      </w:r>
      <w:r>
        <w:t xml:space="preserve">000 residents of public housing and 1.1 million ISP recipients who did not receive housing assistance </w:t>
      </w:r>
      <w:r w:rsidR="008257A2">
        <w:t xml:space="preserve">included in the estimation dataset at 30 June of </w:t>
      </w:r>
      <w:r>
        <w:t>each year (</w:t>
      </w:r>
      <w:r w:rsidRPr="00324B3F">
        <w:t>figure</w:t>
      </w:r>
      <w:r w:rsidR="00F858B3">
        <w:t> </w:t>
      </w:r>
      <w:r>
        <w:t>2).</w:t>
      </w:r>
    </w:p>
    <w:p w14:paraId="73A4B82B" w14:textId="5F58D171" w:rsidR="00571749" w:rsidRPr="005615AB" w:rsidRDefault="00571749" w:rsidP="00571749">
      <w:pPr>
        <w:pStyle w:val="BoxSpaceAbove"/>
        <w:rPr>
          <w:b/>
          <w:color w:val="FF00FF"/>
          <w:sz w:val="14"/>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1749" w14:paraId="0406B737" w14:textId="77777777" w:rsidTr="004235A4">
        <w:tc>
          <w:tcPr>
            <w:tcW w:w="8771" w:type="dxa"/>
            <w:tcBorders>
              <w:top w:val="single" w:sz="6" w:space="0" w:color="78A22F"/>
              <w:left w:val="nil"/>
              <w:bottom w:val="nil"/>
              <w:right w:val="nil"/>
            </w:tcBorders>
            <w:shd w:val="clear" w:color="auto" w:fill="auto"/>
          </w:tcPr>
          <w:p w14:paraId="113A48C7" w14:textId="54BAF0D3" w:rsidR="00571749" w:rsidRPr="00176D3F" w:rsidRDefault="00571749" w:rsidP="004235A4">
            <w:pPr>
              <w:pStyle w:val="FigureTitle"/>
            </w:pPr>
            <w:r w:rsidRPr="00784A05">
              <w:rPr>
                <w:b w:val="0"/>
              </w:rPr>
              <w:t xml:space="preserve">Figure </w:t>
            </w:r>
            <w:bookmarkStart w:id="3" w:name="OLE_LINK10"/>
            <w:r w:rsidR="00D8076D">
              <w:rPr>
                <w:b w:val="0"/>
                <w:noProof/>
              </w:rPr>
              <w:t>2</w:t>
            </w:r>
            <w:bookmarkEnd w:id="3"/>
            <w:r>
              <w:tab/>
              <w:t>Number of ISP recipients, by housing assistance status, at 30</w:t>
            </w:r>
            <w:r w:rsidR="00F858B3">
              <w:t> </w:t>
            </w:r>
            <w:r>
              <w:t>June 2005–2013</w:t>
            </w:r>
            <w:r w:rsidRPr="00110AFC">
              <w:rPr>
                <w:rStyle w:val="NoteLabel"/>
                <w:b/>
              </w:rPr>
              <w:t>a</w:t>
            </w:r>
            <w:r w:rsidR="00A61FC5">
              <w:rPr>
                <w:rStyle w:val="NoteLabel"/>
                <w:b/>
              </w:rPr>
              <w:t>,b</w:t>
            </w:r>
          </w:p>
        </w:tc>
      </w:tr>
      <w:tr w:rsidR="00571749" w14:paraId="6FFC7005" w14:textId="77777777" w:rsidTr="004235A4">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571749" w14:paraId="33008BC6" w14:textId="77777777" w:rsidTr="004235A4">
              <w:trPr>
                <w:jc w:val="center"/>
              </w:trPr>
              <w:tc>
                <w:tcPr>
                  <w:tcW w:w="8504" w:type="dxa"/>
                  <w:tcBorders>
                    <w:top w:val="nil"/>
                    <w:bottom w:val="nil"/>
                  </w:tcBorders>
                </w:tcPr>
                <w:p w14:paraId="10AF5FF2" w14:textId="6A979A18" w:rsidR="00571749" w:rsidRDefault="00FF302A" w:rsidP="004235A4">
                  <w:pPr>
                    <w:pStyle w:val="Figure"/>
                    <w:spacing w:before="60" w:after="60"/>
                  </w:pPr>
                  <w:r>
                    <w:rPr>
                      <w:noProof/>
                    </w:rPr>
                    <w:drawing>
                      <wp:inline distT="0" distB="0" distL="0" distR="0" wp14:anchorId="754B6331" wp14:editId="3C164290">
                        <wp:extent cx="5257800" cy="2800350"/>
                        <wp:effectExtent l="0" t="0" r="0" b="0"/>
                        <wp:docPr id="8" name="Picture 8" descr="This figure shows the number of ISP recipients who either received CRA, were residents of public housing, or received no housing assistance between the years 2005 and 2013. The number of public housing residents remains relatively constant over time, as does the number of ISP recipients receiving no housing assistance. The number of CRA recipients increases from around 550,000 in 2005 to around 580,000 in 2013." title="Figure 2: Number of ISP recipients, by housing assistance status, at 30 June 2005–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57800" cy="2800350"/>
                                </a:xfrm>
                                <a:prstGeom prst="rect">
                                  <a:avLst/>
                                </a:prstGeom>
                                <a:noFill/>
                                <a:ln>
                                  <a:noFill/>
                                </a:ln>
                              </pic:spPr>
                            </pic:pic>
                          </a:graphicData>
                        </a:graphic>
                      </wp:inline>
                    </w:drawing>
                  </w:r>
                </w:p>
              </w:tc>
            </w:tr>
          </w:tbl>
          <w:p w14:paraId="36FF01FF" w14:textId="77777777" w:rsidR="00571749" w:rsidRDefault="00571749" w:rsidP="004235A4">
            <w:pPr>
              <w:pStyle w:val="Figure"/>
            </w:pPr>
          </w:p>
        </w:tc>
      </w:tr>
      <w:tr w:rsidR="00571749" w:rsidRPr="00176D3F" w14:paraId="5539A3F2" w14:textId="77777777" w:rsidTr="004235A4">
        <w:tc>
          <w:tcPr>
            <w:tcW w:w="8771" w:type="dxa"/>
            <w:tcBorders>
              <w:top w:val="nil"/>
              <w:left w:val="nil"/>
              <w:bottom w:val="nil"/>
              <w:right w:val="nil"/>
            </w:tcBorders>
            <w:shd w:val="clear" w:color="auto" w:fill="auto"/>
          </w:tcPr>
          <w:p w14:paraId="42626E98" w14:textId="77777777" w:rsidR="00571749" w:rsidRPr="00110AFC" w:rsidRDefault="0035212D" w:rsidP="008705F6">
            <w:pPr>
              <w:pStyle w:val="Note"/>
            </w:pPr>
            <w:r w:rsidRPr="00924049">
              <w:rPr>
                <w:rStyle w:val="NoteLabel"/>
              </w:rPr>
              <w:t>a</w:t>
            </w:r>
            <w:r w:rsidRPr="00924049">
              <w:t xml:space="preserve"> Number of ISP recipients aged 16–</w:t>
            </w:r>
            <w:r>
              <w:t>6</w:t>
            </w:r>
            <w:r w:rsidR="008705F6">
              <w:t>5</w:t>
            </w:r>
            <w:r w:rsidRPr="00924049">
              <w:t xml:space="preserve"> at 30 June of each year.</w:t>
            </w:r>
            <w:r>
              <w:t xml:space="preserve"> </w:t>
            </w:r>
            <w:r>
              <w:rPr>
                <w:rStyle w:val="NoteLabel"/>
              </w:rPr>
              <w:t>b</w:t>
            </w:r>
            <w:r w:rsidRPr="00924049">
              <w:t xml:space="preserve"> </w:t>
            </w:r>
            <w:r w:rsidR="00571749" w:rsidRPr="00110AFC">
              <w:t>Housi</w:t>
            </w:r>
            <w:r w:rsidR="00571749">
              <w:t>ng assistance status is a lagged variable and indicates an individual’s housing assistance at June 30 of the preceding year.</w:t>
            </w:r>
            <w:r>
              <w:t xml:space="preserve"> </w:t>
            </w:r>
          </w:p>
        </w:tc>
      </w:tr>
      <w:tr w:rsidR="00571749" w:rsidRPr="00176D3F" w14:paraId="5B125FD8" w14:textId="77777777" w:rsidTr="004235A4">
        <w:tc>
          <w:tcPr>
            <w:tcW w:w="8771" w:type="dxa"/>
            <w:tcBorders>
              <w:top w:val="nil"/>
              <w:left w:val="nil"/>
              <w:bottom w:val="nil"/>
              <w:right w:val="nil"/>
            </w:tcBorders>
            <w:shd w:val="clear" w:color="auto" w:fill="auto"/>
          </w:tcPr>
          <w:p w14:paraId="1F5355E1" w14:textId="77777777" w:rsidR="00571749" w:rsidRPr="00176D3F" w:rsidRDefault="00F858B3" w:rsidP="004235A4">
            <w:pPr>
              <w:pStyle w:val="Source"/>
            </w:pPr>
            <w:r>
              <w:rPr>
                <w:i/>
              </w:rPr>
              <w:t>S</w:t>
            </w:r>
            <w:r w:rsidR="00571749" w:rsidRPr="00784A05">
              <w:rPr>
                <w:i/>
              </w:rPr>
              <w:t>ource</w:t>
            </w:r>
            <w:r w:rsidR="00571749" w:rsidRPr="00176D3F">
              <w:t xml:space="preserve">: </w:t>
            </w:r>
            <w:r w:rsidR="005F4C6C">
              <w:t xml:space="preserve">Author </w:t>
            </w:r>
            <w:r w:rsidR="00571749">
              <w:t xml:space="preserve">estimates, Research and Evaluation Database. </w:t>
            </w:r>
          </w:p>
        </w:tc>
      </w:tr>
      <w:tr w:rsidR="00571749" w14:paraId="25905E6A" w14:textId="77777777" w:rsidTr="004235A4">
        <w:tc>
          <w:tcPr>
            <w:tcW w:w="8771" w:type="dxa"/>
            <w:tcBorders>
              <w:top w:val="nil"/>
              <w:left w:val="nil"/>
              <w:bottom w:val="single" w:sz="6" w:space="0" w:color="78A22F"/>
              <w:right w:val="nil"/>
            </w:tcBorders>
            <w:shd w:val="clear" w:color="auto" w:fill="auto"/>
          </w:tcPr>
          <w:p w14:paraId="6AF3C9C4" w14:textId="77777777" w:rsidR="00571749" w:rsidRDefault="00571749" w:rsidP="004235A4">
            <w:pPr>
              <w:pStyle w:val="Figurespace"/>
            </w:pPr>
          </w:p>
        </w:tc>
      </w:tr>
      <w:tr w:rsidR="00571749" w:rsidRPr="000863A5" w14:paraId="69EDF325" w14:textId="77777777" w:rsidTr="004235A4">
        <w:tc>
          <w:tcPr>
            <w:tcW w:w="8771" w:type="dxa"/>
            <w:tcBorders>
              <w:top w:val="single" w:sz="6" w:space="0" w:color="78A22F"/>
              <w:left w:val="nil"/>
              <w:bottom w:val="nil"/>
              <w:right w:val="nil"/>
            </w:tcBorders>
          </w:tcPr>
          <w:p w14:paraId="2E82C5E0" w14:textId="7C3D400C" w:rsidR="00571749" w:rsidRPr="00626D32" w:rsidRDefault="00571749" w:rsidP="004235A4">
            <w:pPr>
              <w:pStyle w:val="BoxSpaceBelow"/>
            </w:pPr>
          </w:p>
        </w:tc>
      </w:tr>
    </w:tbl>
    <w:p w14:paraId="6895CB4C" w14:textId="41D30950" w:rsidR="00877876" w:rsidRDefault="00F14E37" w:rsidP="006F33A7">
      <w:pPr>
        <w:pStyle w:val="BodyText"/>
      </w:pPr>
      <w:r>
        <w:t>Housing assistance status is not static, with between 10 and 12 per cent of ISP recipients changing housing assistance status each year</w:t>
      </w:r>
      <w:r w:rsidR="00877876">
        <w:t xml:space="preserve"> (table 2</w:t>
      </w:r>
      <w:r>
        <w:t xml:space="preserve">). </w:t>
      </w:r>
      <w:r w:rsidR="00B6194D">
        <w:t xml:space="preserve">For example, </w:t>
      </w:r>
      <w:r w:rsidR="00B175C3">
        <w:t xml:space="preserve">about </w:t>
      </w:r>
      <w:r w:rsidR="00877876">
        <w:t>4–4.5 per cent of public housing residents exit public housing and become CRA recipients</w:t>
      </w:r>
      <w:r>
        <w:t xml:space="preserve">, and </w:t>
      </w:r>
      <w:r w:rsidR="00B175C3">
        <w:t xml:space="preserve">between </w:t>
      </w:r>
      <w:r w:rsidR="00877876">
        <w:t>1.6–2.5 per cent of CRA recipients enter public housing in any given year.</w:t>
      </w:r>
      <w:r>
        <w:t xml:space="preserve"> </w:t>
      </w:r>
    </w:p>
    <w:p w14:paraId="55A52249" w14:textId="77777777" w:rsidR="00877876" w:rsidRDefault="00877876" w:rsidP="00877876">
      <w:pPr>
        <w:pStyle w:val="BodyText"/>
        <w:sectPr w:rsidR="00877876" w:rsidSect="00894D39">
          <w:headerReference w:type="even" r:id="rId13"/>
          <w:headerReference w:type="default" r:id="rId14"/>
          <w:footerReference w:type="even" r:id="rId15"/>
          <w:footerReference w:type="default" r:id="rId16"/>
          <w:pgSz w:w="11907" w:h="16840" w:code="9"/>
          <w:pgMar w:top="1985" w:right="1304" w:bottom="709" w:left="1814" w:header="1701" w:footer="397" w:gutter="0"/>
          <w:pgNumType w:start="183" w:chapSep="period"/>
          <w:cols w:space="720"/>
        </w:sectPr>
      </w:pPr>
      <w:r>
        <w:br w:type="page"/>
      </w:r>
    </w:p>
    <w:p w14:paraId="3B213824" w14:textId="54CEFC00" w:rsidR="00877876" w:rsidRDefault="00877876" w:rsidP="00877876">
      <w:pPr>
        <w:pStyle w:val="BoxSpaceAbove"/>
      </w:pPr>
    </w:p>
    <w:tbl>
      <w:tblPr>
        <w:tblW w:w="13041"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3041"/>
      </w:tblGrid>
      <w:tr w:rsidR="00877876" w14:paraId="10C186EE" w14:textId="77777777" w:rsidTr="00050EEF">
        <w:tc>
          <w:tcPr>
            <w:tcW w:w="13041" w:type="dxa"/>
            <w:tcBorders>
              <w:top w:val="single" w:sz="6" w:space="0" w:color="78A22F"/>
              <w:left w:val="nil"/>
              <w:bottom w:val="nil"/>
              <w:right w:val="nil"/>
            </w:tcBorders>
            <w:shd w:val="clear" w:color="auto" w:fill="auto"/>
          </w:tcPr>
          <w:p w14:paraId="04738CF5" w14:textId="2ED1CD67" w:rsidR="00877876" w:rsidRDefault="00877876" w:rsidP="00050EEF">
            <w:pPr>
              <w:pStyle w:val="TableTitle"/>
            </w:pPr>
            <w:r>
              <w:rPr>
                <w:b w:val="0"/>
              </w:rPr>
              <w:t xml:space="preserve">Table </w:t>
            </w:r>
            <w:r w:rsidR="00D8076D">
              <w:rPr>
                <w:b w:val="0"/>
                <w:noProof/>
              </w:rPr>
              <w:t>2</w:t>
            </w:r>
            <w:r>
              <w:tab/>
              <w:t>Housing assistance transitions, 2005–2013</w:t>
            </w:r>
            <w:r w:rsidRPr="00110AFC">
              <w:rPr>
                <w:rStyle w:val="NoteLabel"/>
                <w:b/>
              </w:rPr>
              <w:t>a</w:t>
            </w:r>
            <w:r>
              <w:rPr>
                <w:rStyle w:val="NoteLabel"/>
                <w:b/>
              </w:rPr>
              <w:t>,b</w:t>
            </w:r>
          </w:p>
          <w:p w14:paraId="5FF3383E" w14:textId="77777777" w:rsidR="00877876" w:rsidRPr="00784A05" w:rsidRDefault="00877876" w:rsidP="00050EEF">
            <w:pPr>
              <w:pStyle w:val="Subtitle"/>
            </w:pPr>
            <w:r w:rsidRPr="00AE12F4">
              <w:t xml:space="preserve">Current </w:t>
            </w:r>
            <w:r>
              <w:t>housing assistance status by housing assistance status in preceding year</w:t>
            </w:r>
          </w:p>
        </w:tc>
      </w:tr>
      <w:tr w:rsidR="00877876" w14:paraId="107F2271" w14:textId="77777777" w:rsidTr="00050EEF">
        <w:trPr>
          <w:cantSplit/>
        </w:trPr>
        <w:tc>
          <w:tcPr>
            <w:tcW w:w="1304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539"/>
              <w:gridCol w:w="2131"/>
              <w:gridCol w:w="1011"/>
              <w:gridCol w:w="1011"/>
              <w:gridCol w:w="1010"/>
              <w:gridCol w:w="1010"/>
              <w:gridCol w:w="1010"/>
              <w:gridCol w:w="1010"/>
              <w:gridCol w:w="1010"/>
              <w:gridCol w:w="1010"/>
              <w:gridCol w:w="1005"/>
            </w:tblGrid>
            <w:tr w:rsidR="00877876" w14:paraId="6F589A57" w14:textId="77777777" w:rsidTr="000D5A00">
              <w:tc>
                <w:tcPr>
                  <w:tcW w:w="603" w:type="pct"/>
                  <w:tcBorders>
                    <w:top w:val="single" w:sz="6" w:space="0" w:color="BFBFBF"/>
                    <w:bottom w:val="single" w:sz="4" w:space="0" w:color="BFBFBF" w:themeColor="background2"/>
                  </w:tcBorders>
                  <w:shd w:val="clear" w:color="auto" w:fill="auto"/>
                  <w:tcMar>
                    <w:top w:w="28" w:type="dxa"/>
                  </w:tcMar>
                  <w:vAlign w:val="bottom"/>
                </w:tcPr>
                <w:p w14:paraId="6B621B38" w14:textId="77777777" w:rsidR="00877876" w:rsidRPr="006D7BB4" w:rsidRDefault="00877876" w:rsidP="00050EEF">
                  <w:pPr>
                    <w:pStyle w:val="TableColumnHeading"/>
                    <w:jc w:val="left"/>
                  </w:pPr>
                  <w:r w:rsidRPr="006D7BB4">
                    <w:t>Lagged housing assistance</w:t>
                  </w:r>
                </w:p>
              </w:tc>
              <w:tc>
                <w:tcPr>
                  <w:tcW w:w="835" w:type="pct"/>
                  <w:tcBorders>
                    <w:top w:val="single" w:sz="6" w:space="0" w:color="BFBFBF"/>
                    <w:bottom w:val="single" w:sz="4" w:space="0" w:color="BFBFBF" w:themeColor="background2"/>
                  </w:tcBorders>
                  <w:shd w:val="clear" w:color="auto" w:fill="auto"/>
                  <w:vAlign w:val="bottom"/>
                </w:tcPr>
                <w:p w14:paraId="2DBB2D7A" w14:textId="77777777" w:rsidR="00877876" w:rsidRPr="006D7BB4" w:rsidRDefault="00877876" w:rsidP="00050EEF">
                  <w:pPr>
                    <w:pStyle w:val="TableColumnHeading"/>
                    <w:jc w:val="left"/>
                  </w:pPr>
                  <w:r w:rsidRPr="006D7BB4">
                    <w:t>Current housing assistance</w:t>
                  </w:r>
                </w:p>
              </w:tc>
              <w:tc>
                <w:tcPr>
                  <w:tcW w:w="396" w:type="pct"/>
                  <w:tcBorders>
                    <w:top w:val="single" w:sz="6" w:space="0" w:color="BFBFBF"/>
                    <w:bottom w:val="single" w:sz="4" w:space="0" w:color="BFBFBF" w:themeColor="background2"/>
                  </w:tcBorders>
                  <w:shd w:val="clear" w:color="auto" w:fill="auto"/>
                  <w:tcMar>
                    <w:top w:w="28" w:type="dxa"/>
                  </w:tcMar>
                  <w:vAlign w:val="bottom"/>
                </w:tcPr>
                <w:p w14:paraId="00CC7E29" w14:textId="77777777" w:rsidR="00877876" w:rsidRPr="006D7BB4" w:rsidRDefault="00877876" w:rsidP="00050EEF">
                  <w:pPr>
                    <w:pStyle w:val="TableColumnHeading"/>
                  </w:pPr>
                  <w:r w:rsidRPr="006D7BB4">
                    <w:t>2005</w:t>
                  </w:r>
                </w:p>
              </w:tc>
              <w:tc>
                <w:tcPr>
                  <w:tcW w:w="396" w:type="pct"/>
                  <w:tcBorders>
                    <w:top w:val="single" w:sz="6" w:space="0" w:color="BFBFBF"/>
                    <w:bottom w:val="single" w:sz="4" w:space="0" w:color="BFBFBF" w:themeColor="background2"/>
                  </w:tcBorders>
                  <w:shd w:val="clear" w:color="auto" w:fill="auto"/>
                  <w:vAlign w:val="bottom"/>
                </w:tcPr>
                <w:p w14:paraId="4010A065" w14:textId="77777777" w:rsidR="00877876" w:rsidRPr="006D7BB4" w:rsidRDefault="00877876" w:rsidP="00050EEF">
                  <w:pPr>
                    <w:pStyle w:val="TableColumnHeading"/>
                  </w:pPr>
                  <w:r w:rsidRPr="006D7BB4">
                    <w:t>2006</w:t>
                  </w:r>
                </w:p>
              </w:tc>
              <w:tc>
                <w:tcPr>
                  <w:tcW w:w="396" w:type="pct"/>
                  <w:tcBorders>
                    <w:top w:val="single" w:sz="6" w:space="0" w:color="BFBFBF"/>
                    <w:bottom w:val="single" w:sz="4" w:space="0" w:color="BFBFBF" w:themeColor="background2"/>
                  </w:tcBorders>
                  <w:shd w:val="clear" w:color="auto" w:fill="auto"/>
                  <w:vAlign w:val="bottom"/>
                </w:tcPr>
                <w:p w14:paraId="58E610B1" w14:textId="77777777" w:rsidR="00877876" w:rsidRPr="006D7BB4" w:rsidRDefault="00877876" w:rsidP="00050EEF">
                  <w:pPr>
                    <w:pStyle w:val="TableColumnHeading"/>
                  </w:pPr>
                  <w:r w:rsidRPr="006D7BB4">
                    <w:t>2007</w:t>
                  </w:r>
                </w:p>
              </w:tc>
              <w:tc>
                <w:tcPr>
                  <w:tcW w:w="396" w:type="pct"/>
                  <w:tcBorders>
                    <w:top w:val="single" w:sz="6" w:space="0" w:color="BFBFBF"/>
                    <w:bottom w:val="single" w:sz="4" w:space="0" w:color="BFBFBF" w:themeColor="background2"/>
                  </w:tcBorders>
                  <w:shd w:val="clear" w:color="auto" w:fill="auto"/>
                  <w:vAlign w:val="bottom"/>
                </w:tcPr>
                <w:p w14:paraId="0D1B3EFB" w14:textId="77777777" w:rsidR="00877876" w:rsidRPr="006D7BB4" w:rsidRDefault="00877876" w:rsidP="00050EEF">
                  <w:pPr>
                    <w:pStyle w:val="TableColumnHeading"/>
                  </w:pPr>
                  <w:r w:rsidRPr="006D7BB4">
                    <w:t>2008</w:t>
                  </w:r>
                </w:p>
              </w:tc>
              <w:tc>
                <w:tcPr>
                  <w:tcW w:w="396" w:type="pct"/>
                  <w:tcBorders>
                    <w:top w:val="single" w:sz="6" w:space="0" w:color="BFBFBF"/>
                    <w:bottom w:val="single" w:sz="4" w:space="0" w:color="BFBFBF" w:themeColor="background2"/>
                  </w:tcBorders>
                  <w:shd w:val="clear" w:color="auto" w:fill="auto"/>
                  <w:vAlign w:val="bottom"/>
                </w:tcPr>
                <w:p w14:paraId="694BCD24" w14:textId="77777777" w:rsidR="00877876" w:rsidRPr="006D7BB4" w:rsidRDefault="00877876" w:rsidP="00050EEF">
                  <w:pPr>
                    <w:pStyle w:val="TableColumnHeading"/>
                  </w:pPr>
                  <w:r w:rsidRPr="006D7BB4">
                    <w:t>2009</w:t>
                  </w:r>
                </w:p>
              </w:tc>
              <w:tc>
                <w:tcPr>
                  <w:tcW w:w="396" w:type="pct"/>
                  <w:tcBorders>
                    <w:top w:val="single" w:sz="6" w:space="0" w:color="BFBFBF"/>
                    <w:bottom w:val="single" w:sz="4" w:space="0" w:color="BFBFBF" w:themeColor="background2"/>
                  </w:tcBorders>
                  <w:shd w:val="clear" w:color="auto" w:fill="auto"/>
                  <w:vAlign w:val="bottom"/>
                </w:tcPr>
                <w:p w14:paraId="1C09D37E" w14:textId="77777777" w:rsidR="00877876" w:rsidRPr="006D7BB4" w:rsidRDefault="00877876" w:rsidP="00050EEF">
                  <w:pPr>
                    <w:pStyle w:val="TableColumnHeading"/>
                  </w:pPr>
                  <w:r w:rsidRPr="006D7BB4">
                    <w:t>2010</w:t>
                  </w:r>
                </w:p>
              </w:tc>
              <w:tc>
                <w:tcPr>
                  <w:tcW w:w="396" w:type="pct"/>
                  <w:tcBorders>
                    <w:top w:val="single" w:sz="6" w:space="0" w:color="BFBFBF"/>
                    <w:bottom w:val="single" w:sz="4" w:space="0" w:color="BFBFBF" w:themeColor="background2"/>
                  </w:tcBorders>
                  <w:shd w:val="clear" w:color="auto" w:fill="auto"/>
                  <w:vAlign w:val="bottom"/>
                </w:tcPr>
                <w:p w14:paraId="40035474" w14:textId="77777777" w:rsidR="00877876" w:rsidRPr="006D7BB4" w:rsidRDefault="00877876" w:rsidP="00050EEF">
                  <w:pPr>
                    <w:pStyle w:val="TableColumnHeading"/>
                  </w:pPr>
                  <w:r w:rsidRPr="006D7BB4">
                    <w:t>2011</w:t>
                  </w:r>
                </w:p>
              </w:tc>
              <w:tc>
                <w:tcPr>
                  <w:tcW w:w="396" w:type="pct"/>
                  <w:tcBorders>
                    <w:top w:val="single" w:sz="6" w:space="0" w:color="BFBFBF"/>
                    <w:bottom w:val="single" w:sz="4" w:space="0" w:color="BFBFBF" w:themeColor="background2"/>
                  </w:tcBorders>
                  <w:shd w:val="clear" w:color="auto" w:fill="auto"/>
                  <w:vAlign w:val="bottom"/>
                </w:tcPr>
                <w:p w14:paraId="5ACBAB26" w14:textId="77777777" w:rsidR="00877876" w:rsidRPr="006D7BB4" w:rsidRDefault="00877876" w:rsidP="00050EEF">
                  <w:pPr>
                    <w:pStyle w:val="TableColumnHeading"/>
                  </w:pPr>
                  <w:r w:rsidRPr="006D7BB4">
                    <w:t>2012</w:t>
                  </w:r>
                </w:p>
              </w:tc>
              <w:tc>
                <w:tcPr>
                  <w:tcW w:w="394" w:type="pct"/>
                  <w:tcBorders>
                    <w:top w:val="single" w:sz="6" w:space="0" w:color="BFBFBF"/>
                    <w:bottom w:val="single" w:sz="4" w:space="0" w:color="BFBFBF" w:themeColor="background2"/>
                  </w:tcBorders>
                  <w:shd w:val="clear" w:color="auto" w:fill="auto"/>
                  <w:vAlign w:val="bottom"/>
                </w:tcPr>
                <w:p w14:paraId="5271B5CF" w14:textId="77777777" w:rsidR="00877876" w:rsidRPr="006D7BB4" w:rsidRDefault="00877876" w:rsidP="000D5A00">
                  <w:pPr>
                    <w:pStyle w:val="TableColumnHeading"/>
                    <w:ind w:right="28"/>
                  </w:pPr>
                  <w:r w:rsidRPr="006D7BB4">
                    <w:t>2013</w:t>
                  </w:r>
                </w:p>
              </w:tc>
            </w:tr>
            <w:tr w:rsidR="000D5A00" w14:paraId="3A763B6D" w14:textId="77777777" w:rsidTr="000D5A00">
              <w:tc>
                <w:tcPr>
                  <w:tcW w:w="603" w:type="pct"/>
                  <w:vMerge w:val="restart"/>
                  <w:tcBorders>
                    <w:top w:val="single" w:sz="4" w:space="0" w:color="BFBFBF" w:themeColor="background2"/>
                  </w:tcBorders>
                  <w:shd w:val="clear" w:color="auto" w:fill="auto"/>
                </w:tcPr>
                <w:p w14:paraId="3525FB22" w14:textId="77777777" w:rsidR="000D5A00" w:rsidRDefault="000D5A00" w:rsidP="000D5A00">
                  <w:pPr>
                    <w:pStyle w:val="TableUnitsRow"/>
                    <w:jc w:val="left"/>
                  </w:pPr>
                  <w:r>
                    <w:t>CRA</w:t>
                  </w:r>
                </w:p>
              </w:tc>
              <w:tc>
                <w:tcPr>
                  <w:tcW w:w="835" w:type="pct"/>
                  <w:tcBorders>
                    <w:top w:val="single" w:sz="4" w:space="0" w:color="BFBFBF" w:themeColor="background2"/>
                  </w:tcBorders>
                  <w:shd w:val="clear" w:color="auto" w:fill="auto"/>
                  <w:vAlign w:val="bottom"/>
                </w:tcPr>
                <w:p w14:paraId="0D202730" w14:textId="77777777" w:rsidR="000D5A00" w:rsidRDefault="000D5A00" w:rsidP="000D5A00">
                  <w:pPr>
                    <w:pStyle w:val="TableUnitsRow"/>
                    <w:jc w:val="left"/>
                  </w:pPr>
                  <w:r>
                    <w:t>CRA</w:t>
                  </w:r>
                </w:p>
              </w:tc>
              <w:tc>
                <w:tcPr>
                  <w:tcW w:w="396" w:type="pct"/>
                  <w:tcBorders>
                    <w:top w:val="single" w:sz="4" w:space="0" w:color="BFBFBF" w:themeColor="background2"/>
                  </w:tcBorders>
                  <w:shd w:val="clear" w:color="auto" w:fill="auto"/>
                  <w:vAlign w:val="bottom"/>
                </w:tcPr>
                <w:p w14:paraId="258C1C21" w14:textId="77777777" w:rsidR="000D5A00" w:rsidRDefault="000D5A00" w:rsidP="000D5A00">
                  <w:pPr>
                    <w:pStyle w:val="TableBodyText"/>
                    <w:spacing w:before="40"/>
                  </w:pPr>
                  <w:r>
                    <w:t xml:space="preserve"> 469 627</w:t>
                  </w:r>
                </w:p>
              </w:tc>
              <w:tc>
                <w:tcPr>
                  <w:tcW w:w="396" w:type="pct"/>
                  <w:tcBorders>
                    <w:top w:val="single" w:sz="4" w:space="0" w:color="BFBFBF" w:themeColor="background2"/>
                  </w:tcBorders>
                  <w:shd w:val="clear" w:color="auto" w:fill="auto"/>
                  <w:vAlign w:val="bottom"/>
                </w:tcPr>
                <w:p w14:paraId="0B1FE09A" w14:textId="77777777" w:rsidR="000D5A00" w:rsidRDefault="000D5A00" w:rsidP="000D5A00">
                  <w:pPr>
                    <w:pStyle w:val="TableBodyText"/>
                    <w:spacing w:before="40"/>
                  </w:pPr>
                  <w:r>
                    <w:t xml:space="preserve"> 486 218</w:t>
                  </w:r>
                </w:p>
              </w:tc>
              <w:tc>
                <w:tcPr>
                  <w:tcW w:w="396" w:type="pct"/>
                  <w:tcBorders>
                    <w:top w:val="single" w:sz="4" w:space="0" w:color="BFBFBF" w:themeColor="background2"/>
                  </w:tcBorders>
                  <w:shd w:val="clear" w:color="auto" w:fill="auto"/>
                  <w:vAlign w:val="bottom"/>
                </w:tcPr>
                <w:p w14:paraId="60F839C7" w14:textId="77777777" w:rsidR="000D5A00" w:rsidRDefault="000D5A00" w:rsidP="000D5A00">
                  <w:pPr>
                    <w:pStyle w:val="TableBodyText"/>
                    <w:spacing w:before="40"/>
                  </w:pPr>
                  <w:r>
                    <w:t xml:space="preserve"> 481 812</w:t>
                  </w:r>
                </w:p>
              </w:tc>
              <w:tc>
                <w:tcPr>
                  <w:tcW w:w="396" w:type="pct"/>
                  <w:tcBorders>
                    <w:top w:val="single" w:sz="4" w:space="0" w:color="BFBFBF" w:themeColor="background2"/>
                  </w:tcBorders>
                  <w:shd w:val="clear" w:color="auto" w:fill="auto"/>
                  <w:vAlign w:val="bottom"/>
                </w:tcPr>
                <w:p w14:paraId="2DCD6C39" w14:textId="77777777" w:rsidR="000D5A00" w:rsidRDefault="000D5A00" w:rsidP="000D5A00">
                  <w:pPr>
                    <w:pStyle w:val="TableBodyText"/>
                    <w:spacing w:before="40"/>
                  </w:pPr>
                  <w:r>
                    <w:t xml:space="preserve"> 479 646</w:t>
                  </w:r>
                </w:p>
              </w:tc>
              <w:tc>
                <w:tcPr>
                  <w:tcW w:w="396" w:type="pct"/>
                  <w:tcBorders>
                    <w:top w:val="single" w:sz="4" w:space="0" w:color="BFBFBF" w:themeColor="background2"/>
                  </w:tcBorders>
                  <w:shd w:val="clear" w:color="auto" w:fill="auto"/>
                  <w:vAlign w:val="bottom"/>
                </w:tcPr>
                <w:p w14:paraId="3CBD93E2" w14:textId="77777777" w:rsidR="000D5A00" w:rsidRDefault="000D5A00" w:rsidP="000D5A00">
                  <w:pPr>
                    <w:pStyle w:val="TableBodyText"/>
                    <w:spacing w:before="40"/>
                  </w:pPr>
                  <w:r>
                    <w:t xml:space="preserve"> 517 608</w:t>
                  </w:r>
                </w:p>
              </w:tc>
              <w:tc>
                <w:tcPr>
                  <w:tcW w:w="396" w:type="pct"/>
                  <w:tcBorders>
                    <w:top w:val="single" w:sz="4" w:space="0" w:color="BFBFBF" w:themeColor="background2"/>
                  </w:tcBorders>
                  <w:shd w:val="clear" w:color="auto" w:fill="auto"/>
                  <w:vAlign w:val="bottom"/>
                </w:tcPr>
                <w:p w14:paraId="4FDF2263" w14:textId="77777777" w:rsidR="000D5A00" w:rsidRDefault="000D5A00" w:rsidP="000D5A00">
                  <w:pPr>
                    <w:pStyle w:val="TableBodyText"/>
                    <w:spacing w:before="40"/>
                  </w:pPr>
                  <w:r>
                    <w:t xml:space="preserve"> 565 548</w:t>
                  </w:r>
                </w:p>
              </w:tc>
              <w:tc>
                <w:tcPr>
                  <w:tcW w:w="396" w:type="pct"/>
                  <w:tcBorders>
                    <w:top w:val="single" w:sz="4" w:space="0" w:color="BFBFBF" w:themeColor="background2"/>
                  </w:tcBorders>
                  <w:shd w:val="clear" w:color="auto" w:fill="auto"/>
                  <w:vAlign w:val="bottom"/>
                </w:tcPr>
                <w:p w14:paraId="3E370F46" w14:textId="77777777" w:rsidR="000D5A00" w:rsidRDefault="000D5A00" w:rsidP="000D5A00">
                  <w:pPr>
                    <w:pStyle w:val="TableBodyText"/>
                    <w:spacing w:before="40"/>
                  </w:pPr>
                  <w:r>
                    <w:t xml:space="preserve"> 599 728</w:t>
                  </w:r>
                </w:p>
              </w:tc>
              <w:tc>
                <w:tcPr>
                  <w:tcW w:w="396" w:type="pct"/>
                  <w:tcBorders>
                    <w:top w:val="single" w:sz="4" w:space="0" w:color="BFBFBF" w:themeColor="background2"/>
                  </w:tcBorders>
                  <w:shd w:val="clear" w:color="auto" w:fill="auto"/>
                  <w:vAlign w:val="bottom"/>
                </w:tcPr>
                <w:p w14:paraId="6151CC11" w14:textId="77777777" w:rsidR="000D5A00" w:rsidRDefault="000D5A00" w:rsidP="000D5A00">
                  <w:pPr>
                    <w:pStyle w:val="TableBodyText"/>
                    <w:spacing w:before="40"/>
                  </w:pPr>
                  <w:r>
                    <w:t xml:space="preserve"> 630 326</w:t>
                  </w:r>
                </w:p>
              </w:tc>
              <w:tc>
                <w:tcPr>
                  <w:tcW w:w="394" w:type="pct"/>
                  <w:tcBorders>
                    <w:top w:val="single" w:sz="4" w:space="0" w:color="BFBFBF" w:themeColor="background2"/>
                  </w:tcBorders>
                  <w:shd w:val="clear" w:color="auto" w:fill="auto"/>
                  <w:vAlign w:val="bottom"/>
                </w:tcPr>
                <w:p w14:paraId="1A0E87A3" w14:textId="77777777" w:rsidR="000D5A00" w:rsidRDefault="000D5A00" w:rsidP="000D5A00">
                  <w:pPr>
                    <w:pStyle w:val="TableBodyText"/>
                    <w:spacing w:before="40"/>
                    <w:ind w:right="28"/>
                  </w:pPr>
                  <w:r>
                    <w:t xml:space="preserve"> 670 542</w:t>
                  </w:r>
                </w:p>
              </w:tc>
            </w:tr>
            <w:tr w:rsidR="000D5A00" w14:paraId="5218D6E6" w14:textId="77777777" w:rsidTr="000D5A00">
              <w:tc>
                <w:tcPr>
                  <w:tcW w:w="603" w:type="pct"/>
                  <w:vMerge/>
                  <w:shd w:val="clear" w:color="auto" w:fill="auto"/>
                  <w:vAlign w:val="bottom"/>
                </w:tcPr>
                <w:p w14:paraId="64D29BD0" w14:textId="77777777" w:rsidR="000D5A00" w:rsidRDefault="000D5A00" w:rsidP="00050EEF">
                  <w:pPr>
                    <w:pStyle w:val="TableBodyText"/>
                    <w:jc w:val="left"/>
                  </w:pPr>
                </w:p>
              </w:tc>
              <w:tc>
                <w:tcPr>
                  <w:tcW w:w="835" w:type="pct"/>
                  <w:shd w:val="clear" w:color="auto" w:fill="auto"/>
                  <w:vAlign w:val="bottom"/>
                </w:tcPr>
                <w:p w14:paraId="7EB064E2" w14:textId="77777777" w:rsidR="000D5A00" w:rsidRDefault="000D5A00" w:rsidP="00050EEF">
                  <w:pPr>
                    <w:pStyle w:val="TableBodyText"/>
                    <w:jc w:val="left"/>
                  </w:pPr>
                  <w:r>
                    <w:t>Public housing</w:t>
                  </w:r>
                </w:p>
              </w:tc>
              <w:tc>
                <w:tcPr>
                  <w:tcW w:w="396" w:type="pct"/>
                  <w:shd w:val="clear" w:color="auto" w:fill="auto"/>
                  <w:vAlign w:val="bottom"/>
                </w:tcPr>
                <w:p w14:paraId="501B28A3" w14:textId="77777777" w:rsidR="000D5A00" w:rsidRDefault="000D5A00" w:rsidP="00050EEF">
                  <w:pPr>
                    <w:pStyle w:val="TableBodyText"/>
                  </w:pPr>
                  <w:r>
                    <w:t xml:space="preserve"> 12 696</w:t>
                  </w:r>
                </w:p>
              </w:tc>
              <w:tc>
                <w:tcPr>
                  <w:tcW w:w="396" w:type="pct"/>
                  <w:shd w:val="clear" w:color="auto" w:fill="auto"/>
                  <w:vAlign w:val="bottom"/>
                </w:tcPr>
                <w:p w14:paraId="3CF2DCD7" w14:textId="77777777" w:rsidR="000D5A00" w:rsidRDefault="000D5A00" w:rsidP="00050EEF">
                  <w:pPr>
                    <w:pStyle w:val="TableBodyText"/>
                  </w:pPr>
                  <w:r>
                    <w:t xml:space="preserve"> 14 644</w:t>
                  </w:r>
                </w:p>
              </w:tc>
              <w:tc>
                <w:tcPr>
                  <w:tcW w:w="396" w:type="pct"/>
                  <w:shd w:val="clear" w:color="auto" w:fill="auto"/>
                  <w:vAlign w:val="bottom"/>
                </w:tcPr>
                <w:p w14:paraId="4C0F05F6" w14:textId="77777777" w:rsidR="000D5A00" w:rsidRDefault="000D5A00" w:rsidP="00050EEF">
                  <w:pPr>
                    <w:pStyle w:val="TableBodyText"/>
                  </w:pPr>
                  <w:r>
                    <w:t xml:space="preserve"> 14 289</w:t>
                  </w:r>
                </w:p>
              </w:tc>
              <w:tc>
                <w:tcPr>
                  <w:tcW w:w="396" w:type="pct"/>
                  <w:shd w:val="clear" w:color="auto" w:fill="auto"/>
                  <w:vAlign w:val="bottom"/>
                </w:tcPr>
                <w:p w14:paraId="776490BF" w14:textId="77777777" w:rsidR="000D5A00" w:rsidRDefault="000D5A00" w:rsidP="00050EEF">
                  <w:pPr>
                    <w:pStyle w:val="TableBodyText"/>
                  </w:pPr>
                  <w:r>
                    <w:t xml:space="preserve"> 12 817</w:t>
                  </w:r>
                </w:p>
              </w:tc>
              <w:tc>
                <w:tcPr>
                  <w:tcW w:w="396" w:type="pct"/>
                  <w:shd w:val="clear" w:color="auto" w:fill="auto"/>
                  <w:vAlign w:val="bottom"/>
                </w:tcPr>
                <w:p w14:paraId="6811DC2E" w14:textId="77777777" w:rsidR="000D5A00" w:rsidRDefault="000D5A00" w:rsidP="00050EEF">
                  <w:pPr>
                    <w:pStyle w:val="TableBodyText"/>
                  </w:pPr>
                  <w:r>
                    <w:t xml:space="preserve"> 11 479</w:t>
                  </w:r>
                </w:p>
              </w:tc>
              <w:tc>
                <w:tcPr>
                  <w:tcW w:w="396" w:type="pct"/>
                  <w:shd w:val="clear" w:color="auto" w:fill="auto"/>
                  <w:vAlign w:val="bottom"/>
                </w:tcPr>
                <w:p w14:paraId="1038C707" w14:textId="77777777" w:rsidR="000D5A00" w:rsidRDefault="000D5A00" w:rsidP="00050EEF">
                  <w:pPr>
                    <w:pStyle w:val="TableBodyText"/>
                  </w:pPr>
                  <w:r>
                    <w:t xml:space="preserve"> 11 401</w:t>
                  </w:r>
                </w:p>
              </w:tc>
              <w:tc>
                <w:tcPr>
                  <w:tcW w:w="396" w:type="pct"/>
                  <w:shd w:val="clear" w:color="auto" w:fill="auto"/>
                  <w:vAlign w:val="bottom"/>
                </w:tcPr>
                <w:p w14:paraId="6D3803C0" w14:textId="77777777" w:rsidR="000D5A00" w:rsidRDefault="000D5A00" w:rsidP="00050EEF">
                  <w:pPr>
                    <w:pStyle w:val="TableBodyText"/>
                  </w:pPr>
                  <w:r>
                    <w:t xml:space="preserve"> 11 707</w:t>
                  </w:r>
                </w:p>
              </w:tc>
              <w:tc>
                <w:tcPr>
                  <w:tcW w:w="396" w:type="pct"/>
                  <w:shd w:val="clear" w:color="auto" w:fill="auto"/>
                  <w:vAlign w:val="bottom"/>
                </w:tcPr>
                <w:p w14:paraId="18F4BD09" w14:textId="77777777" w:rsidR="000D5A00" w:rsidRDefault="000D5A00" w:rsidP="00050EEF">
                  <w:pPr>
                    <w:pStyle w:val="TableBodyText"/>
                  </w:pPr>
                  <w:r>
                    <w:t xml:space="preserve"> 12 075</w:t>
                  </w:r>
                </w:p>
              </w:tc>
              <w:tc>
                <w:tcPr>
                  <w:tcW w:w="394" w:type="pct"/>
                  <w:shd w:val="clear" w:color="auto" w:fill="auto"/>
                  <w:vAlign w:val="bottom"/>
                </w:tcPr>
                <w:p w14:paraId="0004C57C" w14:textId="77777777" w:rsidR="000D5A00" w:rsidRDefault="000D5A00" w:rsidP="00050EEF">
                  <w:pPr>
                    <w:pStyle w:val="TableBodyText"/>
                    <w:ind w:right="28"/>
                  </w:pPr>
                  <w:r>
                    <w:t xml:space="preserve"> 12 655</w:t>
                  </w:r>
                </w:p>
              </w:tc>
            </w:tr>
            <w:tr w:rsidR="000D5A00" w14:paraId="0BDE7CEE" w14:textId="77777777" w:rsidTr="000D5A00">
              <w:tc>
                <w:tcPr>
                  <w:tcW w:w="603" w:type="pct"/>
                  <w:vMerge/>
                  <w:shd w:val="clear" w:color="auto" w:fill="auto"/>
                  <w:vAlign w:val="bottom"/>
                </w:tcPr>
                <w:p w14:paraId="1DF91FE2" w14:textId="77777777" w:rsidR="000D5A00" w:rsidRDefault="000D5A00" w:rsidP="00050EEF">
                  <w:pPr>
                    <w:pStyle w:val="TableBodyText"/>
                    <w:jc w:val="left"/>
                  </w:pPr>
                </w:p>
              </w:tc>
              <w:tc>
                <w:tcPr>
                  <w:tcW w:w="835" w:type="pct"/>
                  <w:shd w:val="clear" w:color="auto" w:fill="auto"/>
                  <w:vAlign w:val="bottom"/>
                </w:tcPr>
                <w:p w14:paraId="7948D8C5" w14:textId="77777777" w:rsidR="000D5A00" w:rsidRDefault="000D5A00" w:rsidP="00050EEF">
                  <w:pPr>
                    <w:pStyle w:val="TableBodyText"/>
                    <w:jc w:val="left"/>
                  </w:pPr>
                  <w:r>
                    <w:t>No housing assistance</w:t>
                  </w:r>
                </w:p>
              </w:tc>
              <w:tc>
                <w:tcPr>
                  <w:tcW w:w="396" w:type="pct"/>
                  <w:shd w:val="clear" w:color="auto" w:fill="auto"/>
                  <w:vAlign w:val="bottom"/>
                </w:tcPr>
                <w:p w14:paraId="7AB0FC31" w14:textId="77777777" w:rsidR="000D5A00" w:rsidRDefault="000D5A00" w:rsidP="00050EEF">
                  <w:pPr>
                    <w:pStyle w:val="TableBodyText"/>
                  </w:pPr>
                  <w:r>
                    <w:t xml:space="preserve"> 73 959</w:t>
                  </w:r>
                </w:p>
              </w:tc>
              <w:tc>
                <w:tcPr>
                  <w:tcW w:w="396" w:type="pct"/>
                  <w:shd w:val="clear" w:color="auto" w:fill="auto"/>
                  <w:vAlign w:val="bottom"/>
                </w:tcPr>
                <w:p w14:paraId="72C7E31A" w14:textId="77777777" w:rsidR="000D5A00" w:rsidRDefault="000D5A00" w:rsidP="00050EEF">
                  <w:pPr>
                    <w:pStyle w:val="TableBodyText"/>
                  </w:pPr>
                  <w:r>
                    <w:t xml:space="preserve"> 82 716</w:t>
                  </w:r>
                </w:p>
              </w:tc>
              <w:tc>
                <w:tcPr>
                  <w:tcW w:w="396" w:type="pct"/>
                  <w:shd w:val="clear" w:color="auto" w:fill="auto"/>
                  <w:vAlign w:val="bottom"/>
                </w:tcPr>
                <w:p w14:paraId="79604DA9" w14:textId="77777777" w:rsidR="000D5A00" w:rsidRDefault="000D5A00" w:rsidP="00050EEF">
                  <w:pPr>
                    <w:pStyle w:val="TableBodyText"/>
                  </w:pPr>
                  <w:r>
                    <w:t xml:space="preserve"> 82 493</w:t>
                  </w:r>
                </w:p>
              </w:tc>
              <w:tc>
                <w:tcPr>
                  <w:tcW w:w="396" w:type="pct"/>
                  <w:shd w:val="clear" w:color="auto" w:fill="auto"/>
                  <w:vAlign w:val="bottom"/>
                </w:tcPr>
                <w:p w14:paraId="7E9037EA" w14:textId="77777777" w:rsidR="000D5A00" w:rsidRDefault="000D5A00" w:rsidP="00050EEF">
                  <w:pPr>
                    <w:pStyle w:val="TableBodyText"/>
                  </w:pPr>
                  <w:r>
                    <w:t xml:space="preserve"> 78 830</w:t>
                  </w:r>
                </w:p>
              </w:tc>
              <w:tc>
                <w:tcPr>
                  <w:tcW w:w="396" w:type="pct"/>
                  <w:shd w:val="clear" w:color="auto" w:fill="auto"/>
                  <w:vAlign w:val="bottom"/>
                </w:tcPr>
                <w:p w14:paraId="7DBDFF05" w14:textId="77777777" w:rsidR="000D5A00" w:rsidRDefault="000D5A00" w:rsidP="00050EEF">
                  <w:pPr>
                    <w:pStyle w:val="TableBodyText"/>
                  </w:pPr>
                  <w:r>
                    <w:t xml:space="preserve"> 85 804</w:t>
                  </w:r>
                </w:p>
              </w:tc>
              <w:tc>
                <w:tcPr>
                  <w:tcW w:w="396" w:type="pct"/>
                  <w:shd w:val="clear" w:color="auto" w:fill="auto"/>
                  <w:vAlign w:val="bottom"/>
                </w:tcPr>
                <w:p w14:paraId="7CED5C1F" w14:textId="77777777" w:rsidR="000D5A00" w:rsidRDefault="000D5A00" w:rsidP="00050EEF">
                  <w:pPr>
                    <w:pStyle w:val="TableBodyText"/>
                  </w:pPr>
                  <w:r>
                    <w:t xml:space="preserve"> 91 850</w:t>
                  </w:r>
                </w:p>
              </w:tc>
              <w:tc>
                <w:tcPr>
                  <w:tcW w:w="396" w:type="pct"/>
                  <w:shd w:val="clear" w:color="auto" w:fill="auto"/>
                  <w:vAlign w:val="bottom"/>
                </w:tcPr>
                <w:p w14:paraId="38F41476" w14:textId="77777777" w:rsidR="000D5A00" w:rsidRDefault="000D5A00" w:rsidP="00050EEF">
                  <w:pPr>
                    <w:pStyle w:val="TableBodyText"/>
                  </w:pPr>
                  <w:r>
                    <w:t xml:space="preserve"> 90 971</w:t>
                  </w:r>
                </w:p>
              </w:tc>
              <w:tc>
                <w:tcPr>
                  <w:tcW w:w="396" w:type="pct"/>
                  <w:shd w:val="clear" w:color="auto" w:fill="auto"/>
                  <w:vAlign w:val="bottom"/>
                </w:tcPr>
                <w:p w14:paraId="06C1CECF" w14:textId="77777777" w:rsidR="000D5A00" w:rsidRDefault="000D5A00" w:rsidP="00050EEF">
                  <w:pPr>
                    <w:pStyle w:val="TableBodyText"/>
                  </w:pPr>
                  <w:r>
                    <w:t xml:space="preserve"> 94 287</w:t>
                  </w:r>
                </w:p>
              </w:tc>
              <w:tc>
                <w:tcPr>
                  <w:tcW w:w="394" w:type="pct"/>
                  <w:shd w:val="clear" w:color="auto" w:fill="auto"/>
                  <w:vAlign w:val="bottom"/>
                </w:tcPr>
                <w:p w14:paraId="542789CE" w14:textId="77777777" w:rsidR="000D5A00" w:rsidRDefault="000D5A00" w:rsidP="00050EEF">
                  <w:pPr>
                    <w:pStyle w:val="TableBodyText"/>
                    <w:ind w:right="28"/>
                  </w:pPr>
                  <w:r>
                    <w:t xml:space="preserve"> 96 368</w:t>
                  </w:r>
                </w:p>
              </w:tc>
            </w:tr>
            <w:tr w:rsidR="000D5A00" w14:paraId="420BBD3F" w14:textId="77777777" w:rsidTr="000D5A00">
              <w:tc>
                <w:tcPr>
                  <w:tcW w:w="603" w:type="pct"/>
                  <w:vMerge w:val="restart"/>
                  <w:shd w:val="clear" w:color="auto" w:fill="auto"/>
                </w:tcPr>
                <w:p w14:paraId="716B68CF" w14:textId="77777777" w:rsidR="000D5A00" w:rsidRDefault="000D5A00" w:rsidP="000D5A00">
                  <w:pPr>
                    <w:pStyle w:val="TableBodyText"/>
                    <w:spacing w:before="40"/>
                    <w:jc w:val="left"/>
                  </w:pPr>
                  <w:r>
                    <w:t>Public housing</w:t>
                  </w:r>
                </w:p>
              </w:tc>
              <w:tc>
                <w:tcPr>
                  <w:tcW w:w="835" w:type="pct"/>
                  <w:shd w:val="clear" w:color="auto" w:fill="auto"/>
                  <w:vAlign w:val="bottom"/>
                </w:tcPr>
                <w:p w14:paraId="40A0CFCD" w14:textId="77777777" w:rsidR="000D5A00" w:rsidRDefault="000D5A00" w:rsidP="000D5A00">
                  <w:pPr>
                    <w:pStyle w:val="TableBodyText"/>
                    <w:spacing w:before="40"/>
                    <w:jc w:val="left"/>
                  </w:pPr>
                  <w:r>
                    <w:t>CRA</w:t>
                  </w:r>
                </w:p>
              </w:tc>
              <w:tc>
                <w:tcPr>
                  <w:tcW w:w="396" w:type="pct"/>
                  <w:shd w:val="clear" w:color="auto" w:fill="auto"/>
                  <w:vAlign w:val="bottom"/>
                </w:tcPr>
                <w:p w14:paraId="7450B606" w14:textId="77777777" w:rsidR="000D5A00" w:rsidRDefault="000D5A00" w:rsidP="000D5A00">
                  <w:pPr>
                    <w:pStyle w:val="TableBodyText"/>
                    <w:spacing w:before="40"/>
                  </w:pPr>
                  <w:r>
                    <w:t xml:space="preserve"> 9 962</w:t>
                  </w:r>
                </w:p>
              </w:tc>
              <w:tc>
                <w:tcPr>
                  <w:tcW w:w="396" w:type="pct"/>
                  <w:shd w:val="clear" w:color="auto" w:fill="auto"/>
                  <w:vAlign w:val="bottom"/>
                </w:tcPr>
                <w:p w14:paraId="5763FA1E" w14:textId="77777777" w:rsidR="000D5A00" w:rsidRDefault="000D5A00" w:rsidP="000D5A00">
                  <w:pPr>
                    <w:pStyle w:val="TableBodyText"/>
                    <w:spacing w:before="40"/>
                  </w:pPr>
                  <w:r>
                    <w:t xml:space="preserve"> 9 442</w:t>
                  </w:r>
                </w:p>
              </w:tc>
              <w:tc>
                <w:tcPr>
                  <w:tcW w:w="396" w:type="pct"/>
                  <w:shd w:val="clear" w:color="auto" w:fill="auto"/>
                  <w:vAlign w:val="bottom"/>
                </w:tcPr>
                <w:p w14:paraId="317F2724" w14:textId="77777777" w:rsidR="000D5A00" w:rsidRDefault="000D5A00" w:rsidP="000D5A00">
                  <w:pPr>
                    <w:pStyle w:val="TableBodyText"/>
                    <w:spacing w:before="40"/>
                  </w:pPr>
                  <w:r>
                    <w:t xml:space="preserve"> 9 183</w:t>
                  </w:r>
                </w:p>
              </w:tc>
              <w:tc>
                <w:tcPr>
                  <w:tcW w:w="396" w:type="pct"/>
                  <w:shd w:val="clear" w:color="auto" w:fill="auto"/>
                  <w:vAlign w:val="bottom"/>
                </w:tcPr>
                <w:p w14:paraId="760D6C89" w14:textId="77777777" w:rsidR="000D5A00" w:rsidRDefault="000D5A00" w:rsidP="000D5A00">
                  <w:pPr>
                    <w:pStyle w:val="TableBodyText"/>
                    <w:spacing w:before="40"/>
                  </w:pPr>
                  <w:r>
                    <w:t xml:space="preserve"> 9 255</w:t>
                  </w:r>
                </w:p>
              </w:tc>
              <w:tc>
                <w:tcPr>
                  <w:tcW w:w="396" w:type="pct"/>
                  <w:shd w:val="clear" w:color="auto" w:fill="auto"/>
                  <w:vAlign w:val="bottom"/>
                </w:tcPr>
                <w:p w14:paraId="7C09C983" w14:textId="77777777" w:rsidR="000D5A00" w:rsidRDefault="000D5A00" w:rsidP="000D5A00">
                  <w:pPr>
                    <w:pStyle w:val="TableBodyText"/>
                    <w:spacing w:before="40"/>
                  </w:pPr>
                  <w:r>
                    <w:t xml:space="preserve"> 10 354</w:t>
                  </w:r>
                </w:p>
              </w:tc>
              <w:tc>
                <w:tcPr>
                  <w:tcW w:w="396" w:type="pct"/>
                  <w:shd w:val="clear" w:color="auto" w:fill="auto"/>
                  <w:vAlign w:val="bottom"/>
                </w:tcPr>
                <w:p w14:paraId="1E84AFA3" w14:textId="77777777" w:rsidR="000D5A00" w:rsidRDefault="000D5A00" w:rsidP="000D5A00">
                  <w:pPr>
                    <w:pStyle w:val="TableBodyText"/>
                    <w:spacing w:before="40"/>
                  </w:pPr>
                  <w:r>
                    <w:t xml:space="preserve"> 9 963</w:t>
                  </w:r>
                </w:p>
              </w:tc>
              <w:tc>
                <w:tcPr>
                  <w:tcW w:w="396" w:type="pct"/>
                  <w:shd w:val="clear" w:color="auto" w:fill="auto"/>
                  <w:vAlign w:val="bottom"/>
                </w:tcPr>
                <w:p w14:paraId="6352BC3B" w14:textId="77777777" w:rsidR="000D5A00" w:rsidRDefault="000D5A00" w:rsidP="000D5A00">
                  <w:pPr>
                    <w:pStyle w:val="TableBodyText"/>
                    <w:spacing w:before="40"/>
                  </w:pPr>
                  <w:r>
                    <w:t xml:space="preserve"> 9 961</w:t>
                  </w:r>
                </w:p>
              </w:tc>
              <w:tc>
                <w:tcPr>
                  <w:tcW w:w="396" w:type="pct"/>
                  <w:shd w:val="clear" w:color="auto" w:fill="auto"/>
                  <w:vAlign w:val="bottom"/>
                </w:tcPr>
                <w:p w14:paraId="780C103A" w14:textId="77777777" w:rsidR="000D5A00" w:rsidRDefault="000D5A00" w:rsidP="000D5A00">
                  <w:pPr>
                    <w:pStyle w:val="TableBodyText"/>
                    <w:spacing w:before="40"/>
                  </w:pPr>
                  <w:r>
                    <w:t xml:space="preserve"> 9 226</w:t>
                  </w:r>
                </w:p>
              </w:tc>
              <w:tc>
                <w:tcPr>
                  <w:tcW w:w="394" w:type="pct"/>
                  <w:shd w:val="clear" w:color="auto" w:fill="auto"/>
                  <w:vAlign w:val="bottom"/>
                </w:tcPr>
                <w:p w14:paraId="01D77763" w14:textId="77777777" w:rsidR="000D5A00" w:rsidRDefault="000D5A00" w:rsidP="000D5A00">
                  <w:pPr>
                    <w:pStyle w:val="TableBodyText"/>
                    <w:spacing w:before="40"/>
                    <w:ind w:right="28"/>
                  </w:pPr>
                  <w:r>
                    <w:t xml:space="preserve"> 9 421</w:t>
                  </w:r>
                </w:p>
              </w:tc>
            </w:tr>
            <w:tr w:rsidR="000D5A00" w14:paraId="5E3093E9" w14:textId="77777777" w:rsidTr="000D5A00">
              <w:tc>
                <w:tcPr>
                  <w:tcW w:w="603" w:type="pct"/>
                  <w:vMerge/>
                  <w:shd w:val="clear" w:color="auto" w:fill="auto"/>
                  <w:vAlign w:val="bottom"/>
                </w:tcPr>
                <w:p w14:paraId="57680124" w14:textId="77777777" w:rsidR="000D5A00" w:rsidRDefault="000D5A00" w:rsidP="00050EEF">
                  <w:pPr>
                    <w:pStyle w:val="TableBodyText"/>
                    <w:jc w:val="left"/>
                  </w:pPr>
                </w:p>
              </w:tc>
              <w:tc>
                <w:tcPr>
                  <w:tcW w:w="835" w:type="pct"/>
                  <w:shd w:val="clear" w:color="auto" w:fill="auto"/>
                  <w:vAlign w:val="bottom"/>
                </w:tcPr>
                <w:p w14:paraId="4C009818" w14:textId="77777777" w:rsidR="000D5A00" w:rsidRDefault="000D5A00" w:rsidP="00050EEF">
                  <w:pPr>
                    <w:pStyle w:val="TableBodyText"/>
                    <w:jc w:val="left"/>
                  </w:pPr>
                  <w:r>
                    <w:t>Public housing</w:t>
                  </w:r>
                </w:p>
              </w:tc>
              <w:tc>
                <w:tcPr>
                  <w:tcW w:w="396" w:type="pct"/>
                  <w:shd w:val="clear" w:color="auto" w:fill="auto"/>
                  <w:vAlign w:val="bottom"/>
                </w:tcPr>
                <w:p w14:paraId="4DD7BEA3" w14:textId="77777777" w:rsidR="000D5A00" w:rsidRDefault="000D5A00" w:rsidP="00050EEF">
                  <w:pPr>
                    <w:pStyle w:val="TableBodyText"/>
                  </w:pPr>
                  <w:r>
                    <w:t xml:space="preserve"> 206 099</w:t>
                  </w:r>
                </w:p>
              </w:tc>
              <w:tc>
                <w:tcPr>
                  <w:tcW w:w="396" w:type="pct"/>
                  <w:shd w:val="clear" w:color="auto" w:fill="auto"/>
                  <w:vAlign w:val="bottom"/>
                </w:tcPr>
                <w:p w14:paraId="68B95EF6" w14:textId="77777777" w:rsidR="000D5A00" w:rsidRDefault="000D5A00" w:rsidP="00050EEF">
                  <w:pPr>
                    <w:pStyle w:val="TableBodyText"/>
                  </w:pPr>
                  <w:r>
                    <w:t xml:space="preserve"> 208 673</w:t>
                  </w:r>
                </w:p>
              </w:tc>
              <w:tc>
                <w:tcPr>
                  <w:tcW w:w="396" w:type="pct"/>
                  <w:shd w:val="clear" w:color="auto" w:fill="auto"/>
                  <w:vAlign w:val="bottom"/>
                </w:tcPr>
                <w:p w14:paraId="2A7CE4DA" w14:textId="77777777" w:rsidR="000D5A00" w:rsidRDefault="000D5A00" w:rsidP="00050EEF">
                  <w:pPr>
                    <w:pStyle w:val="TableBodyText"/>
                  </w:pPr>
                  <w:r>
                    <w:t xml:space="preserve"> 207 724</w:t>
                  </w:r>
                </w:p>
              </w:tc>
              <w:tc>
                <w:tcPr>
                  <w:tcW w:w="396" w:type="pct"/>
                  <w:shd w:val="clear" w:color="auto" w:fill="auto"/>
                  <w:vAlign w:val="bottom"/>
                </w:tcPr>
                <w:p w14:paraId="14643EBD" w14:textId="77777777" w:rsidR="000D5A00" w:rsidRDefault="000D5A00" w:rsidP="00050EEF">
                  <w:pPr>
                    <w:pStyle w:val="TableBodyText"/>
                  </w:pPr>
                  <w:r>
                    <w:t xml:space="preserve"> 208 917</w:t>
                  </w:r>
                </w:p>
              </w:tc>
              <w:tc>
                <w:tcPr>
                  <w:tcW w:w="396" w:type="pct"/>
                  <w:shd w:val="clear" w:color="auto" w:fill="auto"/>
                  <w:vAlign w:val="bottom"/>
                </w:tcPr>
                <w:p w14:paraId="64C78D55" w14:textId="77777777" w:rsidR="000D5A00" w:rsidRDefault="000D5A00" w:rsidP="00050EEF">
                  <w:pPr>
                    <w:pStyle w:val="TableBodyText"/>
                  </w:pPr>
                  <w:r>
                    <w:t xml:space="preserve"> 210 752</w:t>
                  </w:r>
                </w:p>
              </w:tc>
              <w:tc>
                <w:tcPr>
                  <w:tcW w:w="396" w:type="pct"/>
                  <w:shd w:val="clear" w:color="auto" w:fill="auto"/>
                  <w:vAlign w:val="bottom"/>
                </w:tcPr>
                <w:p w14:paraId="5685EA51" w14:textId="77777777" w:rsidR="000D5A00" w:rsidRDefault="000D5A00" w:rsidP="00050EEF">
                  <w:pPr>
                    <w:pStyle w:val="TableBodyText"/>
                  </w:pPr>
                  <w:r>
                    <w:t xml:space="preserve"> 213 089</w:t>
                  </w:r>
                </w:p>
              </w:tc>
              <w:tc>
                <w:tcPr>
                  <w:tcW w:w="396" w:type="pct"/>
                  <w:shd w:val="clear" w:color="auto" w:fill="auto"/>
                  <w:vAlign w:val="bottom"/>
                </w:tcPr>
                <w:p w14:paraId="6A7B099A" w14:textId="77777777" w:rsidR="000D5A00" w:rsidRDefault="000D5A00" w:rsidP="00050EEF">
                  <w:pPr>
                    <w:pStyle w:val="TableBodyText"/>
                  </w:pPr>
                  <w:r>
                    <w:t xml:space="preserve"> 211 188</w:t>
                  </w:r>
                </w:p>
              </w:tc>
              <w:tc>
                <w:tcPr>
                  <w:tcW w:w="396" w:type="pct"/>
                  <w:shd w:val="clear" w:color="auto" w:fill="auto"/>
                  <w:vAlign w:val="bottom"/>
                </w:tcPr>
                <w:p w14:paraId="0D2C5388" w14:textId="77777777" w:rsidR="000D5A00" w:rsidRDefault="000D5A00" w:rsidP="00050EEF">
                  <w:pPr>
                    <w:pStyle w:val="TableBodyText"/>
                  </w:pPr>
                  <w:r>
                    <w:t xml:space="preserve"> 212 114</w:t>
                  </w:r>
                </w:p>
              </w:tc>
              <w:tc>
                <w:tcPr>
                  <w:tcW w:w="394" w:type="pct"/>
                  <w:shd w:val="clear" w:color="auto" w:fill="auto"/>
                  <w:vAlign w:val="bottom"/>
                </w:tcPr>
                <w:p w14:paraId="788D422C" w14:textId="77777777" w:rsidR="000D5A00" w:rsidRDefault="000D5A00" w:rsidP="00050EEF">
                  <w:pPr>
                    <w:pStyle w:val="TableBodyText"/>
                    <w:ind w:right="28"/>
                  </w:pPr>
                  <w:r>
                    <w:t xml:space="preserve"> 212 550</w:t>
                  </w:r>
                </w:p>
              </w:tc>
            </w:tr>
            <w:tr w:rsidR="000D5A00" w14:paraId="0B857B34" w14:textId="77777777" w:rsidTr="000D5A00">
              <w:tc>
                <w:tcPr>
                  <w:tcW w:w="603" w:type="pct"/>
                  <w:vMerge/>
                  <w:shd w:val="clear" w:color="auto" w:fill="auto"/>
                  <w:vAlign w:val="bottom"/>
                </w:tcPr>
                <w:p w14:paraId="08A72A4A" w14:textId="77777777" w:rsidR="000D5A00" w:rsidRDefault="000D5A00" w:rsidP="00050EEF">
                  <w:pPr>
                    <w:pStyle w:val="TableBodyText"/>
                    <w:jc w:val="left"/>
                  </w:pPr>
                </w:p>
              </w:tc>
              <w:tc>
                <w:tcPr>
                  <w:tcW w:w="835" w:type="pct"/>
                  <w:shd w:val="clear" w:color="auto" w:fill="auto"/>
                  <w:vAlign w:val="bottom"/>
                </w:tcPr>
                <w:p w14:paraId="100E07CB" w14:textId="77777777" w:rsidR="000D5A00" w:rsidRDefault="000D5A00" w:rsidP="00050EEF">
                  <w:pPr>
                    <w:pStyle w:val="TableBodyText"/>
                    <w:jc w:val="left"/>
                  </w:pPr>
                  <w:r>
                    <w:t>No housing assistance</w:t>
                  </w:r>
                </w:p>
              </w:tc>
              <w:tc>
                <w:tcPr>
                  <w:tcW w:w="396" w:type="pct"/>
                  <w:shd w:val="clear" w:color="auto" w:fill="auto"/>
                  <w:vAlign w:val="bottom"/>
                </w:tcPr>
                <w:p w14:paraId="054D9EFD" w14:textId="77777777" w:rsidR="000D5A00" w:rsidRDefault="000D5A00" w:rsidP="00050EEF">
                  <w:pPr>
                    <w:pStyle w:val="TableBodyText"/>
                  </w:pPr>
                  <w:r>
                    <w:t xml:space="preserve"> 7 622</w:t>
                  </w:r>
                </w:p>
              </w:tc>
              <w:tc>
                <w:tcPr>
                  <w:tcW w:w="396" w:type="pct"/>
                  <w:shd w:val="clear" w:color="auto" w:fill="auto"/>
                  <w:vAlign w:val="bottom"/>
                </w:tcPr>
                <w:p w14:paraId="0DD8F1C8" w14:textId="77777777" w:rsidR="000D5A00" w:rsidRDefault="000D5A00" w:rsidP="00050EEF">
                  <w:pPr>
                    <w:pStyle w:val="TableBodyText"/>
                  </w:pPr>
                  <w:r>
                    <w:t xml:space="preserve"> 8 074</w:t>
                  </w:r>
                </w:p>
              </w:tc>
              <w:tc>
                <w:tcPr>
                  <w:tcW w:w="396" w:type="pct"/>
                  <w:shd w:val="clear" w:color="auto" w:fill="auto"/>
                  <w:vAlign w:val="bottom"/>
                </w:tcPr>
                <w:p w14:paraId="56C03D07" w14:textId="77777777" w:rsidR="000D5A00" w:rsidRDefault="000D5A00" w:rsidP="00050EEF">
                  <w:pPr>
                    <w:pStyle w:val="TableBodyText"/>
                  </w:pPr>
                  <w:r>
                    <w:t xml:space="preserve"> 8 896</w:t>
                  </w:r>
                </w:p>
              </w:tc>
              <w:tc>
                <w:tcPr>
                  <w:tcW w:w="396" w:type="pct"/>
                  <w:shd w:val="clear" w:color="auto" w:fill="auto"/>
                  <w:vAlign w:val="bottom"/>
                </w:tcPr>
                <w:p w14:paraId="27F2184D" w14:textId="77777777" w:rsidR="000D5A00" w:rsidRDefault="000D5A00" w:rsidP="00050EEF">
                  <w:pPr>
                    <w:pStyle w:val="TableBodyText"/>
                  </w:pPr>
                  <w:r>
                    <w:t xml:space="preserve"> 8 105</w:t>
                  </w:r>
                </w:p>
              </w:tc>
              <w:tc>
                <w:tcPr>
                  <w:tcW w:w="396" w:type="pct"/>
                  <w:shd w:val="clear" w:color="auto" w:fill="auto"/>
                  <w:vAlign w:val="bottom"/>
                </w:tcPr>
                <w:p w14:paraId="0D9B04E3" w14:textId="77777777" w:rsidR="000D5A00" w:rsidRDefault="000D5A00" w:rsidP="00050EEF">
                  <w:pPr>
                    <w:pStyle w:val="TableBodyText"/>
                  </w:pPr>
                  <w:r>
                    <w:t xml:space="preserve"> 8 942</w:t>
                  </w:r>
                </w:p>
              </w:tc>
              <w:tc>
                <w:tcPr>
                  <w:tcW w:w="396" w:type="pct"/>
                  <w:shd w:val="clear" w:color="auto" w:fill="auto"/>
                  <w:vAlign w:val="bottom"/>
                </w:tcPr>
                <w:p w14:paraId="0F1733D0" w14:textId="77777777" w:rsidR="000D5A00" w:rsidRDefault="000D5A00" w:rsidP="00050EEF">
                  <w:pPr>
                    <w:pStyle w:val="TableBodyText"/>
                  </w:pPr>
                  <w:r>
                    <w:t xml:space="preserve"> 8 693</w:t>
                  </w:r>
                </w:p>
              </w:tc>
              <w:tc>
                <w:tcPr>
                  <w:tcW w:w="396" w:type="pct"/>
                  <w:shd w:val="clear" w:color="auto" w:fill="auto"/>
                  <w:vAlign w:val="bottom"/>
                </w:tcPr>
                <w:p w14:paraId="082B60A6" w14:textId="77777777" w:rsidR="000D5A00" w:rsidRDefault="000D5A00" w:rsidP="00050EEF">
                  <w:pPr>
                    <w:pStyle w:val="TableBodyText"/>
                  </w:pPr>
                  <w:r>
                    <w:t xml:space="preserve"> 8 973</w:t>
                  </w:r>
                </w:p>
              </w:tc>
              <w:tc>
                <w:tcPr>
                  <w:tcW w:w="396" w:type="pct"/>
                  <w:shd w:val="clear" w:color="auto" w:fill="auto"/>
                  <w:vAlign w:val="bottom"/>
                </w:tcPr>
                <w:p w14:paraId="0327689F" w14:textId="77777777" w:rsidR="000D5A00" w:rsidRDefault="000D5A00" w:rsidP="00050EEF">
                  <w:pPr>
                    <w:pStyle w:val="TableBodyText"/>
                  </w:pPr>
                  <w:r>
                    <w:t xml:space="preserve"> 8 326</w:t>
                  </w:r>
                </w:p>
              </w:tc>
              <w:tc>
                <w:tcPr>
                  <w:tcW w:w="394" w:type="pct"/>
                  <w:shd w:val="clear" w:color="auto" w:fill="auto"/>
                  <w:vAlign w:val="bottom"/>
                </w:tcPr>
                <w:p w14:paraId="19E5449A" w14:textId="77777777" w:rsidR="000D5A00" w:rsidRDefault="000D5A00" w:rsidP="00050EEF">
                  <w:pPr>
                    <w:pStyle w:val="TableBodyText"/>
                    <w:ind w:right="28"/>
                  </w:pPr>
                  <w:r>
                    <w:t xml:space="preserve"> 9 057</w:t>
                  </w:r>
                </w:p>
              </w:tc>
            </w:tr>
            <w:tr w:rsidR="000D5A00" w14:paraId="4254C425" w14:textId="77777777" w:rsidTr="000D5A00">
              <w:tc>
                <w:tcPr>
                  <w:tcW w:w="603" w:type="pct"/>
                  <w:vMerge w:val="restart"/>
                  <w:shd w:val="clear" w:color="auto" w:fill="auto"/>
                </w:tcPr>
                <w:p w14:paraId="1AD4274D" w14:textId="64184A5B" w:rsidR="000D5A00" w:rsidRDefault="000D5A00" w:rsidP="000D5A00">
                  <w:pPr>
                    <w:pStyle w:val="TableBodyText"/>
                    <w:spacing w:before="40"/>
                    <w:jc w:val="left"/>
                  </w:pPr>
                  <w:r>
                    <w:t>No housing assistance</w:t>
                  </w:r>
                </w:p>
              </w:tc>
              <w:tc>
                <w:tcPr>
                  <w:tcW w:w="835" w:type="pct"/>
                  <w:shd w:val="clear" w:color="auto" w:fill="auto"/>
                  <w:vAlign w:val="bottom"/>
                </w:tcPr>
                <w:p w14:paraId="57F46B4B" w14:textId="77777777" w:rsidR="000D5A00" w:rsidRDefault="000D5A00" w:rsidP="000D5A00">
                  <w:pPr>
                    <w:pStyle w:val="TableBodyText"/>
                    <w:spacing w:before="40"/>
                    <w:jc w:val="left"/>
                  </w:pPr>
                  <w:r>
                    <w:t>CRA</w:t>
                  </w:r>
                </w:p>
              </w:tc>
              <w:tc>
                <w:tcPr>
                  <w:tcW w:w="396" w:type="pct"/>
                  <w:shd w:val="clear" w:color="auto" w:fill="auto"/>
                  <w:vAlign w:val="bottom"/>
                </w:tcPr>
                <w:p w14:paraId="56C51089" w14:textId="77777777" w:rsidR="000D5A00" w:rsidRDefault="000D5A00" w:rsidP="000D5A00">
                  <w:pPr>
                    <w:pStyle w:val="TableBodyText"/>
                    <w:spacing w:before="40"/>
                  </w:pPr>
                  <w:r>
                    <w:t xml:space="preserve"> 83 008</w:t>
                  </w:r>
                </w:p>
              </w:tc>
              <w:tc>
                <w:tcPr>
                  <w:tcW w:w="396" w:type="pct"/>
                  <w:shd w:val="clear" w:color="auto" w:fill="auto"/>
                  <w:vAlign w:val="bottom"/>
                </w:tcPr>
                <w:p w14:paraId="61182E03" w14:textId="77777777" w:rsidR="000D5A00" w:rsidRDefault="000D5A00" w:rsidP="000D5A00">
                  <w:pPr>
                    <w:pStyle w:val="TableBodyText"/>
                    <w:spacing w:before="40"/>
                  </w:pPr>
                  <w:r>
                    <w:t xml:space="preserve"> 91 363</w:t>
                  </w:r>
                </w:p>
              </w:tc>
              <w:tc>
                <w:tcPr>
                  <w:tcW w:w="396" w:type="pct"/>
                  <w:shd w:val="clear" w:color="auto" w:fill="auto"/>
                  <w:vAlign w:val="bottom"/>
                </w:tcPr>
                <w:p w14:paraId="77AA058C" w14:textId="77777777" w:rsidR="000D5A00" w:rsidRDefault="000D5A00" w:rsidP="000D5A00">
                  <w:pPr>
                    <w:pStyle w:val="TableBodyText"/>
                    <w:spacing w:before="40"/>
                  </w:pPr>
                  <w:r>
                    <w:t xml:space="preserve"> 93 022</w:t>
                  </w:r>
                </w:p>
              </w:tc>
              <w:tc>
                <w:tcPr>
                  <w:tcW w:w="396" w:type="pct"/>
                  <w:shd w:val="clear" w:color="auto" w:fill="auto"/>
                  <w:vAlign w:val="bottom"/>
                </w:tcPr>
                <w:p w14:paraId="50A3D19B" w14:textId="77777777" w:rsidR="000D5A00" w:rsidRDefault="000D5A00" w:rsidP="000D5A00">
                  <w:pPr>
                    <w:pStyle w:val="TableBodyText"/>
                    <w:spacing w:before="40"/>
                  </w:pPr>
                  <w:r>
                    <w:t xml:space="preserve"> 97 796</w:t>
                  </w:r>
                </w:p>
              </w:tc>
              <w:tc>
                <w:tcPr>
                  <w:tcW w:w="396" w:type="pct"/>
                  <w:shd w:val="clear" w:color="auto" w:fill="auto"/>
                  <w:vAlign w:val="bottom"/>
                </w:tcPr>
                <w:p w14:paraId="37AD09FD" w14:textId="77777777" w:rsidR="000D5A00" w:rsidRDefault="000D5A00" w:rsidP="000D5A00">
                  <w:pPr>
                    <w:pStyle w:val="TableBodyText"/>
                    <w:spacing w:before="40"/>
                  </w:pPr>
                  <w:r>
                    <w:t xml:space="preserve"> 116 946</w:t>
                  </w:r>
                </w:p>
              </w:tc>
              <w:tc>
                <w:tcPr>
                  <w:tcW w:w="396" w:type="pct"/>
                  <w:shd w:val="clear" w:color="auto" w:fill="auto"/>
                  <w:vAlign w:val="bottom"/>
                </w:tcPr>
                <w:p w14:paraId="04651138" w14:textId="77777777" w:rsidR="000D5A00" w:rsidRDefault="000D5A00" w:rsidP="000D5A00">
                  <w:pPr>
                    <w:pStyle w:val="TableBodyText"/>
                    <w:spacing w:before="40"/>
                  </w:pPr>
                  <w:r>
                    <w:t xml:space="preserve"> 123 207</w:t>
                  </w:r>
                </w:p>
              </w:tc>
              <w:tc>
                <w:tcPr>
                  <w:tcW w:w="396" w:type="pct"/>
                  <w:shd w:val="clear" w:color="auto" w:fill="auto"/>
                  <w:vAlign w:val="bottom"/>
                </w:tcPr>
                <w:p w14:paraId="345250CF" w14:textId="77777777" w:rsidR="000D5A00" w:rsidRDefault="000D5A00" w:rsidP="000D5A00">
                  <w:pPr>
                    <w:pStyle w:val="TableBodyText"/>
                    <w:spacing w:before="40"/>
                  </w:pPr>
                  <w:r>
                    <w:t xml:space="preserve"> 122 553</w:t>
                  </w:r>
                </w:p>
              </w:tc>
              <w:tc>
                <w:tcPr>
                  <w:tcW w:w="396" w:type="pct"/>
                  <w:shd w:val="clear" w:color="auto" w:fill="auto"/>
                  <w:vAlign w:val="bottom"/>
                </w:tcPr>
                <w:p w14:paraId="54F2E945" w14:textId="77777777" w:rsidR="000D5A00" w:rsidRDefault="000D5A00" w:rsidP="000D5A00">
                  <w:pPr>
                    <w:pStyle w:val="TableBodyText"/>
                    <w:spacing w:before="40"/>
                  </w:pPr>
                  <w:r>
                    <w:t xml:space="preserve"> 127 320</w:t>
                  </w:r>
                </w:p>
              </w:tc>
              <w:tc>
                <w:tcPr>
                  <w:tcW w:w="394" w:type="pct"/>
                  <w:shd w:val="clear" w:color="auto" w:fill="auto"/>
                  <w:vAlign w:val="bottom"/>
                </w:tcPr>
                <w:p w14:paraId="05EBCE44" w14:textId="77777777" w:rsidR="000D5A00" w:rsidRDefault="000D5A00" w:rsidP="000D5A00">
                  <w:pPr>
                    <w:pStyle w:val="TableBodyText"/>
                    <w:spacing w:before="40"/>
                    <w:ind w:right="28"/>
                  </w:pPr>
                  <w:r>
                    <w:t xml:space="preserve"> 132 974</w:t>
                  </w:r>
                </w:p>
              </w:tc>
            </w:tr>
            <w:tr w:rsidR="000D5A00" w14:paraId="02AEAE08" w14:textId="77777777" w:rsidTr="000D5A00">
              <w:tc>
                <w:tcPr>
                  <w:tcW w:w="603" w:type="pct"/>
                  <w:vMerge/>
                  <w:shd w:val="clear" w:color="auto" w:fill="auto"/>
                  <w:vAlign w:val="bottom"/>
                </w:tcPr>
                <w:p w14:paraId="48F5972F" w14:textId="77777777" w:rsidR="000D5A00" w:rsidRDefault="000D5A00" w:rsidP="00050EEF">
                  <w:pPr>
                    <w:pStyle w:val="TableBodyText"/>
                    <w:jc w:val="left"/>
                  </w:pPr>
                </w:p>
              </w:tc>
              <w:tc>
                <w:tcPr>
                  <w:tcW w:w="835" w:type="pct"/>
                  <w:shd w:val="clear" w:color="auto" w:fill="auto"/>
                  <w:vAlign w:val="bottom"/>
                </w:tcPr>
                <w:p w14:paraId="10B5B474" w14:textId="77777777" w:rsidR="000D5A00" w:rsidRDefault="000D5A00" w:rsidP="00050EEF">
                  <w:pPr>
                    <w:pStyle w:val="TableBodyText"/>
                    <w:jc w:val="left"/>
                  </w:pPr>
                  <w:r>
                    <w:t>Public housing</w:t>
                  </w:r>
                </w:p>
              </w:tc>
              <w:tc>
                <w:tcPr>
                  <w:tcW w:w="396" w:type="pct"/>
                  <w:shd w:val="clear" w:color="auto" w:fill="auto"/>
                  <w:vAlign w:val="bottom"/>
                </w:tcPr>
                <w:p w14:paraId="25D87978" w14:textId="77777777" w:rsidR="000D5A00" w:rsidRDefault="000D5A00" w:rsidP="00050EEF">
                  <w:pPr>
                    <w:pStyle w:val="TableBodyText"/>
                  </w:pPr>
                  <w:r>
                    <w:t xml:space="preserve"> 10 877</w:t>
                  </w:r>
                </w:p>
              </w:tc>
              <w:tc>
                <w:tcPr>
                  <w:tcW w:w="396" w:type="pct"/>
                  <w:shd w:val="clear" w:color="auto" w:fill="auto"/>
                  <w:vAlign w:val="bottom"/>
                </w:tcPr>
                <w:p w14:paraId="7CB8B453" w14:textId="77777777" w:rsidR="000D5A00" w:rsidRDefault="000D5A00" w:rsidP="00050EEF">
                  <w:pPr>
                    <w:pStyle w:val="TableBodyText"/>
                  </w:pPr>
                  <w:r>
                    <w:t xml:space="preserve"> 12 379</w:t>
                  </w:r>
                </w:p>
              </w:tc>
              <w:tc>
                <w:tcPr>
                  <w:tcW w:w="396" w:type="pct"/>
                  <w:shd w:val="clear" w:color="auto" w:fill="auto"/>
                  <w:vAlign w:val="bottom"/>
                </w:tcPr>
                <w:p w14:paraId="54EADC25" w14:textId="77777777" w:rsidR="000D5A00" w:rsidRDefault="000D5A00" w:rsidP="00050EEF">
                  <w:pPr>
                    <w:pStyle w:val="TableBodyText"/>
                  </w:pPr>
                  <w:r>
                    <w:t xml:space="preserve"> 12 800</w:t>
                  </w:r>
                </w:p>
              </w:tc>
              <w:tc>
                <w:tcPr>
                  <w:tcW w:w="396" w:type="pct"/>
                  <w:shd w:val="clear" w:color="auto" w:fill="auto"/>
                  <w:vAlign w:val="bottom"/>
                </w:tcPr>
                <w:p w14:paraId="510C6B5B" w14:textId="77777777" w:rsidR="000D5A00" w:rsidRDefault="000D5A00" w:rsidP="00050EEF">
                  <w:pPr>
                    <w:pStyle w:val="TableBodyText"/>
                  </w:pPr>
                  <w:r>
                    <w:t xml:space="preserve"> 12 770</w:t>
                  </w:r>
                </w:p>
              </w:tc>
              <w:tc>
                <w:tcPr>
                  <w:tcW w:w="396" w:type="pct"/>
                  <w:shd w:val="clear" w:color="auto" w:fill="auto"/>
                  <w:vAlign w:val="bottom"/>
                </w:tcPr>
                <w:p w14:paraId="647F5BD2" w14:textId="77777777" w:rsidR="000D5A00" w:rsidRDefault="000D5A00" w:rsidP="00050EEF">
                  <w:pPr>
                    <w:pStyle w:val="TableBodyText"/>
                  </w:pPr>
                  <w:r>
                    <w:t xml:space="preserve"> 12 918</w:t>
                  </w:r>
                </w:p>
              </w:tc>
              <w:tc>
                <w:tcPr>
                  <w:tcW w:w="396" w:type="pct"/>
                  <w:shd w:val="clear" w:color="auto" w:fill="auto"/>
                  <w:vAlign w:val="bottom"/>
                </w:tcPr>
                <w:p w14:paraId="04F2785C" w14:textId="77777777" w:rsidR="000D5A00" w:rsidRDefault="000D5A00" w:rsidP="00050EEF">
                  <w:pPr>
                    <w:pStyle w:val="TableBodyText"/>
                  </w:pPr>
                  <w:r>
                    <w:t xml:space="preserve"> 13 226</w:t>
                  </w:r>
                </w:p>
              </w:tc>
              <w:tc>
                <w:tcPr>
                  <w:tcW w:w="396" w:type="pct"/>
                  <w:shd w:val="clear" w:color="auto" w:fill="auto"/>
                  <w:vAlign w:val="bottom"/>
                </w:tcPr>
                <w:p w14:paraId="65001891" w14:textId="77777777" w:rsidR="000D5A00" w:rsidRDefault="000D5A00" w:rsidP="00050EEF">
                  <w:pPr>
                    <w:pStyle w:val="TableBodyText"/>
                  </w:pPr>
                  <w:r>
                    <w:t xml:space="preserve"> 12 437</w:t>
                  </w:r>
                </w:p>
              </w:tc>
              <w:tc>
                <w:tcPr>
                  <w:tcW w:w="396" w:type="pct"/>
                  <w:shd w:val="clear" w:color="auto" w:fill="auto"/>
                  <w:vAlign w:val="bottom"/>
                </w:tcPr>
                <w:p w14:paraId="4FBB66E4" w14:textId="77777777" w:rsidR="000D5A00" w:rsidRDefault="000D5A00" w:rsidP="00050EEF">
                  <w:pPr>
                    <w:pStyle w:val="TableBodyText"/>
                  </w:pPr>
                  <w:r>
                    <w:t xml:space="preserve"> 13 621</w:t>
                  </w:r>
                </w:p>
              </w:tc>
              <w:tc>
                <w:tcPr>
                  <w:tcW w:w="394" w:type="pct"/>
                  <w:shd w:val="clear" w:color="auto" w:fill="auto"/>
                  <w:vAlign w:val="bottom"/>
                </w:tcPr>
                <w:p w14:paraId="6367081A" w14:textId="77777777" w:rsidR="000D5A00" w:rsidRDefault="000D5A00" w:rsidP="00050EEF">
                  <w:pPr>
                    <w:pStyle w:val="TableBodyText"/>
                    <w:ind w:right="28"/>
                  </w:pPr>
                  <w:r>
                    <w:t xml:space="preserve"> 14 162</w:t>
                  </w:r>
                </w:p>
              </w:tc>
            </w:tr>
            <w:tr w:rsidR="000D5A00" w14:paraId="2B50B662" w14:textId="77777777" w:rsidTr="000D5A00">
              <w:tc>
                <w:tcPr>
                  <w:tcW w:w="603" w:type="pct"/>
                  <w:vMerge/>
                  <w:shd w:val="clear" w:color="auto" w:fill="auto"/>
                  <w:vAlign w:val="bottom"/>
                </w:tcPr>
                <w:p w14:paraId="0257218E" w14:textId="77777777" w:rsidR="000D5A00" w:rsidRDefault="000D5A00" w:rsidP="00050EEF">
                  <w:pPr>
                    <w:pStyle w:val="TableBodyText"/>
                    <w:jc w:val="left"/>
                  </w:pPr>
                </w:p>
              </w:tc>
              <w:tc>
                <w:tcPr>
                  <w:tcW w:w="835" w:type="pct"/>
                  <w:shd w:val="clear" w:color="auto" w:fill="auto"/>
                  <w:vAlign w:val="bottom"/>
                </w:tcPr>
                <w:p w14:paraId="63AF045A" w14:textId="77777777" w:rsidR="000D5A00" w:rsidRDefault="000D5A00" w:rsidP="00050EEF">
                  <w:pPr>
                    <w:pStyle w:val="TableBodyText"/>
                    <w:jc w:val="left"/>
                  </w:pPr>
                  <w:r>
                    <w:t>No housing assistance</w:t>
                  </w:r>
                </w:p>
              </w:tc>
              <w:tc>
                <w:tcPr>
                  <w:tcW w:w="396" w:type="pct"/>
                  <w:shd w:val="clear" w:color="auto" w:fill="auto"/>
                  <w:vAlign w:val="bottom"/>
                </w:tcPr>
                <w:p w14:paraId="4C46D146" w14:textId="77777777" w:rsidR="000D5A00" w:rsidRDefault="000D5A00" w:rsidP="00050EEF">
                  <w:pPr>
                    <w:pStyle w:val="TableBodyText"/>
                  </w:pPr>
                  <w:r>
                    <w:t xml:space="preserve"> 988 885</w:t>
                  </w:r>
                </w:p>
              </w:tc>
              <w:tc>
                <w:tcPr>
                  <w:tcW w:w="396" w:type="pct"/>
                  <w:shd w:val="clear" w:color="auto" w:fill="auto"/>
                  <w:vAlign w:val="bottom"/>
                </w:tcPr>
                <w:p w14:paraId="53D741CC" w14:textId="77777777" w:rsidR="000D5A00" w:rsidRDefault="000D5A00" w:rsidP="00050EEF">
                  <w:pPr>
                    <w:pStyle w:val="TableBodyText"/>
                  </w:pPr>
                  <w:r>
                    <w:t xml:space="preserve"> 997 124</w:t>
                  </w:r>
                </w:p>
              </w:tc>
              <w:tc>
                <w:tcPr>
                  <w:tcW w:w="396" w:type="pct"/>
                  <w:shd w:val="clear" w:color="auto" w:fill="auto"/>
                  <w:vAlign w:val="bottom"/>
                </w:tcPr>
                <w:p w14:paraId="04040103" w14:textId="77777777" w:rsidR="000D5A00" w:rsidRDefault="000D5A00" w:rsidP="00050EEF">
                  <w:pPr>
                    <w:pStyle w:val="TableBodyText"/>
                  </w:pPr>
                  <w:r>
                    <w:t xml:space="preserve"> 964 717</w:t>
                  </w:r>
                </w:p>
              </w:tc>
              <w:tc>
                <w:tcPr>
                  <w:tcW w:w="396" w:type="pct"/>
                  <w:shd w:val="clear" w:color="auto" w:fill="auto"/>
                  <w:vAlign w:val="bottom"/>
                </w:tcPr>
                <w:p w14:paraId="28A771A9" w14:textId="77777777" w:rsidR="000D5A00" w:rsidRDefault="000D5A00" w:rsidP="00050EEF">
                  <w:pPr>
                    <w:pStyle w:val="TableBodyText"/>
                  </w:pPr>
                  <w:r>
                    <w:t xml:space="preserve"> 938 777</w:t>
                  </w:r>
                </w:p>
              </w:tc>
              <w:tc>
                <w:tcPr>
                  <w:tcW w:w="396" w:type="pct"/>
                  <w:shd w:val="clear" w:color="auto" w:fill="auto"/>
                  <w:vAlign w:val="bottom"/>
                </w:tcPr>
                <w:p w14:paraId="3AC02242" w14:textId="77777777" w:rsidR="000D5A00" w:rsidRDefault="000D5A00" w:rsidP="00050EEF">
                  <w:pPr>
                    <w:pStyle w:val="TableBodyText"/>
                  </w:pPr>
                  <w:r>
                    <w:t xml:space="preserve"> 966 621</w:t>
                  </w:r>
                </w:p>
              </w:tc>
              <w:tc>
                <w:tcPr>
                  <w:tcW w:w="396" w:type="pct"/>
                  <w:shd w:val="clear" w:color="auto" w:fill="auto"/>
                  <w:vAlign w:val="bottom"/>
                </w:tcPr>
                <w:p w14:paraId="77EF0ADA" w14:textId="77777777" w:rsidR="000D5A00" w:rsidRDefault="000D5A00" w:rsidP="00050EEF">
                  <w:pPr>
                    <w:pStyle w:val="TableBodyText"/>
                  </w:pPr>
                  <w:r>
                    <w:t>1 008 499</w:t>
                  </w:r>
                </w:p>
              </w:tc>
              <w:tc>
                <w:tcPr>
                  <w:tcW w:w="396" w:type="pct"/>
                  <w:shd w:val="clear" w:color="auto" w:fill="auto"/>
                  <w:vAlign w:val="bottom"/>
                </w:tcPr>
                <w:p w14:paraId="288034F9" w14:textId="77777777" w:rsidR="000D5A00" w:rsidRDefault="000D5A00" w:rsidP="00050EEF">
                  <w:pPr>
                    <w:pStyle w:val="TableBodyText"/>
                  </w:pPr>
                  <w:r>
                    <w:t>1 014 792</w:t>
                  </w:r>
                </w:p>
              </w:tc>
              <w:tc>
                <w:tcPr>
                  <w:tcW w:w="396" w:type="pct"/>
                  <w:shd w:val="clear" w:color="auto" w:fill="auto"/>
                  <w:vAlign w:val="bottom"/>
                </w:tcPr>
                <w:p w14:paraId="597CFDF6" w14:textId="77777777" w:rsidR="000D5A00" w:rsidRDefault="000D5A00" w:rsidP="00050EEF">
                  <w:pPr>
                    <w:pStyle w:val="TableBodyText"/>
                  </w:pPr>
                  <w:r>
                    <w:t>1 024 161</w:t>
                  </w:r>
                </w:p>
              </w:tc>
              <w:tc>
                <w:tcPr>
                  <w:tcW w:w="394" w:type="pct"/>
                  <w:shd w:val="clear" w:color="auto" w:fill="auto"/>
                  <w:vAlign w:val="bottom"/>
                </w:tcPr>
                <w:p w14:paraId="2B27A77A" w14:textId="77777777" w:rsidR="000D5A00" w:rsidRDefault="000D5A00" w:rsidP="00050EEF">
                  <w:pPr>
                    <w:pStyle w:val="TableBodyText"/>
                    <w:ind w:right="28"/>
                  </w:pPr>
                  <w:r>
                    <w:t>1 013 161</w:t>
                  </w:r>
                </w:p>
              </w:tc>
            </w:tr>
            <w:tr w:rsidR="00877876" w14:paraId="69F564D3" w14:textId="77777777" w:rsidTr="000D5A00">
              <w:tc>
                <w:tcPr>
                  <w:tcW w:w="1438" w:type="pct"/>
                  <w:gridSpan w:val="2"/>
                  <w:shd w:val="clear" w:color="auto" w:fill="auto"/>
                  <w:vAlign w:val="bottom"/>
                </w:tcPr>
                <w:p w14:paraId="527196E1" w14:textId="77777777" w:rsidR="00877876" w:rsidRDefault="00877876" w:rsidP="00050EEF">
                  <w:pPr>
                    <w:pStyle w:val="TableBodyText"/>
                    <w:jc w:val="left"/>
                  </w:pPr>
                  <w:r>
                    <w:t>No. of individual observations</w:t>
                  </w:r>
                </w:p>
              </w:tc>
              <w:tc>
                <w:tcPr>
                  <w:tcW w:w="396" w:type="pct"/>
                  <w:shd w:val="clear" w:color="auto" w:fill="auto"/>
                  <w:vAlign w:val="bottom"/>
                </w:tcPr>
                <w:p w14:paraId="6AB6284D" w14:textId="77777777" w:rsidR="00877876" w:rsidRDefault="00877876" w:rsidP="00050EEF">
                  <w:pPr>
                    <w:pStyle w:val="TableBodyText"/>
                  </w:pPr>
                  <w:r>
                    <w:t>1 862 735</w:t>
                  </w:r>
                </w:p>
              </w:tc>
              <w:tc>
                <w:tcPr>
                  <w:tcW w:w="396" w:type="pct"/>
                  <w:shd w:val="clear" w:color="auto" w:fill="auto"/>
                  <w:vAlign w:val="bottom"/>
                </w:tcPr>
                <w:p w14:paraId="693507C2" w14:textId="77777777" w:rsidR="00877876" w:rsidRDefault="00877876" w:rsidP="00050EEF">
                  <w:pPr>
                    <w:pStyle w:val="TableBodyText"/>
                  </w:pPr>
                  <w:r>
                    <w:t>1 910 633</w:t>
                  </w:r>
                </w:p>
              </w:tc>
              <w:tc>
                <w:tcPr>
                  <w:tcW w:w="396" w:type="pct"/>
                  <w:shd w:val="clear" w:color="auto" w:fill="auto"/>
                  <w:vAlign w:val="bottom"/>
                </w:tcPr>
                <w:p w14:paraId="32778BFF" w14:textId="77777777" w:rsidR="00877876" w:rsidRDefault="00877876" w:rsidP="00050EEF">
                  <w:pPr>
                    <w:pStyle w:val="TableBodyText"/>
                  </w:pPr>
                  <w:r>
                    <w:t>1 874 936</w:t>
                  </w:r>
                </w:p>
              </w:tc>
              <w:tc>
                <w:tcPr>
                  <w:tcW w:w="396" w:type="pct"/>
                  <w:shd w:val="clear" w:color="auto" w:fill="auto"/>
                  <w:vAlign w:val="bottom"/>
                </w:tcPr>
                <w:p w14:paraId="2F428C68" w14:textId="77777777" w:rsidR="00877876" w:rsidRDefault="00877876" w:rsidP="00050EEF">
                  <w:pPr>
                    <w:pStyle w:val="TableBodyText"/>
                  </w:pPr>
                  <w:r>
                    <w:t>1 846 913</w:t>
                  </w:r>
                </w:p>
              </w:tc>
              <w:tc>
                <w:tcPr>
                  <w:tcW w:w="396" w:type="pct"/>
                  <w:shd w:val="clear" w:color="auto" w:fill="auto"/>
                  <w:vAlign w:val="bottom"/>
                </w:tcPr>
                <w:p w14:paraId="2711324C" w14:textId="77777777" w:rsidR="00877876" w:rsidRDefault="00877876" w:rsidP="00050EEF">
                  <w:pPr>
                    <w:pStyle w:val="TableBodyText"/>
                  </w:pPr>
                  <w:r>
                    <w:t>1 941 424</w:t>
                  </w:r>
                </w:p>
              </w:tc>
              <w:tc>
                <w:tcPr>
                  <w:tcW w:w="396" w:type="pct"/>
                  <w:shd w:val="clear" w:color="auto" w:fill="auto"/>
                  <w:vAlign w:val="bottom"/>
                </w:tcPr>
                <w:p w14:paraId="59C35025" w14:textId="77777777" w:rsidR="00877876" w:rsidRDefault="00877876" w:rsidP="00050EEF">
                  <w:pPr>
                    <w:pStyle w:val="TableBodyText"/>
                  </w:pPr>
                  <w:r>
                    <w:t>2 045 476</w:t>
                  </w:r>
                </w:p>
              </w:tc>
              <w:tc>
                <w:tcPr>
                  <w:tcW w:w="396" w:type="pct"/>
                  <w:shd w:val="clear" w:color="auto" w:fill="auto"/>
                  <w:vAlign w:val="bottom"/>
                </w:tcPr>
                <w:p w14:paraId="34E680AC" w14:textId="77777777" w:rsidR="00877876" w:rsidRDefault="00877876" w:rsidP="00050EEF">
                  <w:pPr>
                    <w:pStyle w:val="TableBodyText"/>
                  </w:pPr>
                  <w:r>
                    <w:t>2 082 310</w:t>
                  </w:r>
                </w:p>
              </w:tc>
              <w:tc>
                <w:tcPr>
                  <w:tcW w:w="396" w:type="pct"/>
                  <w:shd w:val="clear" w:color="auto" w:fill="auto"/>
                  <w:vAlign w:val="bottom"/>
                </w:tcPr>
                <w:p w14:paraId="09E3092D" w14:textId="77777777" w:rsidR="00877876" w:rsidRDefault="00877876" w:rsidP="00050EEF">
                  <w:pPr>
                    <w:pStyle w:val="TableBodyText"/>
                  </w:pPr>
                  <w:r>
                    <w:t>2 131 456</w:t>
                  </w:r>
                </w:p>
              </w:tc>
              <w:tc>
                <w:tcPr>
                  <w:tcW w:w="394" w:type="pct"/>
                  <w:shd w:val="clear" w:color="auto" w:fill="auto"/>
                  <w:vAlign w:val="bottom"/>
                </w:tcPr>
                <w:p w14:paraId="65E3A9C9" w14:textId="77777777" w:rsidR="00877876" w:rsidRDefault="00877876" w:rsidP="00050EEF">
                  <w:pPr>
                    <w:pStyle w:val="TableBodyText"/>
                    <w:ind w:right="28"/>
                  </w:pPr>
                  <w:r>
                    <w:t>2 170 890</w:t>
                  </w:r>
                </w:p>
              </w:tc>
            </w:tr>
          </w:tbl>
          <w:p w14:paraId="0629E692" w14:textId="77777777" w:rsidR="00877876" w:rsidRDefault="00877876" w:rsidP="00050EEF">
            <w:pPr>
              <w:pStyle w:val="Box"/>
            </w:pPr>
          </w:p>
        </w:tc>
      </w:tr>
      <w:tr w:rsidR="00877876" w14:paraId="0C57B0A1" w14:textId="77777777" w:rsidTr="00050EEF">
        <w:trPr>
          <w:cantSplit/>
        </w:trPr>
        <w:tc>
          <w:tcPr>
            <w:tcW w:w="13041" w:type="dxa"/>
            <w:tcBorders>
              <w:top w:val="nil"/>
              <w:left w:val="nil"/>
              <w:bottom w:val="nil"/>
              <w:right w:val="nil"/>
            </w:tcBorders>
            <w:shd w:val="clear" w:color="auto" w:fill="auto"/>
          </w:tcPr>
          <w:p w14:paraId="785913C0" w14:textId="77777777" w:rsidR="00877876" w:rsidRDefault="00877876" w:rsidP="00050EEF">
            <w:pPr>
              <w:pStyle w:val="Note"/>
              <w:rPr>
                <w:i/>
              </w:rPr>
            </w:pPr>
            <w:r w:rsidRPr="00924049">
              <w:rPr>
                <w:rStyle w:val="NoteLabel"/>
              </w:rPr>
              <w:t>a</w:t>
            </w:r>
            <w:r w:rsidRPr="00924049">
              <w:t xml:space="preserve"> Number of ISP recipients aged 16–</w:t>
            </w:r>
            <w:r>
              <w:t>65</w:t>
            </w:r>
            <w:r w:rsidRPr="00924049">
              <w:t xml:space="preserve"> at 30 June of each year. </w:t>
            </w:r>
            <w:r w:rsidRPr="00924049">
              <w:rPr>
                <w:rStyle w:val="NoteLabel"/>
              </w:rPr>
              <w:t xml:space="preserve">b </w:t>
            </w:r>
            <w:r w:rsidRPr="00924049">
              <w:t>Lagged housing assistance indicates an individual’s housing assistance at June 30 of the preceding year.</w:t>
            </w:r>
          </w:p>
        </w:tc>
      </w:tr>
      <w:tr w:rsidR="00877876" w14:paraId="2AE1C119" w14:textId="77777777" w:rsidTr="00050EEF">
        <w:trPr>
          <w:cantSplit/>
        </w:trPr>
        <w:tc>
          <w:tcPr>
            <w:tcW w:w="13041" w:type="dxa"/>
            <w:tcBorders>
              <w:top w:val="nil"/>
              <w:left w:val="nil"/>
              <w:bottom w:val="nil"/>
              <w:right w:val="nil"/>
            </w:tcBorders>
            <w:shd w:val="clear" w:color="auto" w:fill="auto"/>
          </w:tcPr>
          <w:p w14:paraId="1B1FB7FA" w14:textId="77777777" w:rsidR="00877876" w:rsidRDefault="00877876" w:rsidP="00050EEF">
            <w:pPr>
              <w:pStyle w:val="Source"/>
            </w:pPr>
            <w:r>
              <w:rPr>
                <w:i/>
              </w:rPr>
              <w:t>S</w:t>
            </w:r>
            <w:r w:rsidRPr="00784A05">
              <w:rPr>
                <w:i/>
              </w:rPr>
              <w:t>ource</w:t>
            </w:r>
            <w:r w:rsidRPr="00176D3F">
              <w:t xml:space="preserve">: </w:t>
            </w:r>
            <w:r>
              <w:t>Author estimates, Research and Evaluation Database.</w:t>
            </w:r>
          </w:p>
        </w:tc>
      </w:tr>
      <w:tr w:rsidR="00877876" w14:paraId="37C7E6FC" w14:textId="77777777" w:rsidTr="00050EEF">
        <w:trPr>
          <w:cantSplit/>
        </w:trPr>
        <w:tc>
          <w:tcPr>
            <w:tcW w:w="13041" w:type="dxa"/>
            <w:tcBorders>
              <w:top w:val="nil"/>
              <w:left w:val="nil"/>
              <w:bottom w:val="single" w:sz="6" w:space="0" w:color="78A22F"/>
              <w:right w:val="nil"/>
            </w:tcBorders>
            <w:shd w:val="clear" w:color="auto" w:fill="auto"/>
          </w:tcPr>
          <w:p w14:paraId="31B9964D" w14:textId="77777777" w:rsidR="00877876" w:rsidRDefault="00877876" w:rsidP="00050EEF">
            <w:pPr>
              <w:pStyle w:val="Box"/>
              <w:spacing w:before="0" w:line="120" w:lineRule="exact"/>
            </w:pPr>
          </w:p>
        </w:tc>
      </w:tr>
      <w:tr w:rsidR="00877876" w:rsidRPr="000863A5" w14:paraId="76A5F3A4" w14:textId="77777777" w:rsidTr="00050EEF">
        <w:tc>
          <w:tcPr>
            <w:tcW w:w="13041" w:type="dxa"/>
            <w:tcBorders>
              <w:top w:val="single" w:sz="6" w:space="0" w:color="78A22F"/>
              <w:left w:val="nil"/>
              <w:bottom w:val="nil"/>
              <w:right w:val="nil"/>
            </w:tcBorders>
          </w:tcPr>
          <w:p w14:paraId="0AF51150" w14:textId="01D7BD9B" w:rsidR="00877876" w:rsidRPr="00626D32" w:rsidRDefault="00877876" w:rsidP="00050EEF">
            <w:pPr>
              <w:pStyle w:val="BoxSpaceBelow"/>
            </w:pPr>
          </w:p>
        </w:tc>
      </w:tr>
    </w:tbl>
    <w:p w14:paraId="5780C2A7" w14:textId="77777777" w:rsidR="00877876" w:rsidRDefault="00877876" w:rsidP="00877876">
      <w:pPr>
        <w:pStyle w:val="BodyText"/>
        <w:sectPr w:rsidR="00877876">
          <w:headerReference w:type="even" r:id="rId17"/>
          <w:headerReference w:type="default" r:id="rId18"/>
          <w:footerReference w:type="even" r:id="rId19"/>
          <w:footerReference w:type="default" r:id="rId20"/>
          <w:pgSz w:w="16840" w:h="11907" w:orient="landscape" w:code="9"/>
          <w:pgMar w:top="1814" w:right="1985" w:bottom="1304" w:left="1418" w:header="1701" w:footer="567" w:gutter="0"/>
          <w:pgNumType w:chapSep="period"/>
          <w:cols w:space="720"/>
        </w:sectPr>
      </w:pPr>
    </w:p>
    <w:p w14:paraId="01B8660D" w14:textId="57496AF8" w:rsidR="00571749" w:rsidRDefault="00B26C6B" w:rsidP="00571749">
      <w:pPr>
        <w:pStyle w:val="BodyText"/>
      </w:pPr>
      <w:r>
        <w:t>The c</w:t>
      </w:r>
      <w:r w:rsidR="00571749">
        <w:t xml:space="preserve">haracteristics of the people in each wave of the longitudinal dataset </w:t>
      </w:r>
      <w:r>
        <w:t xml:space="preserve">have </w:t>
      </w:r>
      <w:r w:rsidR="00571749">
        <w:t>remain</w:t>
      </w:r>
      <w:r>
        <w:t>ed</w:t>
      </w:r>
      <w:r w:rsidR="00571749">
        <w:t xml:space="preserve"> stable across waves. As a result, the demographic characteristics of a particular wave can be viewed as a reasonable </w:t>
      </w:r>
      <w:r w:rsidR="006D1C44">
        <w:t xml:space="preserve">representation of </w:t>
      </w:r>
      <w:r w:rsidR="00571749">
        <w:t>characteristics in other waves.</w:t>
      </w:r>
    </w:p>
    <w:p w14:paraId="1A2FAAFC" w14:textId="49EEBF71" w:rsidR="00571749" w:rsidRDefault="00571749" w:rsidP="00571749">
      <w:pPr>
        <w:pStyle w:val="BodyText"/>
      </w:pPr>
      <w:r>
        <w:t xml:space="preserve">ISP recipients living in public housing differ from those either receiving CRA or not receiving housing assistance </w:t>
      </w:r>
      <w:r w:rsidR="006D1C44">
        <w:t>in several</w:t>
      </w:r>
      <w:r>
        <w:t xml:space="preserve"> ways that are likely to be related to employment (table</w:t>
      </w:r>
      <w:r w:rsidR="00F858B3">
        <w:t> </w:t>
      </w:r>
      <w:r>
        <w:t xml:space="preserve">3). These differences are reasonably consistent in each wave of the dataset. For example, in each wave, public housing residents are more likely to be older, be of an Indigenous background, receive the DSP, suffer a medical condition </w:t>
      </w:r>
      <w:r w:rsidR="006B0DFE">
        <w:t xml:space="preserve">or </w:t>
      </w:r>
      <w:r w:rsidRPr="001A0493">
        <w:t xml:space="preserve">reside in areas of </w:t>
      </w:r>
      <w:r>
        <w:t>relative</w:t>
      </w:r>
      <w:r w:rsidRPr="001A0493">
        <w:t xml:space="preserve"> disadvantage.</w:t>
      </w:r>
    </w:p>
    <w:p w14:paraId="128AE65F" w14:textId="07DC9400" w:rsidR="00571749" w:rsidRDefault="00571749" w:rsidP="0057174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2672"/>
        <w:gridCol w:w="992"/>
        <w:gridCol w:w="1134"/>
        <w:gridCol w:w="709"/>
        <w:gridCol w:w="992"/>
        <w:gridCol w:w="709"/>
        <w:gridCol w:w="992"/>
        <w:gridCol w:w="567"/>
      </w:tblGrid>
      <w:tr w:rsidR="00571749" w14:paraId="29D07362" w14:textId="77777777" w:rsidTr="004235A4">
        <w:tc>
          <w:tcPr>
            <w:tcW w:w="8767" w:type="dxa"/>
            <w:gridSpan w:val="8"/>
            <w:tcBorders>
              <w:top w:val="single" w:sz="6" w:space="0" w:color="78A22F"/>
              <w:left w:val="nil"/>
              <w:bottom w:val="single" w:sz="4" w:space="0" w:color="BFBFBF"/>
              <w:right w:val="nil"/>
            </w:tcBorders>
            <w:shd w:val="clear" w:color="auto" w:fill="auto"/>
          </w:tcPr>
          <w:p w14:paraId="75B487F3" w14:textId="28D15A78" w:rsidR="00571749" w:rsidRPr="00784A05" w:rsidRDefault="00571749" w:rsidP="0035212D">
            <w:pPr>
              <w:pStyle w:val="TableTitle"/>
            </w:pPr>
            <w:r>
              <w:rPr>
                <w:b w:val="0"/>
              </w:rPr>
              <w:t xml:space="preserve">Table </w:t>
            </w:r>
            <w:bookmarkStart w:id="4" w:name="OLE_LINK2"/>
            <w:r w:rsidR="00D8076D">
              <w:rPr>
                <w:b w:val="0"/>
                <w:noProof/>
              </w:rPr>
              <w:t>3</w:t>
            </w:r>
            <w:bookmarkEnd w:id="4"/>
            <w:r>
              <w:tab/>
              <w:t>Characteristics of ISP recipients by type of housing assistance, 30</w:t>
            </w:r>
            <w:r w:rsidR="00F858B3">
              <w:t> </w:t>
            </w:r>
            <w:r>
              <w:t>June 2013</w:t>
            </w:r>
            <w:r w:rsidR="007C5952">
              <w:rPr>
                <w:rStyle w:val="NoteLabel"/>
                <w:rFonts w:cs="Arial"/>
                <w:b/>
                <w:szCs w:val="18"/>
              </w:rPr>
              <w:t>a</w:t>
            </w:r>
          </w:p>
        </w:tc>
      </w:tr>
      <w:tr w:rsidR="00571749" w14:paraId="7FAAAFD6" w14:textId="77777777" w:rsidTr="004235A4">
        <w:trPr>
          <w:cantSplit/>
          <w:trHeight w:val="32"/>
        </w:trPr>
        <w:tc>
          <w:tcPr>
            <w:tcW w:w="2672" w:type="dxa"/>
            <w:tcBorders>
              <w:top w:val="single" w:sz="4" w:space="0" w:color="BFBFBF"/>
              <w:left w:val="nil"/>
              <w:bottom w:val="nil"/>
              <w:right w:val="nil"/>
            </w:tcBorders>
            <w:shd w:val="clear" w:color="auto" w:fill="auto"/>
          </w:tcPr>
          <w:p w14:paraId="3CE7450D" w14:textId="77777777" w:rsidR="00571749" w:rsidRPr="00595FBF" w:rsidRDefault="00571749" w:rsidP="004235A4">
            <w:pPr>
              <w:pStyle w:val="TableColumnHeading"/>
              <w:ind w:left="-57" w:right="0"/>
            </w:pPr>
          </w:p>
        </w:tc>
        <w:tc>
          <w:tcPr>
            <w:tcW w:w="992" w:type="dxa"/>
            <w:tcBorders>
              <w:top w:val="single" w:sz="4" w:space="0" w:color="BFBFBF"/>
              <w:left w:val="nil"/>
              <w:bottom w:val="nil"/>
              <w:right w:val="nil"/>
            </w:tcBorders>
            <w:shd w:val="clear" w:color="auto" w:fill="auto"/>
          </w:tcPr>
          <w:p w14:paraId="0F50E462" w14:textId="77777777" w:rsidR="00571749" w:rsidRPr="00595FBF" w:rsidRDefault="00571749" w:rsidP="004235A4">
            <w:pPr>
              <w:pStyle w:val="TableColumnHeading"/>
              <w:ind w:left="-57" w:right="0"/>
            </w:pPr>
          </w:p>
        </w:tc>
        <w:tc>
          <w:tcPr>
            <w:tcW w:w="1843" w:type="dxa"/>
            <w:gridSpan w:val="2"/>
            <w:tcBorders>
              <w:top w:val="single" w:sz="4" w:space="0" w:color="BFBFBF"/>
              <w:left w:val="nil"/>
              <w:bottom w:val="nil"/>
              <w:right w:val="nil"/>
            </w:tcBorders>
            <w:shd w:val="clear" w:color="auto" w:fill="auto"/>
          </w:tcPr>
          <w:p w14:paraId="2D564338" w14:textId="77777777" w:rsidR="00571749" w:rsidRPr="00595FBF" w:rsidRDefault="00571749" w:rsidP="0043640F">
            <w:pPr>
              <w:pStyle w:val="TableColumnHeading"/>
            </w:pPr>
            <w:r w:rsidRPr="00595FBF">
              <w:t>No housing assistance</w:t>
            </w:r>
          </w:p>
        </w:tc>
        <w:tc>
          <w:tcPr>
            <w:tcW w:w="1701" w:type="dxa"/>
            <w:gridSpan w:val="2"/>
            <w:tcBorders>
              <w:top w:val="single" w:sz="4" w:space="0" w:color="BFBFBF"/>
              <w:left w:val="nil"/>
              <w:bottom w:val="nil"/>
              <w:right w:val="nil"/>
            </w:tcBorders>
            <w:shd w:val="clear" w:color="auto" w:fill="auto"/>
          </w:tcPr>
          <w:p w14:paraId="615D76FC" w14:textId="77777777" w:rsidR="00571749" w:rsidRPr="00595FBF" w:rsidRDefault="00571749" w:rsidP="0043640F">
            <w:pPr>
              <w:pStyle w:val="TableColumnHeading"/>
            </w:pPr>
            <w:r>
              <w:t>Commonwealth Rent Assistance</w:t>
            </w:r>
          </w:p>
        </w:tc>
        <w:tc>
          <w:tcPr>
            <w:tcW w:w="1559" w:type="dxa"/>
            <w:gridSpan w:val="2"/>
            <w:tcBorders>
              <w:top w:val="single" w:sz="4" w:space="0" w:color="BFBFBF"/>
              <w:left w:val="nil"/>
              <w:bottom w:val="nil"/>
              <w:right w:val="nil"/>
            </w:tcBorders>
            <w:shd w:val="clear" w:color="auto" w:fill="auto"/>
          </w:tcPr>
          <w:p w14:paraId="59AA91DD" w14:textId="77777777" w:rsidR="00571749" w:rsidRPr="00595FBF" w:rsidRDefault="00571749" w:rsidP="00C4369E">
            <w:pPr>
              <w:pStyle w:val="TableColumnHeading"/>
              <w:ind w:right="57"/>
            </w:pPr>
            <w:r w:rsidRPr="00595FBF">
              <w:t>Public housing</w:t>
            </w:r>
          </w:p>
        </w:tc>
      </w:tr>
      <w:tr w:rsidR="00571749" w14:paraId="39B2DA35" w14:textId="77777777" w:rsidTr="0043640F">
        <w:trPr>
          <w:cantSplit/>
          <w:trHeight w:val="20"/>
        </w:trPr>
        <w:tc>
          <w:tcPr>
            <w:tcW w:w="2672" w:type="dxa"/>
            <w:tcBorders>
              <w:top w:val="nil"/>
              <w:left w:val="nil"/>
              <w:bottom w:val="single" w:sz="4" w:space="0" w:color="BFBFBF"/>
              <w:right w:val="nil"/>
            </w:tcBorders>
            <w:shd w:val="clear" w:color="auto" w:fill="auto"/>
          </w:tcPr>
          <w:p w14:paraId="52289BCD" w14:textId="77777777" w:rsidR="00571749" w:rsidRPr="00595FBF" w:rsidRDefault="00571749" w:rsidP="004235A4">
            <w:pPr>
              <w:pStyle w:val="TableColumnHeading"/>
              <w:ind w:left="-57" w:right="0"/>
            </w:pPr>
          </w:p>
        </w:tc>
        <w:tc>
          <w:tcPr>
            <w:tcW w:w="992" w:type="dxa"/>
            <w:tcBorders>
              <w:top w:val="nil"/>
              <w:left w:val="nil"/>
              <w:bottom w:val="single" w:sz="4" w:space="0" w:color="BFBFBF"/>
              <w:right w:val="nil"/>
            </w:tcBorders>
            <w:shd w:val="clear" w:color="auto" w:fill="auto"/>
          </w:tcPr>
          <w:p w14:paraId="7AEDF96F" w14:textId="77777777" w:rsidR="00571749" w:rsidRPr="00595FBF" w:rsidRDefault="00571749" w:rsidP="004235A4">
            <w:pPr>
              <w:pStyle w:val="TableColumnHeading"/>
              <w:ind w:left="-57" w:right="0"/>
              <w:jc w:val="left"/>
            </w:pPr>
            <w:r w:rsidRPr="00595FBF">
              <w:t>Unit</w:t>
            </w:r>
          </w:p>
        </w:tc>
        <w:tc>
          <w:tcPr>
            <w:tcW w:w="1134" w:type="dxa"/>
            <w:tcBorders>
              <w:top w:val="nil"/>
              <w:left w:val="nil"/>
              <w:bottom w:val="single" w:sz="4" w:space="0" w:color="BFBFBF"/>
              <w:right w:val="nil"/>
            </w:tcBorders>
            <w:shd w:val="clear" w:color="auto" w:fill="auto"/>
          </w:tcPr>
          <w:p w14:paraId="16872218" w14:textId="77777777" w:rsidR="00571749" w:rsidRPr="00595FBF" w:rsidRDefault="00571749" w:rsidP="0043640F">
            <w:pPr>
              <w:pStyle w:val="TableColumnHeading"/>
            </w:pPr>
            <w:r w:rsidRPr="00595FBF">
              <w:t>Mean</w:t>
            </w:r>
          </w:p>
        </w:tc>
        <w:tc>
          <w:tcPr>
            <w:tcW w:w="709" w:type="dxa"/>
            <w:tcBorders>
              <w:top w:val="nil"/>
              <w:left w:val="nil"/>
              <w:bottom w:val="single" w:sz="4" w:space="0" w:color="BFBFBF"/>
              <w:right w:val="nil"/>
            </w:tcBorders>
            <w:shd w:val="clear" w:color="auto" w:fill="auto"/>
          </w:tcPr>
          <w:p w14:paraId="5933B57B" w14:textId="77777777" w:rsidR="00571749" w:rsidRPr="00595FBF" w:rsidRDefault="00571749" w:rsidP="0043640F">
            <w:pPr>
              <w:pStyle w:val="TableColumnHeading"/>
            </w:pPr>
            <w:r>
              <w:t>sd</w:t>
            </w:r>
          </w:p>
        </w:tc>
        <w:tc>
          <w:tcPr>
            <w:tcW w:w="992" w:type="dxa"/>
            <w:tcBorders>
              <w:top w:val="nil"/>
              <w:left w:val="nil"/>
              <w:bottom w:val="single" w:sz="4" w:space="0" w:color="BFBFBF"/>
              <w:right w:val="nil"/>
            </w:tcBorders>
            <w:shd w:val="clear" w:color="auto" w:fill="auto"/>
          </w:tcPr>
          <w:p w14:paraId="2FC60374" w14:textId="77777777" w:rsidR="00571749" w:rsidRPr="00595FBF" w:rsidRDefault="00571749" w:rsidP="0043640F">
            <w:pPr>
              <w:pStyle w:val="TableColumnHeading"/>
            </w:pPr>
            <w:r w:rsidRPr="00595FBF">
              <w:t>Mean</w:t>
            </w:r>
          </w:p>
        </w:tc>
        <w:tc>
          <w:tcPr>
            <w:tcW w:w="709" w:type="dxa"/>
            <w:tcBorders>
              <w:top w:val="nil"/>
              <w:left w:val="nil"/>
              <w:bottom w:val="single" w:sz="4" w:space="0" w:color="BFBFBF"/>
              <w:right w:val="nil"/>
            </w:tcBorders>
            <w:shd w:val="clear" w:color="auto" w:fill="auto"/>
          </w:tcPr>
          <w:p w14:paraId="5A7F55D3" w14:textId="77777777" w:rsidR="00571749" w:rsidRPr="00595FBF" w:rsidRDefault="00571749" w:rsidP="0043640F">
            <w:pPr>
              <w:pStyle w:val="TableColumnHeading"/>
            </w:pPr>
            <w:r>
              <w:t>sd</w:t>
            </w:r>
          </w:p>
        </w:tc>
        <w:tc>
          <w:tcPr>
            <w:tcW w:w="992" w:type="dxa"/>
            <w:tcBorders>
              <w:top w:val="nil"/>
              <w:left w:val="nil"/>
              <w:bottom w:val="single" w:sz="4" w:space="0" w:color="BFBFBF"/>
              <w:right w:val="nil"/>
            </w:tcBorders>
            <w:shd w:val="clear" w:color="auto" w:fill="auto"/>
          </w:tcPr>
          <w:p w14:paraId="620C73F0" w14:textId="77777777" w:rsidR="00571749" w:rsidRPr="00595FBF" w:rsidRDefault="00571749" w:rsidP="0043640F">
            <w:pPr>
              <w:pStyle w:val="TableColumnHeading"/>
            </w:pPr>
            <w:r w:rsidRPr="00595FBF">
              <w:t>Mean</w:t>
            </w:r>
          </w:p>
        </w:tc>
        <w:tc>
          <w:tcPr>
            <w:tcW w:w="567" w:type="dxa"/>
            <w:tcBorders>
              <w:top w:val="nil"/>
              <w:left w:val="nil"/>
              <w:bottom w:val="single" w:sz="4" w:space="0" w:color="BFBFBF"/>
              <w:right w:val="nil"/>
            </w:tcBorders>
            <w:shd w:val="clear" w:color="auto" w:fill="auto"/>
          </w:tcPr>
          <w:p w14:paraId="12C8BACC" w14:textId="77777777" w:rsidR="00571749" w:rsidRPr="0043640F" w:rsidRDefault="00571749" w:rsidP="00C4369E">
            <w:pPr>
              <w:pStyle w:val="TableColumnHeading"/>
              <w:ind w:right="57"/>
            </w:pPr>
            <w:r w:rsidRPr="0043640F">
              <w:t>sd</w:t>
            </w:r>
          </w:p>
        </w:tc>
      </w:tr>
      <w:tr w:rsidR="00571749" w14:paraId="4B747D6D" w14:textId="77777777" w:rsidTr="004032A8">
        <w:trPr>
          <w:cantSplit/>
          <w:trHeight w:val="20"/>
        </w:trPr>
        <w:tc>
          <w:tcPr>
            <w:tcW w:w="2672" w:type="dxa"/>
            <w:tcBorders>
              <w:top w:val="single" w:sz="4" w:space="0" w:color="BFBFBF"/>
              <w:left w:val="nil"/>
              <w:bottom w:val="nil"/>
              <w:right w:val="nil"/>
            </w:tcBorders>
            <w:shd w:val="clear" w:color="auto" w:fill="auto"/>
            <w:vAlign w:val="bottom"/>
          </w:tcPr>
          <w:p w14:paraId="1D6A02A4" w14:textId="77777777" w:rsidR="00571749" w:rsidRPr="0012370C" w:rsidRDefault="00571749" w:rsidP="004032A8">
            <w:pPr>
              <w:pStyle w:val="TableBodyText"/>
              <w:spacing w:before="40"/>
              <w:ind w:left="-57" w:right="0"/>
              <w:jc w:val="left"/>
              <w:rPr>
                <w:rFonts w:cs="Arial"/>
                <w:szCs w:val="18"/>
              </w:rPr>
            </w:pPr>
            <w:r w:rsidRPr="0012370C">
              <w:rPr>
                <w:rFonts w:cs="Arial"/>
                <w:szCs w:val="18"/>
              </w:rPr>
              <w:t>Employ</w:t>
            </w:r>
            <w:r>
              <w:rPr>
                <w:rFonts w:cs="Arial"/>
                <w:szCs w:val="18"/>
              </w:rPr>
              <w:t>ed</w:t>
            </w:r>
          </w:p>
        </w:tc>
        <w:tc>
          <w:tcPr>
            <w:tcW w:w="992" w:type="dxa"/>
            <w:tcBorders>
              <w:top w:val="single" w:sz="4" w:space="0" w:color="BFBFBF"/>
              <w:left w:val="nil"/>
              <w:bottom w:val="nil"/>
              <w:right w:val="nil"/>
            </w:tcBorders>
            <w:shd w:val="clear" w:color="auto" w:fill="auto"/>
            <w:vAlign w:val="bottom"/>
          </w:tcPr>
          <w:p w14:paraId="06F409D3" w14:textId="77777777" w:rsidR="00571749" w:rsidRPr="0012370C" w:rsidRDefault="00571749" w:rsidP="004032A8">
            <w:pPr>
              <w:pStyle w:val="TableBodyText"/>
              <w:spacing w:before="40"/>
              <w:ind w:left="-57" w:right="-142"/>
              <w:jc w:val="left"/>
              <w:rPr>
                <w:rFonts w:cs="Arial"/>
                <w:szCs w:val="18"/>
              </w:rPr>
            </w:pPr>
            <w:r w:rsidRPr="0012370C">
              <w:rPr>
                <w:rFonts w:cs="Arial"/>
                <w:szCs w:val="18"/>
              </w:rPr>
              <w:t>Per cent</w:t>
            </w:r>
          </w:p>
        </w:tc>
        <w:tc>
          <w:tcPr>
            <w:tcW w:w="1134" w:type="dxa"/>
            <w:tcBorders>
              <w:top w:val="single" w:sz="4" w:space="0" w:color="BFBFBF"/>
              <w:left w:val="nil"/>
              <w:bottom w:val="nil"/>
              <w:right w:val="nil"/>
            </w:tcBorders>
            <w:shd w:val="clear" w:color="auto" w:fill="auto"/>
          </w:tcPr>
          <w:p w14:paraId="5B2998A0" w14:textId="77777777" w:rsidR="00571749" w:rsidRPr="0012370C" w:rsidRDefault="00571749" w:rsidP="004032A8">
            <w:pPr>
              <w:spacing w:before="40"/>
              <w:jc w:val="right"/>
              <w:rPr>
                <w:rFonts w:ascii="Arial" w:hAnsi="Arial" w:cs="Arial"/>
                <w:color w:val="000000"/>
                <w:sz w:val="18"/>
                <w:szCs w:val="18"/>
              </w:rPr>
            </w:pPr>
            <w:r w:rsidRPr="0012370C">
              <w:rPr>
                <w:rFonts w:ascii="Arial" w:hAnsi="Arial" w:cs="Arial"/>
                <w:color w:val="000000"/>
                <w:sz w:val="18"/>
                <w:szCs w:val="18"/>
              </w:rPr>
              <w:t>18.9</w:t>
            </w:r>
          </w:p>
        </w:tc>
        <w:tc>
          <w:tcPr>
            <w:tcW w:w="709" w:type="dxa"/>
            <w:tcBorders>
              <w:top w:val="single" w:sz="4" w:space="0" w:color="BFBFBF"/>
              <w:left w:val="nil"/>
              <w:bottom w:val="nil"/>
              <w:right w:val="nil"/>
            </w:tcBorders>
            <w:shd w:val="clear" w:color="auto" w:fill="auto"/>
          </w:tcPr>
          <w:p w14:paraId="65D11C12" w14:textId="77777777" w:rsidR="00571749" w:rsidRPr="0012370C" w:rsidRDefault="00571749" w:rsidP="004032A8">
            <w:pPr>
              <w:spacing w:before="40"/>
              <w:jc w:val="right"/>
              <w:rPr>
                <w:rFonts w:ascii="Arial" w:hAnsi="Arial" w:cs="Arial"/>
                <w:color w:val="000000"/>
                <w:sz w:val="18"/>
                <w:szCs w:val="18"/>
              </w:rPr>
            </w:pPr>
          </w:p>
        </w:tc>
        <w:tc>
          <w:tcPr>
            <w:tcW w:w="992" w:type="dxa"/>
            <w:tcBorders>
              <w:top w:val="single" w:sz="4" w:space="0" w:color="BFBFBF"/>
              <w:left w:val="nil"/>
              <w:bottom w:val="nil"/>
              <w:right w:val="nil"/>
            </w:tcBorders>
            <w:shd w:val="clear" w:color="auto" w:fill="auto"/>
          </w:tcPr>
          <w:p w14:paraId="222ED899" w14:textId="77777777" w:rsidR="00571749" w:rsidRPr="0012370C" w:rsidRDefault="00571749" w:rsidP="004032A8">
            <w:pPr>
              <w:spacing w:before="40"/>
              <w:jc w:val="right"/>
              <w:rPr>
                <w:rFonts w:ascii="Arial" w:hAnsi="Arial" w:cs="Arial"/>
                <w:color w:val="000000"/>
                <w:sz w:val="18"/>
                <w:szCs w:val="18"/>
              </w:rPr>
            </w:pPr>
            <w:r w:rsidRPr="0012370C">
              <w:rPr>
                <w:rFonts w:ascii="Arial" w:hAnsi="Arial" w:cs="Arial"/>
                <w:color w:val="000000"/>
                <w:sz w:val="18"/>
                <w:szCs w:val="18"/>
              </w:rPr>
              <w:t>19.8</w:t>
            </w:r>
          </w:p>
        </w:tc>
        <w:tc>
          <w:tcPr>
            <w:tcW w:w="709" w:type="dxa"/>
            <w:tcBorders>
              <w:top w:val="single" w:sz="4" w:space="0" w:color="BFBFBF"/>
              <w:left w:val="nil"/>
              <w:bottom w:val="nil"/>
              <w:right w:val="nil"/>
            </w:tcBorders>
            <w:shd w:val="clear" w:color="auto" w:fill="auto"/>
          </w:tcPr>
          <w:p w14:paraId="7A383B4C" w14:textId="77777777" w:rsidR="00571749" w:rsidRPr="0012370C" w:rsidRDefault="00571749" w:rsidP="004032A8">
            <w:pPr>
              <w:spacing w:before="40"/>
              <w:jc w:val="right"/>
              <w:rPr>
                <w:rFonts w:ascii="Arial" w:hAnsi="Arial" w:cs="Arial"/>
                <w:color w:val="000000"/>
                <w:sz w:val="18"/>
                <w:szCs w:val="18"/>
              </w:rPr>
            </w:pPr>
          </w:p>
        </w:tc>
        <w:tc>
          <w:tcPr>
            <w:tcW w:w="992" w:type="dxa"/>
            <w:tcBorders>
              <w:top w:val="single" w:sz="4" w:space="0" w:color="BFBFBF"/>
              <w:left w:val="nil"/>
              <w:bottom w:val="nil"/>
              <w:right w:val="nil"/>
            </w:tcBorders>
            <w:shd w:val="clear" w:color="auto" w:fill="auto"/>
          </w:tcPr>
          <w:p w14:paraId="5A47CB05" w14:textId="77777777" w:rsidR="00571749" w:rsidRPr="0012370C" w:rsidRDefault="00571749" w:rsidP="004032A8">
            <w:pPr>
              <w:spacing w:before="40"/>
              <w:jc w:val="right"/>
              <w:rPr>
                <w:rFonts w:ascii="Arial" w:hAnsi="Arial" w:cs="Arial"/>
                <w:color w:val="000000"/>
                <w:sz w:val="18"/>
                <w:szCs w:val="18"/>
              </w:rPr>
            </w:pPr>
            <w:r w:rsidRPr="0012370C">
              <w:rPr>
                <w:rFonts w:ascii="Arial" w:hAnsi="Arial" w:cs="Arial"/>
                <w:color w:val="000000"/>
                <w:sz w:val="18"/>
                <w:szCs w:val="18"/>
              </w:rPr>
              <w:t>9.8</w:t>
            </w:r>
          </w:p>
        </w:tc>
        <w:tc>
          <w:tcPr>
            <w:tcW w:w="567" w:type="dxa"/>
            <w:tcBorders>
              <w:top w:val="single" w:sz="4" w:space="0" w:color="BFBFBF"/>
              <w:left w:val="nil"/>
              <w:bottom w:val="nil"/>
              <w:right w:val="nil"/>
            </w:tcBorders>
            <w:shd w:val="clear" w:color="auto" w:fill="auto"/>
            <w:vAlign w:val="bottom"/>
          </w:tcPr>
          <w:p w14:paraId="0F4454C3" w14:textId="77777777" w:rsidR="00571749" w:rsidRPr="00E53947" w:rsidRDefault="00571749" w:rsidP="004032A8">
            <w:pPr>
              <w:pStyle w:val="TableBodyText"/>
              <w:spacing w:before="40"/>
              <w:ind w:right="0"/>
              <w:jc w:val="left"/>
            </w:pPr>
          </w:p>
        </w:tc>
      </w:tr>
      <w:tr w:rsidR="00571749" w14:paraId="45250B6C" w14:textId="77777777" w:rsidTr="0043640F">
        <w:trPr>
          <w:cantSplit/>
          <w:trHeight w:val="20"/>
        </w:trPr>
        <w:tc>
          <w:tcPr>
            <w:tcW w:w="2672" w:type="dxa"/>
            <w:tcBorders>
              <w:top w:val="nil"/>
              <w:left w:val="nil"/>
              <w:bottom w:val="nil"/>
              <w:right w:val="nil"/>
            </w:tcBorders>
            <w:shd w:val="clear" w:color="auto" w:fill="auto"/>
            <w:vAlign w:val="bottom"/>
          </w:tcPr>
          <w:p w14:paraId="4EFCAE77" w14:textId="77777777" w:rsidR="00571749" w:rsidRPr="0012370C" w:rsidRDefault="00571749" w:rsidP="004032A8">
            <w:pPr>
              <w:pStyle w:val="TableBodyText"/>
              <w:spacing w:before="40"/>
              <w:ind w:left="-57" w:right="0"/>
              <w:jc w:val="left"/>
              <w:rPr>
                <w:rFonts w:cs="Arial"/>
                <w:i/>
                <w:szCs w:val="18"/>
              </w:rPr>
            </w:pPr>
            <w:r w:rsidRPr="0012370C">
              <w:rPr>
                <w:rFonts w:cs="Arial"/>
                <w:i/>
                <w:szCs w:val="18"/>
              </w:rPr>
              <w:t>Age</w:t>
            </w:r>
          </w:p>
        </w:tc>
        <w:tc>
          <w:tcPr>
            <w:tcW w:w="992" w:type="dxa"/>
            <w:tcBorders>
              <w:top w:val="nil"/>
              <w:left w:val="nil"/>
              <w:bottom w:val="nil"/>
              <w:right w:val="nil"/>
            </w:tcBorders>
            <w:shd w:val="clear" w:color="auto" w:fill="auto"/>
            <w:vAlign w:val="bottom"/>
          </w:tcPr>
          <w:p w14:paraId="4EBDEC56" w14:textId="77777777" w:rsidR="00571749" w:rsidRPr="0012370C" w:rsidRDefault="00571749" w:rsidP="004235A4">
            <w:pPr>
              <w:pStyle w:val="TableBodyText"/>
              <w:ind w:left="-57" w:right="-142"/>
              <w:jc w:val="left"/>
              <w:rPr>
                <w:rFonts w:cs="Arial"/>
                <w:szCs w:val="18"/>
              </w:rPr>
            </w:pPr>
          </w:p>
        </w:tc>
        <w:tc>
          <w:tcPr>
            <w:tcW w:w="1134" w:type="dxa"/>
            <w:tcBorders>
              <w:top w:val="nil"/>
              <w:left w:val="nil"/>
              <w:bottom w:val="nil"/>
              <w:right w:val="nil"/>
            </w:tcBorders>
            <w:shd w:val="clear" w:color="auto" w:fill="auto"/>
            <w:vAlign w:val="bottom"/>
          </w:tcPr>
          <w:p w14:paraId="672088AA" w14:textId="77777777" w:rsidR="00571749" w:rsidRPr="0012370C" w:rsidRDefault="00571749" w:rsidP="004235A4">
            <w:pPr>
              <w:jc w:val="right"/>
              <w:rPr>
                <w:rFonts w:ascii="Arial" w:hAnsi="Arial" w:cs="Arial"/>
                <w:color w:val="000000"/>
                <w:sz w:val="18"/>
                <w:szCs w:val="18"/>
              </w:rPr>
            </w:pPr>
          </w:p>
        </w:tc>
        <w:tc>
          <w:tcPr>
            <w:tcW w:w="709" w:type="dxa"/>
            <w:tcBorders>
              <w:top w:val="nil"/>
              <w:left w:val="nil"/>
              <w:bottom w:val="nil"/>
              <w:right w:val="nil"/>
            </w:tcBorders>
            <w:shd w:val="clear" w:color="auto" w:fill="auto"/>
            <w:vAlign w:val="bottom"/>
          </w:tcPr>
          <w:p w14:paraId="6627D166"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2099289F" w14:textId="77777777" w:rsidR="00571749" w:rsidRPr="0012370C" w:rsidRDefault="00571749" w:rsidP="004235A4">
            <w:pPr>
              <w:jc w:val="right"/>
              <w:rPr>
                <w:rFonts w:ascii="Arial" w:hAnsi="Arial" w:cs="Arial"/>
                <w:color w:val="000000"/>
                <w:sz w:val="18"/>
                <w:szCs w:val="18"/>
              </w:rPr>
            </w:pPr>
          </w:p>
        </w:tc>
        <w:tc>
          <w:tcPr>
            <w:tcW w:w="709" w:type="dxa"/>
            <w:tcBorders>
              <w:top w:val="nil"/>
              <w:left w:val="nil"/>
              <w:bottom w:val="nil"/>
              <w:right w:val="nil"/>
            </w:tcBorders>
            <w:shd w:val="clear" w:color="auto" w:fill="auto"/>
            <w:vAlign w:val="bottom"/>
          </w:tcPr>
          <w:p w14:paraId="2EB82B30"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6A5D9897" w14:textId="77777777" w:rsidR="00571749" w:rsidRPr="0012370C" w:rsidRDefault="00571749" w:rsidP="004235A4">
            <w:pPr>
              <w:jc w:val="right"/>
              <w:rPr>
                <w:rFonts w:ascii="Arial" w:hAnsi="Arial" w:cs="Arial"/>
                <w:color w:val="000000"/>
                <w:sz w:val="18"/>
                <w:szCs w:val="18"/>
              </w:rPr>
            </w:pPr>
          </w:p>
        </w:tc>
        <w:tc>
          <w:tcPr>
            <w:tcW w:w="567" w:type="dxa"/>
            <w:tcBorders>
              <w:top w:val="nil"/>
              <w:left w:val="nil"/>
              <w:bottom w:val="nil"/>
              <w:right w:val="nil"/>
            </w:tcBorders>
            <w:shd w:val="clear" w:color="auto" w:fill="auto"/>
            <w:vAlign w:val="bottom"/>
          </w:tcPr>
          <w:p w14:paraId="23B3D5FD" w14:textId="77777777" w:rsidR="00571749" w:rsidRPr="00E53947" w:rsidRDefault="00571749" w:rsidP="00E53947">
            <w:pPr>
              <w:pStyle w:val="TableBodyText"/>
              <w:ind w:right="0"/>
              <w:jc w:val="left"/>
            </w:pPr>
          </w:p>
        </w:tc>
      </w:tr>
      <w:tr w:rsidR="00571749" w14:paraId="0B1F4DBE" w14:textId="77777777" w:rsidTr="0043640F">
        <w:trPr>
          <w:cantSplit/>
          <w:trHeight w:val="20"/>
        </w:trPr>
        <w:tc>
          <w:tcPr>
            <w:tcW w:w="2672" w:type="dxa"/>
            <w:tcBorders>
              <w:top w:val="nil"/>
              <w:left w:val="nil"/>
              <w:bottom w:val="nil"/>
              <w:right w:val="nil"/>
            </w:tcBorders>
            <w:shd w:val="clear" w:color="auto" w:fill="auto"/>
            <w:vAlign w:val="bottom"/>
          </w:tcPr>
          <w:p w14:paraId="39341722" w14:textId="77777777" w:rsidR="00571749" w:rsidRPr="0012370C" w:rsidRDefault="00571749" w:rsidP="004235A4">
            <w:pPr>
              <w:pStyle w:val="TableBodyText"/>
              <w:ind w:left="-57" w:right="0"/>
              <w:jc w:val="left"/>
              <w:rPr>
                <w:rFonts w:cs="Arial"/>
                <w:szCs w:val="18"/>
              </w:rPr>
            </w:pPr>
            <w:r>
              <w:rPr>
                <w:rFonts w:cs="Arial"/>
                <w:szCs w:val="18"/>
              </w:rPr>
              <w:t>  </w:t>
            </w:r>
            <w:r w:rsidRPr="0012370C">
              <w:rPr>
                <w:rFonts w:cs="Arial"/>
                <w:szCs w:val="18"/>
              </w:rPr>
              <w:t xml:space="preserve">Aged 15 to </w:t>
            </w:r>
            <w:r w:rsidR="006209FB">
              <w:rPr>
                <w:rFonts w:cs="Arial"/>
                <w:szCs w:val="18"/>
              </w:rPr>
              <w:t>19</w:t>
            </w:r>
          </w:p>
        </w:tc>
        <w:tc>
          <w:tcPr>
            <w:tcW w:w="992" w:type="dxa"/>
            <w:tcBorders>
              <w:top w:val="nil"/>
              <w:left w:val="nil"/>
              <w:bottom w:val="nil"/>
              <w:right w:val="nil"/>
            </w:tcBorders>
            <w:shd w:val="clear" w:color="auto" w:fill="auto"/>
            <w:vAlign w:val="bottom"/>
          </w:tcPr>
          <w:p w14:paraId="1E685895" w14:textId="77777777" w:rsidR="00571749" w:rsidRPr="0012370C" w:rsidRDefault="00571749" w:rsidP="004235A4">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241B0ED1"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9.3</w:t>
            </w:r>
          </w:p>
        </w:tc>
        <w:tc>
          <w:tcPr>
            <w:tcW w:w="709" w:type="dxa"/>
            <w:tcBorders>
              <w:top w:val="nil"/>
              <w:left w:val="nil"/>
              <w:bottom w:val="nil"/>
              <w:right w:val="nil"/>
            </w:tcBorders>
            <w:shd w:val="clear" w:color="auto" w:fill="auto"/>
            <w:vAlign w:val="bottom"/>
          </w:tcPr>
          <w:p w14:paraId="3D1434BA"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4B37A461"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1.2</w:t>
            </w:r>
          </w:p>
        </w:tc>
        <w:tc>
          <w:tcPr>
            <w:tcW w:w="709" w:type="dxa"/>
            <w:tcBorders>
              <w:top w:val="nil"/>
              <w:left w:val="nil"/>
              <w:bottom w:val="nil"/>
              <w:right w:val="nil"/>
            </w:tcBorders>
            <w:shd w:val="clear" w:color="auto" w:fill="auto"/>
            <w:vAlign w:val="bottom"/>
          </w:tcPr>
          <w:p w14:paraId="30A9EACA"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01A12127"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0.4</w:t>
            </w:r>
          </w:p>
        </w:tc>
        <w:tc>
          <w:tcPr>
            <w:tcW w:w="567" w:type="dxa"/>
            <w:tcBorders>
              <w:top w:val="nil"/>
              <w:left w:val="nil"/>
              <w:bottom w:val="nil"/>
              <w:right w:val="nil"/>
            </w:tcBorders>
            <w:shd w:val="clear" w:color="auto" w:fill="auto"/>
            <w:vAlign w:val="bottom"/>
          </w:tcPr>
          <w:p w14:paraId="1D817983" w14:textId="77777777" w:rsidR="00571749" w:rsidRPr="00E53947" w:rsidRDefault="00571749" w:rsidP="00E53947">
            <w:pPr>
              <w:pStyle w:val="TableBodyText"/>
              <w:ind w:right="0"/>
              <w:jc w:val="left"/>
            </w:pPr>
          </w:p>
        </w:tc>
      </w:tr>
      <w:tr w:rsidR="00571749" w14:paraId="701BE3E6" w14:textId="77777777" w:rsidTr="0043640F">
        <w:trPr>
          <w:cantSplit/>
          <w:trHeight w:val="20"/>
        </w:trPr>
        <w:tc>
          <w:tcPr>
            <w:tcW w:w="2672" w:type="dxa"/>
            <w:tcBorders>
              <w:top w:val="nil"/>
              <w:left w:val="nil"/>
              <w:bottom w:val="nil"/>
              <w:right w:val="nil"/>
            </w:tcBorders>
            <w:shd w:val="clear" w:color="auto" w:fill="auto"/>
            <w:vAlign w:val="bottom"/>
          </w:tcPr>
          <w:p w14:paraId="4AF62503" w14:textId="77777777" w:rsidR="00571749" w:rsidRPr="0012370C" w:rsidRDefault="00571749" w:rsidP="006209FB">
            <w:pPr>
              <w:pStyle w:val="TableBodyText"/>
              <w:ind w:left="-57" w:right="0"/>
              <w:jc w:val="left"/>
              <w:rPr>
                <w:rFonts w:cs="Arial"/>
                <w:szCs w:val="18"/>
              </w:rPr>
            </w:pPr>
            <w:r>
              <w:rPr>
                <w:rFonts w:cs="Arial"/>
                <w:szCs w:val="18"/>
              </w:rPr>
              <w:t>  </w:t>
            </w:r>
            <w:r w:rsidRPr="0012370C">
              <w:rPr>
                <w:rFonts w:cs="Arial"/>
                <w:szCs w:val="18"/>
              </w:rPr>
              <w:t xml:space="preserve">Aged 20 to </w:t>
            </w:r>
            <w:r w:rsidR="006209FB">
              <w:rPr>
                <w:rFonts w:cs="Arial"/>
                <w:szCs w:val="18"/>
              </w:rPr>
              <w:t>24</w:t>
            </w:r>
          </w:p>
        </w:tc>
        <w:tc>
          <w:tcPr>
            <w:tcW w:w="992" w:type="dxa"/>
            <w:tcBorders>
              <w:top w:val="nil"/>
              <w:left w:val="nil"/>
              <w:bottom w:val="nil"/>
              <w:right w:val="nil"/>
            </w:tcBorders>
            <w:shd w:val="clear" w:color="auto" w:fill="auto"/>
            <w:vAlign w:val="bottom"/>
          </w:tcPr>
          <w:p w14:paraId="5FF6C203" w14:textId="77777777" w:rsidR="00571749" w:rsidRPr="0012370C" w:rsidRDefault="00571749" w:rsidP="004235A4">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187DCE0D"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17.6</w:t>
            </w:r>
          </w:p>
        </w:tc>
        <w:tc>
          <w:tcPr>
            <w:tcW w:w="709" w:type="dxa"/>
            <w:tcBorders>
              <w:top w:val="nil"/>
              <w:left w:val="nil"/>
              <w:bottom w:val="nil"/>
              <w:right w:val="nil"/>
            </w:tcBorders>
            <w:shd w:val="clear" w:color="auto" w:fill="auto"/>
            <w:vAlign w:val="bottom"/>
          </w:tcPr>
          <w:p w14:paraId="2D567DD9"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6A26BF5A"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12.4</w:t>
            </w:r>
          </w:p>
        </w:tc>
        <w:tc>
          <w:tcPr>
            <w:tcW w:w="709" w:type="dxa"/>
            <w:tcBorders>
              <w:top w:val="nil"/>
              <w:left w:val="nil"/>
              <w:bottom w:val="nil"/>
              <w:right w:val="nil"/>
            </w:tcBorders>
            <w:shd w:val="clear" w:color="auto" w:fill="auto"/>
            <w:vAlign w:val="bottom"/>
          </w:tcPr>
          <w:p w14:paraId="6B87D182"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547D650E"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3.7</w:t>
            </w:r>
          </w:p>
        </w:tc>
        <w:tc>
          <w:tcPr>
            <w:tcW w:w="567" w:type="dxa"/>
            <w:tcBorders>
              <w:top w:val="nil"/>
              <w:left w:val="nil"/>
              <w:bottom w:val="nil"/>
              <w:right w:val="nil"/>
            </w:tcBorders>
            <w:shd w:val="clear" w:color="auto" w:fill="auto"/>
            <w:vAlign w:val="bottom"/>
          </w:tcPr>
          <w:p w14:paraId="699ABB9A" w14:textId="77777777" w:rsidR="00571749" w:rsidRPr="00E53947" w:rsidRDefault="00571749" w:rsidP="00E53947">
            <w:pPr>
              <w:pStyle w:val="TableBodyText"/>
              <w:ind w:right="0"/>
              <w:jc w:val="left"/>
            </w:pPr>
          </w:p>
        </w:tc>
      </w:tr>
      <w:tr w:rsidR="00571749" w14:paraId="56098084" w14:textId="77777777" w:rsidTr="0043640F">
        <w:trPr>
          <w:cantSplit/>
          <w:trHeight w:val="20"/>
        </w:trPr>
        <w:tc>
          <w:tcPr>
            <w:tcW w:w="2672" w:type="dxa"/>
            <w:tcBorders>
              <w:top w:val="nil"/>
              <w:left w:val="nil"/>
              <w:bottom w:val="nil"/>
              <w:right w:val="nil"/>
            </w:tcBorders>
            <w:shd w:val="clear" w:color="auto" w:fill="auto"/>
            <w:vAlign w:val="bottom"/>
          </w:tcPr>
          <w:p w14:paraId="7902F067" w14:textId="77777777" w:rsidR="00571749" w:rsidRPr="0012370C" w:rsidRDefault="00571749" w:rsidP="004235A4">
            <w:pPr>
              <w:pStyle w:val="TableBodyText"/>
              <w:ind w:left="-57" w:right="0"/>
              <w:jc w:val="left"/>
              <w:rPr>
                <w:rFonts w:cs="Arial"/>
                <w:szCs w:val="18"/>
              </w:rPr>
            </w:pPr>
            <w:r>
              <w:rPr>
                <w:rFonts w:cs="Arial"/>
                <w:szCs w:val="18"/>
              </w:rPr>
              <w:t>  </w:t>
            </w:r>
            <w:r w:rsidRPr="0012370C">
              <w:rPr>
                <w:rFonts w:cs="Arial"/>
                <w:szCs w:val="18"/>
              </w:rPr>
              <w:t>Aged 25 to 3</w:t>
            </w:r>
            <w:r w:rsidR="00364BBB">
              <w:rPr>
                <w:rFonts w:cs="Arial"/>
                <w:szCs w:val="18"/>
              </w:rPr>
              <w:t>4</w:t>
            </w:r>
          </w:p>
        </w:tc>
        <w:tc>
          <w:tcPr>
            <w:tcW w:w="992" w:type="dxa"/>
            <w:tcBorders>
              <w:top w:val="nil"/>
              <w:left w:val="nil"/>
              <w:bottom w:val="nil"/>
              <w:right w:val="nil"/>
            </w:tcBorders>
            <w:shd w:val="clear" w:color="auto" w:fill="auto"/>
            <w:vAlign w:val="bottom"/>
          </w:tcPr>
          <w:p w14:paraId="00CD9762" w14:textId="77777777" w:rsidR="00571749" w:rsidRPr="0012370C" w:rsidRDefault="00571749" w:rsidP="004235A4">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6A3536BB"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16.3</w:t>
            </w:r>
          </w:p>
        </w:tc>
        <w:tc>
          <w:tcPr>
            <w:tcW w:w="709" w:type="dxa"/>
            <w:tcBorders>
              <w:top w:val="nil"/>
              <w:left w:val="nil"/>
              <w:bottom w:val="nil"/>
              <w:right w:val="nil"/>
            </w:tcBorders>
            <w:shd w:val="clear" w:color="auto" w:fill="auto"/>
            <w:vAlign w:val="bottom"/>
          </w:tcPr>
          <w:p w14:paraId="1681A39E"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066E90C3"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26.7</w:t>
            </w:r>
          </w:p>
        </w:tc>
        <w:tc>
          <w:tcPr>
            <w:tcW w:w="709" w:type="dxa"/>
            <w:tcBorders>
              <w:top w:val="nil"/>
              <w:left w:val="nil"/>
              <w:bottom w:val="nil"/>
              <w:right w:val="nil"/>
            </w:tcBorders>
            <w:shd w:val="clear" w:color="auto" w:fill="auto"/>
            <w:vAlign w:val="bottom"/>
          </w:tcPr>
          <w:p w14:paraId="5AB42A55"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4CC8E023"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14.7</w:t>
            </w:r>
          </w:p>
        </w:tc>
        <w:tc>
          <w:tcPr>
            <w:tcW w:w="567" w:type="dxa"/>
            <w:tcBorders>
              <w:top w:val="nil"/>
              <w:left w:val="nil"/>
              <w:bottom w:val="nil"/>
              <w:right w:val="nil"/>
            </w:tcBorders>
            <w:shd w:val="clear" w:color="auto" w:fill="auto"/>
            <w:vAlign w:val="bottom"/>
          </w:tcPr>
          <w:p w14:paraId="514B6FB6" w14:textId="77777777" w:rsidR="00571749" w:rsidRPr="00E53947" w:rsidRDefault="00571749" w:rsidP="00E53947">
            <w:pPr>
              <w:pStyle w:val="TableBodyText"/>
              <w:ind w:right="0"/>
              <w:jc w:val="left"/>
            </w:pPr>
          </w:p>
        </w:tc>
      </w:tr>
      <w:tr w:rsidR="00571749" w14:paraId="39385423" w14:textId="77777777" w:rsidTr="0043640F">
        <w:trPr>
          <w:cantSplit/>
          <w:trHeight w:val="20"/>
        </w:trPr>
        <w:tc>
          <w:tcPr>
            <w:tcW w:w="2672" w:type="dxa"/>
            <w:tcBorders>
              <w:top w:val="nil"/>
              <w:left w:val="nil"/>
              <w:bottom w:val="nil"/>
              <w:right w:val="nil"/>
            </w:tcBorders>
            <w:shd w:val="clear" w:color="auto" w:fill="auto"/>
            <w:vAlign w:val="bottom"/>
          </w:tcPr>
          <w:p w14:paraId="45943B45" w14:textId="77777777" w:rsidR="00571749" w:rsidRPr="0012370C" w:rsidRDefault="00571749" w:rsidP="004235A4">
            <w:pPr>
              <w:pStyle w:val="TableBodyText"/>
              <w:ind w:left="-57" w:right="0"/>
              <w:jc w:val="left"/>
              <w:rPr>
                <w:rFonts w:cs="Arial"/>
                <w:szCs w:val="18"/>
              </w:rPr>
            </w:pPr>
            <w:r>
              <w:rPr>
                <w:rFonts w:cs="Arial"/>
                <w:szCs w:val="18"/>
              </w:rPr>
              <w:t>  </w:t>
            </w:r>
            <w:r w:rsidRPr="0012370C">
              <w:rPr>
                <w:rFonts w:cs="Arial"/>
                <w:szCs w:val="18"/>
              </w:rPr>
              <w:t>Aged 35 to 4</w:t>
            </w:r>
            <w:r w:rsidR="00364BBB">
              <w:rPr>
                <w:rFonts w:cs="Arial"/>
                <w:szCs w:val="18"/>
              </w:rPr>
              <w:t>4</w:t>
            </w:r>
          </w:p>
        </w:tc>
        <w:tc>
          <w:tcPr>
            <w:tcW w:w="992" w:type="dxa"/>
            <w:tcBorders>
              <w:top w:val="nil"/>
              <w:left w:val="nil"/>
              <w:bottom w:val="nil"/>
              <w:right w:val="nil"/>
            </w:tcBorders>
            <w:shd w:val="clear" w:color="auto" w:fill="auto"/>
            <w:vAlign w:val="bottom"/>
          </w:tcPr>
          <w:p w14:paraId="62B28E72" w14:textId="77777777" w:rsidR="00571749" w:rsidRPr="0012370C" w:rsidRDefault="00571749" w:rsidP="004235A4">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770F9715"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14.5</w:t>
            </w:r>
          </w:p>
        </w:tc>
        <w:tc>
          <w:tcPr>
            <w:tcW w:w="709" w:type="dxa"/>
            <w:tcBorders>
              <w:top w:val="nil"/>
              <w:left w:val="nil"/>
              <w:bottom w:val="nil"/>
              <w:right w:val="nil"/>
            </w:tcBorders>
            <w:shd w:val="clear" w:color="auto" w:fill="auto"/>
            <w:vAlign w:val="bottom"/>
          </w:tcPr>
          <w:p w14:paraId="2C240182"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7C5A9BE2"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24.8</w:t>
            </w:r>
          </w:p>
        </w:tc>
        <w:tc>
          <w:tcPr>
            <w:tcW w:w="709" w:type="dxa"/>
            <w:tcBorders>
              <w:top w:val="nil"/>
              <w:left w:val="nil"/>
              <w:bottom w:val="nil"/>
              <w:right w:val="nil"/>
            </w:tcBorders>
            <w:shd w:val="clear" w:color="auto" w:fill="auto"/>
            <w:vAlign w:val="bottom"/>
          </w:tcPr>
          <w:p w14:paraId="3B1B2E21"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1CC579BD"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23.3</w:t>
            </w:r>
          </w:p>
        </w:tc>
        <w:tc>
          <w:tcPr>
            <w:tcW w:w="567" w:type="dxa"/>
            <w:tcBorders>
              <w:top w:val="nil"/>
              <w:left w:val="nil"/>
              <w:bottom w:val="nil"/>
              <w:right w:val="nil"/>
            </w:tcBorders>
            <w:shd w:val="clear" w:color="auto" w:fill="auto"/>
            <w:vAlign w:val="bottom"/>
          </w:tcPr>
          <w:p w14:paraId="5EDC01A7" w14:textId="77777777" w:rsidR="00571749" w:rsidRPr="00E53947" w:rsidRDefault="00571749" w:rsidP="00E53947">
            <w:pPr>
              <w:pStyle w:val="TableBodyText"/>
              <w:ind w:right="0"/>
              <w:jc w:val="left"/>
            </w:pPr>
          </w:p>
        </w:tc>
      </w:tr>
      <w:tr w:rsidR="00571749" w14:paraId="087AC4BB" w14:textId="77777777" w:rsidTr="0043640F">
        <w:trPr>
          <w:cantSplit/>
          <w:trHeight w:val="20"/>
        </w:trPr>
        <w:tc>
          <w:tcPr>
            <w:tcW w:w="2672" w:type="dxa"/>
            <w:tcBorders>
              <w:top w:val="nil"/>
              <w:left w:val="nil"/>
              <w:bottom w:val="nil"/>
              <w:right w:val="nil"/>
            </w:tcBorders>
            <w:shd w:val="clear" w:color="auto" w:fill="auto"/>
            <w:vAlign w:val="bottom"/>
          </w:tcPr>
          <w:p w14:paraId="41008ED8" w14:textId="77777777" w:rsidR="00571749" w:rsidRPr="0012370C" w:rsidRDefault="00571749" w:rsidP="004235A4">
            <w:pPr>
              <w:pStyle w:val="TableBodyText"/>
              <w:ind w:left="-57" w:right="0"/>
              <w:jc w:val="left"/>
              <w:rPr>
                <w:rFonts w:cs="Arial"/>
                <w:szCs w:val="18"/>
              </w:rPr>
            </w:pPr>
            <w:r>
              <w:rPr>
                <w:rFonts w:cs="Arial"/>
                <w:szCs w:val="18"/>
              </w:rPr>
              <w:t>  </w:t>
            </w:r>
            <w:r w:rsidRPr="0012370C">
              <w:rPr>
                <w:rFonts w:cs="Arial"/>
                <w:szCs w:val="18"/>
              </w:rPr>
              <w:t>Aged 45 to 5</w:t>
            </w:r>
            <w:r w:rsidR="00364BBB">
              <w:rPr>
                <w:rFonts w:cs="Arial"/>
                <w:szCs w:val="18"/>
              </w:rPr>
              <w:t>4</w:t>
            </w:r>
          </w:p>
        </w:tc>
        <w:tc>
          <w:tcPr>
            <w:tcW w:w="992" w:type="dxa"/>
            <w:tcBorders>
              <w:top w:val="nil"/>
              <w:left w:val="nil"/>
              <w:bottom w:val="nil"/>
              <w:right w:val="nil"/>
            </w:tcBorders>
            <w:shd w:val="clear" w:color="auto" w:fill="auto"/>
            <w:vAlign w:val="bottom"/>
          </w:tcPr>
          <w:p w14:paraId="4D74BCED" w14:textId="77777777" w:rsidR="00571749" w:rsidRPr="0012370C" w:rsidRDefault="00571749" w:rsidP="004235A4">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12809C61"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16.3</w:t>
            </w:r>
          </w:p>
        </w:tc>
        <w:tc>
          <w:tcPr>
            <w:tcW w:w="709" w:type="dxa"/>
            <w:tcBorders>
              <w:top w:val="nil"/>
              <w:left w:val="nil"/>
              <w:bottom w:val="nil"/>
              <w:right w:val="nil"/>
            </w:tcBorders>
            <w:shd w:val="clear" w:color="auto" w:fill="auto"/>
            <w:vAlign w:val="bottom"/>
          </w:tcPr>
          <w:p w14:paraId="6AFBE544"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5C974C1A"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19.1</w:t>
            </w:r>
          </w:p>
        </w:tc>
        <w:tc>
          <w:tcPr>
            <w:tcW w:w="709" w:type="dxa"/>
            <w:tcBorders>
              <w:top w:val="nil"/>
              <w:left w:val="nil"/>
              <w:bottom w:val="nil"/>
              <w:right w:val="nil"/>
            </w:tcBorders>
            <w:shd w:val="clear" w:color="auto" w:fill="auto"/>
            <w:vAlign w:val="bottom"/>
          </w:tcPr>
          <w:p w14:paraId="334F5897"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060655DA"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28.8</w:t>
            </w:r>
          </w:p>
        </w:tc>
        <w:tc>
          <w:tcPr>
            <w:tcW w:w="567" w:type="dxa"/>
            <w:tcBorders>
              <w:top w:val="nil"/>
              <w:left w:val="nil"/>
              <w:bottom w:val="nil"/>
              <w:right w:val="nil"/>
            </w:tcBorders>
            <w:shd w:val="clear" w:color="auto" w:fill="auto"/>
            <w:vAlign w:val="bottom"/>
          </w:tcPr>
          <w:p w14:paraId="3C183A20" w14:textId="77777777" w:rsidR="00571749" w:rsidRPr="00E53947" w:rsidRDefault="00571749" w:rsidP="00E53947">
            <w:pPr>
              <w:pStyle w:val="TableBodyText"/>
              <w:ind w:right="0"/>
              <w:jc w:val="left"/>
            </w:pPr>
          </w:p>
        </w:tc>
      </w:tr>
      <w:tr w:rsidR="00571749" w14:paraId="7450D1CC" w14:textId="77777777" w:rsidTr="0043640F">
        <w:trPr>
          <w:cantSplit/>
          <w:trHeight w:val="20"/>
        </w:trPr>
        <w:tc>
          <w:tcPr>
            <w:tcW w:w="2672" w:type="dxa"/>
            <w:tcBorders>
              <w:top w:val="nil"/>
              <w:left w:val="nil"/>
              <w:bottom w:val="nil"/>
              <w:right w:val="nil"/>
            </w:tcBorders>
            <w:shd w:val="clear" w:color="auto" w:fill="auto"/>
            <w:vAlign w:val="bottom"/>
          </w:tcPr>
          <w:p w14:paraId="68D9EB02" w14:textId="77777777" w:rsidR="00571749" w:rsidRPr="0012370C" w:rsidRDefault="00571749" w:rsidP="008F5056">
            <w:pPr>
              <w:pStyle w:val="TableBodyText"/>
              <w:ind w:left="-57" w:right="0"/>
              <w:jc w:val="left"/>
              <w:rPr>
                <w:rFonts w:cs="Arial"/>
                <w:szCs w:val="18"/>
              </w:rPr>
            </w:pPr>
            <w:r>
              <w:rPr>
                <w:rFonts w:cs="Arial"/>
                <w:szCs w:val="18"/>
              </w:rPr>
              <w:t>  </w:t>
            </w:r>
            <w:r w:rsidRPr="0012370C">
              <w:rPr>
                <w:rFonts w:cs="Arial"/>
                <w:szCs w:val="18"/>
              </w:rPr>
              <w:t>Aged 55 to 6</w:t>
            </w:r>
            <w:r w:rsidR="008F5056">
              <w:rPr>
                <w:rFonts w:cs="Arial"/>
                <w:szCs w:val="18"/>
              </w:rPr>
              <w:t>5</w:t>
            </w:r>
          </w:p>
        </w:tc>
        <w:tc>
          <w:tcPr>
            <w:tcW w:w="992" w:type="dxa"/>
            <w:tcBorders>
              <w:top w:val="nil"/>
              <w:left w:val="nil"/>
              <w:bottom w:val="nil"/>
              <w:right w:val="nil"/>
            </w:tcBorders>
            <w:shd w:val="clear" w:color="auto" w:fill="auto"/>
            <w:vAlign w:val="bottom"/>
          </w:tcPr>
          <w:p w14:paraId="0B19AAF5" w14:textId="77777777" w:rsidR="00571749" w:rsidRPr="0012370C" w:rsidRDefault="00571749" w:rsidP="004235A4">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72C03CD0"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25.9</w:t>
            </w:r>
          </w:p>
        </w:tc>
        <w:tc>
          <w:tcPr>
            <w:tcW w:w="709" w:type="dxa"/>
            <w:tcBorders>
              <w:top w:val="nil"/>
              <w:left w:val="nil"/>
              <w:bottom w:val="nil"/>
              <w:right w:val="nil"/>
            </w:tcBorders>
            <w:shd w:val="clear" w:color="auto" w:fill="auto"/>
            <w:vAlign w:val="bottom"/>
          </w:tcPr>
          <w:p w14:paraId="53E9E029"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4E49749D"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15.8</w:t>
            </w:r>
          </w:p>
        </w:tc>
        <w:tc>
          <w:tcPr>
            <w:tcW w:w="709" w:type="dxa"/>
            <w:tcBorders>
              <w:top w:val="nil"/>
              <w:left w:val="nil"/>
              <w:bottom w:val="nil"/>
              <w:right w:val="nil"/>
            </w:tcBorders>
            <w:shd w:val="clear" w:color="auto" w:fill="auto"/>
            <w:vAlign w:val="bottom"/>
          </w:tcPr>
          <w:p w14:paraId="730B7E34"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1AF5828F"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29.2</w:t>
            </w:r>
          </w:p>
        </w:tc>
        <w:tc>
          <w:tcPr>
            <w:tcW w:w="567" w:type="dxa"/>
            <w:tcBorders>
              <w:top w:val="nil"/>
              <w:left w:val="nil"/>
              <w:bottom w:val="nil"/>
              <w:right w:val="nil"/>
            </w:tcBorders>
            <w:shd w:val="clear" w:color="auto" w:fill="auto"/>
            <w:vAlign w:val="bottom"/>
          </w:tcPr>
          <w:p w14:paraId="579E708E" w14:textId="77777777" w:rsidR="00571749" w:rsidRPr="00E53947" w:rsidRDefault="00571749" w:rsidP="00E53947">
            <w:pPr>
              <w:pStyle w:val="TableBodyText"/>
              <w:ind w:right="0"/>
              <w:jc w:val="left"/>
            </w:pPr>
          </w:p>
        </w:tc>
      </w:tr>
      <w:tr w:rsidR="00571749" w14:paraId="4AB6FA33" w14:textId="77777777" w:rsidTr="0043640F">
        <w:trPr>
          <w:cantSplit/>
          <w:trHeight w:val="20"/>
        </w:trPr>
        <w:tc>
          <w:tcPr>
            <w:tcW w:w="2672" w:type="dxa"/>
            <w:tcBorders>
              <w:top w:val="nil"/>
              <w:left w:val="nil"/>
              <w:bottom w:val="nil"/>
              <w:right w:val="nil"/>
            </w:tcBorders>
            <w:shd w:val="clear" w:color="auto" w:fill="auto"/>
            <w:vAlign w:val="bottom"/>
          </w:tcPr>
          <w:p w14:paraId="5B8D739F" w14:textId="77777777" w:rsidR="00571749" w:rsidRPr="0012370C" w:rsidRDefault="00571749" w:rsidP="004235A4">
            <w:pPr>
              <w:pStyle w:val="TableBodyText"/>
              <w:ind w:left="-57" w:right="0"/>
              <w:jc w:val="left"/>
              <w:rPr>
                <w:rFonts w:cs="Arial"/>
                <w:szCs w:val="18"/>
              </w:rPr>
            </w:pPr>
            <w:r w:rsidRPr="0012370C">
              <w:rPr>
                <w:rFonts w:cs="Arial"/>
                <w:szCs w:val="18"/>
              </w:rPr>
              <w:t>Female</w:t>
            </w:r>
          </w:p>
        </w:tc>
        <w:tc>
          <w:tcPr>
            <w:tcW w:w="992" w:type="dxa"/>
            <w:tcBorders>
              <w:top w:val="nil"/>
              <w:left w:val="nil"/>
              <w:bottom w:val="nil"/>
              <w:right w:val="nil"/>
            </w:tcBorders>
            <w:shd w:val="clear" w:color="auto" w:fill="auto"/>
            <w:vAlign w:val="bottom"/>
          </w:tcPr>
          <w:p w14:paraId="5C9985FC" w14:textId="77777777" w:rsidR="00571749" w:rsidRPr="0012370C" w:rsidRDefault="00571749" w:rsidP="004235A4">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08B5EB9E"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55.3</w:t>
            </w:r>
          </w:p>
        </w:tc>
        <w:tc>
          <w:tcPr>
            <w:tcW w:w="709" w:type="dxa"/>
            <w:tcBorders>
              <w:top w:val="nil"/>
              <w:left w:val="nil"/>
              <w:bottom w:val="nil"/>
              <w:right w:val="nil"/>
            </w:tcBorders>
            <w:shd w:val="clear" w:color="auto" w:fill="auto"/>
            <w:vAlign w:val="bottom"/>
          </w:tcPr>
          <w:p w14:paraId="461CC26C"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585B81A6"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62.0</w:t>
            </w:r>
          </w:p>
        </w:tc>
        <w:tc>
          <w:tcPr>
            <w:tcW w:w="709" w:type="dxa"/>
            <w:tcBorders>
              <w:top w:val="nil"/>
              <w:left w:val="nil"/>
              <w:bottom w:val="nil"/>
              <w:right w:val="nil"/>
            </w:tcBorders>
            <w:shd w:val="clear" w:color="auto" w:fill="auto"/>
            <w:vAlign w:val="bottom"/>
          </w:tcPr>
          <w:p w14:paraId="4989A408"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4066A1DF"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62.7</w:t>
            </w:r>
          </w:p>
        </w:tc>
        <w:tc>
          <w:tcPr>
            <w:tcW w:w="567" w:type="dxa"/>
            <w:tcBorders>
              <w:top w:val="nil"/>
              <w:left w:val="nil"/>
              <w:bottom w:val="nil"/>
              <w:right w:val="nil"/>
            </w:tcBorders>
            <w:shd w:val="clear" w:color="auto" w:fill="auto"/>
            <w:vAlign w:val="bottom"/>
          </w:tcPr>
          <w:p w14:paraId="3C5CAF1F" w14:textId="77777777" w:rsidR="00571749" w:rsidRPr="00E53947" w:rsidRDefault="00571749" w:rsidP="00E53947">
            <w:pPr>
              <w:pStyle w:val="TableBodyText"/>
              <w:ind w:right="0"/>
              <w:jc w:val="left"/>
            </w:pPr>
          </w:p>
        </w:tc>
      </w:tr>
      <w:tr w:rsidR="00571749" w14:paraId="51FEAF96" w14:textId="77777777" w:rsidTr="0043640F">
        <w:trPr>
          <w:cantSplit/>
          <w:trHeight w:val="20"/>
        </w:trPr>
        <w:tc>
          <w:tcPr>
            <w:tcW w:w="2672" w:type="dxa"/>
            <w:tcBorders>
              <w:top w:val="nil"/>
              <w:left w:val="nil"/>
              <w:bottom w:val="nil"/>
              <w:right w:val="nil"/>
            </w:tcBorders>
            <w:shd w:val="clear" w:color="auto" w:fill="auto"/>
            <w:vAlign w:val="bottom"/>
          </w:tcPr>
          <w:p w14:paraId="68A94A5F" w14:textId="77777777" w:rsidR="00571749" w:rsidRPr="0012370C" w:rsidRDefault="00571749" w:rsidP="004235A4">
            <w:pPr>
              <w:pStyle w:val="TableBodyText"/>
              <w:ind w:left="-57" w:right="0"/>
              <w:jc w:val="left"/>
              <w:rPr>
                <w:rFonts w:cs="Arial"/>
                <w:szCs w:val="18"/>
              </w:rPr>
            </w:pPr>
            <w:r w:rsidRPr="0012370C">
              <w:rPr>
                <w:rFonts w:cs="Arial"/>
                <w:szCs w:val="18"/>
              </w:rPr>
              <w:t>Married/de facto</w:t>
            </w:r>
          </w:p>
        </w:tc>
        <w:tc>
          <w:tcPr>
            <w:tcW w:w="992" w:type="dxa"/>
            <w:tcBorders>
              <w:top w:val="nil"/>
              <w:left w:val="nil"/>
              <w:bottom w:val="nil"/>
              <w:right w:val="nil"/>
            </w:tcBorders>
            <w:shd w:val="clear" w:color="auto" w:fill="auto"/>
            <w:vAlign w:val="bottom"/>
          </w:tcPr>
          <w:p w14:paraId="4197022B" w14:textId="77777777" w:rsidR="00571749" w:rsidRPr="0012370C" w:rsidRDefault="00571749" w:rsidP="004235A4">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593AF56D"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30.5</w:t>
            </w:r>
          </w:p>
        </w:tc>
        <w:tc>
          <w:tcPr>
            <w:tcW w:w="709" w:type="dxa"/>
            <w:tcBorders>
              <w:top w:val="nil"/>
              <w:left w:val="nil"/>
              <w:bottom w:val="nil"/>
              <w:right w:val="nil"/>
            </w:tcBorders>
            <w:shd w:val="clear" w:color="auto" w:fill="auto"/>
            <w:vAlign w:val="bottom"/>
          </w:tcPr>
          <w:p w14:paraId="45E62D37"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2A616FEC"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19.9</w:t>
            </w:r>
          </w:p>
        </w:tc>
        <w:tc>
          <w:tcPr>
            <w:tcW w:w="709" w:type="dxa"/>
            <w:tcBorders>
              <w:top w:val="nil"/>
              <w:left w:val="nil"/>
              <w:bottom w:val="nil"/>
              <w:right w:val="nil"/>
            </w:tcBorders>
            <w:shd w:val="clear" w:color="auto" w:fill="auto"/>
            <w:vAlign w:val="bottom"/>
          </w:tcPr>
          <w:p w14:paraId="770F7B83"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28023512"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23.6</w:t>
            </w:r>
          </w:p>
        </w:tc>
        <w:tc>
          <w:tcPr>
            <w:tcW w:w="567" w:type="dxa"/>
            <w:tcBorders>
              <w:top w:val="nil"/>
              <w:left w:val="nil"/>
              <w:bottom w:val="nil"/>
              <w:right w:val="nil"/>
            </w:tcBorders>
            <w:shd w:val="clear" w:color="auto" w:fill="auto"/>
            <w:vAlign w:val="bottom"/>
          </w:tcPr>
          <w:p w14:paraId="77BABD57" w14:textId="77777777" w:rsidR="00571749" w:rsidRPr="00E53947" w:rsidRDefault="00571749" w:rsidP="00E53947">
            <w:pPr>
              <w:pStyle w:val="TableBodyText"/>
              <w:ind w:right="0"/>
              <w:jc w:val="left"/>
            </w:pPr>
          </w:p>
        </w:tc>
      </w:tr>
      <w:tr w:rsidR="00571749" w14:paraId="4CE0334F" w14:textId="77777777" w:rsidTr="0043640F">
        <w:trPr>
          <w:cantSplit/>
          <w:trHeight w:val="20"/>
        </w:trPr>
        <w:tc>
          <w:tcPr>
            <w:tcW w:w="2672" w:type="dxa"/>
            <w:tcBorders>
              <w:top w:val="nil"/>
              <w:left w:val="nil"/>
              <w:bottom w:val="nil"/>
              <w:right w:val="nil"/>
            </w:tcBorders>
            <w:shd w:val="clear" w:color="auto" w:fill="auto"/>
            <w:vAlign w:val="bottom"/>
          </w:tcPr>
          <w:p w14:paraId="32A2E66F" w14:textId="77777777" w:rsidR="00571749" w:rsidRPr="0012370C" w:rsidRDefault="00571749" w:rsidP="004235A4">
            <w:pPr>
              <w:pStyle w:val="TableBodyText"/>
              <w:ind w:left="-57" w:right="0"/>
              <w:jc w:val="left"/>
              <w:rPr>
                <w:rFonts w:cs="Arial"/>
                <w:szCs w:val="18"/>
              </w:rPr>
            </w:pPr>
            <w:r w:rsidRPr="0012370C">
              <w:rPr>
                <w:rFonts w:cs="Arial"/>
                <w:szCs w:val="18"/>
              </w:rPr>
              <w:t>Indigenous</w:t>
            </w:r>
          </w:p>
        </w:tc>
        <w:tc>
          <w:tcPr>
            <w:tcW w:w="992" w:type="dxa"/>
            <w:tcBorders>
              <w:top w:val="nil"/>
              <w:left w:val="nil"/>
              <w:bottom w:val="nil"/>
              <w:right w:val="nil"/>
            </w:tcBorders>
            <w:shd w:val="clear" w:color="auto" w:fill="auto"/>
            <w:vAlign w:val="bottom"/>
          </w:tcPr>
          <w:p w14:paraId="2E6EFB1B" w14:textId="77777777" w:rsidR="00571749" w:rsidRPr="0012370C" w:rsidRDefault="00571749" w:rsidP="004235A4">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72A3F8EC"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13.2</w:t>
            </w:r>
          </w:p>
        </w:tc>
        <w:tc>
          <w:tcPr>
            <w:tcW w:w="709" w:type="dxa"/>
            <w:tcBorders>
              <w:top w:val="nil"/>
              <w:left w:val="nil"/>
              <w:bottom w:val="nil"/>
              <w:right w:val="nil"/>
            </w:tcBorders>
            <w:shd w:val="clear" w:color="auto" w:fill="auto"/>
            <w:vAlign w:val="bottom"/>
          </w:tcPr>
          <w:p w14:paraId="179165D4"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3FFC45AA"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10.8</w:t>
            </w:r>
          </w:p>
        </w:tc>
        <w:tc>
          <w:tcPr>
            <w:tcW w:w="709" w:type="dxa"/>
            <w:tcBorders>
              <w:top w:val="nil"/>
              <w:left w:val="nil"/>
              <w:bottom w:val="nil"/>
              <w:right w:val="nil"/>
            </w:tcBorders>
            <w:shd w:val="clear" w:color="auto" w:fill="auto"/>
            <w:vAlign w:val="bottom"/>
          </w:tcPr>
          <w:p w14:paraId="4C0967D1"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1FE0ADB2"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18.0</w:t>
            </w:r>
          </w:p>
        </w:tc>
        <w:tc>
          <w:tcPr>
            <w:tcW w:w="567" w:type="dxa"/>
            <w:tcBorders>
              <w:top w:val="nil"/>
              <w:left w:val="nil"/>
              <w:bottom w:val="nil"/>
              <w:right w:val="nil"/>
            </w:tcBorders>
            <w:shd w:val="clear" w:color="auto" w:fill="auto"/>
            <w:vAlign w:val="bottom"/>
          </w:tcPr>
          <w:p w14:paraId="0974474E" w14:textId="77777777" w:rsidR="00571749" w:rsidRPr="00E53947" w:rsidRDefault="00571749" w:rsidP="00E53947">
            <w:pPr>
              <w:pStyle w:val="TableBodyText"/>
              <w:ind w:right="0"/>
              <w:jc w:val="left"/>
            </w:pPr>
          </w:p>
        </w:tc>
      </w:tr>
      <w:tr w:rsidR="00571749" w14:paraId="29D49CC4" w14:textId="77777777" w:rsidTr="0043640F">
        <w:trPr>
          <w:cantSplit/>
          <w:trHeight w:val="20"/>
        </w:trPr>
        <w:tc>
          <w:tcPr>
            <w:tcW w:w="2672" w:type="dxa"/>
            <w:tcBorders>
              <w:top w:val="nil"/>
              <w:left w:val="nil"/>
              <w:bottom w:val="nil"/>
              <w:right w:val="nil"/>
            </w:tcBorders>
            <w:shd w:val="clear" w:color="auto" w:fill="auto"/>
            <w:vAlign w:val="bottom"/>
          </w:tcPr>
          <w:p w14:paraId="501D2B79" w14:textId="77777777" w:rsidR="00571749" w:rsidRPr="0012370C" w:rsidRDefault="00571749" w:rsidP="004235A4">
            <w:pPr>
              <w:pStyle w:val="TableBodyText"/>
              <w:ind w:left="-57" w:right="0"/>
              <w:jc w:val="left"/>
              <w:rPr>
                <w:rFonts w:cs="Arial"/>
                <w:szCs w:val="18"/>
              </w:rPr>
            </w:pPr>
            <w:r w:rsidRPr="0012370C">
              <w:rPr>
                <w:rFonts w:cs="Arial"/>
                <w:szCs w:val="18"/>
              </w:rPr>
              <w:t>English as preferred language</w:t>
            </w:r>
          </w:p>
        </w:tc>
        <w:tc>
          <w:tcPr>
            <w:tcW w:w="992" w:type="dxa"/>
            <w:tcBorders>
              <w:top w:val="nil"/>
              <w:left w:val="nil"/>
              <w:bottom w:val="nil"/>
              <w:right w:val="nil"/>
            </w:tcBorders>
            <w:shd w:val="clear" w:color="auto" w:fill="auto"/>
            <w:vAlign w:val="bottom"/>
          </w:tcPr>
          <w:p w14:paraId="0A19AFA1" w14:textId="77777777" w:rsidR="00571749" w:rsidRPr="0012370C" w:rsidRDefault="00571749" w:rsidP="004235A4">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167371D5"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91.3</w:t>
            </w:r>
          </w:p>
        </w:tc>
        <w:tc>
          <w:tcPr>
            <w:tcW w:w="709" w:type="dxa"/>
            <w:tcBorders>
              <w:top w:val="nil"/>
              <w:left w:val="nil"/>
              <w:bottom w:val="nil"/>
              <w:right w:val="nil"/>
            </w:tcBorders>
            <w:shd w:val="clear" w:color="auto" w:fill="auto"/>
            <w:vAlign w:val="bottom"/>
          </w:tcPr>
          <w:p w14:paraId="65E2B0A6"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449FB9F4"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93.0</w:t>
            </w:r>
          </w:p>
        </w:tc>
        <w:tc>
          <w:tcPr>
            <w:tcW w:w="709" w:type="dxa"/>
            <w:tcBorders>
              <w:top w:val="nil"/>
              <w:left w:val="nil"/>
              <w:bottom w:val="nil"/>
              <w:right w:val="nil"/>
            </w:tcBorders>
            <w:shd w:val="clear" w:color="auto" w:fill="auto"/>
            <w:vAlign w:val="bottom"/>
          </w:tcPr>
          <w:p w14:paraId="3EADA3D3"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2672BBDB"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90.0</w:t>
            </w:r>
          </w:p>
        </w:tc>
        <w:tc>
          <w:tcPr>
            <w:tcW w:w="567" w:type="dxa"/>
            <w:tcBorders>
              <w:top w:val="nil"/>
              <w:left w:val="nil"/>
              <w:bottom w:val="nil"/>
              <w:right w:val="nil"/>
            </w:tcBorders>
            <w:shd w:val="clear" w:color="auto" w:fill="auto"/>
            <w:vAlign w:val="bottom"/>
          </w:tcPr>
          <w:p w14:paraId="1A9D911C" w14:textId="77777777" w:rsidR="00571749" w:rsidRPr="00E53947" w:rsidRDefault="00571749" w:rsidP="00E53947">
            <w:pPr>
              <w:pStyle w:val="TableBodyText"/>
              <w:ind w:right="0"/>
              <w:jc w:val="left"/>
            </w:pPr>
          </w:p>
        </w:tc>
      </w:tr>
      <w:tr w:rsidR="00571749" w14:paraId="42ED96D1" w14:textId="77777777" w:rsidTr="004032A8">
        <w:trPr>
          <w:cantSplit/>
          <w:trHeight w:val="20"/>
        </w:trPr>
        <w:tc>
          <w:tcPr>
            <w:tcW w:w="2672" w:type="dxa"/>
            <w:tcBorders>
              <w:top w:val="nil"/>
              <w:left w:val="nil"/>
              <w:bottom w:val="nil"/>
              <w:right w:val="nil"/>
            </w:tcBorders>
            <w:shd w:val="clear" w:color="auto" w:fill="auto"/>
            <w:vAlign w:val="bottom"/>
          </w:tcPr>
          <w:p w14:paraId="5C8ECA84" w14:textId="77777777" w:rsidR="00571749" w:rsidRPr="004C0C7F" w:rsidRDefault="00571749" w:rsidP="004032A8">
            <w:pPr>
              <w:pStyle w:val="TableBodyText"/>
              <w:spacing w:before="40"/>
              <w:ind w:left="-57" w:right="0"/>
              <w:jc w:val="left"/>
              <w:rPr>
                <w:rFonts w:cs="Arial"/>
                <w:szCs w:val="18"/>
              </w:rPr>
            </w:pPr>
            <w:r w:rsidRPr="004C0C7F">
              <w:rPr>
                <w:rFonts w:cs="Arial"/>
                <w:szCs w:val="18"/>
              </w:rPr>
              <w:t>Parent</w:t>
            </w:r>
          </w:p>
        </w:tc>
        <w:tc>
          <w:tcPr>
            <w:tcW w:w="992" w:type="dxa"/>
            <w:tcBorders>
              <w:top w:val="nil"/>
              <w:left w:val="nil"/>
              <w:bottom w:val="nil"/>
              <w:right w:val="nil"/>
            </w:tcBorders>
            <w:shd w:val="clear" w:color="auto" w:fill="auto"/>
            <w:vAlign w:val="bottom"/>
          </w:tcPr>
          <w:p w14:paraId="6CFC1672" w14:textId="77777777" w:rsidR="00571749" w:rsidRPr="004C0C7F" w:rsidRDefault="00571749" w:rsidP="004032A8">
            <w:pPr>
              <w:pStyle w:val="TableBodyText"/>
              <w:spacing w:before="40"/>
              <w:ind w:left="-57" w:right="-142"/>
              <w:jc w:val="left"/>
              <w:rPr>
                <w:rFonts w:cs="Arial"/>
                <w:szCs w:val="18"/>
              </w:rPr>
            </w:pPr>
            <w:r w:rsidRPr="004C0C7F">
              <w:rPr>
                <w:rFonts w:cs="Arial"/>
                <w:szCs w:val="18"/>
              </w:rPr>
              <w:t>Per cent</w:t>
            </w:r>
          </w:p>
        </w:tc>
        <w:tc>
          <w:tcPr>
            <w:tcW w:w="1134" w:type="dxa"/>
            <w:tcBorders>
              <w:top w:val="nil"/>
              <w:left w:val="nil"/>
              <w:bottom w:val="nil"/>
              <w:right w:val="nil"/>
            </w:tcBorders>
            <w:shd w:val="clear" w:color="auto" w:fill="auto"/>
          </w:tcPr>
          <w:p w14:paraId="1DF61438" w14:textId="77777777" w:rsidR="00571749" w:rsidRPr="004C0C7F" w:rsidRDefault="004C0C7F" w:rsidP="004032A8">
            <w:pPr>
              <w:spacing w:before="40"/>
              <w:jc w:val="right"/>
              <w:rPr>
                <w:rFonts w:ascii="Arial" w:hAnsi="Arial" w:cs="Arial"/>
                <w:color w:val="000000"/>
                <w:sz w:val="18"/>
                <w:szCs w:val="18"/>
              </w:rPr>
            </w:pPr>
            <w:r w:rsidRPr="004C0C7F">
              <w:rPr>
                <w:rFonts w:ascii="Arial" w:hAnsi="Arial" w:cs="Arial"/>
                <w:color w:val="000000"/>
                <w:sz w:val="18"/>
                <w:szCs w:val="18"/>
              </w:rPr>
              <w:t>21.2</w:t>
            </w:r>
          </w:p>
        </w:tc>
        <w:tc>
          <w:tcPr>
            <w:tcW w:w="709" w:type="dxa"/>
            <w:tcBorders>
              <w:top w:val="nil"/>
              <w:left w:val="nil"/>
              <w:bottom w:val="nil"/>
              <w:right w:val="nil"/>
            </w:tcBorders>
            <w:shd w:val="clear" w:color="auto" w:fill="auto"/>
          </w:tcPr>
          <w:p w14:paraId="0472651D" w14:textId="77777777" w:rsidR="00571749" w:rsidRPr="004C0C7F" w:rsidRDefault="00571749" w:rsidP="004032A8">
            <w:pPr>
              <w:spacing w:before="40"/>
              <w:jc w:val="right"/>
              <w:rPr>
                <w:rFonts w:ascii="Arial" w:hAnsi="Arial" w:cs="Arial"/>
                <w:color w:val="000000"/>
                <w:sz w:val="18"/>
                <w:szCs w:val="18"/>
              </w:rPr>
            </w:pPr>
          </w:p>
        </w:tc>
        <w:tc>
          <w:tcPr>
            <w:tcW w:w="992" w:type="dxa"/>
            <w:tcBorders>
              <w:top w:val="nil"/>
              <w:left w:val="nil"/>
              <w:bottom w:val="nil"/>
              <w:right w:val="nil"/>
            </w:tcBorders>
            <w:shd w:val="clear" w:color="auto" w:fill="auto"/>
          </w:tcPr>
          <w:p w14:paraId="339DC8ED" w14:textId="77777777" w:rsidR="00571749" w:rsidRPr="004C0C7F" w:rsidRDefault="004C0C7F" w:rsidP="004032A8">
            <w:pPr>
              <w:spacing w:before="40"/>
              <w:jc w:val="right"/>
              <w:rPr>
                <w:rFonts w:ascii="Arial" w:hAnsi="Arial" w:cs="Arial"/>
                <w:color w:val="000000"/>
                <w:sz w:val="18"/>
                <w:szCs w:val="18"/>
              </w:rPr>
            </w:pPr>
            <w:r w:rsidRPr="004C0C7F">
              <w:rPr>
                <w:rFonts w:ascii="Arial" w:hAnsi="Arial" w:cs="Arial"/>
                <w:color w:val="000000"/>
                <w:sz w:val="18"/>
                <w:szCs w:val="18"/>
              </w:rPr>
              <w:t>36.3</w:t>
            </w:r>
          </w:p>
        </w:tc>
        <w:tc>
          <w:tcPr>
            <w:tcW w:w="709" w:type="dxa"/>
            <w:tcBorders>
              <w:top w:val="nil"/>
              <w:left w:val="nil"/>
              <w:bottom w:val="nil"/>
              <w:right w:val="nil"/>
            </w:tcBorders>
            <w:shd w:val="clear" w:color="auto" w:fill="auto"/>
          </w:tcPr>
          <w:p w14:paraId="4731F933" w14:textId="77777777" w:rsidR="00571749" w:rsidRPr="004C0C7F" w:rsidRDefault="00571749" w:rsidP="004032A8">
            <w:pPr>
              <w:spacing w:before="40"/>
              <w:jc w:val="right"/>
              <w:rPr>
                <w:rFonts w:ascii="Arial" w:hAnsi="Arial" w:cs="Arial"/>
                <w:color w:val="000000"/>
                <w:sz w:val="18"/>
                <w:szCs w:val="18"/>
              </w:rPr>
            </w:pPr>
          </w:p>
        </w:tc>
        <w:tc>
          <w:tcPr>
            <w:tcW w:w="992" w:type="dxa"/>
            <w:tcBorders>
              <w:top w:val="nil"/>
              <w:left w:val="nil"/>
              <w:bottom w:val="nil"/>
              <w:right w:val="nil"/>
            </w:tcBorders>
            <w:shd w:val="clear" w:color="auto" w:fill="auto"/>
          </w:tcPr>
          <w:p w14:paraId="6331EFD8" w14:textId="77777777" w:rsidR="00571749" w:rsidRPr="004C0C7F" w:rsidRDefault="004C0C7F" w:rsidP="004032A8">
            <w:pPr>
              <w:spacing w:before="40"/>
              <w:jc w:val="right"/>
              <w:rPr>
                <w:rFonts w:ascii="Arial" w:hAnsi="Arial" w:cs="Arial"/>
                <w:color w:val="000000"/>
                <w:sz w:val="18"/>
                <w:szCs w:val="18"/>
              </w:rPr>
            </w:pPr>
            <w:r w:rsidRPr="004C0C7F">
              <w:rPr>
                <w:rFonts w:ascii="Arial" w:hAnsi="Arial" w:cs="Arial"/>
                <w:color w:val="000000"/>
                <w:sz w:val="18"/>
                <w:szCs w:val="18"/>
              </w:rPr>
              <w:t>30.3</w:t>
            </w:r>
          </w:p>
        </w:tc>
        <w:tc>
          <w:tcPr>
            <w:tcW w:w="567" w:type="dxa"/>
            <w:tcBorders>
              <w:top w:val="nil"/>
              <w:left w:val="nil"/>
              <w:bottom w:val="nil"/>
              <w:right w:val="nil"/>
            </w:tcBorders>
            <w:shd w:val="clear" w:color="auto" w:fill="auto"/>
            <w:vAlign w:val="bottom"/>
          </w:tcPr>
          <w:p w14:paraId="0DCB14E7" w14:textId="77777777" w:rsidR="00571749" w:rsidRPr="00E53947" w:rsidRDefault="00571749" w:rsidP="004032A8">
            <w:pPr>
              <w:pStyle w:val="TableBodyText"/>
              <w:spacing w:before="40"/>
              <w:ind w:right="0"/>
              <w:jc w:val="left"/>
            </w:pPr>
          </w:p>
        </w:tc>
      </w:tr>
      <w:tr w:rsidR="00571749" w14:paraId="0A3E4BE6" w14:textId="77777777" w:rsidTr="0043640F">
        <w:trPr>
          <w:cantSplit/>
          <w:trHeight w:val="20"/>
        </w:trPr>
        <w:tc>
          <w:tcPr>
            <w:tcW w:w="2672" w:type="dxa"/>
            <w:tcBorders>
              <w:top w:val="nil"/>
              <w:left w:val="nil"/>
              <w:bottom w:val="nil"/>
              <w:right w:val="nil"/>
            </w:tcBorders>
            <w:shd w:val="clear" w:color="auto" w:fill="auto"/>
            <w:vAlign w:val="bottom"/>
          </w:tcPr>
          <w:p w14:paraId="2FBFB2E8" w14:textId="77777777" w:rsidR="00571749" w:rsidRPr="004C0C7F" w:rsidRDefault="00571749" w:rsidP="004235A4">
            <w:pPr>
              <w:pStyle w:val="TableBodyText"/>
              <w:spacing w:line="240" w:lineRule="auto"/>
              <w:ind w:left="-57" w:right="0"/>
              <w:jc w:val="left"/>
              <w:rPr>
                <w:rStyle w:val="NoteLabel"/>
                <w:rFonts w:cs="Arial"/>
                <w:szCs w:val="18"/>
              </w:rPr>
            </w:pPr>
            <w:r w:rsidRPr="004C0C7F">
              <w:rPr>
                <w:rFonts w:cs="Arial"/>
                <w:szCs w:val="18"/>
              </w:rPr>
              <w:t>  Children aged less than 5</w:t>
            </w:r>
            <w:r w:rsidR="006209FB">
              <w:rPr>
                <w:rStyle w:val="NoteLabel"/>
                <w:rFonts w:cs="Arial"/>
                <w:szCs w:val="18"/>
              </w:rPr>
              <w:t>b</w:t>
            </w:r>
          </w:p>
        </w:tc>
        <w:tc>
          <w:tcPr>
            <w:tcW w:w="992" w:type="dxa"/>
            <w:tcBorders>
              <w:top w:val="nil"/>
              <w:left w:val="nil"/>
              <w:bottom w:val="nil"/>
              <w:right w:val="nil"/>
            </w:tcBorders>
            <w:shd w:val="clear" w:color="auto" w:fill="auto"/>
            <w:vAlign w:val="bottom"/>
          </w:tcPr>
          <w:p w14:paraId="683F4618" w14:textId="77777777" w:rsidR="00571749" w:rsidRPr="004C0C7F" w:rsidRDefault="00571749" w:rsidP="004235A4">
            <w:pPr>
              <w:pStyle w:val="TableBodyText"/>
              <w:ind w:left="-57" w:right="-142"/>
              <w:jc w:val="left"/>
              <w:rPr>
                <w:rFonts w:cs="Arial"/>
                <w:szCs w:val="18"/>
              </w:rPr>
            </w:pPr>
            <w:r w:rsidRPr="004C0C7F">
              <w:rPr>
                <w:rFonts w:cs="Arial"/>
                <w:szCs w:val="18"/>
              </w:rPr>
              <w:t>Number</w:t>
            </w:r>
          </w:p>
        </w:tc>
        <w:tc>
          <w:tcPr>
            <w:tcW w:w="1134" w:type="dxa"/>
            <w:tcBorders>
              <w:top w:val="nil"/>
              <w:left w:val="nil"/>
              <w:bottom w:val="nil"/>
              <w:right w:val="nil"/>
            </w:tcBorders>
            <w:shd w:val="clear" w:color="auto" w:fill="auto"/>
            <w:vAlign w:val="bottom"/>
          </w:tcPr>
          <w:p w14:paraId="5E71026C" w14:textId="23A30384" w:rsidR="00571749" w:rsidRPr="004C0C7F" w:rsidRDefault="0088329E" w:rsidP="0088329E">
            <w:pPr>
              <w:pStyle w:val="TableBodyText"/>
              <w:ind w:left="0" w:right="0"/>
              <w:rPr>
                <w:rFonts w:cs="Arial"/>
                <w:szCs w:val="18"/>
              </w:rPr>
            </w:pPr>
            <w:r>
              <w:rPr>
                <w:rFonts w:cs="Arial"/>
                <w:szCs w:val="18"/>
              </w:rPr>
              <w:t>0.7</w:t>
            </w:r>
          </w:p>
        </w:tc>
        <w:tc>
          <w:tcPr>
            <w:tcW w:w="709" w:type="dxa"/>
            <w:tcBorders>
              <w:top w:val="nil"/>
              <w:left w:val="nil"/>
              <w:bottom w:val="nil"/>
              <w:right w:val="nil"/>
            </w:tcBorders>
            <w:shd w:val="clear" w:color="auto" w:fill="auto"/>
            <w:vAlign w:val="bottom"/>
          </w:tcPr>
          <w:p w14:paraId="3076E52B" w14:textId="3865029D" w:rsidR="00571749" w:rsidRPr="004C0C7F" w:rsidRDefault="00571749" w:rsidP="0088329E">
            <w:pPr>
              <w:pStyle w:val="TableBodyText"/>
              <w:ind w:left="0" w:right="0"/>
              <w:rPr>
                <w:rFonts w:cs="Arial"/>
                <w:szCs w:val="18"/>
              </w:rPr>
            </w:pPr>
            <w:r w:rsidRPr="004C0C7F">
              <w:rPr>
                <w:rFonts w:cs="Arial"/>
                <w:szCs w:val="18"/>
              </w:rPr>
              <w:t>0.</w:t>
            </w:r>
            <w:r w:rsidR="0088329E">
              <w:rPr>
                <w:rFonts w:cs="Arial"/>
                <w:szCs w:val="18"/>
              </w:rPr>
              <w:t>8</w:t>
            </w:r>
          </w:p>
        </w:tc>
        <w:tc>
          <w:tcPr>
            <w:tcW w:w="992" w:type="dxa"/>
            <w:tcBorders>
              <w:top w:val="nil"/>
              <w:left w:val="nil"/>
              <w:bottom w:val="nil"/>
              <w:right w:val="nil"/>
            </w:tcBorders>
            <w:shd w:val="clear" w:color="auto" w:fill="auto"/>
            <w:vAlign w:val="bottom"/>
          </w:tcPr>
          <w:p w14:paraId="5C4266BB" w14:textId="7CF0F54C" w:rsidR="00571749" w:rsidRPr="004C0C7F" w:rsidRDefault="0088329E" w:rsidP="004235A4">
            <w:pPr>
              <w:pStyle w:val="TableBodyText"/>
              <w:ind w:left="0" w:right="0"/>
              <w:rPr>
                <w:rFonts w:cs="Arial"/>
                <w:szCs w:val="18"/>
              </w:rPr>
            </w:pPr>
            <w:r>
              <w:rPr>
                <w:rFonts w:cs="Arial"/>
                <w:szCs w:val="18"/>
              </w:rPr>
              <w:t>0.7</w:t>
            </w:r>
          </w:p>
        </w:tc>
        <w:tc>
          <w:tcPr>
            <w:tcW w:w="709" w:type="dxa"/>
            <w:tcBorders>
              <w:top w:val="nil"/>
              <w:left w:val="nil"/>
              <w:bottom w:val="nil"/>
              <w:right w:val="nil"/>
            </w:tcBorders>
            <w:shd w:val="clear" w:color="auto" w:fill="auto"/>
            <w:vAlign w:val="bottom"/>
          </w:tcPr>
          <w:p w14:paraId="7A6BF20A" w14:textId="379C74BA" w:rsidR="00571749" w:rsidRPr="004C0C7F" w:rsidRDefault="0088329E" w:rsidP="004235A4">
            <w:pPr>
              <w:pStyle w:val="TableBodyText"/>
              <w:ind w:left="0" w:right="0"/>
              <w:rPr>
                <w:rFonts w:cs="Arial"/>
                <w:szCs w:val="18"/>
              </w:rPr>
            </w:pPr>
            <w:r>
              <w:rPr>
                <w:rFonts w:cs="Arial"/>
                <w:szCs w:val="18"/>
              </w:rPr>
              <w:t>0.8</w:t>
            </w:r>
          </w:p>
        </w:tc>
        <w:tc>
          <w:tcPr>
            <w:tcW w:w="992" w:type="dxa"/>
            <w:tcBorders>
              <w:top w:val="nil"/>
              <w:left w:val="nil"/>
              <w:bottom w:val="nil"/>
              <w:right w:val="nil"/>
            </w:tcBorders>
            <w:shd w:val="clear" w:color="auto" w:fill="auto"/>
            <w:vAlign w:val="bottom"/>
          </w:tcPr>
          <w:p w14:paraId="1A316F3C" w14:textId="3A7FE656" w:rsidR="00571749" w:rsidRPr="004C0C7F" w:rsidRDefault="00571749" w:rsidP="0088329E">
            <w:pPr>
              <w:pStyle w:val="TableBodyText"/>
              <w:ind w:left="0" w:right="0"/>
              <w:rPr>
                <w:rFonts w:cs="Arial"/>
                <w:szCs w:val="18"/>
              </w:rPr>
            </w:pPr>
            <w:r w:rsidRPr="004C0C7F">
              <w:rPr>
                <w:rFonts w:cs="Arial"/>
                <w:szCs w:val="18"/>
              </w:rPr>
              <w:t>0.</w:t>
            </w:r>
            <w:r w:rsidR="0088329E">
              <w:rPr>
                <w:rFonts w:cs="Arial"/>
                <w:szCs w:val="18"/>
              </w:rPr>
              <w:t>6</w:t>
            </w:r>
          </w:p>
        </w:tc>
        <w:tc>
          <w:tcPr>
            <w:tcW w:w="567" w:type="dxa"/>
            <w:tcBorders>
              <w:top w:val="nil"/>
              <w:left w:val="nil"/>
              <w:bottom w:val="nil"/>
              <w:right w:val="nil"/>
            </w:tcBorders>
            <w:shd w:val="clear" w:color="auto" w:fill="auto"/>
            <w:vAlign w:val="bottom"/>
          </w:tcPr>
          <w:p w14:paraId="7584FF2D" w14:textId="0EE6E4F8" w:rsidR="00571749" w:rsidRPr="00E53947" w:rsidRDefault="00571749" w:rsidP="00E53947">
            <w:pPr>
              <w:pStyle w:val="TableBodyText"/>
              <w:ind w:right="0"/>
              <w:jc w:val="left"/>
            </w:pPr>
            <w:r w:rsidRPr="00E53947">
              <w:t>0.8</w:t>
            </w:r>
          </w:p>
        </w:tc>
      </w:tr>
      <w:tr w:rsidR="00571749" w14:paraId="7CF09EF1" w14:textId="77777777" w:rsidTr="0043640F">
        <w:trPr>
          <w:cantSplit/>
          <w:trHeight w:val="20"/>
        </w:trPr>
        <w:tc>
          <w:tcPr>
            <w:tcW w:w="2672" w:type="dxa"/>
            <w:tcBorders>
              <w:top w:val="nil"/>
              <w:left w:val="nil"/>
              <w:bottom w:val="nil"/>
              <w:right w:val="nil"/>
            </w:tcBorders>
            <w:shd w:val="clear" w:color="auto" w:fill="auto"/>
            <w:vAlign w:val="bottom"/>
          </w:tcPr>
          <w:p w14:paraId="12F2756C" w14:textId="5ECC6252" w:rsidR="00571749" w:rsidRPr="004C0C7F" w:rsidRDefault="00571749" w:rsidP="006209FB">
            <w:pPr>
              <w:pStyle w:val="TableBodyText"/>
              <w:spacing w:line="240" w:lineRule="auto"/>
              <w:ind w:left="-57" w:right="0"/>
              <w:jc w:val="left"/>
              <w:rPr>
                <w:rFonts w:cs="Arial"/>
                <w:i/>
                <w:szCs w:val="18"/>
              </w:rPr>
            </w:pPr>
            <w:r w:rsidRPr="004C0C7F">
              <w:rPr>
                <w:rFonts w:cs="Arial"/>
                <w:szCs w:val="18"/>
              </w:rPr>
              <w:t>  Children aged 5 to</w:t>
            </w:r>
            <w:r w:rsidR="006B0DFE">
              <w:rPr>
                <w:rFonts w:cs="Arial"/>
                <w:szCs w:val="18"/>
              </w:rPr>
              <w:t xml:space="preserve"> </w:t>
            </w:r>
            <w:r w:rsidRPr="004C0C7F">
              <w:rPr>
                <w:rFonts w:cs="Arial"/>
                <w:szCs w:val="18"/>
              </w:rPr>
              <w:t>14</w:t>
            </w:r>
            <w:r w:rsidR="006209FB">
              <w:rPr>
                <w:rStyle w:val="NoteLabel"/>
                <w:rFonts w:cs="Arial"/>
                <w:szCs w:val="18"/>
              </w:rPr>
              <w:t>b</w:t>
            </w:r>
          </w:p>
        </w:tc>
        <w:tc>
          <w:tcPr>
            <w:tcW w:w="992" w:type="dxa"/>
            <w:tcBorders>
              <w:top w:val="nil"/>
              <w:left w:val="nil"/>
              <w:bottom w:val="nil"/>
              <w:right w:val="nil"/>
            </w:tcBorders>
            <w:shd w:val="clear" w:color="auto" w:fill="auto"/>
            <w:vAlign w:val="bottom"/>
          </w:tcPr>
          <w:p w14:paraId="7A8F72EB" w14:textId="77777777" w:rsidR="00571749" w:rsidRPr="004C0C7F" w:rsidRDefault="00571749" w:rsidP="004235A4">
            <w:pPr>
              <w:pStyle w:val="TableBodyText"/>
              <w:ind w:left="-57" w:right="-142"/>
              <w:jc w:val="left"/>
              <w:rPr>
                <w:rFonts w:cs="Arial"/>
                <w:szCs w:val="18"/>
              </w:rPr>
            </w:pPr>
            <w:r w:rsidRPr="004C0C7F">
              <w:rPr>
                <w:rFonts w:cs="Arial"/>
                <w:szCs w:val="18"/>
              </w:rPr>
              <w:t>Number</w:t>
            </w:r>
          </w:p>
        </w:tc>
        <w:tc>
          <w:tcPr>
            <w:tcW w:w="1134" w:type="dxa"/>
            <w:tcBorders>
              <w:top w:val="nil"/>
              <w:left w:val="nil"/>
              <w:bottom w:val="nil"/>
              <w:right w:val="nil"/>
            </w:tcBorders>
            <w:shd w:val="clear" w:color="auto" w:fill="auto"/>
            <w:vAlign w:val="bottom"/>
          </w:tcPr>
          <w:p w14:paraId="6C389489" w14:textId="42FF503E" w:rsidR="00571749" w:rsidRPr="004C0C7F" w:rsidRDefault="004C0C7F" w:rsidP="0088329E">
            <w:pPr>
              <w:pStyle w:val="TableBodyText"/>
              <w:ind w:left="0" w:right="0"/>
              <w:rPr>
                <w:rFonts w:cs="Arial"/>
                <w:szCs w:val="18"/>
              </w:rPr>
            </w:pPr>
            <w:r w:rsidRPr="004C0C7F">
              <w:rPr>
                <w:rFonts w:cs="Arial"/>
                <w:szCs w:val="18"/>
              </w:rPr>
              <w:t>1.1</w:t>
            </w:r>
          </w:p>
        </w:tc>
        <w:tc>
          <w:tcPr>
            <w:tcW w:w="709" w:type="dxa"/>
            <w:tcBorders>
              <w:top w:val="nil"/>
              <w:left w:val="nil"/>
              <w:bottom w:val="nil"/>
              <w:right w:val="nil"/>
            </w:tcBorders>
            <w:shd w:val="clear" w:color="auto" w:fill="auto"/>
            <w:vAlign w:val="bottom"/>
          </w:tcPr>
          <w:p w14:paraId="51A72CA7" w14:textId="344002A1" w:rsidR="00571749" w:rsidRPr="004C0C7F" w:rsidRDefault="0088329E" w:rsidP="004235A4">
            <w:pPr>
              <w:pStyle w:val="TableBodyText"/>
              <w:ind w:left="0" w:right="0"/>
              <w:rPr>
                <w:rFonts w:cs="Arial"/>
                <w:szCs w:val="18"/>
              </w:rPr>
            </w:pPr>
            <w:r>
              <w:rPr>
                <w:rFonts w:cs="Arial"/>
                <w:szCs w:val="18"/>
              </w:rPr>
              <w:t>1.0</w:t>
            </w:r>
          </w:p>
        </w:tc>
        <w:tc>
          <w:tcPr>
            <w:tcW w:w="992" w:type="dxa"/>
            <w:tcBorders>
              <w:top w:val="nil"/>
              <w:left w:val="nil"/>
              <w:bottom w:val="nil"/>
              <w:right w:val="nil"/>
            </w:tcBorders>
            <w:shd w:val="clear" w:color="auto" w:fill="auto"/>
            <w:vAlign w:val="bottom"/>
          </w:tcPr>
          <w:p w14:paraId="1568D744" w14:textId="0099FC6F" w:rsidR="00571749" w:rsidRPr="004C0C7F" w:rsidRDefault="0088329E" w:rsidP="0088329E">
            <w:pPr>
              <w:pStyle w:val="TableBodyText"/>
              <w:ind w:left="0" w:right="0"/>
              <w:rPr>
                <w:rFonts w:cs="Arial"/>
                <w:szCs w:val="18"/>
              </w:rPr>
            </w:pPr>
            <w:r>
              <w:rPr>
                <w:rFonts w:cs="Arial"/>
                <w:szCs w:val="18"/>
              </w:rPr>
              <w:t>1.2</w:t>
            </w:r>
          </w:p>
        </w:tc>
        <w:tc>
          <w:tcPr>
            <w:tcW w:w="709" w:type="dxa"/>
            <w:tcBorders>
              <w:top w:val="nil"/>
              <w:left w:val="nil"/>
              <w:bottom w:val="nil"/>
              <w:right w:val="nil"/>
            </w:tcBorders>
            <w:shd w:val="clear" w:color="auto" w:fill="auto"/>
            <w:vAlign w:val="bottom"/>
          </w:tcPr>
          <w:p w14:paraId="721701F3" w14:textId="16B1983B" w:rsidR="00571749" w:rsidRPr="004C0C7F" w:rsidRDefault="00571749" w:rsidP="0088329E">
            <w:pPr>
              <w:pStyle w:val="TableBodyText"/>
              <w:ind w:left="0" w:right="0"/>
              <w:rPr>
                <w:rFonts w:cs="Arial"/>
                <w:szCs w:val="18"/>
              </w:rPr>
            </w:pPr>
            <w:r w:rsidRPr="004C0C7F">
              <w:rPr>
                <w:rFonts w:cs="Arial"/>
                <w:szCs w:val="18"/>
              </w:rPr>
              <w:t>1.0</w:t>
            </w:r>
          </w:p>
        </w:tc>
        <w:tc>
          <w:tcPr>
            <w:tcW w:w="992" w:type="dxa"/>
            <w:tcBorders>
              <w:top w:val="nil"/>
              <w:left w:val="nil"/>
              <w:bottom w:val="nil"/>
              <w:right w:val="nil"/>
            </w:tcBorders>
            <w:shd w:val="clear" w:color="auto" w:fill="auto"/>
            <w:vAlign w:val="bottom"/>
          </w:tcPr>
          <w:p w14:paraId="77B2B498" w14:textId="792EAE70" w:rsidR="00571749" w:rsidRPr="004C0C7F" w:rsidRDefault="00571749" w:rsidP="004C0C7F">
            <w:pPr>
              <w:pStyle w:val="TableBodyText"/>
              <w:ind w:left="0" w:right="0"/>
              <w:rPr>
                <w:rFonts w:cs="Arial"/>
                <w:szCs w:val="18"/>
              </w:rPr>
            </w:pPr>
            <w:r w:rsidRPr="004C0C7F">
              <w:rPr>
                <w:rFonts w:cs="Arial"/>
                <w:szCs w:val="18"/>
              </w:rPr>
              <w:t>1.</w:t>
            </w:r>
            <w:r w:rsidR="0088329E">
              <w:rPr>
                <w:rFonts w:cs="Arial"/>
                <w:szCs w:val="18"/>
              </w:rPr>
              <w:t>5</w:t>
            </w:r>
          </w:p>
        </w:tc>
        <w:tc>
          <w:tcPr>
            <w:tcW w:w="567" w:type="dxa"/>
            <w:tcBorders>
              <w:top w:val="nil"/>
              <w:left w:val="nil"/>
              <w:bottom w:val="nil"/>
              <w:right w:val="nil"/>
            </w:tcBorders>
            <w:shd w:val="clear" w:color="auto" w:fill="auto"/>
            <w:vAlign w:val="bottom"/>
          </w:tcPr>
          <w:p w14:paraId="1DC72C06" w14:textId="1BC7C7D3" w:rsidR="00571749" w:rsidRPr="00E53947" w:rsidRDefault="0088329E" w:rsidP="00E53947">
            <w:pPr>
              <w:pStyle w:val="TableBodyText"/>
              <w:ind w:right="0"/>
              <w:jc w:val="left"/>
            </w:pPr>
            <w:r w:rsidRPr="00E53947">
              <w:t>1.1</w:t>
            </w:r>
          </w:p>
        </w:tc>
      </w:tr>
      <w:tr w:rsidR="00571749" w14:paraId="11418C82" w14:textId="77777777" w:rsidTr="004032A8">
        <w:trPr>
          <w:cantSplit/>
          <w:trHeight w:val="20"/>
        </w:trPr>
        <w:tc>
          <w:tcPr>
            <w:tcW w:w="2672" w:type="dxa"/>
            <w:tcBorders>
              <w:top w:val="nil"/>
              <w:left w:val="nil"/>
              <w:bottom w:val="nil"/>
              <w:right w:val="nil"/>
            </w:tcBorders>
            <w:shd w:val="clear" w:color="auto" w:fill="auto"/>
          </w:tcPr>
          <w:p w14:paraId="360E8FAB" w14:textId="77777777" w:rsidR="00571749" w:rsidRPr="0012370C" w:rsidRDefault="00571749" w:rsidP="004032A8">
            <w:pPr>
              <w:pStyle w:val="TableBodyText"/>
              <w:spacing w:before="40"/>
              <w:ind w:left="-57" w:right="0"/>
              <w:jc w:val="left"/>
              <w:rPr>
                <w:rFonts w:cs="Arial"/>
                <w:szCs w:val="18"/>
              </w:rPr>
            </w:pPr>
            <w:r w:rsidRPr="0012370C">
              <w:rPr>
                <w:rFonts w:cs="Arial"/>
                <w:szCs w:val="18"/>
              </w:rPr>
              <w:t>Medical condition</w:t>
            </w:r>
          </w:p>
        </w:tc>
        <w:tc>
          <w:tcPr>
            <w:tcW w:w="992" w:type="dxa"/>
            <w:tcBorders>
              <w:top w:val="nil"/>
              <w:left w:val="nil"/>
              <w:bottom w:val="nil"/>
              <w:right w:val="nil"/>
            </w:tcBorders>
            <w:shd w:val="clear" w:color="auto" w:fill="auto"/>
          </w:tcPr>
          <w:p w14:paraId="67AA605F" w14:textId="77777777" w:rsidR="00571749" w:rsidRPr="0012370C" w:rsidRDefault="00571749" w:rsidP="004032A8">
            <w:pPr>
              <w:pStyle w:val="TableBodyText"/>
              <w:spacing w:before="40"/>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tcPr>
          <w:p w14:paraId="0E4000C5" w14:textId="77777777" w:rsidR="00571749" w:rsidRPr="0012370C" w:rsidRDefault="00571749" w:rsidP="004032A8">
            <w:pPr>
              <w:spacing w:before="40"/>
              <w:jc w:val="right"/>
              <w:rPr>
                <w:rFonts w:ascii="Arial" w:hAnsi="Arial" w:cs="Arial"/>
                <w:color w:val="000000"/>
                <w:sz w:val="18"/>
                <w:szCs w:val="18"/>
              </w:rPr>
            </w:pPr>
            <w:r w:rsidRPr="0012370C">
              <w:rPr>
                <w:rFonts w:ascii="Arial" w:hAnsi="Arial" w:cs="Arial"/>
                <w:color w:val="000000"/>
                <w:sz w:val="18"/>
                <w:szCs w:val="18"/>
              </w:rPr>
              <w:t>40.6</w:t>
            </w:r>
          </w:p>
        </w:tc>
        <w:tc>
          <w:tcPr>
            <w:tcW w:w="709" w:type="dxa"/>
            <w:tcBorders>
              <w:top w:val="nil"/>
              <w:left w:val="nil"/>
              <w:bottom w:val="nil"/>
              <w:right w:val="nil"/>
            </w:tcBorders>
            <w:shd w:val="clear" w:color="auto" w:fill="auto"/>
          </w:tcPr>
          <w:p w14:paraId="486A3A64" w14:textId="77777777" w:rsidR="00571749" w:rsidRPr="0012370C" w:rsidRDefault="00571749" w:rsidP="004032A8">
            <w:pPr>
              <w:spacing w:before="40"/>
              <w:jc w:val="right"/>
              <w:rPr>
                <w:rFonts w:ascii="Arial" w:hAnsi="Arial" w:cs="Arial"/>
                <w:color w:val="000000"/>
                <w:sz w:val="18"/>
                <w:szCs w:val="18"/>
              </w:rPr>
            </w:pPr>
          </w:p>
        </w:tc>
        <w:tc>
          <w:tcPr>
            <w:tcW w:w="992" w:type="dxa"/>
            <w:tcBorders>
              <w:top w:val="nil"/>
              <w:left w:val="nil"/>
              <w:bottom w:val="nil"/>
              <w:right w:val="nil"/>
            </w:tcBorders>
            <w:shd w:val="clear" w:color="auto" w:fill="auto"/>
          </w:tcPr>
          <w:p w14:paraId="2E4EEA57" w14:textId="77777777" w:rsidR="00571749" w:rsidRPr="0012370C" w:rsidRDefault="00571749" w:rsidP="004032A8">
            <w:pPr>
              <w:spacing w:before="40"/>
              <w:jc w:val="right"/>
              <w:rPr>
                <w:rFonts w:ascii="Arial" w:hAnsi="Arial" w:cs="Arial"/>
                <w:color w:val="000000"/>
                <w:sz w:val="18"/>
                <w:szCs w:val="18"/>
              </w:rPr>
            </w:pPr>
            <w:r w:rsidRPr="0012370C">
              <w:rPr>
                <w:rFonts w:ascii="Arial" w:hAnsi="Arial" w:cs="Arial"/>
                <w:color w:val="000000"/>
                <w:sz w:val="18"/>
                <w:szCs w:val="18"/>
              </w:rPr>
              <w:t>41.2</w:t>
            </w:r>
          </w:p>
        </w:tc>
        <w:tc>
          <w:tcPr>
            <w:tcW w:w="709" w:type="dxa"/>
            <w:tcBorders>
              <w:top w:val="nil"/>
              <w:left w:val="nil"/>
              <w:bottom w:val="nil"/>
              <w:right w:val="nil"/>
            </w:tcBorders>
            <w:shd w:val="clear" w:color="auto" w:fill="auto"/>
          </w:tcPr>
          <w:p w14:paraId="2480E78B" w14:textId="77777777" w:rsidR="00571749" w:rsidRPr="0012370C" w:rsidRDefault="00571749" w:rsidP="004032A8">
            <w:pPr>
              <w:spacing w:before="40"/>
              <w:jc w:val="right"/>
              <w:rPr>
                <w:rFonts w:ascii="Arial" w:hAnsi="Arial" w:cs="Arial"/>
                <w:color w:val="000000"/>
                <w:sz w:val="18"/>
                <w:szCs w:val="18"/>
              </w:rPr>
            </w:pPr>
          </w:p>
        </w:tc>
        <w:tc>
          <w:tcPr>
            <w:tcW w:w="992" w:type="dxa"/>
            <w:tcBorders>
              <w:top w:val="nil"/>
              <w:left w:val="nil"/>
              <w:bottom w:val="nil"/>
              <w:right w:val="nil"/>
            </w:tcBorders>
            <w:shd w:val="clear" w:color="auto" w:fill="auto"/>
          </w:tcPr>
          <w:p w14:paraId="003F9478" w14:textId="77777777" w:rsidR="00571749" w:rsidRPr="0012370C" w:rsidRDefault="00571749" w:rsidP="004032A8">
            <w:pPr>
              <w:spacing w:before="40"/>
              <w:jc w:val="right"/>
              <w:rPr>
                <w:rFonts w:ascii="Arial" w:hAnsi="Arial" w:cs="Arial"/>
                <w:color w:val="000000"/>
                <w:sz w:val="18"/>
                <w:szCs w:val="18"/>
              </w:rPr>
            </w:pPr>
            <w:r w:rsidRPr="0012370C">
              <w:rPr>
                <w:rFonts w:ascii="Arial" w:hAnsi="Arial" w:cs="Arial"/>
                <w:color w:val="000000"/>
                <w:sz w:val="18"/>
                <w:szCs w:val="18"/>
              </w:rPr>
              <w:t>58.5</w:t>
            </w:r>
          </w:p>
        </w:tc>
        <w:tc>
          <w:tcPr>
            <w:tcW w:w="567" w:type="dxa"/>
            <w:tcBorders>
              <w:top w:val="nil"/>
              <w:left w:val="nil"/>
              <w:bottom w:val="nil"/>
              <w:right w:val="nil"/>
            </w:tcBorders>
            <w:shd w:val="clear" w:color="auto" w:fill="auto"/>
            <w:vAlign w:val="bottom"/>
          </w:tcPr>
          <w:p w14:paraId="222F7253" w14:textId="77777777" w:rsidR="00571749" w:rsidRPr="00E53947" w:rsidRDefault="00571749" w:rsidP="004032A8">
            <w:pPr>
              <w:pStyle w:val="TableBodyText"/>
              <w:spacing w:before="40"/>
              <w:ind w:right="0"/>
              <w:jc w:val="left"/>
            </w:pPr>
          </w:p>
        </w:tc>
      </w:tr>
      <w:tr w:rsidR="00571749" w14:paraId="5AAE7258" w14:textId="77777777" w:rsidTr="0043640F">
        <w:trPr>
          <w:cantSplit/>
          <w:trHeight w:val="20"/>
        </w:trPr>
        <w:tc>
          <w:tcPr>
            <w:tcW w:w="2672" w:type="dxa"/>
            <w:tcBorders>
              <w:top w:val="nil"/>
              <w:left w:val="nil"/>
              <w:bottom w:val="nil"/>
              <w:right w:val="nil"/>
            </w:tcBorders>
            <w:shd w:val="clear" w:color="auto" w:fill="auto"/>
            <w:vAlign w:val="bottom"/>
          </w:tcPr>
          <w:p w14:paraId="1AB81B7D" w14:textId="77777777" w:rsidR="00571749" w:rsidRPr="0012370C" w:rsidRDefault="00571749" w:rsidP="004032A8">
            <w:pPr>
              <w:pStyle w:val="TableBodyText"/>
              <w:spacing w:before="40"/>
              <w:ind w:left="-57" w:right="0"/>
              <w:jc w:val="left"/>
              <w:rPr>
                <w:rFonts w:cs="Arial"/>
                <w:bCs/>
                <w:i/>
                <w:szCs w:val="18"/>
              </w:rPr>
            </w:pPr>
            <w:r w:rsidRPr="0012370C">
              <w:rPr>
                <w:rFonts w:cs="Arial"/>
                <w:bCs/>
                <w:i/>
                <w:szCs w:val="18"/>
              </w:rPr>
              <w:t>Income support payment</w:t>
            </w:r>
          </w:p>
        </w:tc>
        <w:tc>
          <w:tcPr>
            <w:tcW w:w="992" w:type="dxa"/>
            <w:tcBorders>
              <w:top w:val="nil"/>
              <w:left w:val="nil"/>
              <w:bottom w:val="nil"/>
              <w:right w:val="nil"/>
            </w:tcBorders>
            <w:shd w:val="clear" w:color="auto" w:fill="auto"/>
            <w:vAlign w:val="bottom"/>
          </w:tcPr>
          <w:p w14:paraId="24035018" w14:textId="77777777" w:rsidR="00571749" w:rsidRPr="0012370C" w:rsidRDefault="00571749" w:rsidP="004235A4">
            <w:pPr>
              <w:pStyle w:val="TableBodyText"/>
              <w:ind w:left="-57" w:right="-142"/>
              <w:jc w:val="left"/>
              <w:rPr>
                <w:rFonts w:cs="Arial"/>
                <w:szCs w:val="18"/>
              </w:rPr>
            </w:pPr>
          </w:p>
        </w:tc>
        <w:tc>
          <w:tcPr>
            <w:tcW w:w="1134" w:type="dxa"/>
            <w:tcBorders>
              <w:top w:val="nil"/>
              <w:left w:val="nil"/>
              <w:bottom w:val="nil"/>
              <w:right w:val="nil"/>
            </w:tcBorders>
            <w:shd w:val="clear" w:color="auto" w:fill="auto"/>
            <w:vAlign w:val="bottom"/>
          </w:tcPr>
          <w:p w14:paraId="2E247FB6" w14:textId="77777777" w:rsidR="00571749" w:rsidRPr="0012370C" w:rsidRDefault="00571749" w:rsidP="004235A4">
            <w:pPr>
              <w:pStyle w:val="TableBodyText"/>
              <w:ind w:left="0" w:right="0"/>
              <w:rPr>
                <w:rFonts w:cs="Arial"/>
                <w:szCs w:val="18"/>
              </w:rPr>
            </w:pPr>
          </w:p>
        </w:tc>
        <w:tc>
          <w:tcPr>
            <w:tcW w:w="709" w:type="dxa"/>
            <w:tcBorders>
              <w:top w:val="nil"/>
              <w:left w:val="nil"/>
              <w:bottom w:val="nil"/>
              <w:right w:val="nil"/>
            </w:tcBorders>
            <w:shd w:val="clear" w:color="auto" w:fill="auto"/>
            <w:vAlign w:val="bottom"/>
          </w:tcPr>
          <w:p w14:paraId="49443E89" w14:textId="77777777" w:rsidR="00571749" w:rsidRPr="0012370C" w:rsidRDefault="00571749" w:rsidP="004235A4">
            <w:pPr>
              <w:pStyle w:val="TableBodyText"/>
              <w:ind w:left="0" w:right="0"/>
              <w:rPr>
                <w:rFonts w:cs="Arial"/>
                <w:szCs w:val="18"/>
              </w:rPr>
            </w:pPr>
          </w:p>
        </w:tc>
        <w:tc>
          <w:tcPr>
            <w:tcW w:w="992" w:type="dxa"/>
            <w:tcBorders>
              <w:top w:val="nil"/>
              <w:left w:val="nil"/>
              <w:bottom w:val="nil"/>
              <w:right w:val="nil"/>
            </w:tcBorders>
            <w:shd w:val="clear" w:color="auto" w:fill="auto"/>
            <w:vAlign w:val="bottom"/>
          </w:tcPr>
          <w:p w14:paraId="5A1FEA4E" w14:textId="77777777" w:rsidR="00571749" w:rsidRPr="0012370C" w:rsidRDefault="00571749" w:rsidP="004235A4">
            <w:pPr>
              <w:pStyle w:val="TableBodyText"/>
              <w:ind w:left="0" w:right="0"/>
              <w:rPr>
                <w:rFonts w:cs="Arial"/>
                <w:szCs w:val="18"/>
              </w:rPr>
            </w:pPr>
          </w:p>
        </w:tc>
        <w:tc>
          <w:tcPr>
            <w:tcW w:w="709" w:type="dxa"/>
            <w:tcBorders>
              <w:top w:val="nil"/>
              <w:left w:val="nil"/>
              <w:bottom w:val="nil"/>
              <w:right w:val="nil"/>
            </w:tcBorders>
            <w:shd w:val="clear" w:color="auto" w:fill="auto"/>
            <w:vAlign w:val="bottom"/>
          </w:tcPr>
          <w:p w14:paraId="156C98B1" w14:textId="77777777" w:rsidR="00571749" w:rsidRPr="0012370C" w:rsidRDefault="00571749" w:rsidP="004235A4">
            <w:pPr>
              <w:pStyle w:val="TableBodyText"/>
              <w:ind w:left="0" w:right="0"/>
              <w:rPr>
                <w:rFonts w:cs="Arial"/>
                <w:szCs w:val="18"/>
              </w:rPr>
            </w:pPr>
          </w:p>
        </w:tc>
        <w:tc>
          <w:tcPr>
            <w:tcW w:w="992" w:type="dxa"/>
            <w:tcBorders>
              <w:top w:val="nil"/>
              <w:left w:val="nil"/>
              <w:bottom w:val="nil"/>
              <w:right w:val="nil"/>
            </w:tcBorders>
            <w:shd w:val="clear" w:color="auto" w:fill="auto"/>
            <w:vAlign w:val="bottom"/>
          </w:tcPr>
          <w:p w14:paraId="022A766D" w14:textId="77777777" w:rsidR="00571749" w:rsidRPr="0012370C" w:rsidRDefault="00571749" w:rsidP="004235A4">
            <w:pPr>
              <w:pStyle w:val="TableBodyText"/>
              <w:ind w:left="0" w:right="0"/>
              <w:rPr>
                <w:rFonts w:cs="Arial"/>
                <w:szCs w:val="18"/>
              </w:rPr>
            </w:pPr>
          </w:p>
        </w:tc>
        <w:tc>
          <w:tcPr>
            <w:tcW w:w="567" w:type="dxa"/>
            <w:tcBorders>
              <w:top w:val="nil"/>
              <w:left w:val="nil"/>
              <w:bottom w:val="nil"/>
              <w:right w:val="nil"/>
            </w:tcBorders>
            <w:shd w:val="clear" w:color="auto" w:fill="auto"/>
            <w:vAlign w:val="bottom"/>
          </w:tcPr>
          <w:p w14:paraId="320DE8F3" w14:textId="77777777" w:rsidR="00571749" w:rsidRPr="00E53947" w:rsidRDefault="00571749" w:rsidP="00E53947">
            <w:pPr>
              <w:pStyle w:val="TableBodyText"/>
              <w:ind w:right="0"/>
              <w:jc w:val="left"/>
            </w:pPr>
          </w:p>
        </w:tc>
      </w:tr>
      <w:tr w:rsidR="00571749" w14:paraId="6A643F96" w14:textId="77777777" w:rsidTr="0043640F">
        <w:trPr>
          <w:cantSplit/>
          <w:trHeight w:val="20"/>
        </w:trPr>
        <w:tc>
          <w:tcPr>
            <w:tcW w:w="2672" w:type="dxa"/>
            <w:tcBorders>
              <w:top w:val="nil"/>
              <w:left w:val="nil"/>
              <w:bottom w:val="nil"/>
              <w:right w:val="nil"/>
            </w:tcBorders>
            <w:shd w:val="clear" w:color="auto" w:fill="auto"/>
            <w:vAlign w:val="bottom"/>
          </w:tcPr>
          <w:p w14:paraId="7165700F" w14:textId="77777777" w:rsidR="00571749" w:rsidRPr="0012370C" w:rsidRDefault="00571749" w:rsidP="004235A4">
            <w:pPr>
              <w:pStyle w:val="TableBodyText"/>
              <w:ind w:left="-57" w:right="0"/>
              <w:jc w:val="left"/>
              <w:rPr>
                <w:rFonts w:cs="Arial"/>
                <w:szCs w:val="18"/>
              </w:rPr>
            </w:pPr>
            <w:r>
              <w:rPr>
                <w:rFonts w:cs="Arial"/>
                <w:szCs w:val="18"/>
              </w:rPr>
              <w:t>  </w:t>
            </w:r>
            <w:r w:rsidRPr="0012370C">
              <w:rPr>
                <w:rFonts w:cs="Arial"/>
                <w:szCs w:val="18"/>
              </w:rPr>
              <w:t>Disability Support Pension</w:t>
            </w:r>
          </w:p>
        </w:tc>
        <w:tc>
          <w:tcPr>
            <w:tcW w:w="992" w:type="dxa"/>
            <w:tcBorders>
              <w:top w:val="nil"/>
              <w:left w:val="nil"/>
              <w:bottom w:val="nil"/>
              <w:right w:val="nil"/>
            </w:tcBorders>
            <w:shd w:val="clear" w:color="auto" w:fill="auto"/>
            <w:vAlign w:val="bottom"/>
          </w:tcPr>
          <w:p w14:paraId="5B88E456" w14:textId="77777777" w:rsidR="00571749" w:rsidRPr="0012370C" w:rsidRDefault="00571749" w:rsidP="004235A4">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2DAC9EDF"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32.0</w:t>
            </w:r>
          </w:p>
        </w:tc>
        <w:tc>
          <w:tcPr>
            <w:tcW w:w="709" w:type="dxa"/>
            <w:tcBorders>
              <w:top w:val="nil"/>
              <w:left w:val="nil"/>
              <w:bottom w:val="nil"/>
              <w:right w:val="nil"/>
            </w:tcBorders>
            <w:shd w:val="clear" w:color="auto" w:fill="auto"/>
            <w:vAlign w:val="bottom"/>
          </w:tcPr>
          <w:p w14:paraId="52578C81"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03B61340"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30.5</w:t>
            </w:r>
          </w:p>
        </w:tc>
        <w:tc>
          <w:tcPr>
            <w:tcW w:w="709" w:type="dxa"/>
            <w:tcBorders>
              <w:top w:val="nil"/>
              <w:left w:val="nil"/>
              <w:bottom w:val="nil"/>
              <w:right w:val="nil"/>
            </w:tcBorders>
            <w:shd w:val="clear" w:color="auto" w:fill="auto"/>
            <w:vAlign w:val="bottom"/>
          </w:tcPr>
          <w:p w14:paraId="7B0D1E51"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4150FFBD"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52.4</w:t>
            </w:r>
          </w:p>
        </w:tc>
        <w:tc>
          <w:tcPr>
            <w:tcW w:w="567" w:type="dxa"/>
            <w:tcBorders>
              <w:top w:val="nil"/>
              <w:left w:val="nil"/>
              <w:bottom w:val="nil"/>
              <w:right w:val="nil"/>
            </w:tcBorders>
            <w:shd w:val="clear" w:color="auto" w:fill="auto"/>
            <w:vAlign w:val="bottom"/>
          </w:tcPr>
          <w:p w14:paraId="5B6FC84E" w14:textId="77777777" w:rsidR="00571749" w:rsidRPr="00E53947" w:rsidRDefault="00571749" w:rsidP="00E53947">
            <w:pPr>
              <w:pStyle w:val="TableBodyText"/>
              <w:ind w:right="0"/>
              <w:jc w:val="left"/>
            </w:pPr>
          </w:p>
        </w:tc>
      </w:tr>
      <w:tr w:rsidR="00571749" w14:paraId="4BE730EB" w14:textId="77777777" w:rsidTr="0043640F">
        <w:trPr>
          <w:cantSplit/>
          <w:trHeight w:val="20"/>
        </w:trPr>
        <w:tc>
          <w:tcPr>
            <w:tcW w:w="2672" w:type="dxa"/>
            <w:tcBorders>
              <w:top w:val="nil"/>
              <w:left w:val="nil"/>
              <w:bottom w:val="nil"/>
              <w:right w:val="nil"/>
            </w:tcBorders>
            <w:shd w:val="clear" w:color="auto" w:fill="auto"/>
            <w:vAlign w:val="bottom"/>
          </w:tcPr>
          <w:p w14:paraId="22E842DF" w14:textId="77777777" w:rsidR="00571749" w:rsidRPr="0012370C" w:rsidRDefault="00571749" w:rsidP="004235A4">
            <w:pPr>
              <w:pStyle w:val="TableBodyText"/>
              <w:ind w:left="-57" w:right="0"/>
              <w:jc w:val="left"/>
              <w:rPr>
                <w:rFonts w:cs="Arial"/>
                <w:szCs w:val="18"/>
              </w:rPr>
            </w:pPr>
            <w:r>
              <w:rPr>
                <w:rFonts w:cs="Arial"/>
                <w:szCs w:val="18"/>
              </w:rPr>
              <w:t>  </w:t>
            </w:r>
            <w:r w:rsidRPr="0012370C">
              <w:rPr>
                <w:rFonts w:cs="Arial"/>
                <w:szCs w:val="18"/>
              </w:rPr>
              <w:t>Newstart Allowance</w:t>
            </w:r>
          </w:p>
        </w:tc>
        <w:tc>
          <w:tcPr>
            <w:tcW w:w="992" w:type="dxa"/>
            <w:tcBorders>
              <w:top w:val="nil"/>
              <w:left w:val="nil"/>
              <w:bottom w:val="nil"/>
              <w:right w:val="nil"/>
            </w:tcBorders>
            <w:shd w:val="clear" w:color="auto" w:fill="auto"/>
            <w:vAlign w:val="bottom"/>
          </w:tcPr>
          <w:p w14:paraId="435A35A2" w14:textId="77777777" w:rsidR="00571749" w:rsidRPr="0012370C" w:rsidRDefault="00571749" w:rsidP="004235A4">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76C872C5"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25.2</w:t>
            </w:r>
          </w:p>
        </w:tc>
        <w:tc>
          <w:tcPr>
            <w:tcW w:w="709" w:type="dxa"/>
            <w:tcBorders>
              <w:top w:val="nil"/>
              <w:left w:val="nil"/>
              <w:bottom w:val="nil"/>
              <w:right w:val="nil"/>
            </w:tcBorders>
            <w:shd w:val="clear" w:color="auto" w:fill="auto"/>
            <w:vAlign w:val="bottom"/>
          </w:tcPr>
          <w:p w14:paraId="02E7F77E"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180E3D12"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29.3</w:t>
            </w:r>
          </w:p>
        </w:tc>
        <w:tc>
          <w:tcPr>
            <w:tcW w:w="709" w:type="dxa"/>
            <w:tcBorders>
              <w:top w:val="nil"/>
              <w:left w:val="nil"/>
              <w:bottom w:val="nil"/>
              <w:right w:val="nil"/>
            </w:tcBorders>
            <w:shd w:val="clear" w:color="auto" w:fill="auto"/>
            <w:vAlign w:val="bottom"/>
          </w:tcPr>
          <w:p w14:paraId="75499A07"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23A7021E"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20.7</w:t>
            </w:r>
          </w:p>
        </w:tc>
        <w:tc>
          <w:tcPr>
            <w:tcW w:w="567" w:type="dxa"/>
            <w:tcBorders>
              <w:top w:val="nil"/>
              <w:left w:val="nil"/>
              <w:bottom w:val="nil"/>
              <w:right w:val="nil"/>
            </w:tcBorders>
            <w:shd w:val="clear" w:color="auto" w:fill="auto"/>
            <w:vAlign w:val="bottom"/>
          </w:tcPr>
          <w:p w14:paraId="5909113D" w14:textId="77777777" w:rsidR="00571749" w:rsidRPr="00E53947" w:rsidRDefault="00571749" w:rsidP="00E53947">
            <w:pPr>
              <w:pStyle w:val="TableBodyText"/>
              <w:ind w:right="0"/>
              <w:jc w:val="left"/>
            </w:pPr>
          </w:p>
        </w:tc>
      </w:tr>
      <w:tr w:rsidR="00571749" w14:paraId="295A6D3C" w14:textId="77777777" w:rsidTr="0043640F">
        <w:trPr>
          <w:cantSplit/>
          <w:trHeight w:val="20"/>
        </w:trPr>
        <w:tc>
          <w:tcPr>
            <w:tcW w:w="2672" w:type="dxa"/>
            <w:tcBorders>
              <w:top w:val="nil"/>
              <w:left w:val="nil"/>
              <w:bottom w:val="nil"/>
              <w:right w:val="nil"/>
            </w:tcBorders>
            <w:shd w:val="clear" w:color="auto" w:fill="auto"/>
            <w:vAlign w:val="bottom"/>
          </w:tcPr>
          <w:p w14:paraId="7F4C8674" w14:textId="77777777" w:rsidR="00571749" w:rsidRPr="0012370C" w:rsidRDefault="00571749" w:rsidP="004235A4">
            <w:pPr>
              <w:pStyle w:val="TableBodyText"/>
              <w:ind w:left="-57" w:right="0"/>
              <w:jc w:val="left"/>
              <w:rPr>
                <w:rFonts w:cs="Arial"/>
                <w:szCs w:val="18"/>
              </w:rPr>
            </w:pPr>
            <w:r>
              <w:rPr>
                <w:rFonts w:cs="Arial"/>
                <w:szCs w:val="18"/>
              </w:rPr>
              <w:t>  </w:t>
            </w:r>
            <w:r w:rsidRPr="0012370C">
              <w:rPr>
                <w:rFonts w:cs="Arial"/>
                <w:szCs w:val="18"/>
              </w:rPr>
              <w:t>Parenting Payment (Single)</w:t>
            </w:r>
          </w:p>
        </w:tc>
        <w:tc>
          <w:tcPr>
            <w:tcW w:w="992" w:type="dxa"/>
            <w:tcBorders>
              <w:top w:val="nil"/>
              <w:left w:val="nil"/>
              <w:bottom w:val="nil"/>
              <w:right w:val="nil"/>
            </w:tcBorders>
            <w:shd w:val="clear" w:color="auto" w:fill="auto"/>
            <w:vAlign w:val="bottom"/>
          </w:tcPr>
          <w:p w14:paraId="35CEFD3D" w14:textId="77777777" w:rsidR="00571749" w:rsidRPr="0012370C" w:rsidRDefault="00571749" w:rsidP="004235A4">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60D5D29E"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6.9</w:t>
            </w:r>
          </w:p>
        </w:tc>
        <w:tc>
          <w:tcPr>
            <w:tcW w:w="709" w:type="dxa"/>
            <w:tcBorders>
              <w:top w:val="nil"/>
              <w:left w:val="nil"/>
              <w:bottom w:val="nil"/>
              <w:right w:val="nil"/>
            </w:tcBorders>
            <w:shd w:val="clear" w:color="auto" w:fill="auto"/>
            <w:vAlign w:val="bottom"/>
          </w:tcPr>
          <w:p w14:paraId="05FDDFDA"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7781699C"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16.5</w:t>
            </w:r>
          </w:p>
        </w:tc>
        <w:tc>
          <w:tcPr>
            <w:tcW w:w="709" w:type="dxa"/>
            <w:tcBorders>
              <w:top w:val="nil"/>
              <w:left w:val="nil"/>
              <w:bottom w:val="nil"/>
              <w:right w:val="nil"/>
            </w:tcBorders>
            <w:shd w:val="clear" w:color="auto" w:fill="auto"/>
            <w:vAlign w:val="bottom"/>
          </w:tcPr>
          <w:p w14:paraId="3ABD8773"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14021156"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10.5</w:t>
            </w:r>
          </w:p>
        </w:tc>
        <w:tc>
          <w:tcPr>
            <w:tcW w:w="567" w:type="dxa"/>
            <w:tcBorders>
              <w:top w:val="nil"/>
              <w:left w:val="nil"/>
              <w:bottom w:val="nil"/>
              <w:right w:val="nil"/>
            </w:tcBorders>
            <w:shd w:val="clear" w:color="auto" w:fill="auto"/>
            <w:vAlign w:val="bottom"/>
          </w:tcPr>
          <w:p w14:paraId="2E5FB974" w14:textId="77777777" w:rsidR="00571749" w:rsidRPr="00E53947" w:rsidRDefault="00571749" w:rsidP="00E53947">
            <w:pPr>
              <w:pStyle w:val="TableBodyText"/>
              <w:ind w:right="0"/>
              <w:jc w:val="left"/>
            </w:pPr>
          </w:p>
        </w:tc>
      </w:tr>
      <w:tr w:rsidR="00571749" w14:paraId="79BE015A" w14:textId="77777777" w:rsidTr="0043640F">
        <w:trPr>
          <w:cantSplit/>
          <w:trHeight w:val="20"/>
        </w:trPr>
        <w:tc>
          <w:tcPr>
            <w:tcW w:w="2672" w:type="dxa"/>
            <w:tcBorders>
              <w:top w:val="nil"/>
              <w:left w:val="nil"/>
              <w:bottom w:val="nil"/>
              <w:right w:val="nil"/>
            </w:tcBorders>
            <w:shd w:val="clear" w:color="auto" w:fill="auto"/>
            <w:vAlign w:val="bottom"/>
          </w:tcPr>
          <w:p w14:paraId="0D1D6553" w14:textId="77777777" w:rsidR="00571749" w:rsidRPr="0012370C" w:rsidRDefault="00571749" w:rsidP="00A71B88">
            <w:pPr>
              <w:pStyle w:val="TableBodyText"/>
              <w:ind w:left="113" w:right="0" w:hanging="170"/>
              <w:jc w:val="left"/>
              <w:rPr>
                <w:rFonts w:cs="Arial"/>
                <w:szCs w:val="18"/>
              </w:rPr>
            </w:pPr>
            <w:r>
              <w:rPr>
                <w:rFonts w:cs="Arial"/>
                <w:szCs w:val="18"/>
              </w:rPr>
              <w:t>  </w:t>
            </w:r>
            <w:r w:rsidR="00A71B88">
              <w:rPr>
                <w:rFonts w:cs="Arial"/>
                <w:szCs w:val="18"/>
              </w:rPr>
              <w:t xml:space="preserve">Parenting Payment </w:t>
            </w:r>
            <w:r w:rsidRPr="0012370C">
              <w:rPr>
                <w:rFonts w:cs="Arial"/>
                <w:szCs w:val="18"/>
              </w:rPr>
              <w:t>(Partnered)</w:t>
            </w:r>
          </w:p>
        </w:tc>
        <w:tc>
          <w:tcPr>
            <w:tcW w:w="992" w:type="dxa"/>
            <w:tcBorders>
              <w:top w:val="nil"/>
              <w:left w:val="nil"/>
              <w:bottom w:val="nil"/>
              <w:right w:val="nil"/>
            </w:tcBorders>
            <w:shd w:val="clear" w:color="auto" w:fill="auto"/>
            <w:vAlign w:val="bottom"/>
          </w:tcPr>
          <w:p w14:paraId="3BC4E26A" w14:textId="77777777" w:rsidR="00571749" w:rsidRPr="0012370C" w:rsidRDefault="00571749" w:rsidP="004235A4">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0B2EDE5E"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3.5</w:t>
            </w:r>
          </w:p>
        </w:tc>
        <w:tc>
          <w:tcPr>
            <w:tcW w:w="709" w:type="dxa"/>
            <w:tcBorders>
              <w:top w:val="nil"/>
              <w:left w:val="nil"/>
              <w:bottom w:val="nil"/>
              <w:right w:val="nil"/>
            </w:tcBorders>
            <w:shd w:val="clear" w:color="auto" w:fill="auto"/>
            <w:vAlign w:val="bottom"/>
          </w:tcPr>
          <w:p w14:paraId="2015782B"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72AFD00D"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5.3</w:t>
            </w:r>
          </w:p>
        </w:tc>
        <w:tc>
          <w:tcPr>
            <w:tcW w:w="709" w:type="dxa"/>
            <w:tcBorders>
              <w:top w:val="nil"/>
              <w:left w:val="nil"/>
              <w:bottom w:val="nil"/>
              <w:right w:val="nil"/>
            </w:tcBorders>
            <w:shd w:val="clear" w:color="auto" w:fill="auto"/>
            <w:vAlign w:val="bottom"/>
          </w:tcPr>
          <w:p w14:paraId="5DCD7908"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2EA920EB"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2.6</w:t>
            </w:r>
          </w:p>
        </w:tc>
        <w:tc>
          <w:tcPr>
            <w:tcW w:w="567" w:type="dxa"/>
            <w:tcBorders>
              <w:top w:val="nil"/>
              <w:left w:val="nil"/>
              <w:bottom w:val="nil"/>
              <w:right w:val="nil"/>
            </w:tcBorders>
            <w:shd w:val="clear" w:color="auto" w:fill="auto"/>
            <w:vAlign w:val="bottom"/>
          </w:tcPr>
          <w:p w14:paraId="29609843" w14:textId="77777777" w:rsidR="00571749" w:rsidRPr="00E53947" w:rsidRDefault="00571749" w:rsidP="00E53947">
            <w:pPr>
              <w:pStyle w:val="TableBodyText"/>
              <w:ind w:right="0"/>
              <w:jc w:val="left"/>
            </w:pPr>
          </w:p>
        </w:tc>
      </w:tr>
      <w:tr w:rsidR="00571749" w14:paraId="77182900" w14:textId="77777777" w:rsidTr="0043640F">
        <w:trPr>
          <w:cantSplit/>
          <w:trHeight w:val="20"/>
        </w:trPr>
        <w:tc>
          <w:tcPr>
            <w:tcW w:w="2672" w:type="dxa"/>
            <w:tcBorders>
              <w:top w:val="nil"/>
              <w:left w:val="nil"/>
              <w:bottom w:val="nil"/>
              <w:right w:val="nil"/>
            </w:tcBorders>
            <w:shd w:val="clear" w:color="auto" w:fill="auto"/>
            <w:vAlign w:val="bottom"/>
          </w:tcPr>
          <w:p w14:paraId="0946D0AF" w14:textId="77777777" w:rsidR="00571749" w:rsidRPr="0012370C" w:rsidRDefault="00571749" w:rsidP="004235A4">
            <w:pPr>
              <w:pStyle w:val="TableBodyText"/>
              <w:ind w:left="-57" w:right="0"/>
              <w:jc w:val="left"/>
              <w:rPr>
                <w:rFonts w:cs="Arial"/>
                <w:szCs w:val="18"/>
              </w:rPr>
            </w:pPr>
            <w:r>
              <w:rPr>
                <w:rFonts w:cs="Arial"/>
                <w:szCs w:val="18"/>
              </w:rPr>
              <w:t>  </w:t>
            </w:r>
            <w:r w:rsidRPr="0012370C">
              <w:rPr>
                <w:rFonts w:cs="Arial"/>
                <w:szCs w:val="18"/>
              </w:rPr>
              <w:t>Youth Allowance (Student)</w:t>
            </w:r>
          </w:p>
        </w:tc>
        <w:tc>
          <w:tcPr>
            <w:tcW w:w="992" w:type="dxa"/>
            <w:tcBorders>
              <w:top w:val="nil"/>
              <w:left w:val="nil"/>
              <w:bottom w:val="nil"/>
              <w:right w:val="nil"/>
            </w:tcBorders>
            <w:shd w:val="clear" w:color="auto" w:fill="auto"/>
            <w:vAlign w:val="bottom"/>
          </w:tcPr>
          <w:p w14:paraId="7CC08E21" w14:textId="77777777" w:rsidR="00571749" w:rsidRPr="0012370C" w:rsidRDefault="00571749" w:rsidP="004235A4">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02198FEA"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11.3</w:t>
            </w:r>
          </w:p>
        </w:tc>
        <w:tc>
          <w:tcPr>
            <w:tcW w:w="709" w:type="dxa"/>
            <w:tcBorders>
              <w:top w:val="nil"/>
              <w:left w:val="nil"/>
              <w:bottom w:val="nil"/>
              <w:right w:val="nil"/>
            </w:tcBorders>
            <w:shd w:val="clear" w:color="auto" w:fill="auto"/>
            <w:vAlign w:val="bottom"/>
          </w:tcPr>
          <w:p w14:paraId="29B2A44E"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455602D4"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6.1</w:t>
            </w:r>
          </w:p>
        </w:tc>
        <w:tc>
          <w:tcPr>
            <w:tcW w:w="709" w:type="dxa"/>
            <w:tcBorders>
              <w:top w:val="nil"/>
              <w:left w:val="nil"/>
              <w:bottom w:val="nil"/>
              <w:right w:val="nil"/>
            </w:tcBorders>
            <w:shd w:val="clear" w:color="auto" w:fill="auto"/>
            <w:vAlign w:val="bottom"/>
          </w:tcPr>
          <w:p w14:paraId="0FB75C3B"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0859F56A"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0.2</w:t>
            </w:r>
          </w:p>
        </w:tc>
        <w:tc>
          <w:tcPr>
            <w:tcW w:w="567" w:type="dxa"/>
            <w:tcBorders>
              <w:top w:val="nil"/>
              <w:left w:val="nil"/>
              <w:bottom w:val="nil"/>
              <w:right w:val="nil"/>
            </w:tcBorders>
            <w:shd w:val="clear" w:color="auto" w:fill="auto"/>
            <w:vAlign w:val="bottom"/>
          </w:tcPr>
          <w:p w14:paraId="7E289CE6" w14:textId="77777777" w:rsidR="00571749" w:rsidRPr="00E53947" w:rsidRDefault="00571749" w:rsidP="00E53947">
            <w:pPr>
              <w:pStyle w:val="TableBodyText"/>
              <w:ind w:right="0"/>
              <w:jc w:val="left"/>
            </w:pPr>
          </w:p>
        </w:tc>
      </w:tr>
      <w:tr w:rsidR="00571749" w14:paraId="6394368E" w14:textId="77777777" w:rsidTr="0043640F">
        <w:trPr>
          <w:cantSplit/>
          <w:trHeight w:val="20"/>
        </w:trPr>
        <w:tc>
          <w:tcPr>
            <w:tcW w:w="2672" w:type="dxa"/>
            <w:tcBorders>
              <w:top w:val="nil"/>
              <w:left w:val="nil"/>
              <w:bottom w:val="nil"/>
              <w:right w:val="nil"/>
            </w:tcBorders>
            <w:shd w:val="clear" w:color="auto" w:fill="auto"/>
            <w:vAlign w:val="bottom"/>
          </w:tcPr>
          <w:p w14:paraId="74E9D22B" w14:textId="77777777" w:rsidR="00571749" w:rsidRPr="0012370C" w:rsidRDefault="00571749" w:rsidP="004235A4">
            <w:pPr>
              <w:pStyle w:val="TableBodyText"/>
              <w:ind w:left="-57" w:right="0"/>
              <w:jc w:val="left"/>
              <w:rPr>
                <w:rFonts w:cs="Arial"/>
                <w:szCs w:val="18"/>
              </w:rPr>
            </w:pPr>
            <w:r>
              <w:rPr>
                <w:rFonts w:cs="Arial"/>
                <w:szCs w:val="18"/>
              </w:rPr>
              <w:t>  </w:t>
            </w:r>
            <w:r w:rsidRPr="0012370C">
              <w:rPr>
                <w:rFonts w:cs="Arial"/>
                <w:szCs w:val="18"/>
              </w:rPr>
              <w:t>Youth Allowance (Jobseeker)</w:t>
            </w:r>
          </w:p>
        </w:tc>
        <w:tc>
          <w:tcPr>
            <w:tcW w:w="992" w:type="dxa"/>
            <w:tcBorders>
              <w:top w:val="nil"/>
              <w:left w:val="nil"/>
              <w:bottom w:val="nil"/>
              <w:right w:val="nil"/>
            </w:tcBorders>
            <w:shd w:val="clear" w:color="auto" w:fill="auto"/>
            <w:vAlign w:val="bottom"/>
          </w:tcPr>
          <w:p w14:paraId="4930AE7C" w14:textId="77777777" w:rsidR="00571749" w:rsidRPr="0012370C" w:rsidRDefault="00571749" w:rsidP="004235A4">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6BA2B66B"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6.7</w:t>
            </w:r>
          </w:p>
        </w:tc>
        <w:tc>
          <w:tcPr>
            <w:tcW w:w="709" w:type="dxa"/>
            <w:tcBorders>
              <w:top w:val="nil"/>
              <w:left w:val="nil"/>
              <w:bottom w:val="nil"/>
              <w:right w:val="nil"/>
            </w:tcBorders>
            <w:shd w:val="clear" w:color="auto" w:fill="auto"/>
            <w:vAlign w:val="bottom"/>
          </w:tcPr>
          <w:p w14:paraId="5C3D0BDF"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2CFD6485"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1.9</w:t>
            </w:r>
          </w:p>
        </w:tc>
        <w:tc>
          <w:tcPr>
            <w:tcW w:w="709" w:type="dxa"/>
            <w:tcBorders>
              <w:top w:val="nil"/>
              <w:left w:val="nil"/>
              <w:bottom w:val="nil"/>
              <w:right w:val="nil"/>
            </w:tcBorders>
            <w:shd w:val="clear" w:color="auto" w:fill="auto"/>
            <w:vAlign w:val="bottom"/>
          </w:tcPr>
          <w:p w14:paraId="10061B7C"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55591D5E"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0.6</w:t>
            </w:r>
          </w:p>
        </w:tc>
        <w:tc>
          <w:tcPr>
            <w:tcW w:w="567" w:type="dxa"/>
            <w:tcBorders>
              <w:top w:val="nil"/>
              <w:left w:val="nil"/>
              <w:bottom w:val="nil"/>
              <w:right w:val="nil"/>
            </w:tcBorders>
            <w:shd w:val="clear" w:color="auto" w:fill="auto"/>
            <w:vAlign w:val="bottom"/>
          </w:tcPr>
          <w:p w14:paraId="56C87743" w14:textId="77777777" w:rsidR="00571749" w:rsidRPr="00E53947" w:rsidRDefault="00571749" w:rsidP="00E53947">
            <w:pPr>
              <w:pStyle w:val="TableBodyText"/>
              <w:ind w:right="0"/>
              <w:jc w:val="left"/>
            </w:pPr>
          </w:p>
        </w:tc>
      </w:tr>
      <w:tr w:rsidR="00571749" w14:paraId="59967C5B" w14:textId="77777777" w:rsidTr="0043640F">
        <w:trPr>
          <w:cantSplit/>
          <w:trHeight w:val="20"/>
        </w:trPr>
        <w:tc>
          <w:tcPr>
            <w:tcW w:w="2672" w:type="dxa"/>
            <w:tcBorders>
              <w:top w:val="nil"/>
              <w:left w:val="nil"/>
              <w:bottom w:val="nil"/>
              <w:right w:val="nil"/>
            </w:tcBorders>
            <w:shd w:val="clear" w:color="auto" w:fill="auto"/>
            <w:vAlign w:val="bottom"/>
          </w:tcPr>
          <w:p w14:paraId="47FDD108" w14:textId="77777777" w:rsidR="00571749" w:rsidRPr="0012370C" w:rsidRDefault="00571749" w:rsidP="004235A4">
            <w:pPr>
              <w:pStyle w:val="TableBodyText"/>
              <w:ind w:left="-57" w:right="0"/>
              <w:jc w:val="left"/>
              <w:rPr>
                <w:rFonts w:cs="Arial"/>
                <w:szCs w:val="18"/>
              </w:rPr>
            </w:pPr>
            <w:r>
              <w:rPr>
                <w:rFonts w:cs="Arial"/>
                <w:szCs w:val="18"/>
              </w:rPr>
              <w:t>  </w:t>
            </w:r>
            <w:r w:rsidR="00B71022">
              <w:rPr>
                <w:rFonts w:cs="Arial"/>
                <w:szCs w:val="18"/>
              </w:rPr>
              <w:t>Carer</w:t>
            </w:r>
            <w:r w:rsidRPr="0012370C">
              <w:rPr>
                <w:rFonts w:cs="Arial"/>
                <w:szCs w:val="18"/>
              </w:rPr>
              <w:t>s Payment</w:t>
            </w:r>
          </w:p>
        </w:tc>
        <w:tc>
          <w:tcPr>
            <w:tcW w:w="992" w:type="dxa"/>
            <w:tcBorders>
              <w:top w:val="nil"/>
              <w:left w:val="nil"/>
              <w:bottom w:val="nil"/>
              <w:right w:val="nil"/>
            </w:tcBorders>
            <w:shd w:val="clear" w:color="auto" w:fill="auto"/>
            <w:vAlign w:val="bottom"/>
          </w:tcPr>
          <w:p w14:paraId="6F490BE0" w14:textId="77777777" w:rsidR="00571749" w:rsidRPr="0012370C" w:rsidRDefault="00571749" w:rsidP="004235A4">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605986C3"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9.3</w:t>
            </w:r>
          </w:p>
        </w:tc>
        <w:tc>
          <w:tcPr>
            <w:tcW w:w="709" w:type="dxa"/>
            <w:tcBorders>
              <w:top w:val="nil"/>
              <w:left w:val="nil"/>
              <w:bottom w:val="nil"/>
              <w:right w:val="nil"/>
            </w:tcBorders>
            <w:shd w:val="clear" w:color="auto" w:fill="auto"/>
            <w:vAlign w:val="bottom"/>
          </w:tcPr>
          <w:p w14:paraId="6593C061"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70482566"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6.6</w:t>
            </w:r>
          </w:p>
        </w:tc>
        <w:tc>
          <w:tcPr>
            <w:tcW w:w="709" w:type="dxa"/>
            <w:tcBorders>
              <w:top w:val="nil"/>
              <w:left w:val="nil"/>
              <w:bottom w:val="nil"/>
              <w:right w:val="nil"/>
            </w:tcBorders>
            <w:shd w:val="clear" w:color="auto" w:fill="auto"/>
            <w:vAlign w:val="bottom"/>
          </w:tcPr>
          <w:p w14:paraId="1ACFA3EE"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2AD0AE44"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10.1</w:t>
            </w:r>
          </w:p>
        </w:tc>
        <w:tc>
          <w:tcPr>
            <w:tcW w:w="567" w:type="dxa"/>
            <w:tcBorders>
              <w:top w:val="nil"/>
              <w:left w:val="nil"/>
              <w:bottom w:val="nil"/>
              <w:right w:val="nil"/>
            </w:tcBorders>
            <w:shd w:val="clear" w:color="auto" w:fill="auto"/>
            <w:vAlign w:val="bottom"/>
          </w:tcPr>
          <w:p w14:paraId="22BA2126" w14:textId="77777777" w:rsidR="00571749" w:rsidRPr="00E53947" w:rsidRDefault="00571749" w:rsidP="00E53947">
            <w:pPr>
              <w:pStyle w:val="TableBodyText"/>
              <w:ind w:right="0"/>
              <w:jc w:val="left"/>
            </w:pPr>
          </w:p>
        </w:tc>
      </w:tr>
      <w:tr w:rsidR="00571749" w14:paraId="6B2A17A1" w14:textId="77777777" w:rsidTr="0043640F">
        <w:trPr>
          <w:cantSplit/>
          <w:trHeight w:val="20"/>
        </w:trPr>
        <w:tc>
          <w:tcPr>
            <w:tcW w:w="2672" w:type="dxa"/>
            <w:tcBorders>
              <w:top w:val="nil"/>
              <w:left w:val="nil"/>
              <w:bottom w:val="nil"/>
              <w:right w:val="nil"/>
            </w:tcBorders>
            <w:shd w:val="clear" w:color="auto" w:fill="auto"/>
            <w:vAlign w:val="bottom"/>
          </w:tcPr>
          <w:p w14:paraId="7D2D88D2" w14:textId="77777777" w:rsidR="00571749" w:rsidRPr="0012370C" w:rsidRDefault="00571749" w:rsidP="004235A4">
            <w:pPr>
              <w:pStyle w:val="TableBodyText"/>
              <w:ind w:left="-57" w:right="0"/>
              <w:jc w:val="left"/>
              <w:rPr>
                <w:rFonts w:cs="Arial"/>
                <w:szCs w:val="18"/>
              </w:rPr>
            </w:pPr>
            <w:r>
              <w:rPr>
                <w:rFonts w:cs="Arial"/>
                <w:szCs w:val="18"/>
              </w:rPr>
              <w:t>  </w:t>
            </w:r>
            <w:r w:rsidRPr="0012370C">
              <w:rPr>
                <w:rFonts w:cs="Arial"/>
                <w:szCs w:val="18"/>
              </w:rPr>
              <w:t>Other</w:t>
            </w:r>
            <w:r w:rsidR="006209FB">
              <w:rPr>
                <w:rStyle w:val="NoteLabel"/>
                <w:rFonts w:cs="Arial"/>
                <w:szCs w:val="18"/>
              </w:rPr>
              <w:t>c</w:t>
            </w:r>
          </w:p>
        </w:tc>
        <w:tc>
          <w:tcPr>
            <w:tcW w:w="992" w:type="dxa"/>
            <w:tcBorders>
              <w:top w:val="nil"/>
              <w:left w:val="nil"/>
              <w:bottom w:val="nil"/>
              <w:right w:val="nil"/>
            </w:tcBorders>
            <w:shd w:val="clear" w:color="auto" w:fill="auto"/>
            <w:vAlign w:val="bottom"/>
          </w:tcPr>
          <w:p w14:paraId="56E6D15B" w14:textId="77777777" w:rsidR="00571749" w:rsidRPr="0012370C" w:rsidRDefault="00571749" w:rsidP="004235A4">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6FFA6DA4"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5.0</w:t>
            </w:r>
          </w:p>
        </w:tc>
        <w:tc>
          <w:tcPr>
            <w:tcW w:w="709" w:type="dxa"/>
            <w:tcBorders>
              <w:top w:val="nil"/>
              <w:left w:val="nil"/>
              <w:bottom w:val="nil"/>
              <w:right w:val="nil"/>
            </w:tcBorders>
            <w:shd w:val="clear" w:color="auto" w:fill="auto"/>
            <w:vAlign w:val="bottom"/>
          </w:tcPr>
          <w:p w14:paraId="754D27C2"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2BFB2EFF"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3.8</w:t>
            </w:r>
          </w:p>
        </w:tc>
        <w:tc>
          <w:tcPr>
            <w:tcW w:w="709" w:type="dxa"/>
            <w:tcBorders>
              <w:top w:val="nil"/>
              <w:left w:val="nil"/>
              <w:bottom w:val="nil"/>
              <w:right w:val="nil"/>
            </w:tcBorders>
            <w:shd w:val="clear" w:color="auto" w:fill="auto"/>
            <w:vAlign w:val="bottom"/>
          </w:tcPr>
          <w:p w14:paraId="5E46A74E" w14:textId="77777777" w:rsidR="00571749" w:rsidRPr="0012370C" w:rsidRDefault="00571749" w:rsidP="004235A4">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578D3DCA" w14:textId="77777777" w:rsidR="00571749" w:rsidRPr="0012370C" w:rsidRDefault="00571749" w:rsidP="004235A4">
            <w:pPr>
              <w:jc w:val="right"/>
              <w:rPr>
                <w:rFonts w:ascii="Arial" w:hAnsi="Arial" w:cs="Arial"/>
                <w:color w:val="000000"/>
                <w:sz w:val="18"/>
                <w:szCs w:val="18"/>
              </w:rPr>
            </w:pPr>
            <w:r w:rsidRPr="0012370C">
              <w:rPr>
                <w:rFonts w:ascii="Arial" w:hAnsi="Arial" w:cs="Arial"/>
                <w:color w:val="000000"/>
                <w:sz w:val="18"/>
                <w:szCs w:val="18"/>
              </w:rPr>
              <w:t>2.9</w:t>
            </w:r>
          </w:p>
        </w:tc>
        <w:tc>
          <w:tcPr>
            <w:tcW w:w="567" w:type="dxa"/>
            <w:tcBorders>
              <w:top w:val="nil"/>
              <w:left w:val="nil"/>
              <w:bottom w:val="nil"/>
              <w:right w:val="nil"/>
            </w:tcBorders>
            <w:shd w:val="clear" w:color="auto" w:fill="auto"/>
            <w:vAlign w:val="bottom"/>
          </w:tcPr>
          <w:p w14:paraId="60886225" w14:textId="77777777" w:rsidR="00571749" w:rsidRPr="00E53947" w:rsidRDefault="00571749" w:rsidP="00E53947">
            <w:pPr>
              <w:pStyle w:val="TableBodyText"/>
              <w:ind w:right="0"/>
              <w:jc w:val="left"/>
            </w:pPr>
          </w:p>
        </w:tc>
      </w:tr>
      <w:tr w:rsidR="00571749" w14:paraId="2CE40734" w14:textId="77777777" w:rsidTr="004235A4">
        <w:trPr>
          <w:cantSplit/>
        </w:trPr>
        <w:tc>
          <w:tcPr>
            <w:tcW w:w="8767" w:type="dxa"/>
            <w:gridSpan w:val="8"/>
            <w:tcBorders>
              <w:top w:val="single" w:sz="4" w:space="0" w:color="BFBFBF"/>
              <w:left w:val="nil"/>
              <w:bottom w:val="nil"/>
              <w:right w:val="nil"/>
            </w:tcBorders>
            <w:shd w:val="clear" w:color="auto" w:fill="auto"/>
          </w:tcPr>
          <w:p w14:paraId="34DD67CE" w14:textId="114DCD40" w:rsidR="00571749" w:rsidRPr="00C62F32" w:rsidRDefault="00504562" w:rsidP="00C62F32">
            <w:pPr>
              <w:pStyle w:val="Continued"/>
            </w:pPr>
            <w:r w:rsidRPr="00C62F32">
              <w:rPr>
                <w:rStyle w:val="NoteLabel"/>
                <w:b w:val="0"/>
                <w:position w:val="0"/>
              </w:rPr>
              <w:t>(C</w:t>
            </w:r>
            <w:r w:rsidR="00571749" w:rsidRPr="00C62F32">
              <w:rPr>
                <w:rStyle w:val="NoteLabel"/>
                <w:b w:val="0"/>
                <w:position w:val="0"/>
              </w:rPr>
              <w:t>ontinued next page)</w:t>
            </w:r>
          </w:p>
        </w:tc>
      </w:tr>
      <w:tr w:rsidR="00571749" w14:paraId="51D91A41" w14:textId="77777777" w:rsidTr="004235A4">
        <w:trPr>
          <w:cantSplit/>
        </w:trPr>
        <w:tc>
          <w:tcPr>
            <w:tcW w:w="8767" w:type="dxa"/>
            <w:gridSpan w:val="8"/>
            <w:tcBorders>
              <w:top w:val="nil"/>
              <w:left w:val="nil"/>
              <w:bottom w:val="single" w:sz="6" w:space="0" w:color="78A22F"/>
              <w:right w:val="nil"/>
            </w:tcBorders>
            <w:shd w:val="clear" w:color="auto" w:fill="auto"/>
          </w:tcPr>
          <w:p w14:paraId="42F526AA" w14:textId="77777777" w:rsidR="00571749" w:rsidRDefault="00571749" w:rsidP="004235A4">
            <w:pPr>
              <w:pStyle w:val="Box"/>
              <w:spacing w:before="0" w:line="120" w:lineRule="exact"/>
            </w:pPr>
          </w:p>
        </w:tc>
      </w:tr>
      <w:tr w:rsidR="00571749" w:rsidRPr="000863A5" w14:paraId="3E5059B8" w14:textId="77777777" w:rsidTr="004235A4">
        <w:tc>
          <w:tcPr>
            <w:tcW w:w="8767" w:type="dxa"/>
            <w:gridSpan w:val="8"/>
            <w:tcBorders>
              <w:top w:val="single" w:sz="6" w:space="0" w:color="78A22F"/>
              <w:left w:val="nil"/>
              <w:bottom w:val="nil"/>
              <w:right w:val="nil"/>
            </w:tcBorders>
          </w:tcPr>
          <w:p w14:paraId="10D108EE" w14:textId="7B29C619" w:rsidR="00571749" w:rsidRPr="00626D32" w:rsidRDefault="00571749" w:rsidP="004235A4">
            <w:pPr>
              <w:pStyle w:val="BoxSpaceBelow"/>
            </w:pPr>
          </w:p>
        </w:tc>
      </w:tr>
    </w:tbl>
    <w:p w14:paraId="2B8EB7B8" w14:textId="2F8A91D3" w:rsidR="00571749" w:rsidRDefault="00571749" w:rsidP="0057174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2672"/>
        <w:gridCol w:w="992"/>
        <w:gridCol w:w="1134"/>
        <w:gridCol w:w="709"/>
        <w:gridCol w:w="992"/>
        <w:gridCol w:w="709"/>
        <w:gridCol w:w="850"/>
        <w:gridCol w:w="709"/>
      </w:tblGrid>
      <w:tr w:rsidR="00571749" w14:paraId="0FE4CED2" w14:textId="77777777" w:rsidTr="004235A4">
        <w:tc>
          <w:tcPr>
            <w:tcW w:w="8767" w:type="dxa"/>
            <w:gridSpan w:val="8"/>
            <w:tcBorders>
              <w:top w:val="single" w:sz="6" w:space="0" w:color="78A22F"/>
              <w:left w:val="nil"/>
              <w:bottom w:val="single" w:sz="4" w:space="0" w:color="BFBFBF"/>
              <w:right w:val="nil"/>
            </w:tcBorders>
            <w:shd w:val="clear" w:color="auto" w:fill="auto"/>
          </w:tcPr>
          <w:p w14:paraId="1D2AD973" w14:textId="20589CB8" w:rsidR="00571749" w:rsidRPr="00784A05" w:rsidRDefault="00571749" w:rsidP="004235A4">
            <w:pPr>
              <w:pStyle w:val="TableTitle"/>
              <w:rPr>
                <w:i/>
              </w:rPr>
            </w:pPr>
            <w:r>
              <w:rPr>
                <w:b w:val="0"/>
              </w:rPr>
              <w:t>Table</w:t>
            </w:r>
            <w:r w:rsidRPr="00C64A44">
              <w:rPr>
                <w:b w:val="0"/>
              </w:rPr>
              <w:t xml:space="preserve"> </w:t>
            </w:r>
            <w:r w:rsidRPr="00E41D8D">
              <w:rPr>
                <w:b w:val="0"/>
              </w:rPr>
              <w:t>3</w:t>
            </w:r>
            <w:r>
              <w:tab/>
            </w:r>
            <w:r w:rsidRPr="00E41D8D">
              <w:rPr>
                <w:b w:val="0"/>
                <w:sz w:val="18"/>
                <w:szCs w:val="18"/>
              </w:rPr>
              <w:t>(continued)</w:t>
            </w:r>
          </w:p>
        </w:tc>
      </w:tr>
      <w:tr w:rsidR="00571749" w14:paraId="24D1D860" w14:textId="77777777" w:rsidTr="004235A4">
        <w:trPr>
          <w:cantSplit/>
          <w:trHeight w:val="32"/>
        </w:trPr>
        <w:tc>
          <w:tcPr>
            <w:tcW w:w="2672" w:type="dxa"/>
            <w:tcBorders>
              <w:top w:val="single" w:sz="4" w:space="0" w:color="BFBFBF"/>
              <w:left w:val="nil"/>
              <w:bottom w:val="nil"/>
              <w:right w:val="nil"/>
            </w:tcBorders>
            <w:shd w:val="clear" w:color="auto" w:fill="auto"/>
          </w:tcPr>
          <w:p w14:paraId="57DF110D" w14:textId="77777777" w:rsidR="00571749" w:rsidRPr="00595FBF" w:rsidRDefault="00571749" w:rsidP="004235A4">
            <w:pPr>
              <w:pStyle w:val="TableColumnHeading"/>
              <w:ind w:left="-57" w:right="0"/>
            </w:pPr>
          </w:p>
        </w:tc>
        <w:tc>
          <w:tcPr>
            <w:tcW w:w="992" w:type="dxa"/>
            <w:tcBorders>
              <w:top w:val="single" w:sz="4" w:space="0" w:color="BFBFBF"/>
              <w:left w:val="nil"/>
              <w:bottom w:val="nil"/>
              <w:right w:val="nil"/>
            </w:tcBorders>
            <w:shd w:val="clear" w:color="auto" w:fill="auto"/>
          </w:tcPr>
          <w:p w14:paraId="239DF37F" w14:textId="77777777" w:rsidR="00571749" w:rsidRPr="00595FBF" w:rsidRDefault="00571749" w:rsidP="004235A4">
            <w:pPr>
              <w:pStyle w:val="TableColumnHeading"/>
              <w:ind w:left="-57" w:right="0"/>
            </w:pPr>
          </w:p>
        </w:tc>
        <w:tc>
          <w:tcPr>
            <w:tcW w:w="1843" w:type="dxa"/>
            <w:gridSpan w:val="2"/>
            <w:tcBorders>
              <w:top w:val="single" w:sz="4" w:space="0" w:color="BFBFBF"/>
              <w:left w:val="nil"/>
              <w:bottom w:val="nil"/>
              <w:right w:val="nil"/>
            </w:tcBorders>
            <w:shd w:val="clear" w:color="auto" w:fill="auto"/>
          </w:tcPr>
          <w:p w14:paraId="7D930575" w14:textId="77777777" w:rsidR="00571749" w:rsidRPr="00595FBF" w:rsidRDefault="00571749" w:rsidP="004235A4">
            <w:pPr>
              <w:pStyle w:val="TableColumnHeading"/>
              <w:ind w:left="-113" w:right="0"/>
            </w:pPr>
            <w:r w:rsidRPr="00595FBF">
              <w:t>No housing assistance</w:t>
            </w:r>
          </w:p>
        </w:tc>
        <w:tc>
          <w:tcPr>
            <w:tcW w:w="1701" w:type="dxa"/>
            <w:gridSpan w:val="2"/>
            <w:tcBorders>
              <w:top w:val="single" w:sz="4" w:space="0" w:color="BFBFBF"/>
              <w:left w:val="nil"/>
              <w:bottom w:val="nil"/>
              <w:right w:val="nil"/>
            </w:tcBorders>
            <w:shd w:val="clear" w:color="auto" w:fill="auto"/>
          </w:tcPr>
          <w:p w14:paraId="0C454DCC" w14:textId="77777777" w:rsidR="00571749" w:rsidRPr="00595FBF" w:rsidRDefault="00571749" w:rsidP="004235A4">
            <w:pPr>
              <w:pStyle w:val="TableColumnHeading"/>
              <w:ind w:left="0" w:right="0"/>
            </w:pPr>
            <w:r>
              <w:t>Commonwealth Rent Assistance</w:t>
            </w:r>
          </w:p>
        </w:tc>
        <w:tc>
          <w:tcPr>
            <w:tcW w:w="1559" w:type="dxa"/>
            <w:gridSpan w:val="2"/>
            <w:tcBorders>
              <w:top w:val="single" w:sz="4" w:space="0" w:color="BFBFBF"/>
              <w:left w:val="nil"/>
              <w:bottom w:val="nil"/>
              <w:right w:val="nil"/>
            </w:tcBorders>
            <w:shd w:val="clear" w:color="auto" w:fill="auto"/>
          </w:tcPr>
          <w:p w14:paraId="59C63AFD" w14:textId="77777777" w:rsidR="00571749" w:rsidRPr="00595FBF" w:rsidRDefault="00571749" w:rsidP="00C4369E">
            <w:pPr>
              <w:pStyle w:val="TableColumnHeading"/>
              <w:ind w:right="57"/>
            </w:pPr>
            <w:r w:rsidRPr="00595FBF">
              <w:t xml:space="preserve">Public housing </w:t>
            </w:r>
          </w:p>
        </w:tc>
      </w:tr>
      <w:tr w:rsidR="007221EE" w14:paraId="1C7754DD" w14:textId="77777777" w:rsidTr="00FE2AEF">
        <w:trPr>
          <w:cantSplit/>
          <w:trHeight w:val="20"/>
        </w:trPr>
        <w:tc>
          <w:tcPr>
            <w:tcW w:w="2672" w:type="dxa"/>
            <w:tcBorders>
              <w:top w:val="nil"/>
              <w:left w:val="nil"/>
              <w:bottom w:val="single" w:sz="4" w:space="0" w:color="BFBFBF"/>
              <w:right w:val="nil"/>
            </w:tcBorders>
            <w:shd w:val="clear" w:color="auto" w:fill="auto"/>
          </w:tcPr>
          <w:p w14:paraId="216693E6" w14:textId="77777777" w:rsidR="00571749" w:rsidRPr="00595FBF" w:rsidRDefault="00571749" w:rsidP="004235A4">
            <w:pPr>
              <w:pStyle w:val="TableColumnHeading"/>
              <w:ind w:left="-57" w:right="0"/>
            </w:pPr>
          </w:p>
        </w:tc>
        <w:tc>
          <w:tcPr>
            <w:tcW w:w="992" w:type="dxa"/>
            <w:tcBorders>
              <w:top w:val="nil"/>
              <w:left w:val="nil"/>
              <w:bottom w:val="single" w:sz="4" w:space="0" w:color="BFBFBF"/>
              <w:right w:val="nil"/>
            </w:tcBorders>
            <w:shd w:val="clear" w:color="auto" w:fill="auto"/>
          </w:tcPr>
          <w:p w14:paraId="77449ACB" w14:textId="77777777" w:rsidR="00571749" w:rsidRPr="00595FBF" w:rsidRDefault="00571749" w:rsidP="004235A4">
            <w:pPr>
              <w:pStyle w:val="TableColumnHeading"/>
              <w:ind w:left="-57" w:right="0"/>
              <w:jc w:val="left"/>
            </w:pPr>
            <w:r w:rsidRPr="00595FBF">
              <w:t>Unit</w:t>
            </w:r>
          </w:p>
        </w:tc>
        <w:tc>
          <w:tcPr>
            <w:tcW w:w="1134" w:type="dxa"/>
            <w:tcBorders>
              <w:top w:val="nil"/>
              <w:left w:val="nil"/>
              <w:bottom w:val="single" w:sz="4" w:space="0" w:color="BFBFBF"/>
              <w:right w:val="nil"/>
            </w:tcBorders>
            <w:shd w:val="clear" w:color="auto" w:fill="auto"/>
          </w:tcPr>
          <w:p w14:paraId="1DF35F73" w14:textId="77777777" w:rsidR="00571749" w:rsidRPr="00595FBF" w:rsidRDefault="00571749" w:rsidP="004235A4">
            <w:pPr>
              <w:pStyle w:val="TableColumnHeading"/>
              <w:ind w:left="0" w:right="0"/>
            </w:pPr>
            <w:r w:rsidRPr="00595FBF">
              <w:t>Mean</w:t>
            </w:r>
          </w:p>
        </w:tc>
        <w:tc>
          <w:tcPr>
            <w:tcW w:w="709" w:type="dxa"/>
            <w:tcBorders>
              <w:top w:val="nil"/>
              <w:left w:val="nil"/>
              <w:bottom w:val="single" w:sz="4" w:space="0" w:color="BFBFBF"/>
              <w:right w:val="nil"/>
            </w:tcBorders>
            <w:shd w:val="clear" w:color="auto" w:fill="auto"/>
          </w:tcPr>
          <w:p w14:paraId="1CA18271" w14:textId="77777777" w:rsidR="00571749" w:rsidRPr="00595FBF" w:rsidRDefault="00571749" w:rsidP="004235A4">
            <w:pPr>
              <w:pStyle w:val="TableColumnHeading"/>
              <w:ind w:left="0" w:right="0"/>
            </w:pPr>
            <w:r>
              <w:t>sd</w:t>
            </w:r>
          </w:p>
        </w:tc>
        <w:tc>
          <w:tcPr>
            <w:tcW w:w="992" w:type="dxa"/>
            <w:tcBorders>
              <w:top w:val="nil"/>
              <w:left w:val="nil"/>
              <w:bottom w:val="single" w:sz="4" w:space="0" w:color="BFBFBF"/>
              <w:right w:val="nil"/>
            </w:tcBorders>
            <w:shd w:val="clear" w:color="auto" w:fill="auto"/>
          </w:tcPr>
          <w:p w14:paraId="7B15DD59" w14:textId="77777777" w:rsidR="00571749" w:rsidRPr="00595FBF" w:rsidRDefault="00571749" w:rsidP="004235A4">
            <w:pPr>
              <w:pStyle w:val="TableColumnHeading"/>
              <w:ind w:left="0" w:right="0"/>
            </w:pPr>
            <w:r w:rsidRPr="00595FBF">
              <w:t>Mean</w:t>
            </w:r>
          </w:p>
        </w:tc>
        <w:tc>
          <w:tcPr>
            <w:tcW w:w="709" w:type="dxa"/>
            <w:tcBorders>
              <w:top w:val="nil"/>
              <w:left w:val="nil"/>
              <w:bottom w:val="single" w:sz="4" w:space="0" w:color="BFBFBF"/>
              <w:right w:val="nil"/>
            </w:tcBorders>
            <w:shd w:val="clear" w:color="auto" w:fill="auto"/>
          </w:tcPr>
          <w:p w14:paraId="10D9974C" w14:textId="77777777" w:rsidR="00571749" w:rsidRPr="00595FBF" w:rsidRDefault="00571749" w:rsidP="004235A4">
            <w:pPr>
              <w:pStyle w:val="TableColumnHeading"/>
              <w:ind w:left="0" w:right="0"/>
            </w:pPr>
            <w:r>
              <w:t>sd</w:t>
            </w:r>
          </w:p>
        </w:tc>
        <w:tc>
          <w:tcPr>
            <w:tcW w:w="850" w:type="dxa"/>
            <w:tcBorders>
              <w:top w:val="nil"/>
              <w:left w:val="nil"/>
              <w:bottom w:val="single" w:sz="4" w:space="0" w:color="BFBFBF"/>
              <w:right w:val="nil"/>
            </w:tcBorders>
            <w:shd w:val="clear" w:color="auto" w:fill="auto"/>
          </w:tcPr>
          <w:p w14:paraId="068DEABF" w14:textId="77777777" w:rsidR="00571749" w:rsidRPr="00595FBF" w:rsidRDefault="00571749" w:rsidP="004235A4">
            <w:pPr>
              <w:pStyle w:val="TableColumnHeading"/>
              <w:ind w:left="0" w:right="0"/>
            </w:pPr>
            <w:r w:rsidRPr="00595FBF">
              <w:t>Mean</w:t>
            </w:r>
          </w:p>
        </w:tc>
        <w:tc>
          <w:tcPr>
            <w:tcW w:w="709" w:type="dxa"/>
            <w:tcBorders>
              <w:top w:val="nil"/>
              <w:left w:val="nil"/>
              <w:bottom w:val="single" w:sz="4" w:space="0" w:color="BFBFBF"/>
              <w:right w:val="nil"/>
            </w:tcBorders>
            <w:shd w:val="clear" w:color="auto" w:fill="auto"/>
          </w:tcPr>
          <w:p w14:paraId="0D735457" w14:textId="022A4D3A" w:rsidR="00571749" w:rsidRDefault="00571749" w:rsidP="00C4369E">
            <w:pPr>
              <w:pStyle w:val="TableColumnHeading"/>
            </w:pPr>
            <w:r>
              <w:t>sd</w:t>
            </w:r>
          </w:p>
        </w:tc>
      </w:tr>
      <w:tr w:rsidR="000A0387" w14:paraId="6BD686B8" w14:textId="77777777" w:rsidTr="004032A8">
        <w:trPr>
          <w:cantSplit/>
          <w:trHeight w:val="20"/>
        </w:trPr>
        <w:tc>
          <w:tcPr>
            <w:tcW w:w="2672" w:type="dxa"/>
            <w:tcBorders>
              <w:top w:val="nil"/>
              <w:left w:val="nil"/>
              <w:bottom w:val="nil"/>
              <w:right w:val="nil"/>
            </w:tcBorders>
            <w:shd w:val="clear" w:color="auto" w:fill="auto"/>
            <w:vAlign w:val="bottom"/>
          </w:tcPr>
          <w:p w14:paraId="4EBF9E87" w14:textId="77777777" w:rsidR="000A0387" w:rsidRPr="0012370C" w:rsidRDefault="000A0387" w:rsidP="004032A8">
            <w:pPr>
              <w:pStyle w:val="TableBodyText"/>
              <w:spacing w:before="80"/>
              <w:ind w:left="-57" w:right="0"/>
              <w:jc w:val="left"/>
              <w:rPr>
                <w:rFonts w:cs="Arial"/>
                <w:bCs/>
                <w:i/>
                <w:szCs w:val="18"/>
              </w:rPr>
            </w:pPr>
            <w:r w:rsidRPr="0012370C">
              <w:rPr>
                <w:rFonts w:cs="Arial"/>
                <w:bCs/>
                <w:i/>
                <w:szCs w:val="18"/>
              </w:rPr>
              <w:t>State</w:t>
            </w:r>
          </w:p>
        </w:tc>
        <w:tc>
          <w:tcPr>
            <w:tcW w:w="992" w:type="dxa"/>
            <w:tcBorders>
              <w:top w:val="nil"/>
              <w:left w:val="nil"/>
              <w:bottom w:val="nil"/>
              <w:right w:val="nil"/>
            </w:tcBorders>
            <w:shd w:val="clear" w:color="auto" w:fill="auto"/>
            <w:vAlign w:val="bottom"/>
          </w:tcPr>
          <w:p w14:paraId="28318AB2" w14:textId="77777777" w:rsidR="000A0387" w:rsidRPr="0012370C" w:rsidRDefault="000A0387" w:rsidP="00A966A2">
            <w:pPr>
              <w:pStyle w:val="TableBodyText"/>
              <w:ind w:left="-57" w:right="-142"/>
              <w:jc w:val="left"/>
              <w:rPr>
                <w:rFonts w:cs="Arial"/>
                <w:szCs w:val="18"/>
              </w:rPr>
            </w:pPr>
          </w:p>
        </w:tc>
        <w:tc>
          <w:tcPr>
            <w:tcW w:w="1134" w:type="dxa"/>
            <w:tcBorders>
              <w:top w:val="nil"/>
              <w:left w:val="nil"/>
              <w:bottom w:val="nil"/>
              <w:right w:val="nil"/>
            </w:tcBorders>
            <w:shd w:val="clear" w:color="auto" w:fill="auto"/>
            <w:vAlign w:val="bottom"/>
          </w:tcPr>
          <w:p w14:paraId="0FA2867D" w14:textId="77777777" w:rsidR="000A0387" w:rsidRPr="0012370C" w:rsidRDefault="000A0387" w:rsidP="00A966A2">
            <w:pPr>
              <w:pStyle w:val="TableBodyText"/>
              <w:ind w:left="0" w:right="0"/>
              <w:rPr>
                <w:rFonts w:cs="Arial"/>
                <w:szCs w:val="18"/>
              </w:rPr>
            </w:pPr>
          </w:p>
        </w:tc>
        <w:tc>
          <w:tcPr>
            <w:tcW w:w="709" w:type="dxa"/>
            <w:tcBorders>
              <w:top w:val="nil"/>
              <w:left w:val="nil"/>
              <w:bottom w:val="nil"/>
              <w:right w:val="nil"/>
            </w:tcBorders>
            <w:shd w:val="clear" w:color="auto" w:fill="auto"/>
            <w:vAlign w:val="bottom"/>
          </w:tcPr>
          <w:p w14:paraId="690E293F" w14:textId="77777777" w:rsidR="000A0387" w:rsidRPr="0012370C" w:rsidRDefault="000A0387" w:rsidP="00A966A2">
            <w:pPr>
              <w:pStyle w:val="TableBodyText"/>
              <w:ind w:left="0" w:right="0"/>
              <w:rPr>
                <w:rFonts w:cs="Arial"/>
                <w:szCs w:val="18"/>
              </w:rPr>
            </w:pPr>
          </w:p>
        </w:tc>
        <w:tc>
          <w:tcPr>
            <w:tcW w:w="992" w:type="dxa"/>
            <w:tcBorders>
              <w:top w:val="nil"/>
              <w:left w:val="nil"/>
              <w:bottom w:val="nil"/>
              <w:right w:val="nil"/>
            </w:tcBorders>
            <w:shd w:val="clear" w:color="auto" w:fill="auto"/>
            <w:vAlign w:val="bottom"/>
          </w:tcPr>
          <w:p w14:paraId="5F514CCC" w14:textId="77777777" w:rsidR="000A0387" w:rsidRPr="0012370C" w:rsidRDefault="000A0387" w:rsidP="00A966A2">
            <w:pPr>
              <w:pStyle w:val="TableBodyText"/>
              <w:ind w:left="0" w:right="0"/>
              <w:rPr>
                <w:rFonts w:cs="Arial"/>
                <w:szCs w:val="18"/>
              </w:rPr>
            </w:pPr>
          </w:p>
        </w:tc>
        <w:tc>
          <w:tcPr>
            <w:tcW w:w="709" w:type="dxa"/>
            <w:tcBorders>
              <w:top w:val="nil"/>
              <w:left w:val="nil"/>
              <w:bottom w:val="nil"/>
              <w:right w:val="nil"/>
            </w:tcBorders>
            <w:shd w:val="clear" w:color="auto" w:fill="auto"/>
            <w:vAlign w:val="bottom"/>
          </w:tcPr>
          <w:p w14:paraId="4CFC1210" w14:textId="77777777" w:rsidR="000A0387" w:rsidRPr="0012370C" w:rsidRDefault="000A0387" w:rsidP="00A966A2">
            <w:pPr>
              <w:pStyle w:val="TableBodyText"/>
              <w:ind w:left="0" w:right="0"/>
              <w:rPr>
                <w:rFonts w:cs="Arial"/>
                <w:szCs w:val="18"/>
              </w:rPr>
            </w:pPr>
          </w:p>
        </w:tc>
        <w:tc>
          <w:tcPr>
            <w:tcW w:w="850" w:type="dxa"/>
            <w:tcBorders>
              <w:top w:val="nil"/>
              <w:left w:val="nil"/>
              <w:bottom w:val="nil"/>
              <w:right w:val="nil"/>
            </w:tcBorders>
            <w:shd w:val="clear" w:color="auto" w:fill="auto"/>
            <w:vAlign w:val="bottom"/>
          </w:tcPr>
          <w:p w14:paraId="7D4DD57D" w14:textId="77777777" w:rsidR="000A0387" w:rsidRPr="0012370C" w:rsidRDefault="000A0387" w:rsidP="00A966A2">
            <w:pPr>
              <w:pStyle w:val="TableBodyText"/>
              <w:ind w:left="0" w:right="0"/>
              <w:rPr>
                <w:rFonts w:cs="Arial"/>
                <w:szCs w:val="18"/>
              </w:rPr>
            </w:pPr>
          </w:p>
        </w:tc>
        <w:tc>
          <w:tcPr>
            <w:tcW w:w="709" w:type="dxa"/>
            <w:tcBorders>
              <w:top w:val="nil"/>
              <w:left w:val="nil"/>
              <w:bottom w:val="nil"/>
              <w:right w:val="nil"/>
            </w:tcBorders>
            <w:shd w:val="clear" w:color="auto" w:fill="auto"/>
            <w:vAlign w:val="bottom"/>
          </w:tcPr>
          <w:p w14:paraId="2E0408E8" w14:textId="77777777" w:rsidR="000A0387" w:rsidRPr="00E53947" w:rsidRDefault="000A0387" w:rsidP="00A966A2">
            <w:pPr>
              <w:pStyle w:val="TableBodyText"/>
              <w:ind w:right="0"/>
              <w:jc w:val="left"/>
            </w:pPr>
          </w:p>
        </w:tc>
      </w:tr>
      <w:tr w:rsidR="000A0387" w14:paraId="510AE8DB" w14:textId="77777777" w:rsidTr="004032A8">
        <w:trPr>
          <w:cantSplit/>
          <w:trHeight w:val="20"/>
        </w:trPr>
        <w:tc>
          <w:tcPr>
            <w:tcW w:w="2672" w:type="dxa"/>
            <w:tcBorders>
              <w:top w:val="nil"/>
              <w:left w:val="nil"/>
              <w:bottom w:val="nil"/>
              <w:right w:val="nil"/>
            </w:tcBorders>
            <w:shd w:val="clear" w:color="auto" w:fill="auto"/>
            <w:vAlign w:val="bottom"/>
          </w:tcPr>
          <w:p w14:paraId="1FFB23E7" w14:textId="77777777" w:rsidR="000A0387" w:rsidRPr="0012370C" w:rsidRDefault="000A0387" w:rsidP="00A966A2">
            <w:pPr>
              <w:pStyle w:val="TableBodyText"/>
              <w:ind w:left="-57" w:right="0"/>
              <w:jc w:val="left"/>
              <w:rPr>
                <w:rFonts w:cs="Arial"/>
                <w:szCs w:val="18"/>
              </w:rPr>
            </w:pPr>
            <w:r>
              <w:rPr>
                <w:rFonts w:cs="Arial"/>
                <w:szCs w:val="18"/>
              </w:rPr>
              <w:t>  </w:t>
            </w:r>
            <w:r w:rsidRPr="0012370C">
              <w:rPr>
                <w:rFonts w:cs="Arial"/>
                <w:szCs w:val="18"/>
              </w:rPr>
              <w:t>NSW</w:t>
            </w:r>
          </w:p>
        </w:tc>
        <w:tc>
          <w:tcPr>
            <w:tcW w:w="992" w:type="dxa"/>
            <w:tcBorders>
              <w:top w:val="nil"/>
              <w:left w:val="nil"/>
              <w:bottom w:val="nil"/>
              <w:right w:val="nil"/>
            </w:tcBorders>
            <w:shd w:val="clear" w:color="auto" w:fill="auto"/>
            <w:vAlign w:val="bottom"/>
          </w:tcPr>
          <w:p w14:paraId="009D0D58" w14:textId="77777777" w:rsidR="000A0387" w:rsidRPr="0012370C" w:rsidRDefault="000A0387" w:rsidP="00A966A2">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241593D4"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32.6</w:t>
            </w:r>
          </w:p>
        </w:tc>
        <w:tc>
          <w:tcPr>
            <w:tcW w:w="709" w:type="dxa"/>
            <w:tcBorders>
              <w:top w:val="nil"/>
              <w:left w:val="nil"/>
              <w:bottom w:val="nil"/>
              <w:right w:val="nil"/>
            </w:tcBorders>
            <w:shd w:val="clear" w:color="auto" w:fill="auto"/>
            <w:vAlign w:val="bottom"/>
          </w:tcPr>
          <w:p w14:paraId="6AD501F5" w14:textId="77777777" w:rsidR="000A0387" w:rsidRPr="0012370C" w:rsidRDefault="000A0387" w:rsidP="00A966A2">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08B90676"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33.7</w:t>
            </w:r>
          </w:p>
        </w:tc>
        <w:tc>
          <w:tcPr>
            <w:tcW w:w="709" w:type="dxa"/>
            <w:tcBorders>
              <w:top w:val="nil"/>
              <w:left w:val="nil"/>
              <w:bottom w:val="nil"/>
              <w:right w:val="nil"/>
            </w:tcBorders>
            <w:shd w:val="clear" w:color="auto" w:fill="auto"/>
            <w:vAlign w:val="bottom"/>
          </w:tcPr>
          <w:p w14:paraId="3D398EB2" w14:textId="77777777" w:rsidR="000A0387" w:rsidRPr="0012370C" w:rsidRDefault="000A0387" w:rsidP="00A966A2">
            <w:pPr>
              <w:rPr>
                <w:rFonts w:ascii="Arial" w:hAnsi="Arial" w:cs="Arial"/>
                <w:color w:val="000000"/>
                <w:sz w:val="18"/>
                <w:szCs w:val="18"/>
              </w:rPr>
            </w:pPr>
          </w:p>
        </w:tc>
        <w:tc>
          <w:tcPr>
            <w:tcW w:w="850" w:type="dxa"/>
            <w:tcBorders>
              <w:top w:val="nil"/>
              <w:left w:val="nil"/>
              <w:bottom w:val="nil"/>
              <w:right w:val="nil"/>
            </w:tcBorders>
            <w:shd w:val="clear" w:color="auto" w:fill="auto"/>
            <w:vAlign w:val="bottom"/>
          </w:tcPr>
          <w:p w14:paraId="6424147C"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32.6</w:t>
            </w:r>
          </w:p>
        </w:tc>
        <w:tc>
          <w:tcPr>
            <w:tcW w:w="709" w:type="dxa"/>
            <w:tcBorders>
              <w:top w:val="nil"/>
              <w:left w:val="nil"/>
              <w:bottom w:val="nil"/>
              <w:right w:val="nil"/>
            </w:tcBorders>
            <w:shd w:val="clear" w:color="auto" w:fill="auto"/>
            <w:vAlign w:val="bottom"/>
          </w:tcPr>
          <w:p w14:paraId="5732C05F" w14:textId="77777777" w:rsidR="000A0387" w:rsidRPr="00E53947" w:rsidRDefault="000A0387" w:rsidP="00A966A2">
            <w:pPr>
              <w:pStyle w:val="TableBodyText"/>
              <w:ind w:right="0"/>
              <w:jc w:val="left"/>
            </w:pPr>
          </w:p>
        </w:tc>
      </w:tr>
      <w:tr w:rsidR="000A0387" w14:paraId="4F6B0840" w14:textId="77777777" w:rsidTr="004032A8">
        <w:trPr>
          <w:cantSplit/>
          <w:trHeight w:val="20"/>
        </w:trPr>
        <w:tc>
          <w:tcPr>
            <w:tcW w:w="2672" w:type="dxa"/>
            <w:tcBorders>
              <w:top w:val="nil"/>
              <w:left w:val="nil"/>
              <w:bottom w:val="nil"/>
              <w:right w:val="nil"/>
            </w:tcBorders>
            <w:shd w:val="clear" w:color="auto" w:fill="auto"/>
            <w:vAlign w:val="bottom"/>
          </w:tcPr>
          <w:p w14:paraId="2A940C6D" w14:textId="77777777" w:rsidR="000A0387" w:rsidRPr="0012370C" w:rsidRDefault="000A0387" w:rsidP="00A966A2">
            <w:pPr>
              <w:pStyle w:val="TableBodyText"/>
              <w:ind w:left="-57" w:right="0"/>
              <w:jc w:val="left"/>
              <w:rPr>
                <w:rFonts w:cs="Arial"/>
                <w:szCs w:val="18"/>
              </w:rPr>
            </w:pPr>
            <w:r>
              <w:rPr>
                <w:rFonts w:cs="Arial"/>
                <w:szCs w:val="18"/>
              </w:rPr>
              <w:t>  </w:t>
            </w:r>
            <w:r w:rsidRPr="0012370C">
              <w:rPr>
                <w:rFonts w:cs="Arial"/>
                <w:szCs w:val="18"/>
              </w:rPr>
              <w:t>Vic</w:t>
            </w:r>
          </w:p>
        </w:tc>
        <w:tc>
          <w:tcPr>
            <w:tcW w:w="992" w:type="dxa"/>
            <w:tcBorders>
              <w:top w:val="nil"/>
              <w:left w:val="nil"/>
              <w:bottom w:val="nil"/>
              <w:right w:val="nil"/>
            </w:tcBorders>
            <w:shd w:val="clear" w:color="auto" w:fill="auto"/>
            <w:vAlign w:val="bottom"/>
          </w:tcPr>
          <w:p w14:paraId="0CAD7689" w14:textId="77777777" w:rsidR="000A0387" w:rsidRPr="0012370C" w:rsidRDefault="000A0387" w:rsidP="00A966A2">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75A91D70"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27.5</w:t>
            </w:r>
          </w:p>
        </w:tc>
        <w:tc>
          <w:tcPr>
            <w:tcW w:w="709" w:type="dxa"/>
            <w:tcBorders>
              <w:top w:val="nil"/>
              <w:left w:val="nil"/>
              <w:bottom w:val="nil"/>
              <w:right w:val="nil"/>
            </w:tcBorders>
            <w:shd w:val="clear" w:color="auto" w:fill="auto"/>
            <w:vAlign w:val="bottom"/>
          </w:tcPr>
          <w:p w14:paraId="73DB5050" w14:textId="77777777" w:rsidR="000A0387" w:rsidRPr="0012370C" w:rsidRDefault="000A0387" w:rsidP="00A966A2">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3FA50C37"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23.3</w:t>
            </w:r>
          </w:p>
        </w:tc>
        <w:tc>
          <w:tcPr>
            <w:tcW w:w="709" w:type="dxa"/>
            <w:tcBorders>
              <w:top w:val="nil"/>
              <w:left w:val="nil"/>
              <w:bottom w:val="nil"/>
              <w:right w:val="nil"/>
            </w:tcBorders>
            <w:shd w:val="clear" w:color="auto" w:fill="auto"/>
            <w:vAlign w:val="bottom"/>
          </w:tcPr>
          <w:p w14:paraId="39D27D43" w14:textId="77777777" w:rsidR="000A0387" w:rsidRPr="0012370C" w:rsidRDefault="000A0387" w:rsidP="00A966A2">
            <w:pPr>
              <w:rPr>
                <w:rFonts w:ascii="Arial" w:hAnsi="Arial" w:cs="Arial"/>
                <w:color w:val="000000"/>
                <w:sz w:val="18"/>
                <w:szCs w:val="18"/>
              </w:rPr>
            </w:pPr>
          </w:p>
        </w:tc>
        <w:tc>
          <w:tcPr>
            <w:tcW w:w="850" w:type="dxa"/>
            <w:tcBorders>
              <w:top w:val="nil"/>
              <w:left w:val="nil"/>
              <w:bottom w:val="nil"/>
              <w:right w:val="nil"/>
            </w:tcBorders>
            <w:shd w:val="clear" w:color="auto" w:fill="auto"/>
            <w:vAlign w:val="bottom"/>
          </w:tcPr>
          <w:p w14:paraId="5B1C40AA"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20.0</w:t>
            </w:r>
          </w:p>
        </w:tc>
        <w:tc>
          <w:tcPr>
            <w:tcW w:w="709" w:type="dxa"/>
            <w:tcBorders>
              <w:top w:val="nil"/>
              <w:left w:val="nil"/>
              <w:bottom w:val="nil"/>
              <w:right w:val="nil"/>
            </w:tcBorders>
            <w:shd w:val="clear" w:color="auto" w:fill="auto"/>
            <w:vAlign w:val="bottom"/>
          </w:tcPr>
          <w:p w14:paraId="65E9A4FA" w14:textId="77777777" w:rsidR="000A0387" w:rsidRPr="00E53947" w:rsidRDefault="000A0387" w:rsidP="00A966A2">
            <w:pPr>
              <w:pStyle w:val="TableBodyText"/>
              <w:ind w:right="0"/>
              <w:jc w:val="left"/>
            </w:pPr>
          </w:p>
        </w:tc>
      </w:tr>
      <w:tr w:rsidR="000A0387" w14:paraId="68EBB903" w14:textId="77777777" w:rsidTr="004032A8">
        <w:trPr>
          <w:cantSplit/>
          <w:trHeight w:val="20"/>
        </w:trPr>
        <w:tc>
          <w:tcPr>
            <w:tcW w:w="2672" w:type="dxa"/>
            <w:tcBorders>
              <w:top w:val="nil"/>
              <w:left w:val="nil"/>
              <w:bottom w:val="nil"/>
              <w:right w:val="nil"/>
            </w:tcBorders>
            <w:shd w:val="clear" w:color="auto" w:fill="auto"/>
            <w:vAlign w:val="bottom"/>
          </w:tcPr>
          <w:p w14:paraId="58285BA3" w14:textId="77777777" w:rsidR="000A0387" w:rsidRPr="0012370C" w:rsidRDefault="000A0387" w:rsidP="00A966A2">
            <w:pPr>
              <w:pStyle w:val="TableBodyText"/>
              <w:ind w:left="-57" w:right="0"/>
              <w:jc w:val="left"/>
              <w:rPr>
                <w:rFonts w:cs="Arial"/>
                <w:szCs w:val="18"/>
              </w:rPr>
            </w:pPr>
            <w:r>
              <w:rPr>
                <w:rFonts w:cs="Arial"/>
                <w:szCs w:val="18"/>
              </w:rPr>
              <w:t>  </w:t>
            </w:r>
            <w:r w:rsidRPr="0012370C">
              <w:rPr>
                <w:rFonts w:cs="Arial"/>
                <w:szCs w:val="18"/>
              </w:rPr>
              <w:t>Qld</w:t>
            </w:r>
          </w:p>
        </w:tc>
        <w:tc>
          <w:tcPr>
            <w:tcW w:w="992" w:type="dxa"/>
            <w:tcBorders>
              <w:top w:val="nil"/>
              <w:left w:val="nil"/>
              <w:bottom w:val="nil"/>
              <w:right w:val="nil"/>
            </w:tcBorders>
            <w:shd w:val="clear" w:color="auto" w:fill="auto"/>
            <w:vAlign w:val="bottom"/>
          </w:tcPr>
          <w:p w14:paraId="1F5054A2" w14:textId="77777777" w:rsidR="000A0387" w:rsidRPr="0012370C" w:rsidRDefault="000A0387" w:rsidP="00A966A2">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67CB8B36"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18.6</w:t>
            </w:r>
          </w:p>
        </w:tc>
        <w:tc>
          <w:tcPr>
            <w:tcW w:w="709" w:type="dxa"/>
            <w:tcBorders>
              <w:top w:val="nil"/>
              <w:left w:val="nil"/>
              <w:bottom w:val="nil"/>
              <w:right w:val="nil"/>
            </w:tcBorders>
            <w:shd w:val="clear" w:color="auto" w:fill="auto"/>
            <w:vAlign w:val="bottom"/>
          </w:tcPr>
          <w:p w14:paraId="06A897F2" w14:textId="77777777" w:rsidR="000A0387" w:rsidRPr="0012370C" w:rsidRDefault="000A0387" w:rsidP="00A966A2">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0CD9E606"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24.2</w:t>
            </w:r>
          </w:p>
        </w:tc>
        <w:tc>
          <w:tcPr>
            <w:tcW w:w="709" w:type="dxa"/>
            <w:tcBorders>
              <w:top w:val="nil"/>
              <w:left w:val="nil"/>
              <w:bottom w:val="nil"/>
              <w:right w:val="nil"/>
            </w:tcBorders>
            <w:shd w:val="clear" w:color="auto" w:fill="auto"/>
            <w:vAlign w:val="bottom"/>
          </w:tcPr>
          <w:p w14:paraId="1E5A361E" w14:textId="77777777" w:rsidR="000A0387" w:rsidRPr="0012370C" w:rsidRDefault="000A0387" w:rsidP="00A966A2">
            <w:pPr>
              <w:rPr>
                <w:rFonts w:ascii="Arial" w:hAnsi="Arial" w:cs="Arial"/>
                <w:color w:val="000000"/>
                <w:sz w:val="18"/>
                <w:szCs w:val="18"/>
              </w:rPr>
            </w:pPr>
          </w:p>
        </w:tc>
        <w:tc>
          <w:tcPr>
            <w:tcW w:w="850" w:type="dxa"/>
            <w:tcBorders>
              <w:top w:val="nil"/>
              <w:left w:val="nil"/>
              <w:bottom w:val="nil"/>
              <w:right w:val="nil"/>
            </w:tcBorders>
            <w:shd w:val="clear" w:color="auto" w:fill="auto"/>
            <w:vAlign w:val="bottom"/>
          </w:tcPr>
          <w:p w14:paraId="05DAF0BF"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17.0</w:t>
            </w:r>
          </w:p>
        </w:tc>
        <w:tc>
          <w:tcPr>
            <w:tcW w:w="709" w:type="dxa"/>
            <w:tcBorders>
              <w:top w:val="nil"/>
              <w:left w:val="nil"/>
              <w:bottom w:val="nil"/>
              <w:right w:val="nil"/>
            </w:tcBorders>
            <w:shd w:val="clear" w:color="auto" w:fill="auto"/>
            <w:vAlign w:val="bottom"/>
          </w:tcPr>
          <w:p w14:paraId="3B528CAE" w14:textId="77777777" w:rsidR="000A0387" w:rsidRPr="00E53947" w:rsidRDefault="000A0387" w:rsidP="00A966A2">
            <w:pPr>
              <w:pStyle w:val="TableBodyText"/>
              <w:ind w:right="0"/>
              <w:jc w:val="left"/>
            </w:pPr>
          </w:p>
        </w:tc>
      </w:tr>
      <w:tr w:rsidR="000A0387" w14:paraId="41314A49" w14:textId="77777777" w:rsidTr="004032A8">
        <w:trPr>
          <w:cantSplit/>
          <w:trHeight w:val="20"/>
        </w:trPr>
        <w:tc>
          <w:tcPr>
            <w:tcW w:w="2672" w:type="dxa"/>
            <w:tcBorders>
              <w:top w:val="nil"/>
              <w:left w:val="nil"/>
              <w:bottom w:val="nil"/>
              <w:right w:val="nil"/>
            </w:tcBorders>
            <w:shd w:val="clear" w:color="auto" w:fill="auto"/>
            <w:vAlign w:val="bottom"/>
          </w:tcPr>
          <w:p w14:paraId="3625A512" w14:textId="77777777" w:rsidR="000A0387" w:rsidRPr="0012370C" w:rsidRDefault="000A0387" w:rsidP="00A966A2">
            <w:pPr>
              <w:pStyle w:val="TableBodyText"/>
              <w:ind w:left="-57" w:right="0"/>
              <w:jc w:val="left"/>
              <w:rPr>
                <w:rFonts w:cs="Arial"/>
                <w:szCs w:val="18"/>
              </w:rPr>
            </w:pPr>
            <w:r>
              <w:rPr>
                <w:rFonts w:cs="Arial"/>
                <w:szCs w:val="18"/>
              </w:rPr>
              <w:t>  </w:t>
            </w:r>
            <w:r w:rsidRPr="0012370C">
              <w:rPr>
                <w:rFonts w:cs="Arial"/>
                <w:szCs w:val="18"/>
              </w:rPr>
              <w:t>SA</w:t>
            </w:r>
          </w:p>
        </w:tc>
        <w:tc>
          <w:tcPr>
            <w:tcW w:w="992" w:type="dxa"/>
            <w:tcBorders>
              <w:top w:val="nil"/>
              <w:left w:val="nil"/>
              <w:bottom w:val="nil"/>
              <w:right w:val="nil"/>
            </w:tcBorders>
            <w:shd w:val="clear" w:color="auto" w:fill="auto"/>
            <w:vAlign w:val="bottom"/>
          </w:tcPr>
          <w:p w14:paraId="5D3A7C7A" w14:textId="77777777" w:rsidR="000A0387" w:rsidRPr="0012370C" w:rsidRDefault="000A0387" w:rsidP="00A966A2">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27C64577"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8.7</w:t>
            </w:r>
          </w:p>
        </w:tc>
        <w:tc>
          <w:tcPr>
            <w:tcW w:w="709" w:type="dxa"/>
            <w:tcBorders>
              <w:top w:val="nil"/>
              <w:left w:val="nil"/>
              <w:bottom w:val="nil"/>
              <w:right w:val="nil"/>
            </w:tcBorders>
            <w:shd w:val="clear" w:color="auto" w:fill="auto"/>
            <w:vAlign w:val="bottom"/>
          </w:tcPr>
          <w:p w14:paraId="7C63A458" w14:textId="77777777" w:rsidR="000A0387" w:rsidRPr="0012370C" w:rsidRDefault="000A0387" w:rsidP="00A966A2">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15A4B410"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7.7</w:t>
            </w:r>
          </w:p>
        </w:tc>
        <w:tc>
          <w:tcPr>
            <w:tcW w:w="709" w:type="dxa"/>
            <w:tcBorders>
              <w:top w:val="nil"/>
              <w:left w:val="nil"/>
              <w:bottom w:val="nil"/>
              <w:right w:val="nil"/>
            </w:tcBorders>
            <w:shd w:val="clear" w:color="auto" w:fill="auto"/>
            <w:vAlign w:val="bottom"/>
          </w:tcPr>
          <w:p w14:paraId="6A9C9976" w14:textId="77777777" w:rsidR="000A0387" w:rsidRPr="0012370C" w:rsidRDefault="000A0387" w:rsidP="00A966A2">
            <w:pPr>
              <w:rPr>
                <w:rFonts w:ascii="Arial" w:hAnsi="Arial" w:cs="Arial"/>
                <w:color w:val="000000"/>
                <w:sz w:val="18"/>
                <w:szCs w:val="18"/>
              </w:rPr>
            </w:pPr>
          </w:p>
        </w:tc>
        <w:tc>
          <w:tcPr>
            <w:tcW w:w="850" w:type="dxa"/>
            <w:tcBorders>
              <w:top w:val="nil"/>
              <w:left w:val="nil"/>
              <w:bottom w:val="nil"/>
              <w:right w:val="nil"/>
            </w:tcBorders>
            <w:shd w:val="clear" w:color="auto" w:fill="auto"/>
            <w:vAlign w:val="bottom"/>
          </w:tcPr>
          <w:p w14:paraId="14B820EE"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11.5</w:t>
            </w:r>
          </w:p>
        </w:tc>
        <w:tc>
          <w:tcPr>
            <w:tcW w:w="709" w:type="dxa"/>
            <w:tcBorders>
              <w:top w:val="nil"/>
              <w:left w:val="nil"/>
              <w:bottom w:val="nil"/>
              <w:right w:val="nil"/>
            </w:tcBorders>
            <w:shd w:val="clear" w:color="auto" w:fill="auto"/>
            <w:vAlign w:val="bottom"/>
          </w:tcPr>
          <w:p w14:paraId="76D414DD" w14:textId="77777777" w:rsidR="000A0387" w:rsidRPr="00E53947" w:rsidRDefault="000A0387" w:rsidP="00A966A2">
            <w:pPr>
              <w:pStyle w:val="TableBodyText"/>
              <w:ind w:right="0"/>
              <w:jc w:val="left"/>
            </w:pPr>
          </w:p>
        </w:tc>
      </w:tr>
      <w:tr w:rsidR="000A0387" w14:paraId="0581A628" w14:textId="77777777" w:rsidTr="004032A8">
        <w:trPr>
          <w:cantSplit/>
          <w:trHeight w:val="20"/>
        </w:trPr>
        <w:tc>
          <w:tcPr>
            <w:tcW w:w="2672" w:type="dxa"/>
            <w:tcBorders>
              <w:top w:val="nil"/>
              <w:left w:val="nil"/>
              <w:bottom w:val="nil"/>
              <w:right w:val="nil"/>
            </w:tcBorders>
            <w:shd w:val="clear" w:color="auto" w:fill="auto"/>
            <w:vAlign w:val="bottom"/>
          </w:tcPr>
          <w:p w14:paraId="1AFBB0DB" w14:textId="77777777" w:rsidR="000A0387" w:rsidRPr="0012370C" w:rsidRDefault="000A0387" w:rsidP="00A966A2">
            <w:pPr>
              <w:pStyle w:val="TableBodyText"/>
              <w:ind w:left="-57" w:right="0"/>
              <w:jc w:val="left"/>
              <w:rPr>
                <w:rFonts w:cs="Arial"/>
                <w:szCs w:val="18"/>
              </w:rPr>
            </w:pPr>
            <w:r>
              <w:rPr>
                <w:rFonts w:cs="Arial"/>
                <w:szCs w:val="18"/>
              </w:rPr>
              <w:t>  </w:t>
            </w:r>
            <w:r w:rsidRPr="0012370C">
              <w:rPr>
                <w:rFonts w:cs="Arial"/>
                <w:szCs w:val="18"/>
              </w:rPr>
              <w:t>WA</w:t>
            </w:r>
          </w:p>
        </w:tc>
        <w:tc>
          <w:tcPr>
            <w:tcW w:w="992" w:type="dxa"/>
            <w:tcBorders>
              <w:top w:val="nil"/>
              <w:left w:val="nil"/>
              <w:bottom w:val="nil"/>
              <w:right w:val="nil"/>
            </w:tcBorders>
            <w:shd w:val="clear" w:color="auto" w:fill="auto"/>
            <w:vAlign w:val="bottom"/>
          </w:tcPr>
          <w:p w14:paraId="44BC8F56" w14:textId="77777777" w:rsidR="000A0387" w:rsidRPr="0012370C" w:rsidRDefault="000A0387" w:rsidP="00A966A2">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10D39E8D"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7.4</w:t>
            </w:r>
          </w:p>
        </w:tc>
        <w:tc>
          <w:tcPr>
            <w:tcW w:w="709" w:type="dxa"/>
            <w:tcBorders>
              <w:top w:val="nil"/>
              <w:left w:val="nil"/>
              <w:bottom w:val="nil"/>
              <w:right w:val="nil"/>
            </w:tcBorders>
            <w:shd w:val="clear" w:color="auto" w:fill="auto"/>
            <w:vAlign w:val="bottom"/>
          </w:tcPr>
          <w:p w14:paraId="21764591" w14:textId="77777777" w:rsidR="000A0387" w:rsidRPr="0012370C" w:rsidRDefault="000A0387" w:rsidP="00A966A2">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515783F2"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7.2</w:t>
            </w:r>
          </w:p>
        </w:tc>
        <w:tc>
          <w:tcPr>
            <w:tcW w:w="709" w:type="dxa"/>
            <w:tcBorders>
              <w:top w:val="nil"/>
              <w:left w:val="nil"/>
              <w:bottom w:val="nil"/>
              <w:right w:val="nil"/>
            </w:tcBorders>
            <w:shd w:val="clear" w:color="auto" w:fill="auto"/>
            <w:vAlign w:val="bottom"/>
          </w:tcPr>
          <w:p w14:paraId="256DC491" w14:textId="77777777" w:rsidR="000A0387" w:rsidRPr="0012370C" w:rsidRDefault="000A0387" w:rsidP="00A966A2">
            <w:pPr>
              <w:rPr>
                <w:rFonts w:ascii="Arial" w:hAnsi="Arial" w:cs="Arial"/>
                <w:color w:val="000000"/>
                <w:sz w:val="18"/>
                <w:szCs w:val="18"/>
              </w:rPr>
            </w:pPr>
          </w:p>
        </w:tc>
        <w:tc>
          <w:tcPr>
            <w:tcW w:w="850" w:type="dxa"/>
            <w:tcBorders>
              <w:top w:val="nil"/>
              <w:left w:val="nil"/>
              <w:bottom w:val="nil"/>
              <w:right w:val="nil"/>
            </w:tcBorders>
            <w:shd w:val="clear" w:color="auto" w:fill="auto"/>
            <w:vAlign w:val="bottom"/>
          </w:tcPr>
          <w:p w14:paraId="7F1AA67E"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10.1</w:t>
            </w:r>
          </w:p>
        </w:tc>
        <w:tc>
          <w:tcPr>
            <w:tcW w:w="709" w:type="dxa"/>
            <w:tcBorders>
              <w:top w:val="nil"/>
              <w:left w:val="nil"/>
              <w:bottom w:val="nil"/>
              <w:right w:val="nil"/>
            </w:tcBorders>
            <w:shd w:val="clear" w:color="auto" w:fill="auto"/>
            <w:vAlign w:val="bottom"/>
          </w:tcPr>
          <w:p w14:paraId="3C723C57" w14:textId="77777777" w:rsidR="000A0387" w:rsidRPr="00E53947" w:rsidRDefault="000A0387" w:rsidP="00A966A2">
            <w:pPr>
              <w:pStyle w:val="TableBodyText"/>
              <w:ind w:right="0"/>
              <w:jc w:val="left"/>
            </w:pPr>
          </w:p>
        </w:tc>
      </w:tr>
      <w:tr w:rsidR="000A0387" w14:paraId="018BA478" w14:textId="77777777" w:rsidTr="004032A8">
        <w:trPr>
          <w:cantSplit/>
          <w:trHeight w:val="20"/>
        </w:trPr>
        <w:tc>
          <w:tcPr>
            <w:tcW w:w="2672" w:type="dxa"/>
            <w:tcBorders>
              <w:top w:val="nil"/>
              <w:left w:val="nil"/>
              <w:bottom w:val="nil"/>
              <w:right w:val="nil"/>
            </w:tcBorders>
            <w:shd w:val="clear" w:color="auto" w:fill="auto"/>
            <w:vAlign w:val="bottom"/>
          </w:tcPr>
          <w:p w14:paraId="59D00A1F" w14:textId="77777777" w:rsidR="000A0387" w:rsidRPr="0012370C" w:rsidRDefault="000A0387" w:rsidP="00A966A2">
            <w:pPr>
              <w:pStyle w:val="TableBodyText"/>
              <w:ind w:left="-57" w:right="0"/>
              <w:jc w:val="left"/>
              <w:rPr>
                <w:rFonts w:cs="Arial"/>
                <w:szCs w:val="18"/>
              </w:rPr>
            </w:pPr>
            <w:r>
              <w:rPr>
                <w:rFonts w:cs="Arial"/>
                <w:szCs w:val="18"/>
              </w:rPr>
              <w:t>  </w:t>
            </w:r>
            <w:r w:rsidRPr="0012370C">
              <w:rPr>
                <w:rFonts w:cs="Arial"/>
                <w:szCs w:val="18"/>
              </w:rPr>
              <w:t>Tas</w:t>
            </w:r>
          </w:p>
        </w:tc>
        <w:tc>
          <w:tcPr>
            <w:tcW w:w="992" w:type="dxa"/>
            <w:tcBorders>
              <w:top w:val="nil"/>
              <w:left w:val="nil"/>
              <w:bottom w:val="nil"/>
              <w:right w:val="nil"/>
            </w:tcBorders>
            <w:shd w:val="clear" w:color="auto" w:fill="auto"/>
            <w:vAlign w:val="bottom"/>
          </w:tcPr>
          <w:p w14:paraId="1D212CF1" w14:textId="77777777" w:rsidR="000A0387" w:rsidRPr="0012370C" w:rsidRDefault="000A0387" w:rsidP="00A966A2">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1CC5DFB0"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3.4</w:t>
            </w:r>
          </w:p>
        </w:tc>
        <w:tc>
          <w:tcPr>
            <w:tcW w:w="709" w:type="dxa"/>
            <w:tcBorders>
              <w:top w:val="nil"/>
              <w:left w:val="nil"/>
              <w:bottom w:val="nil"/>
              <w:right w:val="nil"/>
            </w:tcBorders>
            <w:shd w:val="clear" w:color="auto" w:fill="auto"/>
            <w:vAlign w:val="bottom"/>
          </w:tcPr>
          <w:p w14:paraId="6E231703" w14:textId="77777777" w:rsidR="000A0387" w:rsidRPr="0012370C" w:rsidRDefault="000A0387" w:rsidP="00A966A2">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5336B125"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2.9</w:t>
            </w:r>
          </w:p>
        </w:tc>
        <w:tc>
          <w:tcPr>
            <w:tcW w:w="709" w:type="dxa"/>
            <w:tcBorders>
              <w:top w:val="nil"/>
              <w:left w:val="nil"/>
              <w:bottom w:val="nil"/>
              <w:right w:val="nil"/>
            </w:tcBorders>
            <w:shd w:val="clear" w:color="auto" w:fill="auto"/>
            <w:vAlign w:val="bottom"/>
          </w:tcPr>
          <w:p w14:paraId="7436B739" w14:textId="77777777" w:rsidR="000A0387" w:rsidRPr="0012370C" w:rsidRDefault="000A0387" w:rsidP="00A966A2">
            <w:pPr>
              <w:rPr>
                <w:rFonts w:ascii="Arial" w:hAnsi="Arial" w:cs="Arial"/>
                <w:color w:val="000000"/>
                <w:sz w:val="18"/>
                <w:szCs w:val="18"/>
              </w:rPr>
            </w:pPr>
          </w:p>
        </w:tc>
        <w:tc>
          <w:tcPr>
            <w:tcW w:w="850" w:type="dxa"/>
            <w:tcBorders>
              <w:top w:val="nil"/>
              <w:left w:val="nil"/>
              <w:bottom w:val="nil"/>
              <w:right w:val="nil"/>
            </w:tcBorders>
            <w:shd w:val="clear" w:color="auto" w:fill="auto"/>
            <w:vAlign w:val="bottom"/>
          </w:tcPr>
          <w:p w14:paraId="721FFD4A"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3.9</w:t>
            </w:r>
          </w:p>
        </w:tc>
        <w:tc>
          <w:tcPr>
            <w:tcW w:w="709" w:type="dxa"/>
            <w:tcBorders>
              <w:top w:val="nil"/>
              <w:left w:val="nil"/>
              <w:bottom w:val="nil"/>
              <w:right w:val="nil"/>
            </w:tcBorders>
            <w:shd w:val="clear" w:color="auto" w:fill="auto"/>
            <w:vAlign w:val="bottom"/>
          </w:tcPr>
          <w:p w14:paraId="5044FC30" w14:textId="77777777" w:rsidR="000A0387" w:rsidRPr="00E53947" w:rsidRDefault="000A0387" w:rsidP="00A966A2">
            <w:pPr>
              <w:pStyle w:val="TableBodyText"/>
              <w:ind w:right="0"/>
              <w:jc w:val="left"/>
            </w:pPr>
          </w:p>
        </w:tc>
      </w:tr>
      <w:tr w:rsidR="000A0387" w14:paraId="4BE9D409" w14:textId="77777777" w:rsidTr="004032A8">
        <w:trPr>
          <w:cantSplit/>
          <w:trHeight w:val="20"/>
        </w:trPr>
        <w:tc>
          <w:tcPr>
            <w:tcW w:w="2672" w:type="dxa"/>
            <w:tcBorders>
              <w:top w:val="nil"/>
              <w:left w:val="nil"/>
              <w:bottom w:val="nil"/>
              <w:right w:val="nil"/>
            </w:tcBorders>
            <w:shd w:val="clear" w:color="auto" w:fill="auto"/>
            <w:vAlign w:val="bottom"/>
          </w:tcPr>
          <w:p w14:paraId="653139B4" w14:textId="77777777" w:rsidR="000A0387" w:rsidRPr="0012370C" w:rsidRDefault="000A0387" w:rsidP="00A966A2">
            <w:pPr>
              <w:pStyle w:val="TableBodyText"/>
              <w:ind w:left="-57" w:right="0"/>
              <w:jc w:val="left"/>
              <w:rPr>
                <w:rFonts w:cs="Arial"/>
                <w:szCs w:val="18"/>
              </w:rPr>
            </w:pPr>
            <w:r>
              <w:rPr>
                <w:rFonts w:cs="Arial"/>
                <w:szCs w:val="18"/>
              </w:rPr>
              <w:t>  </w:t>
            </w:r>
            <w:r w:rsidRPr="0012370C">
              <w:rPr>
                <w:rFonts w:cs="Arial"/>
                <w:szCs w:val="18"/>
              </w:rPr>
              <w:t>NT</w:t>
            </w:r>
          </w:p>
        </w:tc>
        <w:tc>
          <w:tcPr>
            <w:tcW w:w="992" w:type="dxa"/>
            <w:tcBorders>
              <w:top w:val="nil"/>
              <w:left w:val="nil"/>
              <w:bottom w:val="nil"/>
              <w:right w:val="nil"/>
            </w:tcBorders>
            <w:shd w:val="clear" w:color="auto" w:fill="auto"/>
            <w:vAlign w:val="bottom"/>
          </w:tcPr>
          <w:p w14:paraId="2C7F8B61" w14:textId="77777777" w:rsidR="000A0387" w:rsidRPr="0012370C" w:rsidRDefault="000A0387" w:rsidP="00A966A2">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3412D724"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1.0</w:t>
            </w:r>
          </w:p>
        </w:tc>
        <w:tc>
          <w:tcPr>
            <w:tcW w:w="709" w:type="dxa"/>
            <w:tcBorders>
              <w:top w:val="nil"/>
              <w:left w:val="nil"/>
              <w:bottom w:val="nil"/>
              <w:right w:val="nil"/>
            </w:tcBorders>
            <w:shd w:val="clear" w:color="auto" w:fill="auto"/>
            <w:vAlign w:val="bottom"/>
          </w:tcPr>
          <w:p w14:paraId="51D43DD1" w14:textId="77777777" w:rsidR="000A0387" w:rsidRPr="0012370C" w:rsidRDefault="000A0387" w:rsidP="00A966A2">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56546E8A"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0.4</w:t>
            </w:r>
          </w:p>
        </w:tc>
        <w:tc>
          <w:tcPr>
            <w:tcW w:w="709" w:type="dxa"/>
            <w:tcBorders>
              <w:top w:val="nil"/>
              <w:left w:val="nil"/>
              <w:bottom w:val="nil"/>
              <w:right w:val="nil"/>
            </w:tcBorders>
            <w:shd w:val="clear" w:color="auto" w:fill="auto"/>
            <w:vAlign w:val="bottom"/>
          </w:tcPr>
          <w:p w14:paraId="00218864" w14:textId="77777777" w:rsidR="000A0387" w:rsidRPr="0012370C" w:rsidRDefault="000A0387" w:rsidP="00A966A2">
            <w:pPr>
              <w:rPr>
                <w:rFonts w:ascii="Arial" w:hAnsi="Arial" w:cs="Arial"/>
                <w:color w:val="000000"/>
                <w:sz w:val="18"/>
                <w:szCs w:val="18"/>
              </w:rPr>
            </w:pPr>
          </w:p>
        </w:tc>
        <w:tc>
          <w:tcPr>
            <w:tcW w:w="850" w:type="dxa"/>
            <w:tcBorders>
              <w:top w:val="nil"/>
              <w:left w:val="nil"/>
              <w:bottom w:val="nil"/>
              <w:right w:val="nil"/>
            </w:tcBorders>
            <w:shd w:val="clear" w:color="auto" w:fill="auto"/>
            <w:vAlign w:val="bottom"/>
          </w:tcPr>
          <w:p w14:paraId="217A1928"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2.4</w:t>
            </w:r>
          </w:p>
        </w:tc>
        <w:tc>
          <w:tcPr>
            <w:tcW w:w="709" w:type="dxa"/>
            <w:tcBorders>
              <w:top w:val="nil"/>
              <w:left w:val="nil"/>
              <w:bottom w:val="nil"/>
              <w:right w:val="nil"/>
            </w:tcBorders>
            <w:shd w:val="clear" w:color="auto" w:fill="auto"/>
            <w:vAlign w:val="bottom"/>
          </w:tcPr>
          <w:p w14:paraId="6423C92E" w14:textId="77777777" w:rsidR="000A0387" w:rsidRPr="00E53947" w:rsidRDefault="000A0387" w:rsidP="00A966A2">
            <w:pPr>
              <w:pStyle w:val="TableBodyText"/>
              <w:ind w:right="0"/>
              <w:jc w:val="left"/>
            </w:pPr>
          </w:p>
        </w:tc>
      </w:tr>
      <w:tr w:rsidR="000A0387" w14:paraId="5211411D" w14:textId="77777777" w:rsidTr="004032A8">
        <w:trPr>
          <w:cantSplit/>
          <w:trHeight w:val="20"/>
        </w:trPr>
        <w:tc>
          <w:tcPr>
            <w:tcW w:w="2672" w:type="dxa"/>
            <w:tcBorders>
              <w:top w:val="nil"/>
              <w:left w:val="nil"/>
              <w:bottom w:val="nil"/>
              <w:right w:val="nil"/>
            </w:tcBorders>
            <w:shd w:val="clear" w:color="auto" w:fill="auto"/>
            <w:vAlign w:val="bottom"/>
          </w:tcPr>
          <w:p w14:paraId="64782D71" w14:textId="77777777" w:rsidR="000A0387" w:rsidRPr="0012370C" w:rsidRDefault="000A0387" w:rsidP="00A966A2">
            <w:pPr>
              <w:pStyle w:val="TableBodyText"/>
              <w:ind w:left="-57" w:right="0"/>
              <w:jc w:val="left"/>
              <w:rPr>
                <w:rFonts w:cs="Arial"/>
                <w:szCs w:val="18"/>
              </w:rPr>
            </w:pPr>
            <w:r>
              <w:rPr>
                <w:rFonts w:cs="Arial"/>
                <w:szCs w:val="18"/>
              </w:rPr>
              <w:t>  </w:t>
            </w:r>
            <w:r w:rsidRPr="0012370C">
              <w:rPr>
                <w:rFonts w:cs="Arial"/>
                <w:szCs w:val="18"/>
              </w:rPr>
              <w:t>ACT</w:t>
            </w:r>
          </w:p>
        </w:tc>
        <w:tc>
          <w:tcPr>
            <w:tcW w:w="992" w:type="dxa"/>
            <w:tcBorders>
              <w:top w:val="nil"/>
              <w:left w:val="nil"/>
              <w:bottom w:val="nil"/>
              <w:right w:val="nil"/>
            </w:tcBorders>
            <w:shd w:val="clear" w:color="auto" w:fill="auto"/>
            <w:vAlign w:val="bottom"/>
          </w:tcPr>
          <w:p w14:paraId="71742F86" w14:textId="77777777" w:rsidR="000A0387" w:rsidRPr="0012370C" w:rsidRDefault="000A0387" w:rsidP="00A966A2">
            <w:pPr>
              <w:pStyle w:val="TableBodyText"/>
              <w:ind w:left="-57" w:right="-142"/>
              <w:jc w:val="left"/>
              <w:rPr>
                <w:rFonts w:cs="Arial"/>
                <w:szCs w:val="18"/>
              </w:rPr>
            </w:pPr>
            <w:r w:rsidRPr="0012370C">
              <w:rPr>
                <w:rFonts w:cs="Arial"/>
                <w:szCs w:val="18"/>
              </w:rPr>
              <w:t>Per cent</w:t>
            </w:r>
          </w:p>
        </w:tc>
        <w:tc>
          <w:tcPr>
            <w:tcW w:w="1134" w:type="dxa"/>
            <w:tcBorders>
              <w:top w:val="nil"/>
              <w:left w:val="nil"/>
              <w:bottom w:val="nil"/>
              <w:right w:val="nil"/>
            </w:tcBorders>
            <w:shd w:val="clear" w:color="auto" w:fill="auto"/>
            <w:vAlign w:val="bottom"/>
          </w:tcPr>
          <w:p w14:paraId="115021F7"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0.7</w:t>
            </w:r>
          </w:p>
        </w:tc>
        <w:tc>
          <w:tcPr>
            <w:tcW w:w="709" w:type="dxa"/>
            <w:tcBorders>
              <w:top w:val="nil"/>
              <w:left w:val="nil"/>
              <w:bottom w:val="nil"/>
              <w:right w:val="nil"/>
            </w:tcBorders>
            <w:shd w:val="clear" w:color="auto" w:fill="auto"/>
            <w:vAlign w:val="bottom"/>
          </w:tcPr>
          <w:p w14:paraId="4A33C4FD" w14:textId="77777777" w:rsidR="000A0387" w:rsidRPr="0012370C" w:rsidRDefault="000A0387" w:rsidP="00A966A2">
            <w:pPr>
              <w:rPr>
                <w:rFonts w:ascii="Arial" w:hAnsi="Arial" w:cs="Arial"/>
                <w:color w:val="000000"/>
                <w:sz w:val="18"/>
                <w:szCs w:val="18"/>
              </w:rPr>
            </w:pPr>
          </w:p>
        </w:tc>
        <w:tc>
          <w:tcPr>
            <w:tcW w:w="992" w:type="dxa"/>
            <w:tcBorders>
              <w:top w:val="nil"/>
              <w:left w:val="nil"/>
              <w:bottom w:val="nil"/>
              <w:right w:val="nil"/>
            </w:tcBorders>
            <w:shd w:val="clear" w:color="auto" w:fill="auto"/>
            <w:vAlign w:val="bottom"/>
          </w:tcPr>
          <w:p w14:paraId="3F1909F5"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0.6</w:t>
            </w:r>
          </w:p>
        </w:tc>
        <w:tc>
          <w:tcPr>
            <w:tcW w:w="709" w:type="dxa"/>
            <w:tcBorders>
              <w:top w:val="nil"/>
              <w:left w:val="nil"/>
              <w:bottom w:val="nil"/>
              <w:right w:val="nil"/>
            </w:tcBorders>
            <w:shd w:val="clear" w:color="auto" w:fill="auto"/>
            <w:vAlign w:val="bottom"/>
          </w:tcPr>
          <w:p w14:paraId="3E9FD2FF" w14:textId="77777777" w:rsidR="000A0387" w:rsidRPr="0012370C" w:rsidRDefault="000A0387" w:rsidP="00A966A2">
            <w:pPr>
              <w:rPr>
                <w:rFonts w:ascii="Arial" w:hAnsi="Arial" w:cs="Arial"/>
                <w:color w:val="000000"/>
                <w:sz w:val="18"/>
                <w:szCs w:val="18"/>
              </w:rPr>
            </w:pPr>
          </w:p>
        </w:tc>
        <w:tc>
          <w:tcPr>
            <w:tcW w:w="850" w:type="dxa"/>
            <w:tcBorders>
              <w:top w:val="nil"/>
              <w:left w:val="nil"/>
              <w:bottom w:val="nil"/>
              <w:right w:val="nil"/>
            </w:tcBorders>
            <w:shd w:val="clear" w:color="auto" w:fill="auto"/>
            <w:vAlign w:val="bottom"/>
          </w:tcPr>
          <w:p w14:paraId="146E560F" w14:textId="77777777" w:rsidR="000A0387" w:rsidRPr="0012370C" w:rsidRDefault="000A0387" w:rsidP="00A966A2">
            <w:pPr>
              <w:jc w:val="right"/>
              <w:rPr>
                <w:rFonts w:ascii="Arial" w:hAnsi="Arial" w:cs="Arial"/>
                <w:color w:val="000000"/>
                <w:sz w:val="18"/>
                <w:szCs w:val="18"/>
              </w:rPr>
            </w:pPr>
            <w:r w:rsidRPr="0012370C">
              <w:rPr>
                <w:rFonts w:ascii="Arial" w:hAnsi="Arial" w:cs="Arial"/>
                <w:color w:val="000000"/>
                <w:sz w:val="18"/>
                <w:szCs w:val="18"/>
              </w:rPr>
              <w:t>2.5</w:t>
            </w:r>
          </w:p>
        </w:tc>
        <w:tc>
          <w:tcPr>
            <w:tcW w:w="709" w:type="dxa"/>
            <w:tcBorders>
              <w:top w:val="nil"/>
              <w:left w:val="nil"/>
              <w:bottom w:val="nil"/>
              <w:right w:val="nil"/>
            </w:tcBorders>
            <w:shd w:val="clear" w:color="auto" w:fill="auto"/>
            <w:vAlign w:val="bottom"/>
          </w:tcPr>
          <w:p w14:paraId="67E8339F" w14:textId="77777777" w:rsidR="000A0387" w:rsidRPr="00E53947" w:rsidRDefault="000A0387" w:rsidP="00A966A2">
            <w:pPr>
              <w:pStyle w:val="TableBodyText"/>
              <w:ind w:right="0"/>
              <w:jc w:val="left"/>
            </w:pPr>
          </w:p>
        </w:tc>
      </w:tr>
      <w:tr w:rsidR="00571749" w14:paraId="3F0E6542" w14:textId="77777777" w:rsidTr="004032A8">
        <w:trPr>
          <w:cantSplit/>
          <w:trHeight w:val="20"/>
        </w:trPr>
        <w:tc>
          <w:tcPr>
            <w:tcW w:w="3664" w:type="dxa"/>
            <w:gridSpan w:val="2"/>
            <w:tcBorders>
              <w:top w:val="nil"/>
              <w:left w:val="nil"/>
              <w:bottom w:val="nil"/>
              <w:right w:val="nil"/>
            </w:tcBorders>
            <w:shd w:val="clear" w:color="auto" w:fill="auto"/>
            <w:vAlign w:val="bottom"/>
          </w:tcPr>
          <w:p w14:paraId="28FF7229" w14:textId="77777777" w:rsidR="00571749" w:rsidRPr="0012370C" w:rsidRDefault="00571749" w:rsidP="004032A8">
            <w:pPr>
              <w:pStyle w:val="TableBodyText"/>
              <w:spacing w:before="80"/>
              <w:ind w:left="-57" w:right="0"/>
              <w:jc w:val="left"/>
              <w:rPr>
                <w:bCs/>
                <w:i/>
              </w:rPr>
            </w:pPr>
            <w:r w:rsidRPr="0012370C">
              <w:rPr>
                <w:rFonts w:cs="Arial"/>
                <w:bCs/>
                <w:i/>
                <w:szCs w:val="18"/>
              </w:rPr>
              <w:t>Region</w:t>
            </w:r>
          </w:p>
        </w:tc>
        <w:tc>
          <w:tcPr>
            <w:tcW w:w="1134" w:type="dxa"/>
            <w:tcBorders>
              <w:top w:val="nil"/>
              <w:left w:val="nil"/>
              <w:bottom w:val="nil"/>
              <w:right w:val="nil"/>
            </w:tcBorders>
            <w:shd w:val="clear" w:color="auto" w:fill="auto"/>
            <w:vAlign w:val="bottom"/>
          </w:tcPr>
          <w:p w14:paraId="6ACB5A7F" w14:textId="77777777" w:rsidR="00571749" w:rsidRDefault="00571749" w:rsidP="004235A4">
            <w:pPr>
              <w:pStyle w:val="TableBodyText"/>
              <w:ind w:left="0" w:right="0"/>
            </w:pPr>
          </w:p>
        </w:tc>
        <w:tc>
          <w:tcPr>
            <w:tcW w:w="709" w:type="dxa"/>
            <w:tcBorders>
              <w:top w:val="nil"/>
              <w:left w:val="nil"/>
              <w:bottom w:val="nil"/>
              <w:right w:val="nil"/>
            </w:tcBorders>
            <w:shd w:val="clear" w:color="auto" w:fill="auto"/>
            <w:vAlign w:val="bottom"/>
          </w:tcPr>
          <w:p w14:paraId="165B9E8B" w14:textId="77777777" w:rsidR="00571749" w:rsidRDefault="00571749" w:rsidP="004235A4">
            <w:pPr>
              <w:pStyle w:val="TableBodyText"/>
              <w:ind w:left="0" w:right="0"/>
            </w:pPr>
          </w:p>
        </w:tc>
        <w:tc>
          <w:tcPr>
            <w:tcW w:w="992" w:type="dxa"/>
            <w:tcBorders>
              <w:top w:val="nil"/>
              <w:left w:val="nil"/>
              <w:bottom w:val="nil"/>
              <w:right w:val="nil"/>
            </w:tcBorders>
            <w:shd w:val="clear" w:color="auto" w:fill="auto"/>
            <w:vAlign w:val="bottom"/>
          </w:tcPr>
          <w:p w14:paraId="53DDFD42" w14:textId="77777777" w:rsidR="00571749" w:rsidRDefault="00571749" w:rsidP="004235A4">
            <w:pPr>
              <w:pStyle w:val="TableBodyText"/>
              <w:ind w:left="0" w:right="0"/>
            </w:pPr>
          </w:p>
        </w:tc>
        <w:tc>
          <w:tcPr>
            <w:tcW w:w="709" w:type="dxa"/>
            <w:tcBorders>
              <w:top w:val="nil"/>
              <w:left w:val="nil"/>
              <w:bottom w:val="nil"/>
              <w:right w:val="nil"/>
            </w:tcBorders>
            <w:shd w:val="clear" w:color="auto" w:fill="auto"/>
            <w:vAlign w:val="bottom"/>
          </w:tcPr>
          <w:p w14:paraId="0649A0C0" w14:textId="77777777" w:rsidR="00571749" w:rsidRDefault="00571749" w:rsidP="004235A4">
            <w:pPr>
              <w:pStyle w:val="TableBodyText"/>
              <w:ind w:left="0" w:right="0"/>
            </w:pPr>
          </w:p>
        </w:tc>
        <w:tc>
          <w:tcPr>
            <w:tcW w:w="850" w:type="dxa"/>
            <w:tcBorders>
              <w:top w:val="nil"/>
              <w:left w:val="nil"/>
              <w:bottom w:val="nil"/>
              <w:right w:val="nil"/>
            </w:tcBorders>
            <w:shd w:val="clear" w:color="auto" w:fill="auto"/>
            <w:vAlign w:val="bottom"/>
          </w:tcPr>
          <w:p w14:paraId="51A89C12" w14:textId="77777777" w:rsidR="00571749" w:rsidRDefault="00571749" w:rsidP="004235A4">
            <w:pPr>
              <w:pStyle w:val="TableBodyText"/>
              <w:ind w:left="0" w:right="0"/>
            </w:pPr>
          </w:p>
        </w:tc>
        <w:tc>
          <w:tcPr>
            <w:tcW w:w="709" w:type="dxa"/>
            <w:tcBorders>
              <w:top w:val="nil"/>
              <w:left w:val="nil"/>
              <w:bottom w:val="nil"/>
              <w:right w:val="nil"/>
            </w:tcBorders>
            <w:shd w:val="clear" w:color="auto" w:fill="auto"/>
            <w:vAlign w:val="bottom"/>
          </w:tcPr>
          <w:p w14:paraId="4C7852D4" w14:textId="77777777" w:rsidR="00571749" w:rsidRDefault="00571749" w:rsidP="00C4369E">
            <w:pPr>
              <w:pStyle w:val="TableBodyText"/>
            </w:pPr>
          </w:p>
        </w:tc>
      </w:tr>
      <w:tr w:rsidR="007221EE" w14:paraId="35DC38CA" w14:textId="77777777" w:rsidTr="00FE2AEF">
        <w:trPr>
          <w:cantSplit/>
          <w:trHeight w:val="20"/>
        </w:trPr>
        <w:tc>
          <w:tcPr>
            <w:tcW w:w="2672" w:type="dxa"/>
            <w:tcBorders>
              <w:top w:val="nil"/>
              <w:left w:val="nil"/>
              <w:bottom w:val="nil"/>
              <w:right w:val="nil"/>
            </w:tcBorders>
            <w:shd w:val="clear" w:color="auto" w:fill="auto"/>
            <w:vAlign w:val="bottom"/>
          </w:tcPr>
          <w:p w14:paraId="264F7171" w14:textId="77777777" w:rsidR="00571749" w:rsidRPr="0012370C" w:rsidRDefault="00571749" w:rsidP="004235A4">
            <w:pPr>
              <w:pStyle w:val="TableBodyText"/>
              <w:ind w:left="-57" w:right="0"/>
              <w:jc w:val="left"/>
              <w:rPr>
                <w:bCs/>
                <w:i/>
              </w:rPr>
            </w:pPr>
            <w:r>
              <w:rPr>
                <w:rFonts w:cs="Arial"/>
                <w:szCs w:val="18"/>
              </w:rPr>
              <w:t>  </w:t>
            </w:r>
            <w:r w:rsidRPr="0012370C">
              <w:rPr>
                <w:rFonts w:cs="Arial"/>
                <w:szCs w:val="18"/>
              </w:rPr>
              <w:t>Major city</w:t>
            </w:r>
          </w:p>
        </w:tc>
        <w:tc>
          <w:tcPr>
            <w:tcW w:w="992" w:type="dxa"/>
            <w:tcBorders>
              <w:top w:val="nil"/>
              <w:left w:val="nil"/>
              <w:bottom w:val="nil"/>
              <w:right w:val="nil"/>
            </w:tcBorders>
            <w:shd w:val="clear" w:color="auto" w:fill="auto"/>
            <w:vAlign w:val="bottom"/>
          </w:tcPr>
          <w:p w14:paraId="50BFB512" w14:textId="77777777" w:rsidR="00571749" w:rsidRPr="0012370C" w:rsidRDefault="00571749" w:rsidP="004235A4">
            <w:pPr>
              <w:pStyle w:val="TableBodyText"/>
              <w:ind w:left="-57" w:right="0"/>
              <w:jc w:val="left"/>
              <w:rPr>
                <w:bCs/>
                <w:i/>
              </w:rPr>
            </w:pPr>
            <w:r w:rsidRPr="0012370C">
              <w:rPr>
                <w:rFonts w:cs="Arial"/>
                <w:szCs w:val="18"/>
              </w:rPr>
              <w:t>Per cent</w:t>
            </w:r>
          </w:p>
        </w:tc>
        <w:tc>
          <w:tcPr>
            <w:tcW w:w="1134" w:type="dxa"/>
            <w:tcBorders>
              <w:top w:val="nil"/>
              <w:left w:val="nil"/>
              <w:bottom w:val="nil"/>
              <w:right w:val="nil"/>
            </w:tcBorders>
            <w:shd w:val="clear" w:color="auto" w:fill="auto"/>
            <w:vAlign w:val="bottom"/>
          </w:tcPr>
          <w:p w14:paraId="65925625" w14:textId="77777777" w:rsidR="00571749" w:rsidRDefault="00571749" w:rsidP="004235A4">
            <w:pPr>
              <w:pStyle w:val="TableBodyText"/>
              <w:ind w:left="0" w:right="0"/>
            </w:pPr>
            <w:r w:rsidRPr="0012370C">
              <w:rPr>
                <w:rFonts w:cs="Arial"/>
                <w:color w:val="000000"/>
                <w:szCs w:val="18"/>
              </w:rPr>
              <w:t>64.5</w:t>
            </w:r>
          </w:p>
        </w:tc>
        <w:tc>
          <w:tcPr>
            <w:tcW w:w="709" w:type="dxa"/>
            <w:tcBorders>
              <w:top w:val="nil"/>
              <w:left w:val="nil"/>
              <w:bottom w:val="nil"/>
              <w:right w:val="nil"/>
            </w:tcBorders>
            <w:shd w:val="clear" w:color="auto" w:fill="auto"/>
            <w:vAlign w:val="bottom"/>
          </w:tcPr>
          <w:p w14:paraId="39FFA4C8" w14:textId="77777777" w:rsidR="00571749" w:rsidRDefault="00571749" w:rsidP="004235A4">
            <w:pPr>
              <w:pStyle w:val="TableBodyText"/>
              <w:ind w:left="0" w:right="0"/>
            </w:pPr>
          </w:p>
        </w:tc>
        <w:tc>
          <w:tcPr>
            <w:tcW w:w="992" w:type="dxa"/>
            <w:tcBorders>
              <w:top w:val="nil"/>
              <w:left w:val="nil"/>
              <w:bottom w:val="nil"/>
              <w:right w:val="nil"/>
            </w:tcBorders>
            <w:shd w:val="clear" w:color="auto" w:fill="auto"/>
            <w:vAlign w:val="bottom"/>
          </w:tcPr>
          <w:p w14:paraId="1F61503E" w14:textId="77777777" w:rsidR="00571749" w:rsidRDefault="00571749" w:rsidP="004235A4">
            <w:pPr>
              <w:pStyle w:val="TableBodyText"/>
              <w:ind w:left="0" w:right="0"/>
            </w:pPr>
            <w:r w:rsidRPr="0012370C">
              <w:rPr>
                <w:rFonts w:cs="Arial"/>
                <w:color w:val="000000"/>
                <w:szCs w:val="18"/>
              </w:rPr>
              <w:t>64.7</w:t>
            </w:r>
          </w:p>
        </w:tc>
        <w:tc>
          <w:tcPr>
            <w:tcW w:w="709" w:type="dxa"/>
            <w:tcBorders>
              <w:top w:val="nil"/>
              <w:left w:val="nil"/>
              <w:bottom w:val="nil"/>
              <w:right w:val="nil"/>
            </w:tcBorders>
            <w:shd w:val="clear" w:color="auto" w:fill="auto"/>
            <w:vAlign w:val="bottom"/>
          </w:tcPr>
          <w:p w14:paraId="73502E37" w14:textId="77777777" w:rsidR="00571749" w:rsidRDefault="00571749" w:rsidP="004235A4">
            <w:pPr>
              <w:pStyle w:val="TableBodyText"/>
              <w:ind w:left="0" w:right="0"/>
            </w:pPr>
          </w:p>
        </w:tc>
        <w:tc>
          <w:tcPr>
            <w:tcW w:w="850" w:type="dxa"/>
            <w:tcBorders>
              <w:top w:val="nil"/>
              <w:left w:val="nil"/>
              <w:bottom w:val="nil"/>
              <w:right w:val="nil"/>
            </w:tcBorders>
            <w:shd w:val="clear" w:color="auto" w:fill="auto"/>
            <w:vAlign w:val="bottom"/>
          </w:tcPr>
          <w:p w14:paraId="6609F00F" w14:textId="77777777" w:rsidR="00571749" w:rsidRDefault="00571749" w:rsidP="004235A4">
            <w:pPr>
              <w:pStyle w:val="TableBodyText"/>
              <w:ind w:left="0" w:right="0"/>
            </w:pPr>
            <w:r w:rsidRPr="0012370C">
              <w:rPr>
                <w:rFonts w:cs="Arial"/>
                <w:color w:val="000000"/>
                <w:szCs w:val="18"/>
              </w:rPr>
              <w:t>68.5</w:t>
            </w:r>
          </w:p>
        </w:tc>
        <w:tc>
          <w:tcPr>
            <w:tcW w:w="709" w:type="dxa"/>
            <w:tcBorders>
              <w:top w:val="nil"/>
              <w:left w:val="nil"/>
              <w:bottom w:val="nil"/>
              <w:right w:val="nil"/>
            </w:tcBorders>
            <w:shd w:val="clear" w:color="auto" w:fill="auto"/>
            <w:vAlign w:val="bottom"/>
          </w:tcPr>
          <w:p w14:paraId="264B67DC" w14:textId="77777777" w:rsidR="00571749" w:rsidRDefault="00571749" w:rsidP="00C4369E">
            <w:pPr>
              <w:pStyle w:val="TableBodyText"/>
            </w:pPr>
          </w:p>
        </w:tc>
      </w:tr>
      <w:tr w:rsidR="007221EE" w14:paraId="791D216E" w14:textId="77777777" w:rsidTr="00FE2AEF">
        <w:trPr>
          <w:cantSplit/>
          <w:trHeight w:val="20"/>
        </w:trPr>
        <w:tc>
          <w:tcPr>
            <w:tcW w:w="2672" w:type="dxa"/>
            <w:tcBorders>
              <w:top w:val="nil"/>
              <w:left w:val="nil"/>
              <w:bottom w:val="nil"/>
              <w:right w:val="nil"/>
            </w:tcBorders>
            <w:shd w:val="clear" w:color="auto" w:fill="auto"/>
            <w:vAlign w:val="bottom"/>
          </w:tcPr>
          <w:p w14:paraId="5C7B7D5D" w14:textId="77777777" w:rsidR="00571749" w:rsidRPr="0012370C" w:rsidRDefault="00571749" w:rsidP="004235A4">
            <w:pPr>
              <w:pStyle w:val="TableBodyText"/>
              <w:ind w:left="-57" w:right="0"/>
              <w:jc w:val="left"/>
              <w:rPr>
                <w:bCs/>
                <w:i/>
              </w:rPr>
            </w:pPr>
            <w:r>
              <w:rPr>
                <w:rFonts w:cs="Arial"/>
                <w:szCs w:val="18"/>
              </w:rPr>
              <w:t>  </w:t>
            </w:r>
            <w:r w:rsidRPr="0012370C">
              <w:rPr>
                <w:rFonts w:cs="Arial"/>
                <w:szCs w:val="18"/>
              </w:rPr>
              <w:t>Inner regional</w:t>
            </w:r>
          </w:p>
        </w:tc>
        <w:tc>
          <w:tcPr>
            <w:tcW w:w="992" w:type="dxa"/>
            <w:tcBorders>
              <w:top w:val="nil"/>
              <w:left w:val="nil"/>
              <w:bottom w:val="nil"/>
              <w:right w:val="nil"/>
            </w:tcBorders>
            <w:shd w:val="clear" w:color="auto" w:fill="auto"/>
            <w:vAlign w:val="bottom"/>
          </w:tcPr>
          <w:p w14:paraId="08854CC7" w14:textId="77777777" w:rsidR="00571749" w:rsidRPr="0012370C" w:rsidRDefault="00571749" w:rsidP="004235A4">
            <w:pPr>
              <w:pStyle w:val="TableBodyText"/>
              <w:ind w:left="-57" w:right="0"/>
              <w:jc w:val="left"/>
              <w:rPr>
                <w:bCs/>
                <w:i/>
              </w:rPr>
            </w:pPr>
            <w:r w:rsidRPr="0012370C">
              <w:rPr>
                <w:rFonts w:cs="Arial"/>
                <w:szCs w:val="18"/>
              </w:rPr>
              <w:t>Per cent</w:t>
            </w:r>
          </w:p>
        </w:tc>
        <w:tc>
          <w:tcPr>
            <w:tcW w:w="1134" w:type="dxa"/>
            <w:tcBorders>
              <w:top w:val="nil"/>
              <w:left w:val="nil"/>
              <w:bottom w:val="nil"/>
              <w:right w:val="nil"/>
            </w:tcBorders>
            <w:shd w:val="clear" w:color="auto" w:fill="auto"/>
            <w:vAlign w:val="bottom"/>
          </w:tcPr>
          <w:p w14:paraId="7CDF28A9" w14:textId="77777777" w:rsidR="00571749" w:rsidRDefault="00571749" w:rsidP="004235A4">
            <w:pPr>
              <w:pStyle w:val="TableBodyText"/>
              <w:ind w:left="0" w:right="0"/>
            </w:pPr>
            <w:r w:rsidRPr="0012370C">
              <w:rPr>
                <w:rFonts w:cs="Arial"/>
                <w:color w:val="000000"/>
                <w:szCs w:val="18"/>
              </w:rPr>
              <w:t>21.8</w:t>
            </w:r>
          </w:p>
        </w:tc>
        <w:tc>
          <w:tcPr>
            <w:tcW w:w="709" w:type="dxa"/>
            <w:tcBorders>
              <w:top w:val="nil"/>
              <w:left w:val="nil"/>
              <w:bottom w:val="nil"/>
              <w:right w:val="nil"/>
            </w:tcBorders>
            <w:shd w:val="clear" w:color="auto" w:fill="auto"/>
            <w:vAlign w:val="bottom"/>
          </w:tcPr>
          <w:p w14:paraId="1827C858" w14:textId="77777777" w:rsidR="00571749" w:rsidRDefault="00571749" w:rsidP="004235A4">
            <w:pPr>
              <w:pStyle w:val="TableBodyText"/>
              <w:ind w:left="0" w:right="0"/>
            </w:pPr>
          </w:p>
        </w:tc>
        <w:tc>
          <w:tcPr>
            <w:tcW w:w="992" w:type="dxa"/>
            <w:tcBorders>
              <w:top w:val="nil"/>
              <w:left w:val="nil"/>
              <w:bottom w:val="nil"/>
              <w:right w:val="nil"/>
            </w:tcBorders>
            <w:shd w:val="clear" w:color="auto" w:fill="auto"/>
            <w:vAlign w:val="bottom"/>
          </w:tcPr>
          <w:p w14:paraId="493D8FA4" w14:textId="77777777" w:rsidR="00571749" w:rsidRDefault="00571749" w:rsidP="004235A4">
            <w:pPr>
              <w:pStyle w:val="TableBodyText"/>
              <w:ind w:left="0" w:right="0"/>
            </w:pPr>
            <w:r w:rsidRPr="0012370C">
              <w:rPr>
                <w:rFonts w:cs="Arial"/>
                <w:color w:val="000000"/>
                <w:szCs w:val="18"/>
              </w:rPr>
              <w:t>24.0</w:t>
            </w:r>
          </w:p>
        </w:tc>
        <w:tc>
          <w:tcPr>
            <w:tcW w:w="709" w:type="dxa"/>
            <w:tcBorders>
              <w:top w:val="nil"/>
              <w:left w:val="nil"/>
              <w:bottom w:val="nil"/>
              <w:right w:val="nil"/>
            </w:tcBorders>
            <w:shd w:val="clear" w:color="auto" w:fill="auto"/>
            <w:vAlign w:val="bottom"/>
          </w:tcPr>
          <w:p w14:paraId="59BC5ED8" w14:textId="77777777" w:rsidR="00571749" w:rsidRDefault="00571749" w:rsidP="004235A4">
            <w:pPr>
              <w:pStyle w:val="TableBodyText"/>
              <w:ind w:left="0" w:right="0"/>
            </w:pPr>
          </w:p>
        </w:tc>
        <w:tc>
          <w:tcPr>
            <w:tcW w:w="850" w:type="dxa"/>
            <w:tcBorders>
              <w:top w:val="nil"/>
              <w:left w:val="nil"/>
              <w:bottom w:val="nil"/>
              <w:right w:val="nil"/>
            </w:tcBorders>
            <w:shd w:val="clear" w:color="auto" w:fill="auto"/>
            <w:vAlign w:val="bottom"/>
          </w:tcPr>
          <w:p w14:paraId="2A8F5D43" w14:textId="77777777" w:rsidR="00571749" w:rsidRDefault="00571749" w:rsidP="004235A4">
            <w:pPr>
              <w:pStyle w:val="TableBodyText"/>
              <w:ind w:left="0" w:right="0"/>
            </w:pPr>
            <w:r w:rsidRPr="0012370C">
              <w:rPr>
                <w:rFonts w:cs="Arial"/>
                <w:color w:val="000000"/>
                <w:szCs w:val="18"/>
              </w:rPr>
              <w:t>17.1</w:t>
            </w:r>
          </w:p>
        </w:tc>
        <w:tc>
          <w:tcPr>
            <w:tcW w:w="709" w:type="dxa"/>
            <w:tcBorders>
              <w:top w:val="nil"/>
              <w:left w:val="nil"/>
              <w:bottom w:val="nil"/>
              <w:right w:val="nil"/>
            </w:tcBorders>
            <w:shd w:val="clear" w:color="auto" w:fill="auto"/>
            <w:vAlign w:val="bottom"/>
          </w:tcPr>
          <w:p w14:paraId="58F9902E" w14:textId="77777777" w:rsidR="00571749" w:rsidRDefault="00571749" w:rsidP="00C4369E">
            <w:pPr>
              <w:pStyle w:val="TableBodyText"/>
            </w:pPr>
          </w:p>
        </w:tc>
      </w:tr>
      <w:tr w:rsidR="007221EE" w14:paraId="5E528953" w14:textId="77777777" w:rsidTr="00FE2AEF">
        <w:trPr>
          <w:cantSplit/>
          <w:trHeight w:val="20"/>
        </w:trPr>
        <w:tc>
          <w:tcPr>
            <w:tcW w:w="2672" w:type="dxa"/>
            <w:tcBorders>
              <w:top w:val="nil"/>
              <w:left w:val="nil"/>
              <w:bottom w:val="nil"/>
              <w:right w:val="nil"/>
            </w:tcBorders>
            <w:shd w:val="clear" w:color="auto" w:fill="auto"/>
            <w:vAlign w:val="bottom"/>
          </w:tcPr>
          <w:p w14:paraId="6D98684D" w14:textId="77777777" w:rsidR="00571749" w:rsidRPr="0012370C" w:rsidRDefault="00571749" w:rsidP="004235A4">
            <w:pPr>
              <w:pStyle w:val="TableBodyText"/>
              <w:ind w:left="-57" w:right="0"/>
              <w:jc w:val="left"/>
              <w:rPr>
                <w:bCs/>
                <w:i/>
              </w:rPr>
            </w:pPr>
            <w:r>
              <w:rPr>
                <w:rFonts w:cs="Arial"/>
                <w:szCs w:val="18"/>
              </w:rPr>
              <w:t>  </w:t>
            </w:r>
            <w:r w:rsidRPr="0012370C">
              <w:rPr>
                <w:rFonts w:cs="Arial"/>
                <w:szCs w:val="18"/>
              </w:rPr>
              <w:t>Outer regional</w:t>
            </w:r>
          </w:p>
        </w:tc>
        <w:tc>
          <w:tcPr>
            <w:tcW w:w="992" w:type="dxa"/>
            <w:tcBorders>
              <w:top w:val="nil"/>
              <w:left w:val="nil"/>
              <w:bottom w:val="nil"/>
              <w:right w:val="nil"/>
            </w:tcBorders>
            <w:shd w:val="clear" w:color="auto" w:fill="auto"/>
            <w:vAlign w:val="bottom"/>
          </w:tcPr>
          <w:p w14:paraId="0AE64F2E" w14:textId="77777777" w:rsidR="00571749" w:rsidRPr="0012370C" w:rsidRDefault="00571749" w:rsidP="004235A4">
            <w:pPr>
              <w:pStyle w:val="TableBodyText"/>
              <w:ind w:left="-57" w:right="0"/>
              <w:jc w:val="left"/>
              <w:rPr>
                <w:bCs/>
                <w:i/>
              </w:rPr>
            </w:pPr>
            <w:r w:rsidRPr="0012370C">
              <w:rPr>
                <w:rFonts w:cs="Arial"/>
                <w:szCs w:val="18"/>
              </w:rPr>
              <w:t>Per cent</w:t>
            </w:r>
          </w:p>
        </w:tc>
        <w:tc>
          <w:tcPr>
            <w:tcW w:w="1134" w:type="dxa"/>
            <w:tcBorders>
              <w:top w:val="nil"/>
              <w:left w:val="nil"/>
              <w:bottom w:val="nil"/>
              <w:right w:val="nil"/>
            </w:tcBorders>
            <w:shd w:val="clear" w:color="auto" w:fill="auto"/>
            <w:vAlign w:val="bottom"/>
          </w:tcPr>
          <w:p w14:paraId="40785F45" w14:textId="77777777" w:rsidR="00571749" w:rsidRDefault="00571749" w:rsidP="004235A4">
            <w:pPr>
              <w:pStyle w:val="TableBodyText"/>
              <w:ind w:left="0" w:right="0"/>
            </w:pPr>
            <w:r w:rsidRPr="0012370C">
              <w:rPr>
                <w:rFonts w:cs="Arial"/>
                <w:color w:val="000000"/>
                <w:szCs w:val="18"/>
              </w:rPr>
              <w:t>11.2</w:t>
            </w:r>
          </w:p>
        </w:tc>
        <w:tc>
          <w:tcPr>
            <w:tcW w:w="709" w:type="dxa"/>
            <w:tcBorders>
              <w:top w:val="nil"/>
              <w:left w:val="nil"/>
              <w:bottom w:val="nil"/>
              <w:right w:val="nil"/>
            </w:tcBorders>
            <w:shd w:val="clear" w:color="auto" w:fill="auto"/>
            <w:vAlign w:val="bottom"/>
          </w:tcPr>
          <w:p w14:paraId="64EB9F73" w14:textId="77777777" w:rsidR="00571749" w:rsidRDefault="00571749" w:rsidP="004235A4">
            <w:pPr>
              <w:pStyle w:val="TableBodyText"/>
              <w:ind w:left="0" w:right="0"/>
            </w:pPr>
          </w:p>
        </w:tc>
        <w:tc>
          <w:tcPr>
            <w:tcW w:w="992" w:type="dxa"/>
            <w:tcBorders>
              <w:top w:val="nil"/>
              <w:left w:val="nil"/>
              <w:bottom w:val="nil"/>
              <w:right w:val="nil"/>
            </w:tcBorders>
            <w:shd w:val="clear" w:color="auto" w:fill="auto"/>
            <w:vAlign w:val="bottom"/>
          </w:tcPr>
          <w:p w14:paraId="3E50E042" w14:textId="77777777" w:rsidR="00571749" w:rsidRDefault="00571749" w:rsidP="004235A4">
            <w:pPr>
              <w:pStyle w:val="TableBodyText"/>
              <w:ind w:left="0" w:right="0"/>
            </w:pPr>
            <w:r w:rsidRPr="0012370C">
              <w:rPr>
                <w:rFonts w:cs="Arial"/>
                <w:color w:val="000000"/>
                <w:szCs w:val="18"/>
              </w:rPr>
              <w:t>10.3</w:t>
            </w:r>
          </w:p>
        </w:tc>
        <w:tc>
          <w:tcPr>
            <w:tcW w:w="709" w:type="dxa"/>
            <w:tcBorders>
              <w:top w:val="nil"/>
              <w:left w:val="nil"/>
              <w:bottom w:val="nil"/>
              <w:right w:val="nil"/>
            </w:tcBorders>
            <w:shd w:val="clear" w:color="auto" w:fill="auto"/>
            <w:vAlign w:val="bottom"/>
          </w:tcPr>
          <w:p w14:paraId="3FB829E1" w14:textId="77777777" w:rsidR="00571749" w:rsidRDefault="00571749" w:rsidP="004235A4">
            <w:pPr>
              <w:pStyle w:val="TableBodyText"/>
              <w:ind w:left="0" w:right="0"/>
            </w:pPr>
          </w:p>
        </w:tc>
        <w:tc>
          <w:tcPr>
            <w:tcW w:w="850" w:type="dxa"/>
            <w:tcBorders>
              <w:top w:val="nil"/>
              <w:left w:val="nil"/>
              <w:bottom w:val="nil"/>
              <w:right w:val="nil"/>
            </w:tcBorders>
            <w:shd w:val="clear" w:color="auto" w:fill="auto"/>
            <w:vAlign w:val="bottom"/>
          </w:tcPr>
          <w:p w14:paraId="172B77C7" w14:textId="77777777" w:rsidR="00571749" w:rsidRDefault="00571749" w:rsidP="004235A4">
            <w:pPr>
              <w:pStyle w:val="TableBodyText"/>
              <w:ind w:left="0" w:right="0"/>
            </w:pPr>
            <w:r w:rsidRPr="0012370C">
              <w:rPr>
                <w:rFonts w:cs="Arial"/>
                <w:color w:val="000000"/>
                <w:szCs w:val="18"/>
              </w:rPr>
              <w:t>10.2</w:t>
            </w:r>
          </w:p>
        </w:tc>
        <w:tc>
          <w:tcPr>
            <w:tcW w:w="709" w:type="dxa"/>
            <w:tcBorders>
              <w:top w:val="nil"/>
              <w:left w:val="nil"/>
              <w:bottom w:val="nil"/>
              <w:right w:val="nil"/>
            </w:tcBorders>
            <w:shd w:val="clear" w:color="auto" w:fill="auto"/>
            <w:vAlign w:val="bottom"/>
          </w:tcPr>
          <w:p w14:paraId="799EDB5D" w14:textId="77777777" w:rsidR="00571749" w:rsidRDefault="00571749" w:rsidP="00C4369E">
            <w:pPr>
              <w:pStyle w:val="TableBodyText"/>
            </w:pPr>
          </w:p>
        </w:tc>
      </w:tr>
      <w:tr w:rsidR="007221EE" w14:paraId="7B4390ED" w14:textId="77777777" w:rsidTr="00FE2AEF">
        <w:trPr>
          <w:cantSplit/>
          <w:trHeight w:val="20"/>
        </w:trPr>
        <w:tc>
          <w:tcPr>
            <w:tcW w:w="2672" w:type="dxa"/>
            <w:tcBorders>
              <w:top w:val="nil"/>
              <w:left w:val="nil"/>
              <w:bottom w:val="nil"/>
              <w:right w:val="nil"/>
            </w:tcBorders>
            <w:shd w:val="clear" w:color="auto" w:fill="auto"/>
            <w:vAlign w:val="bottom"/>
          </w:tcPr>
          <w:p w14:paraId="1F6B2FD0" w14:textId="77777777" w:rsidR="00571749" w:rsidRPr="0012370C" w:rsidRDefault="00571749" w:rsidP="004235A4">
            <w:pPr>
              <w:pStyle w:val="TableBodyText"/>
              <w:ind w:left="-57" w:right="0"/>
              <w:jc w:val="left"/>
              <w:rPr>
                <w:bCs/>
                <w:i/>
              </w:rPr>
            </w:pPr>
            <w:r>
              <w:rPr>
                <w:rFonts w:cs="Arial"/>
                <w:szCs w:val="18"/>
              </w:rPr>
              <w:t>  </w:t>
            </w:r>
            <w:r w:rsidRPr="0012370C">
              <w:rPr>
                <w:rFonts w:cs="Arial"/>
                <w:szCs w:val="18"/>
              </w:rPr>
              <w:t>Remote or very remote</w:t>
            </w:r>
          </w:p>
        </w:tc>
        <w:tc>
          <w:tcPr>
            <w:tcW w:w="992" w:type="dxa"/>
            <w:tcBorders>
              <w:top w:val="nil"/>
              <w:left w:val="nil"/>
              <w:bottom w:val="nil"/>
              <w:right w:val="nil"/>
            </w:tcBorders>
            <w:shd w:val="clear" w:color="auto" w:fill="auto"/>
            <w:vAlign w:val="bottom"/>
          </w:tcPr>
          <w:p w14:paraId="6E15FF4C" w14:textId="77777777" w:rsidR="00571749" w:rsidRPr="0012370C" w:rsidRDefault="00571749" w:rsidP="004235A4">
            <w:pPr>
              <w:pStyle w:val="TableBodyText"/>
              <w:ind w:left="-57" w:right="0"/>
              <w:jc w:val="left"/>
              <w:rPr>
                <w:bCs/>
                <w:i/>
              </w:rPr>
            </w:pPr>
            <w:r w:rsidRPr="0012370C">
              <w:rPr>
                <w:rFonts w:cs="Arial"/>
                <w:szCs w:val="18"/>
              </w:rPr>
              <w:t>Per cent</w:t>
            </w:r>
          </w:p>
        </w:tc>
        <w:tc>
          <w:tcPr>
            <w:tcW w:w="1134" w:type="dxa"/>
            <w:tcBorders>
              <w:top w:val="nil"/>
              <w:left w:val="nil"/>
              <w:bottom w:val="nil"/>
              <w:right w:val="nil"/>
            </w:tcBorders>
            <w:shd w:val="clear" w:color="auto" w:fill="auto"/>
            <w:vAlign w:val="bottom"/>
          </w:tcPr>
          <w:p w14:paraId="5CF0046A" w14:textId="77777777" w:rsidR="00571749" w:rsidRDefault="00571749" w:rsidP="004235A4">
            <w:pPr>
              <w:pStyle w:val="TableBodyText"/>
              <w:ind w:left="0" w:right="0"/>
            </w:pPr>
            <w:r w:rsidRPr="0012370C">
              <w:rPr>
                <w:rFonts w:cs="Arial"/>
                <w:color w:val="000000"/>
                <w:szCs w:val="18"/>
              </w:rPr>
              <w:t>2.5</w:t>
            </w:r>
          </w:p>
        </w:tc>
        <w:tc>
          <w:tcPr>
            <w:tcW w:w="709" w:type="dxa"/>
            <w:tcBorders>
              <w:top w:val="nil"/>
              <w:left w:val="nil"/>
              <w:bottom w:val="nil"/>
              <w:right w:val="nil"/>
            </w:tcBorders>
            <w:shd w:val="clear" w:color="auto" w:fill="auto"/>
            <w:vAlign w:val="bottom"/>
          </w:tcPr>
          <w:p w14:paraId="7EE62F72" w14:textId="77777777" w:rsidR="00571749" w:rsidRDefault="00571749" w:rsidP="004235A4">
            <w:pPr>
              <w:pStyle w:val="TableBodyText"/>
              <w:ind w:left="0" w:right="0"/>
            </w:pPr>
          </w:p>
        </w:tc>
        <w:tc>
          <w:tcPr>
            <w:tcW w:w="992" w:type="dxa"/>
            <w:tcBorders>
              <w:top w:val="nil"/>
              <w:left w:val="nil"/>
              <w:bottom w:val="nil"/>
              <w:right w:val="nil"/>
            </w:tcBorders>
            <w:shd w:val="clear" w:color="auto" w:fill="auto"/>
            <w:vAlign w:val="bottom"/>
          </w:tcPr>
          <w:p w14:paraId="5FB7198E" w14:textId="77777777" w:rsidR="00571749" w:rsidRDefault="00571749" w:rsidP="004235A4">
            <w:pPr>
              <w:pStyle w:val="TableBodyText"/>
              <w:ind w:left="0" w:right="0"/>
            </w:pPr>
            <w:r w:rsidRPr="0012370C">
              <w:rPr>
                <w:rFonts w:cs="Arial"/>
                <w:color w:val="000000"/>
                <w:szCs w:val="18"/>
              </w:rPr>
              <w:t>1.0</w:t>
            </w:r>
          </w:p>
        </w:tc>
        <w:tc>
          <w:tcPr>
            <w:tcW w:w="709" w:type="dxa"/>
            <w:tcBorders>
              <w:top w:val="nil"/>
              <w:left w:val="nil"/>
              <w:bottom w:val="nil"/>
              <w:right w:val="nil"/>
            </w:tcBorders>
            <w:shd w:val="clear" w:color="auto" w:fill="auto"/>
            <w:vAlign w:val="bottom"/>
          </w:tcPr>
          <w:p w14:paraId="0E5C4138" w14:textId="77777777" w:rsidR="00571749" w:rsidRDefault="00571749" w:rsidP="004235A4">
            <w:pPr>
              <w:pStyle w:val="TableBodyText"/>
              <w:ind w:left="0" w:right="0"/>
            </w:pPr>
          </w:p>
        </w:tc>
        <w:tc>
          <w:tcPr>
            <w:tcW w:w="850" w:type="dxa"/>
            <w:tcBorders>
              <w:top w:val="nil"/>
              <w:left w:val="nil"/>
              <w:bottom w:val="nil"/>
              <w:right w:val="nil"/>
            </w:tcBorders>
            <w:shd w:val="clear" w:color="auto" w:fill="auto"/>
            <w:vAlign w:val="bottom"/>
          </w:tcPr>
          <w:p w14:paraId="043EB2A7" w14:textId="77777777" w:rsidR="00571749" w:rsidRDefault="00571749" w:rsidP="004235A4">
            <w:pPr>
              <w:pStyle w:val="TableBodyText"/>
              <w:ind w:left="0" w:right="0"/>
            </w:pPr>
            <w:r w:rsidRPr="0012370C">
              <w:rPr>
                <w:rFonts w:cs="Arial"/>
                <w:color w:val="000000"/>
                <w:szCs w:val="18"/>
              </w:rPr>
              <w:t>4.2</w:t>
            </w:r>
          </w:p>
        </w:tc>
        <w:tc>
          <w:tcPr>
            <w:tcW w:w="709" w:type="dxa"/>
            <w:tcBorders>
              <w:top w:val="nil"/>
              <w:left w:val="nil"/>
              <w:bottom w:val="nil"/>
              <w:right w:val="nil"/>
            </w:tcBorders>
            <w:shd w:val="clear" w:color="auto" w:fill="auto"/>
            <w:vAlign w:val="bottom"/>
          </w:tcPr>
          <w:p w14:paraId="745851B5" w14:textId="77777777" w:rsidR="00571749" w:rsidRDefault="00571749" w:rsidP="00C4369E">
            <w:pPr>
              <w:pStyle w:val="TableBodyText"/>
            </w:pPr>
          </w:p>
        </w:tc>
      </w:tr>
      <w:tr w:rsidR="007221EE" w14:paraId="24F275F3" w14:textId="77777777" w:rsidTr="00FE2AEF">
        <w:trPr>
          <w:cantSplit/>
          <w:trHeight w:val="20"/>
        </w:trPr>
        <w:tc>
          <w:tcPr>
            <w:tcW w:w="3664" w:type="dxa"/>
            <w:gridSpan w:val="2"/>
            <w:tcBorders>
              <w:top w:val="nil"/>
              <w:left w:val="nil"/>
              <w:bottom w:val="nil"/>
              <w:right w:val="nil"/>
            </w:tcBorders>
            <w:shd w:val="clear" w:color="auto" w:fill="auto"/>
            <w:vAlign w:val="bottom"/>
          </w:tcPr>
          <w:p w14:paraId="6A1BBDD2" w14:textId="77777777" w:rsidR="00571749" w:rsidRPr="0012370C" w:rsidRDefault="00571749" w:rsidP="004032A8">
            <w:pPr>
              <w:pStyle w:val="TableBodyText"/>
              <w:spacing w:before="80"/>
              <w:ind w:left="-57" w:right="0"/>
              <w:jc w:val="left"/>
              <w:rPr>
                <w:i/>
              </w:rPr>
            </w:pPr>
            <w:r w:rsidRPr="0012370C">
              <w:rPr>
                <w:bCs/>
                <w:i/>
              </w:rPr>
              <w:t>Address changes in previous year</w:t>
            </w:r>
          </w:p>
        </w:tc>
        <w:tc>
          <w:tcPr>
            <w:tcW w:w="1134" w:type="dxa"/>
            <w:tcBorders>
              <w:top w:val="nil"/>
              <w:left w:val="nil"/>
              <w:bottom w:val="nil"/>
              <w:right w:val="nil"/>
            </w:tcBorders>
            <w:shd w:val="clear" w:color="auto" w:fill="auto"/>
            <w:vAlign w:val="bottom"/>
          </w:tcPr>
          <w:p w14:paraId="454E0684" w14:textId="77777777" w:rsidR="00571749" w:rsidRDefault="00571749" w:rsidP="004235A4">
            <w:pPr>
              <w:pStyle w:val="TableBodyText"/>
              <w:ind w:left="0" w:right="0"/>
            </w:pPr>
          </w:p>
        </w:tc>
        <w:tc>
          <w:tcPr>
            <w:tcW w:w="709" w:type="dxa"/>
            <w:tcBorders>
              <w:top w:val="nil"/>
              <w:left w:val="nil"/>
              <w:bottom w:val="nil"/>
              <w:right w:val="nil"/>
            </w:tcBorders>
            <w:shd w:val="clear" w:color="auto" w:fill="auto"/>
            <w:vAlign w:val="bottom"/>
          </w:tcPr>
          <w:p w14:paraId="5D5CDF00" w14:textId="77777777" w:rsidR="00571749" w:rsidRDefault="00571749" w:rsidP="004235A4">
            <w:pPr>
              <w:pStyle w:val="TableBodyText"/>
              <w:ind w:left="0" w:right="0"/>
            </w:pPr>
          </w:p>
        </w:tc>
        <w:tc>
          <w:tcPr>
            <w:tcW w:w="992" w:type="dxa"/>
            <w:tcBorders>
              <w:top w:val="nil"/>
              <w:left w:val="nil"/>
              <w:bottom w:val="nil"/>
              <w:right w:val="nil"/>
            </w:tcBorders>
            <w:shd w:val="clear" w:color="auto" w:fill="auto"/>
            <w:vAlign w:val="bottom"/>
          </w:tcPr>
          <w:p w14:paraId="4EE3F62A" w14:textId="77777777" w:rsidR="00571749" w:rsidRDefault="00571749" w:rsidP="004235A4">
            <w:pPr>
              <w:pStyle w:val="TableBodyText"/>
              <w:ind w:left="0" w:right="0"/>
            </w:pPr>
          </w:p>
        </w:tc>
        <w:tc>
          <w:tcPr>
            <w:tcW w:w="709" w:type="dxa"/>
            <w:tcBorders>
              <w:top w:val="nil"/>
              <w:left w:val="nil"/>
              <w:bottom w:val="nil"/>
              <w:right w:val="nil"/>
            </w:tcBorders>
            <w:shd w:val="clear" w:color="auto" w:fill="auto"/>
            <w:vAlign w:val="bottom"/>
          </w:tcPr>
          <w:p w14:paraId="1A678A11" w14:textId="77777777" w:rsidR="00571749" w:rsidRDefault="00571749" w:rsidP="004235A4">
            <w:pPr>
              <w:pStyle w:val="TableBodyText"/>
              <w:ind w:left="0" w:right="0"/>
            </w:pPr>
          </w:p>
        </w:tc>
        <w:tc>
          <w:tcPr>
            <w:tcW w:w="850" w:type="dxa"/>
            <w:tcBorders>
              <w:top w:val="nil"/>
              <w:left w:val="nil"/>
              <w:bottom w:val="nil"/>
              <w:right w:val="nil"/>
            </w:tcBorders>
            <w:shd w:val="clear" w:color="auto" w:fill="auto"/>
            <w:vAlign w:val="bottom"/>
          </w:tcPr>
          <w:p w14:paraId="11287BBB" w14:textId="77777777" w:rsidR="00571749" w:rsidRDefault="00571749" w:rsidP="004235A4">
            <w:pPr>
              <w:pStyle w:val="TableBodyText"/>
              <w:ind w:left="0" w:right="0"/>
            </w:pPr>
          </w:p>
        </w:tc>
        <w:tc>
          <w:tcPr>
            <w:tcW w:w="709" w:type="dxa"/>
            <w:tcBorders>
              <w:top w:val="nil"/>
              <w:left w:val="nil"/>
              <w:bottom w:val="nil"/>
              <w:right w:val="nil"/>
            </w:tcBorders>
            <w:shd w:val="clear" w:color="auto" w:fill="auto"/>
            <w:vAlign w:val="bottom"/>
          </w:tcPr>
          <w:p w14:paraId="591F6855" w14:textId="77777777" w:rsidR="00571749" w:rsidRDefault="00571749" w:rsidP="00C4369E">
            <w:pPr>
              <w:pStyle w:val="TableBodyText"/>
            </w:pPr>
          </w:p>
        </w:tc>
      </w:tr>
      <w:tr w:rsidR="00571749" w14:paraId="20C56FE6" w14:textId="77777777" w:rsidTr="004235A4">
        <w:trPr>
          <w:cantSplit/>
          <w:trHeight w:val="20"/>
        </w:trPr>
        <w:tc>
          <w:tcPr>
            <w:tcW w:w="2672" w:type="dxa"/>
            <w:tcBorders>
              <w:top w:val="nil"/>
              <w:left w:val="nil"/>
              <w:bottom w:val="nil"/>
              <w:right w:val="nil"/>
            </w:tcBorders>
            <w:shd w:val="clear" w:color="auto" w:fill="auto"/>
            <w:vAlign w:val="bottom"/>
          </w:tcPr>
          <w:p w14:paraId="04A3A26E" w14:textId="77777777" w:rsidR="00571749" w:rsidRDefault="00571749" w:rsidP="004235A4">
            <w:pPr>
              <w:pStyle w:val="TableBodyText"/>
              <w:ind w:left="-57" w:right="0"/>
              <w:jc w:val="left"/>
            </w:pPr>
            <w:r>
              <w:t>  None</w:t>
            </w:r>
          </w:p>
        </w:tc>
        <w:tc>
          <w:tcPr>
            <w:tcW w:w="992" w:type="dxa"/>
            <w:tcBorders>
              <w:top w:val="nil"/>
              <w:left w:val="nil"/>
              <w:bottom w:val="nil"/>
              <w:right w:val="nil"/>
            </w:tcBorders>
            <w:shd w:val="clear" w:color="auto" w:fill="auto"/>
            <w:vAlign w:val="bottom"/>
          </w:tcPr>
          <w:p w14:paraId="149AFD73" w14:textId="77777777" w:rsidR="00571749" w:rsidRDefault="00571749" w:rsidP="004235A4">
            <w:pPr>
              <w:pStyle w:val="TableBodyText"/>
              <w:tabs>
                <w:tab w:val="left" w:pos="992"/>
              </w:tabs>
              <w:ind w:left="-57" w:right="-142"/>
              <w:jc w:val="left"/>
            </w:pPr>
            <w:r>
              <w:t>Number</w:t>
            </w:r>
          </w:p>
        </w:tc>
        <w:tc>
          <w:tcPr>
            <w:tcW w:w="1134" w:type="dxa"/>
            <w:tcBorders>
              <w:top w:val="nil"/>
              <w:left w:val="nil"/>
              <w:bottom w:val="nil"/>
              <w:right w:val="nil"/>
            </w:tcBorders>
            <w:shd w:val="clear" w:color="auto" w:fill="auto"/>
            <w:vAlign w:val="bottom"/>
          </w:tcPr>
          <w:p w14:paraId="18F9F40E" w14:textId="77777777" w:rsidR="00571749" w:rsidRDefault="00571749" w:rsidP="004235A4">
            <w:pPr>
              <w:jc w:val="right"/>
              <w:rPr>
                <w:rFonts w:ascii="Arial" w:hAnsi="Arial" w:cs="Arial"/>
                <w:color w:val="000000"/>
                <w:sz w:val="18"/>
                <w:szCs w:val="18"/>
              </w:rPr>
            </w:pPr>
            <w:r>
              <w:rPr>
                <w:rFonts w:ascii="Arial" w:hAnsi="Arial" w:cs="Arial"/>
                <w:color w:val="000000"/>
                <w:sz w:val="18"/>
                <w:szCs w:val="18"/>
              </w:rPr>
              <w:t>80.6</w:t>
            </w:r>
          </w:p>
        </w:tc>
        <w:tc>
          <w:tcPr>
            <w:tcW w:w="709" w:type="dxa"/>
            <w:tcBorders>
              <w:top w:val="nil"/>
              <w:left w:val="nil"/>
              <w:bottom w:val="nil"/>
              <w:right w:val="nil"/>
            </w:tcBorders>
            <w:shd w:val="clear" w:color="auto" w:fill="auto"/>
            <w:vAlign w:val="bottom"/>
          </w:tcPr>
          <w:p w14:paraId="4814774E" w14:textId="223DE012" w:rsidR="00571749" w:rsidRDefault="00571749" w:rsidP="00E53947">
            <w:pPr>
              <w:jc w:val="right"/>
              <w:rPr>
                <w:rFonts w:ascii="Arial" w:hAnsi="Arial" w:cs="Arial"/>
                <w:color w:val="000000"/>
                <w:sz w:val="18"/>
                <w:szCs w:val="18"/>
              </w:rPr>
            </w:pPr>
            <w:r>
              <w:rPr>
                <w:rFonts w:ascii="Arial" w:hAnsi="Arial" w:cs="Arial"/>
                <w:color w:val="000000"/>
                <w:sz w:val="18"/>
                <w:szCs w:val="18"/>
              </w:rPr>
              <w:t>0.4</w:t>
            </w:r>
          </w:p>
        </w:tc>
        <w:tc>
          <w:tcPr>
            <w:tcW w:w="992" w:type="dxa"/>
            <w:tcBorders>
              <w:top w:val="nil"/>
              <w:left w:val="nil"/>
              <w:bottom w:val="nil"/>
              <w:right w:val="nil"/>
            </w:tcBorders>
            <w:shd w:val="clear" w:color="auto" w:fill="auto"/>
            <w:vAlign w:val="bottom"/>
          </w:tcPr>
          <w:p w14:paraId="5431CA58" w14:textId="77777777" w:rsidR="00571749" w:rsidRDefault="00571749" w:rsidP="004235A4">
            <w:pPr>
              <w:jc w:val="right"/>
              <w:rPr>
                <w:rFonts w:ascii="Arial" w:hAnsi="Arial" w:cs="Arial"/>
                <w:color w:val="000000"/>
                <w:sz w:val="18"/>
                <w:szCs w:val="18"/>
              </w:rPr>
            </w:pPr>
            <w:r>
              <w:rPr>
                <w:rFonts w:ascii="Arial" w:hAnsi="Arial" w:cs="Arial"/>
                <w:color w:val="000000"/>
                <w:sz w:val="18"/>
                <w:szCs w:val="18"/>
              </w:rPr>
              <w:t>70.0</w:t>
            </w:r>
          </w:p>
        </w:tc>
        <w:tc>
          <w:tcPr>
            <w:tcW w:w="709" w:type="dxa"/>
            <w:tcBorders>
              <w:top w:val="nil"/>
              <w:left w:val="nil"/>
              <w:bottom w:val="nil"/>
              <w:right w:val="nil"/>
            </w:tcBorders>
            <w:shd w:val="clear" w:color="auto" w:fill="auto"/>
            <w:vAlign w:val="bottom"/>
          </w:tcPr>
          <w:p w14:paraId="152C7819" w14:textId="298013E7" w:rsidR="00571749" w:rsidRDefault="00E53947" w:rsidP="004235A4">
            <w:pPr>
              <w:jc w:val="right"/>
              <w:rPr>
                <w:rFonts w:ascii="Arial" w:hAnsi="Arial" w:cs="Arial"/>
                <w:color w:val="000000"/>
                <w:sz w:val="18"/>
                <w:szCs w:val="18"/>
              </w:rPr>
            </w:pPr>
            <w:r>
              <w:rPr>
                <w:rFonts w:ascii="Arial" w:hAnsi="Arial" w:cs="Arial"/>
                <w:color w:val="000000"/>
                <w:sz w:val="18"/>
                <w:szCs w:val="18"/>
              </w:rPr>
              <w:t>0.5</w:t>
            </w:r>
          </w:p>
        </w:tc>
        <w:tc>
          <w:tcPr>
            <w:tcW w:w="850" w:type="dxa"/>
            <w:tcBorders>
              <w:top w:val="nil"/>
              <w:left w:val="nil"/>
              <w:bottom w:val="nil"/>
              <w:right w:val="nil"/>
            </w:tcBorders>
            <w:shd w:val="clear" w:color="auto" w:fill="auto"/>
            <w:vAlign w:val="bottom"/>
          </w:tcPr>
          <w:p w14:paraId="660820A9" w14:textId="77777777" w:rsidR="00571749" w:rsidRDefault="00571749" w:rsidP="004235A4">
            <w:pPr>
              <w:jc w:val="right"/>
              <w:rPr>
                <w:rFonts w:ascii="Arial" w:hAnsi="Arial" w:cs="Arial"/>
                <w:color w:val="000000"/>
                <w:sz w:val="18"/>
                <w:szCs w:val="18"/>
              </w:rPr>
            </w:pPr>
            <w:r>
              <w:rPr>
                <w:rFonts w:ascii="Arial" w:hAnsi="Arial" w:cs="Arial"/>
                <w:color w:val="000000"/>
                <w:sz w:val="18"/>
                <w:szCs w:val="18"/>
              </w:rPr>
              <w:t>89.7</w:t>
            </w:r>
          </w:p>
        </w:tc>
        <w:tc>
          <w:tcPr>
            <w:tcW w:w="709" w:type="dxa"/>
            <w:tcBorders>
              <w:top w:val="nil"/>
              <w:left w:val="nil"/>
              <w:bottom w:val="nil"/>
              <w:right w:val="nil"/>
            </w:tcBorders>
            <w:shd w:val="clear" w:color="auto" w:fill="auto"/>
            <w:vAlign w:val="bottom"/>
          </w:tcPr>
          <w:p w14:paraId="60D9DB78" w14:textId="60A87929" w:rsidR="00571749" w:rsidRPr="004032A8" w:rsidRDefault="00E53947" w:rsidP="004032A8">
            <w:pPr>
              <w:jc w:val="right"/>
              <w:rPr>
                <w:rFonts w:ascii="Arial" w:hAnsi="Arial" w:cs="Arial"/>
                <w:color w:val="000000"/>
                <w:sz w:val="18"/>
                <w:szCs w:val="18"/>
              </w:rPr>
            </w:pPr>
            <w:r w:rsidRPr="004032A8">
              <w:rPr>
                <w:rFonts w:ascii="Arial" w:hAnsi="Arial" w:cs="Arial"/>
                <w:color w:val="000000"/>
                <w:sz w:val="18"/>
                <w:szCs w:val="18"/>
              </w:rPr>
              <w:t>0.3</w:t>
            </w:r>
          </w:p>
        </w:tc>
      </w:tr>
      <w:tr w:rsidR="00571749" w14:paraId="2ED68B8F" w14:textId="77777777" w:rsidTr="004235A4">
        <w:trPr>
          <w:cantSplit/>
          <w:trHeight w:val="20"/>
        </w:trPr>
        <w:tc>
          <w:tcPr>
            <w:tcW w:w="2672" w:type="dxa"/>
            <w:tcBorders>
              <w:top w:val="nil"/>
              <w:left w:val="nil"/>
              <w:bottom w:val="nil"/>
              <w:right w:val="nil"/>
            </w:tcBorders>
            <w:shd w:val="clear" w:color="auto" w:fill="auto"/>
            <w:vAlign w:val="bottom"/>
          </w:tcPr>
          <w:p w14:paraId="51629435" w14:textId="77777777" w:rsidR="00571749" w:rsidRDefault="00571749" w:rsidP="004235A4">
            <w:pPr>
              <w:pStyle w:val="TableBodyText"/>
              <w:ind w:left="-57" w:right="0"/>
              <w:jc w:val="left"/>
            </w:pPr>
            <w:r>
              <w:t>  1 change</w:t>
            </w:r>
          </w:p>
        </w:tc>
        <w:tc>
          <w:tcPr>
            <w:tcW w:w="992" w:type="dxa"/>
            <w:tcBorders>
              <w:top w:val="nil"/>
              <w:left w:val="nil"/>
              <w:bottom w:val="nil"/>
              <w:right w:val="nil"/>
            </w:tcBorders>
            <w:shd w:val="clear" w:color="auto" w:fill="auto"/>
            <w:vAlign w:val="bottom"/>
          </w:tcPr>
          <w:p w14:paraId="4DDCA44C" w14:textId="77777777" w:rsidR="00571749" w:rsidRDefault="00571749" w:rsidP="004235A4">
            <w:pPr>
              <w:pStyle w:val="TableBodyText"/>
              <w:tabs>
                <w:tab w:val="left" w:pos="992"/>
              </w:tabs>
              <w:ind w:left="-57" w:right="-142"/>
              <w:jc w:val="left"/>
            </w:pPr>
            <w:r>
              <w:t>Number</w:t>
            </w:r>
          </w:p>
        </w:tc>
        <w:tc>
          <w:tcPr>
            <w:tcW w:w="1134" w:type="dxa"/>
            <w:tcBorders>
              <w:top w:val="nil"/>
              <w:left w:val="nil"/>
              <w:bottom w:val="nil"/>
              <w:right w:val="nil"/>
            </w:tcBorders>
            <w:shd w:val="clear" w:color="auto" w:fill="auto"/>
            <w:vAlign w:val="bottom"/>
          </w:tcPr>
          <w:p w14:paraId="2497D8CB" w14:textId="77777777" w:rsidR="00571749" w:rsidRDefault="00571749" w:rsidP="004235A4">
            <w:pPr>
              <w:jc w:val="right"/>
              <w:rPr>
                <w:rFonts w:ascii="Arial" w:hAnsi="Arial" w:cs="Arial"/>
                <w:color w:val="000000"/>
                <w:sz w:val="18"/>
                <w:szCs w:val="18"/>
              </w:rPr>
            </w:pPr>
            <w:r>
              <w:rPr>
                <w:rFonts w:ascii="Arial" w:hAnsi="Arial" w:cs="Arial"/>
                <w:color w:val="000000"/>
                <w:sz w:val="18"/>
                <w:szCs w:val="18"/>
              </w:rPr>
              <w:t>12.8</w:t>
            </w:r>
          </w:p>
        </w:tc>
        <w:tc>
          <w:tcPr>
            <w:tcW w:w="709" w:type="dxa"/>
            <w:tcBorders>
              <w:top w:val="nil"/>
              <w:left w:val="nil"/>
              <w:bottom w:val="nil"/>
              <w:right w:val="nil"/>
            </w:tcBorders>
            <w:shd w:val="clear" w:color="auto" w:fill="auto"/>
            <w:vAlign w:val="bottom"/>
          </w:tcPr>
          <w:p w14:paraId="7064ADC6" w14:textId="6A98CF4B" w:rsidR="00571749" w:rsidRDefault="00E53947" w:rsidP="004235A4">
            <w:pPr>
              <w:jc w:val="right"/>
              <w:rPr>
                <w:rFonts w:ascii="Arial" w:hAnsi="Arial" w:cs="Arial"/>
                <w:color w:val="000000"/>
                <w:sz w:val="18"/>
                <w:szCs w:val="18"/>
              </w:rPr>
            </w:pPr>
            <w:r>
              <w:rPr>
                <w:rFonts w:ascii="Arial" w:hAnsi="Arial" w:cs="Arial"/>
                <w:color w:val="000000"/>
                <w:sz w:val="18"/>
                <w:szCs w:val="18"/>
              </w:rPr>
              <w:t>0.3</w:t>
            </w:r>
          </w:p>
        </w:tc>
        <w:tc>
          <w:tcPr>
            <w:tcW w:w="992" w:type="dxa"/>
            <w:tcBorders>
              <w:top w:val="nil"/>
              <w:left w:val="nil"/>
              <w:bottom w:val="nil"/>
              <w:right w:val="nil"/>
            </w:tcBorders>
            <w:shd w:val="clear" w:color="auto" w:fill="auto"/>
            <w:vAlign w:val="bottom"/>
          </w:tcPr>
          <w:p w14:paraId="616B7073" w14:textId="77777777" w:rsidR="00571749" w:rsidRDefault="00571749" w:rsidP="004235A4">
            <w:pPr>
              <w:jc w:val="right"/>
              <w:rPr>
                <w:rFonts w:ascii="Arial" w:hAnsi="Arial" w:cs="Arial"/>
                <w:color w:val="000000"/>
                <w:sz w:val="18"/>
                <w:szCs w:val="18"/>
              </w:rPr>
            </w:pPr>
            <w:r>
              <w:rPr>
                <w:rFonts w:ascii="Arial" w:hAnsi="Arial" w:cs="Arial"/>
                <w:color w:val="000000"/>
                <w:sz w:val="18"/>
                <w:szCs w:val="18"/>
              </w:rPr>
              <w:t>21.0</w:t>
            </w:r>
          </w:p>
        </w:tc>
        <w:tc>
          <w:tcPr>
            <w:tcW w:w="709" w:type="dxa"/>
            <w:tcBorders>
              <w:top w:val="nil"/>
              <w:left w:val="nil"/>
              <w:bottom w:val="nil"/>
              <w:right w:val="nil"/>
            </w:tcBorders>
            <w:shd w:val="clear" w:color="auto" w:fill="auto"/>
            <w:vAlign w:val="bottom"/>
          </w:tcPr>
          <w:p w14:paraId="71C5DECA" w14:textId="52E2611C" w:rsidR="00571749" w:rsidRDefault="00E53947" w:rsidP="004235A4">
            <w:pPr>
              <w:jc w:val="right"/>
              <w:rPr>
                <w:rFonts w:ascii="Arial" w:hAnsi="Arial" w:cs="Arial"/>
                <w:color w:val="000000"/>
                <w:sz w:val="18"/>
                <w:szCs w:val="18"/>
              </w:rPr>
            </w:pPr>
            <w:r>
              <w:rPr>
                <w:rFonts w:ascii="Arial" w:hAnsi="Arial" w:cs="Arial"/>
                <w:color w:val="000000"/>
                <w:sz w:val="18"/>
                <w:szCs w:val="18"/>
              </w:rPr>
              <w:t>0.4</w:t>
            </w:r>
          </w:p>
        </w:tc>
        <w:tc>
          <w:tcPr>
            <w:tcW w:w="850" w:type="dxa"/>
            <w:tcBorders>
              <w:top w:val="nil"/>
              <w:left w:val="nil"/>
              <w:bottom w:val="nil"/>
              <w:right w:val="nil"/>
            </w:tcBorders>
            <w:shd w:val="clear" w:color="auto" w:fill="auto"/>
            <w:vAlign w:val="bottom"/>
          </w:tcPr>
          <w:p w14:paraId="4F00E49E" w14:textId="77777777" w:rsidR="00571749" w:rsidRDefault="00571749" w:rsidP="004235A4">
            <w:pPr>
              <w:jc w:val="right"/>
              <w:rPr>
                <w:rFonts w:ascii="Arial" w:hAnsi="Arial" w:cs="Arial"/>
                <w:color w:val="000000"/>
                <w:sz w:val="18"/>
                <w:szCs w:val="18"/>
              </w:rPr>
            </w:pPr>
            <w:r>
              <w:rPr>
                <w:rFonts w:ascii="Arial" w:hAnsi="Arial" w:cs="Arial"/>
                <w:color w:val="000000"/>
                <w:sz w:val="18"/>
                <w:szCs w:val="18"/>
              </w:rPr>
              <w:t>7.0</w:t>
            </w:r>
          </w:p>
        </w:tc>
        <w:tc>
          <w:tcPr>
            <w:tcW w:w="709" w:type="dxa"/>
            <w:tcBorders>
              <w:top w:val="nil"/>
              <w:left w:val="nil"/>
              <w:bottom w:val="nil"/>
              <w:right w:val="nil"/>
            </w:tcBorders>
            <w:shd w:val="clear" w:color="auto" w:fill="auto"/>
            <w:vAlign w:val="bottom"/>
          </w:tcPr>
          <w:p w14:paraId="704F5757" w14:textId="7C758ACB" w:rsidR="00571749" w:rsidRPr="004032A8" w:rsidRDefault="00571749" w:rsidP="004032A8">
            <w:pPr>
              <w:jc w:val="right"/>
              <w:rPr>
                <w:rFonts w:ascii="Arial" w:hAnsi="Arial" w:cs="Arial"/>
                <w:color w:val="000000"/>
                <w:sz w:val="18"/>
                <w:szCs w:val="18"/>
              </w:rPr>
            </w:pPr>
            <w:r w:rsidRPr="004032A8">
              <w:rPr>
                <w:rFonts w:ascii="Arial" w:hAnsi="Arial" w:cs="Arial"/>
                <w:color w:val="000000"/>
                <w:sz w:val="18"/>
                <w:szCs w:val="18"/>
              </w:rPr>
              <w:t>0.</w:t>
            </w:r>
            <w:r w:rsidR="00E53947" w:rsidRPr="004032A8">
              <w:rPr>
                <w:rFonts w:ascii="Arial" w:hAnsi="Arial" w:cs="Arial"/>
                <w:color w:val="000000"/>
                <w:sz w:val="18"/>
                <w:szCs w:val="18"/>
              </w:rPr>
              <w:t>3</w:t>
            </w:r>
          </w:p>
        </w:tc>
      </w:tr>
      <w:tr w:rsidR="00571749" w14:paraId="7CC65792" w14:textId="77777777" w:rsidTr="004235A4">
        <w:trPr>
          <w:cantSplit/>
          <w:trHeight w:val="20"/>
        </w:trPr>
        <w:tc>
          <w:tcPr>
            <w:tcW w:w="2672" w:type="dxa"/>
            <w:tcBorders>
              <w:top w:val="nil"/>
              <w:left w:val="nil"/>
              <w:bottom w:val="nil"/>
              <w:right w:val="nil"/>
            </w:tcBorders>
            <w:shd w:val="clear" w:color="auto" w:fill="auto"/>
            <w:vAlign w:val="bottom"/>
          </w:tcPr>
          <w:p w14:paraId="77B4B69A" w14:textId="77777777" w:rsidR="00571749" w:rsidRDefault="00571749" w:rsidP="004235A4">
            <w:pPr>
              <w:pStyle w:val="TableBodyText"/>
              <w:ind w:left="-57" w:right="0"/>
              <w:jc w:val="left"/>
            </w:pPr>
            <w:r>
              <w:t>  2 changes</w:t>
            </w:r>
          </w:p>
        </w:tc>
        <w:tc>
          <w:tcPr>
            <w:tcW w:w="992" w:type="dxa"/>
            <w:tcBorders>
              <w:top w:val="nil"/>
              <w:left w:val="nil"/>
              <w:bottom w:val="nil"/>
              <w:right w:val="nil"/>
            </w:tcBorders>
            <w:shd w:val="clear" w:color="auto" w:fill="auto"/>
            <w:vAlign w:val="bottom"/>
          </w:tcPr>
          <w:p w14:paraId="6ACE20FD" w14:textId="77777777" w:rsidR="00571749" w:rsidRDefault="00571749" w:rsidP="004235A4">
            <w:pPr>
              <w:pStyle w:val="TableBodyText"/>
              <w:tabs>
                <w:tab w:val="left" w:pos="992"/>
              </w:tabs>
              <w:ind w:left="-57" w:right="-142"/>
              <w:jc w:val="left"/>
            </w:pPr>
            <w:r>
              <w:t>Number</w:t>
            </w:r>
          </w:p>
        </w:tc>
        <w:tc>
          <w:tcPr>
            <w:tcW w:w="1134" w:type="dxa"/>
            <w:tcBorders>
              <w:top w:val="nil"/>
              <w:left w:val="nil"/>
              <w:bottom w:val="nil"/>
              <w:right w:val="nil"/>
            </w:tcBorders>
            <w:shd w:val="clear" w:color="auto" w:fill="auto"/>
            <w:vAlign w:val="bottom"/>
          </w:tcPr>
          <w:p w14:paraId="00D46B3F" w14:textId="77777777" w:rsidR="00571749" w:rsidRDefault="00571749" w:rsidP="004235A4">
            <w:pPr>
              <w:jc w:val="right"/>
              <w:rPr>
                <w:rFonts w:ascii="Arial" w:hAnsi="Arial" w:cs="Arial"/>
                <w:color w:val="000000"/>
                <w:sz w:val="18"/>
                <w:szCs w:val="18"/>
              </w:rPr>
            </w:pPr>
            <w:r>
              <w:rPr>
                <w:rFonts w:ascii="Arial" w:hAnsi="Arial" w:cs="Arial"/>
                <w:color w:val="000000"/>
                <w:sz w:val="18"/>
                <w:szCs w:val="18"/>
              </w:rPr>
              <w:t>4.2</w:t>
            </w:r>
          </w:p>
        </w:tc>
        <w:tc>
          <w:tcPr>
            <w:tcW w:w="709" w:type="dxa"/>
            <w:tcBorders>
              <w:top w:val="nil"/>
              <w:left w:val="nil"/>
              <w:bottom w:val="nil"/>
              <w:right w:val="nil"/>
            </w:tcBorders>
            <w:shd w:val="clear" w:color="auto" w:fill="auto"/>
            <w:vAlign w:val="bottom"/>
          </w:tcPr>
          <w:p w14:paraId="70230190" w14:textId="7EC50916" w:rsidR="00571749" w:rsidRDefault="00E53947" w:rsidP="004235A4">
            <w:pPr>
              <w:jc w:val="right"/>
              <w:rPr>
                <w:rFonts w:ascii="Arial" w:hAnsi="Arial" w:cs="Arial"/>
                <w:color w:val="000000"/>
                <w:sz w:val="18"/>
                <w:szCs w:val="18"/>
              </w:rPr>
            </w:pPr>
            <w:r>
              <w:rPr>
                <w:rFonts w:ascii="Arial" w:hAnsi="Arial" w:cs="Arial"/>
                <w:color w:val="000000"/>
                <w:sz w:val="18"/>
                <w:szCs w:val="18"/>
              </w:rPr>
              <w:t>0.2</w:t>
            </w:r>
          </w:p>
        </w:tc>
        <w:tc>
          <w:tcPr>
            <w:tcW w:w="992" w:type="dxa"/>
            <w:tcBorders>
              <w:top w:val="nil"/>
              <w:left w:val="nil"/>
              <w:bottom w:val="nil"/>
              <w:right w:val="nil"/>
            </w:tcBorders>
            <w:shd w:val="clear" w:color="auto" w:fill="auto"/>
            <w:vAlign w:val="bottom"/>
          </w:tcPr>
          <w:p w14:paraId="09FFDB91" w14:textId="77777777" w:rsidR="00571749" w:rsidRDefault="00571749" w:rsidP="004235A4">
            <w:pPr>
              <w:jc w:val="right"/>
              <w:rPr>
                <w:rFonts w:ascii="Arial" w:hAnsi="Arial" w:cs="Arial"/>
                <w:color w:val="000000"/>
                <w:sz w:val="18"/>
                <w:szCs w:val="18"/>
              </w:rPr>
            </w:pPr>
            <w:r>
              <w:rPr>
                <w:rFonts w:ascii="Arial" w:hAnsi="Arial" w:cs="Arial"/>
                <w:color w:val="000000"/>
                <w:sz w:val="18"/>
                <w:szCs w:val="18"/>
              </w:rPr>
              <w:t>5.8</w:t>
            </w:r>
          </w:p>
        </w:tc>
        <w:tc>
          <w:tcPr>
            <w:tcW w:w="709" w:type="dxa"/>
            <w:tcBorders>
              <w:top w:val="nil"/>
              <w:left w:val="nil"/>
              <w:bottom w:val="nil"/>
              <w:right w:val="nil"/>
            </w:tcBorders>
            <w:shd w:val="clear" w:color="auto" w:fill="auto"/>
            <w:vAlign w:val="bottom"/>
          </w:tcPr>
          <w:p w14:paraId="3796F80F" w14:textId="10137F37" w:rsidR="00571749" w:rsidRDefault="00E53947" w:rsidP="004235A4">
            <w:pPr>
              <w:jc w:val="right"/>
              <w:rPr>
                <w:rFonts w:ascii="Arial" w:hAnsi="Arial" w:cs="Arial"/>
                <w:color w:val="000000"/>
                <w:sz w:val="18"/>
                <w:szCs w:val="18"/>
              </w:rPr>
            </w:pPr>
            <w:r>
              <w:rPr>
                <w:rFonts w:ascii="Arial" w:hAnsi="Arial" w:cs="Arial"/>
                <w:color w:val="000000"/>
                <w:sz w:val="18"/>
                <w:szCs w:val="18"/>
              </w:rPr>
              <w:t>0.2</w:t>
            </w:r>
          </w:p>
        </w:tc>
        <w:tc>
          <w:tcPr>
            <w:tcW w:w="850" w:type="dxa"/>
            <w:tcBorders>
              <w:top w:val="nil"/>
              <w:left w:val="nil"/>
              <w:bottom w:val="nil"/>
              <w:right w:val="nil"/>
            </w:tcBorders>
            <w:shd w:val="clear" w:color="auto" w:fill="auto"/>
            <w:vAlign w:val="bottom"/>
          </w:tcPr>
          <w:p w14:paraId="35B71BA3" w14:textId="77777777" w:rsidR="00571749" w:rsidRDefault="00571749" w:rsidP="004235A4">
            <w:pPr>
              <w:jc w:val="right"/>
              <w:rPr>
                <w:rFonts w:ascii="Arial" w:hAnsi="Arial" w:cs="Arial"/>
                <w:color w:val="000000"/>
                <w:sz w:val="18"/>
                <w:szCs w:val="18"/>
              </w:rPr>
            </w:pPr>
            <w:r>
              <w:rPr>
                <w:rFonts w:ascii="Arial" w:hAnsi="Arial" w:cs="Arial"/>
                <w:color w:val="000000"/>
                <w:sz w:val="18"/>
                <w:szCs w:val="18"/>
              </w:rPr>
              <w:t>2.1</w:t>
            </w:r>
          </w:p>
        </w:tc>
        <w:tc>
          <w:tcPr>
            <w:tcW w:w="709" w:type="dxa"/>
            <w:tcBorders>
              <w:top w:val="nil"/>
              <w:left w:val="nil"/>
              <w:bottom w:val="nil"/>
              <w:right w:val="nil"/>
            </w:tcBorders>
            <w:shd w:val="clear" w:color="auto" w:fill="auto"/>
            <w:vAlign w:val="bottom"/>
          </w:tcPr>
          <w:p w14:paraId="4CABFAEE" w14:textId="52DD3CBF" w:rsidR="00571749" w:rsidRPr="004032A8" w:rsidRDefault="00571749" w:rsidP="004032A8">
            <w:pPr>
              <w:jc w:val="right"/>
              <w:rPr>
                <w:rFonts w:ascii="Arial" w:hAnsi="Arial" w:cs="Arial"/>
                <w:color w:val="000000"/>
                <w:sz w:val="18"/>
                <w:szCs w:val="18"/>
              </w:rPr>
            </w:pPr>
            <w:r w:rsidRPr="004032A8">
              <w:rPr>
                <w:rFonts w:ascii="Arial" w:hAnsi="Arial" w:cs="Arial"/>
                <w:color w:val="000000"/>
                <w:sz w:val="18"/>
                <w:szCs w:val="18"/>
              </w:rPr>
              <w:t>0.</w:t>
            </w:r>
            <w:r w:rsidR="00E53947" w:rsidRPr="004032A8">
              <w:rPr>
                <w:rFonts w:ascii="Arial" w:hAnsi="Arial" w:cs="Arial"/>
                <w:color w:val="000000"/>
                <w:sz w:val="18"/>
                <w:szCs w:val="18"/>
              </w:rPr>
              <w:t>2</w:t>
            </w:r>
          </w:p>
        </w:tc>
      </w:tr>
      <w:tr w:rsidR="00571749" w14:paraId="2FB7F718" w14:textId="77777777" w:rsidTr="004235A4">
        <w:trPr>
          <w:cantSplit/>
          <w:trHeight w:val="20"/>
        </w:trPr>
        <w:tc>
          <w:tcPr>
            <w:tcW w:w="2672" w:type="dxa"/>
            <w:tcBorders>
              <w:top w:val="nil"/>
              <w:left w:val="nil"/>
              <w:bottom w:val="nil"/>
              <w:right w:val="nil"/>
            </w:tcBorders>
            <w:shd w:val="clear" w:color="auto" w:fill="auto"/>
            <w:vAlign w:val="bottom"/>
          </w:tcPr>
          <w:p w14:paraId="601A7772" w14:textId="77777777" w:rsidR="00571749" w:rsidRDefault="00571749" w:rsidP="004235A4">
            <w:pPr>
              <w:pStyle w:val="TableBodyText"/>
              <w:ind w:left="-57" w:right="0"/>
              <w:jc w:val="left"/>
            </w:pPr>
            <w:r>
              <w:t>  3 or more changes</w:t>
            </w:r>
          </w:p>
        </w:tc>
        <w:tc>
          <w:tcPr>
            <w:tcW w:w="992" w:type="dxa"/>
            <w:tcBorders>
              <w:top w:val="nil"/>
              <w:left w:val="nil"/>
              <w:bottom w:val="nil"/>
              <w:right w:val="nil"/>
            </w:tcBorders>
            <w:shd w:val="clear" w:color="auto" w:fill="auto"/>
            <w:vAlign w:val="bottom"/>
          </w:tcPr>
          <w:p w14:paraId="7265308B" w14:textId="77777777" w:rsidR="00571749" w:rsidRDefault="00571749" w:rsidP="004235A4">
            <w:pPr>
              <w:pStyle w:val="TableBodyText"/>
              <w:tabs>
                <w:tab w:val="left" w:pos="992"/>
              </w:tabs>
              <w:ind w:left="-57" w:right="-142"/>
              <w:jc w:val="left"/>
            </w:pPr>
            <w:r>
              <w:t>Number</w:t>
            </w:r>
          </w:p>
        </w:tc>
        <w:tc>
          <w:tcPr>
            <w:tcW w:w="1134" w:type="dxa"/>
            <w:tcBorders>
              <w:top w:val="nil"/>
              <w:left w:val="nil"/>
              <w:bottom w:val="nil"/>
              <w:right w:val="nil"/>
            </w:tcBorders>
            <w:shd w:val="clear" w:color="auto" w:fill="auto"/>
            <w:vAlign w:val="bottom"/>
          </w:tcPr>
          <w:p w14:paraId="2F04466C" w14:textId="77777777" w:rsidR="00571749" w:rsidRDefault="00571749" w:rsidP="004235A4">
            <w:pPr>
              <w:jc w:val="right"/>
              <w:rPr>
                <w:rFonts w:ascii="Arial" w:hAnsi="Arial" w:cs="Arial"/>
                <w:color w:val="000000"/>
                <w:sz w:val="18"/>
                <w:szCs w:val="18"/>
              </w:rPr>
            </w:pPr>
            <w:r>
              <w:rPr>
                <w:rFonts w:ascii="Arial" w:hAnsi="Arial" w:cs="Arial"/>
                <w:color w:val="000000"/>
                <w:sz w:val="18"/>
                <w:szCs w:val="18"/>
              </w:rPr>
              <w:t>2.3</w:t>
            </w:r>
          </w:p>
        </w:tc>
        <w:tc>
          <w:tcPr>
            <w:tcW w:w="709" w:type="dxa"/>
            <w:tcBorders>
              <w:top w:val="nil"/>
              <w:left w:val="nil"/>
              <w:bottom w:val="nil"/>
              <w:right w:val="nil"/>
            </w:tcBorders>
            <w:shd w:val="clear" w:color="auto" w:fill="auto"/>
            <w:vAlign w:val="bottom"/>
          </w:tcPr>
          <w:p w14:paraId="520E75E0" w14:textId="5183FBE3" w:rsidR="00571749" w:rsidRDefault="00E53947" w:rsidP="004235A4">
            <w:pPr>
              <w:jc w:val="right"/>
              <w:rPr>
                <w:rFonts w:ascii="Arial" w:hAnsi="Arial" w:cs="Arial"/>
                <w:color w:val="000000"/>
                <w:sz w:val="18"/>
                <w:szCs w:val="18"/>
              </w:rPr>
            </w:pPr>
            <w:r>
              <w:rPr>
                <w:rFonts w:ascii="Arial" w:hAnsi="Arial" w:cs="Arial"/>
                <w:color w:val="000000"/>
                <w:sz w:val="18"/>
                <w:szCs w:val="18"/>
              </w:rPr>
              <w:t>0.2</w:t>
            </w:r>
          </w:p>
        </w:tc>
        <w:tc>
          <w:tcPr>
            <w:tcW w:w="992" w:type="dxa"/>
            <w:tcBorders>
              <w:top w:val="nil"/>
              <w:left w:val="nil"/>
              <w:bottom w:val="nil"/>
              <w:right w:val="nil"/>
            </w:tcBorders>
            <w:shd w:val="clear" w:color="auto" w:fill="auto"/>
            <w:vAlign w:val="bottom"/>
          </w:tcPr>
          <w:p w14:paraId="0FCCE7A6" w14:textId="77777777" w:rsidR="00571749" w:rsidRDefault="00571749" w:rsidP="004235A4">
            <w:pPr>
              <w:jc w:val="right"/>
              <w:rPr>
                <w:rFonts w:ascii="Arial" w:hAnsi="Arial" w:cs="Arial"/>
                <w:color w:val="000000"/>
                <w:sz w:val="18"/>
                <w:szCs w:val="18"/>
              </w:rPr>
            </w:pPr>
            <w:r>
              <w:rPr>
                <w:rFonts w:ascii="Arial" w:hAnsi="Arial" w:cs="Arial"/>
                <w:color w:val="000000"/>
                <w:sz w:val="18"/>
                <w:szCs w:val="18"/>
              </w:rPr>
              <w:t>3.1</w:t>
            </w:r>
          </w:p>
        </w:tc>
        <w:tc>
          <w:tcPr>
            <w:tcW w:w="709" w:type="dxa"/>
            <w:tcBorders>
              <w:top w:val="nil"/>
              <w:left w:val="nil"/>
              <w:bottom w:val="nil"/>
              <w:right w:val="nil"/>
            </w:tcBorders>
            <w:shd w:val="clear" w:color="auto" w:fill="auto"/>
            <w:vAlign w:val="bottom"/>
          </w:tcPr>
          <w:p w14:paraId="42DF738B" w14:textId="21FA8C5B" w:rsidR="00571749" w:rsidRDefault="00E53947" w:rsidP="004235A4">
            <w:pPr>
              <w:jc w:val="right"/>
              <w:rPr>
                <w:rFonts w:ascii="Arial" w:hAnsi="Arial" w:cs="Arial"/>
                <w:color w:val="000000"/>
                <w:sz w:val="18"/>
                <w:szCs w:val="18"/>
              </w:rPr>
            </w:pPr>
            <w:r>
              <w:rPr>
                <w:rFonts w:ascii="Arial" w:hAnsi="Arial" w:cs="Arial"/>
                <w:color w:val="000000"/>
                <w:sz w:val="18"/>
                <w:szCs w:val="18"/>
              </w:rPr>
              <w:t>0.2</w:t>
            </w:r>
          </w:p>
        </w:tc>
        <w:tc>
          <w:tcPr>
            <w:tcW w:w="850" w:type="dxa"/>
            <w:tcBorders>
              <w:top w:val="nil"/>
              <w:left w:val="nil"/>
              <w:bottom w:val="nil"/>
              <w:right w:val="nil"/>
            </w:tcBorders>
            <w:shd w:val="clear" w:color="auto" w:fill="auto"/>
            <w:vAlign w:val="bottom"/>
          </w:tcPr>
          <w:p w14:paraId="116063BB" w14:textId="77777777" w:rsidR="00571749" w:rsidRDefault="00571749" w:rsidP="004235A4">
            <w:pPr>
              <w:jc w:val="right"/>
              <w:rPr>
                <w:rFonts w:ascii="Arial" w:hAnsi="Arial" w:cs="Arial"/>
                <w:color w:val="000000"/>
                <w:sz w:val="18"/>
                <w:szCs w:val="18"/>
              </w:rPr>
            </w:pPr>
            <w:r>
              <w:rPr>
                <w:rFonts w:ascii="Arial" w:hAnsi="Arial" w:cs="Arial"/>
                <w:color w:val="000000"/>
                <w:sz w:val="18"/>
                <w:szCs w:val="18"/>
              </w:rPr>
              <w:t>1.2</w:t>
            </w:r>
          </w:p>
        </w:tc>
        <w:tc>
          <w:tcPr>
            <w:tcW w:w="709" w:type="dxa"/>
            <w:tcBorders>
              <w:top w:val="nil"/>
              <w:left w:val="nil"/>
              <w:bottom w:val="nil"/>
              <w:right w:val="nil"/>
            </w:tcBorders>
            <w:shd w:val="clear" w:color="auto" w:fill="auto"/>
            <w:vAlign w:val="bottom"/>
          </w:tcPr>
          <w:p w14:paraId="39DEB44E" w14:textId="0C705B7C" w:rsidR="00571749" w:rsidRPr="004032A8" w:rsidRDefault="00571749" w:rsidP="004032A8">
            <w:pPr>
              <w:jc w:val="right"/>
              <w:rPr>
                <w:rFonts w:ascii="Arial" w:hAnsi="Arial" w:cs="Arial"/>
                <w:color w:val="000000"/>
                <w:sz w:val="18"/>
                <w:szCs w:val="18"/>
              </w:rPr>
            </w:pPr>
            <w:r w:rsidRPr="004032A8">
              <w:rPr>
                <w:rFonts w:ascii="Arial" w:hAnsi="Arial" w:cs="Arial"/>
                <w:color w:val="000000"/>
                <w:sz w:val="18"/>
                <w:szCs w:val="18"/>
              </w:rPr>
              <w:t>0.1</w:t>
            </w:r>
          </w:p>
        </w:tc>
      </w:tr>
      <w:tr w:rsidR="00571749" w14:paraId="0699A822" w14:textId="77777777" w:rsidTr="004235A4">
        <w:trPr>
          <w:cantSplit/>
          <w:trHeight w:val="20"/>
        </w:trPr>
        <w:tc>
          <w:tcPr>
            <w:tcW w:w="2672" w:type="dxa"/>
            <w:tcBorders>
              <w:top w:val="nil"/>
              <w:left w:val="nil"/>
              <w:bottom w:val="nil"/>
              <w:right w:val="nil"/>
            </w:tcBorders>
            <w:shd w:val="clear" w:color="auto" w:fill="auto"/>
            <w:vAlign w:val="bottom"/>
          </w:tcPr>
          <w:p w14:paraId="3F8F16A1" w14:textId="77777777" w:rsidR="00571749" w:rsidRDefault="00571749" w:rsidP="004235A4">
            <w:pPr>
              <w:pStyle w:val="TableBodyText"/>
              <w:ind w:left="-57" w:right="0"/>
              <w:jc w:val="left"/>
            </w:pPr>
            <w:r>
              <w:t>SA1 IRSD decile</w:t>
            </w:r>
            <w:r w:rsidR="006209FB">
              <w:rPr>
                <w:rStyle w:val="NoteLabel"/>
              </w:rPr>
              <w:t>d</w:t>
            </w:r>
          </w:p>
        </w:tc>
        <w:tc>
          <w:tcPr>
            <w:tcW w:w="992" w:type="dxa"/>
            <w:tcBorders>
              <w:top w:val="nil"/>
              <w:left w:val="nil"/>
              <w:bottom w:val="nil"/>
              <w:right w:val="nil"/>
            </w:tcBorders>
            <w:shd w:val="clear" w:color="auto" w:fill="auto"/>
            <w:vAlign w:val="bottom"/>
          </w:tcPr>
          <w:p w14:paraId="6F640031" w14:textId="77777777" w:rsidR="00571749" w:rsidRDefault="00571749" w:rsidP="004235A4">
            <w:pPr>
              <w:pStyle w:val="TableBodyText"/>
              <w:tabs>
                <w:tab w:val="left" w:pos="992"/>
              </w:tabs>
              <w:ind w:left="-57" w:right="-142"/>
              <w:jc w:val="left"/>
            </w:pPr>
            <w:r>
              <w:t>Decile</w:t>
            </w:r>
          </w:p>
        </w:tc>
        <w:tc>
          <w:tcPr>
            <w:tcW w:w="1134" w:type="dxa"/>
            <w:tcBorders>
              <w:top w:val="nil"/>
              <w:left w:val="nil"/>
              <w:bottom w:val="nil"/>
              <w:right w:val="nil"/>
            </w:tcBorders>
            <w:shd w:val="clear" w:color="auto" w:fill="auto"/>
            <w:vAlign w:val="bottom"/>
          </w:tcPr>
          <w:p w14:paraId="6A68529B" w14:textId="4E2D4EC7" w:rsidR="00571749" w:rsidRDefault="00571749" w:rsidP="00E53947">
            <w:pPr>
              <w:jc w:val="right"/>
              <w:rPr>
                <w:rFonts w:ascii="Arial" w:hAnsi="Arial" w:cs="Arial"/>
                <w:color w:val="000000"/>
                <w:sz w:val="18"/>
                <w:szCs w:val="18"/>
              </w:rPr>
            </w:pPr>
            <w:r>
              <w:rPr>
                <w:rFonts w:ascii="Arial" w:hAnsi="Arial" w:cs="Arial"/>
                <w:color w:val="000000"/>
                <w:sz w:val="18"/>
                <w:szCs w:val="18"/>
              </w:rPr>
              <w:t>5.6</w:t>
            </w:r>
          </w:p>
        </w:tc>
        <w:tc>
          <w:tcPr>
            <w:tcW w:w="709" w:type="dxa"/>
            <w:tcBorders>
              <w:top w:val="nil"/>
              <w:left w:val="nil"/>
              <w:bottom w:val="nil"/>
              <w:right w:val="nil"/>
            </w:tcBorders>
            <w:shd w:val="clear" w:color="auto" w:fill="auto"/>
            <w:vAlign w:val="bottom"/>
          </w:tcPr>
          <w:p w14:paraId="3F35F96C" w14:textId="7E8E39F9" w:rsidR="00571749" w:rsidRDefault="00571749" w:rsidP="00E53947">
            <w:pPr>
              <w:jc w:val="right"/>
              <w:rPr>
                <w:rFonts w:ascii="Arial" w:hAnsi="Arial" w:cs="Arial"/>
                <w:color w:val="000000"/>
                <w:sz w:val="18"/>
                <w:szCs w:val="18"/>
              </w:rPr>
            </w:pPr>
            <w:r>
              <w:rPr>
                <w:rFonts w:ascii="Arial" w:hAnsi="Arial" w:cs="Arial"/>
                <w:color w:val="000000"/>
                <w:sz w:val="18"/>
                <w:szCs w:val="18"/>
              </w:rPr>
              <w:t>2.7</w:t>
            </w:r>
          </w:p>
        </w:tc>
        <w:tc>
          <w:tcPr>
            <w:tcW w:w="992" w:type="dxa"/>
            <w:tcBorders>
              <w:top w:val="nil"/>
              <w:left w:val="nil"/>
              <w:bottom w:val="nil"/>
              <w:right w:val="nil"/>
            </w:tcBorders>
            <w:shd w:val="clear" w:color="auto" w:fill="auto"/>
            <w:vAlign w:val="bottom"/>
          </w:tcPr>
          <w:p w14:paraId="14AE7A68" w14:textId="550366DE" w:rsidR="00571749" w:rsidRDefault="00E53947" w:rsidP="004235A4">
            <w:pPr>
              <w:jc w:val="right"/>
              <w:rPr>
                <w:rFonts w:ascii="Arial" w:hAnsi="Arial" w:cs="Arial"/>
                <w:color w:val="000000"/>
                <w:sz w:val="18"/>
                <w:szCs w:val="18"/>
              </w:rPr>
            </w:pPr>
            <w:r>
              <w:rPr>
                <w:rFonts w:ascii="Arial" w:hAnsi="Arial" w:cs="Arial"/>
                <w:color w:val="000000"/>
                <w:sz w:val="18"/>
                <w:szCs w:val="18"/>
              </w:rPr>
              <w:t>5.5</w:t>
            </w:r>
          </w:p>
        </w:tc>
        <w:tc>
          <w:tcPr>
            <w:tcW w:w="709" w:type="dxa"/>
            <w:tcBorders>
              <w:top w:val="nil"/>
              <w:left w:val="nil"/>
              <w:bottom w:val="nil"/>
              <w:right w:val="nil"/>
            </w:tcBorders>
            <w:shd w:val="clear" w:color="auto" w:fill="auto"/>
            <w:vAlign w:val="bottom"/>
          </w:tcPr>
          <w:p w14:paraId="049A96EA" w14:textId="7D33FAE6" w:rsidR="00571749" w:rsidRDefault="00571749" w:rsidP="00E53947">
            <w:pPr>
              <w:jc w:val="right"/>
              <w:rPr>
                <w:rFonts w:ascii="Arial" w:hAnsi="Arial" w:cs="Arial"/>
                <w:color w:val="000000"/>
                <w:sz w:val="18"/>
                <w:szCs w:val="18"/>
              </w:rPr>
            </w:pPr>
            <w:r>
              <w:rPr>
                <w:rFonts w:ascii="Arial" w:hAnsi="Arial" w:cs="Arial"/>
                <w:color w:val="000000"/>
                <w:sz w:val="18"/>
                <w:szCs w:val="18"/>
              </w:rPr>
              <w:t>2.</w:t>
            </w:r>
            <w:r w:rsidR="00E53947">
              <w:rPr>
                <w:rFonts w:ascii="Arial" w:hAnsi="Arial" w:cs="Arial"/>
                <w:color w:val="000000"/>
                <w:sz w:val="18"/>
                <w:szCs w:val="18"/>
              </w:rPr>
              <w:t>7</w:t>
            </w:r>
          </w:p>
        </w:tc>
        <w:tc>
          <w:tcPr>
            <w:tcW w:w="850" w:type="dxa"/>
            <w:tcBorders>
              <w:top w:val="nil"/>
              <w:left w:val="nil"/>
              <w:bottom w:val="nil"/>
              <w:right w:val="nil"/>
            </w:tcBorders>
            <w:shd w:val="clear" w:color="auto" w:fill="auto"/>
            <w:vAlign w:val="bottom"/>
          </w:tcPr>
          <w:p w14:paraId="399C4C26" w14:textId="599421D7" w:rsidR="00571749" w:rsidRDefault="00571749" w:rsidP="00E53947">
            <w:pPr>
              <w:jc w:val="right"/>
              <w:rPr>
                <w:rFonts w:ascii="Arial" w:hAnsi="Arial" w:cs="Arial"/>
                <w:color w:val="000000"/>
                <w:sz w:val="18"/>
                <w:szCs w:val="18"/>
              </w:rPr>
            </w:pPr>
            <w:r>
              <w:rPr>
                <w:rFonts w:ascii="Arial" w:hAnsi="Arial" w:cs="Arial"/>
                <w:color w:val="000000"/>
                <w:sz w:val="18"/>
                <w:szCs w:val="18"/>
              </w:rPr>
              <w:t>4.</w:t>
            </w:r>
            <w:r w:rsidR="00E53947">
              <w:rPr>
                <w:rFonts w:ascii="Arial" w:hAnsi="Arial" w:cs="Arial"/>
                <w:color w:val="000000"/>
                <w:sz w:val="18"/>
                <w:szCs w:val="18"/>
              </w:rPr>
              <w:t>1</w:t>
            </w:r>
          </w:p>
        </w:tc>
        <w:tc>
          <w:tcPr>
            <w:tcW w:w="709" w:type="dxa"/>
            <w:tcBorders>
              <w:top w:val="nil"/>
              <w:left w:val="nil"/>
              <w:bottom w:val="nil"/>
              <w:right w:val="nil"/>
            </w:tcBorders>
            <w:shd w:val="clear" w:color="auto" w:fill="auto"/>
            <w:vAlign w:val="bottom"/>
          </w:tcPr>
          <w:p w14:paraId="3C223009" w14:textId="5308CB31" w:rsidR="00571749" w:rsidRPr="004032A8" w:rsidRDefault="00571749" w:rsidP="004032A8">
            <w:pPr>
              <w:jc w:val="right"/>
              <w:rPr>
                <w:rFonts w:ascii="Arial" w:hAnsi="Arial" w:cs="Arial"/>
                <w:color w:val="000000"/>
                <w:sz w:val="18"/>
                <w:szCs w:val="18"/>
              </w:rPr>
            </w:pPr>
            <w:r w:rsidRPr="004032A8">
              <w:rPr>
                <w:rFonts w:ascii="Arial" w:hAnsi="Arial" w:cs="Arial"/>
                <w:color w:val="000000"/>
                <w:sz w:val="18"/>
                <w:szCs w:val="18"/>
              </w:rPr>
              <w:t>2.4</w:t>
            </w:r>
          </w:p>
        </w:tc>
      </w:tr>
      <w:tr w:rsidR="00571749" w14:paraId="69550054" w14:textId="77777777" w:rsidTr="004235A4">
        <w:trPr>
          <w:cantSplit/>
          <w:trHeight w:val="20"/>
        </w:trPr>
        <w:tc>
          <w:tcPr>
            <w:tcW w:w="2672" w:type="dxa"/>
            <w:tcBorders>
              <w:top w:val="nil"/>
              <w:left w:val="nil"/>
              <w:bottom w:val="single" w:sz="4" w:space="0" w:color="BFBFBF"/>
              <w:right w:val="nil"/>
            </w:tcBorders>
            <w:shd w:val="clear" w:color="auto" w:fill="auto"/>
            <w:vAlign w:val="bottom"/>
          </w:tcPr>
          <w:p w14:paraId="4FD3D22E" w14:textId="77777777" w:rsidR="00571749" w:rsidRDefault="00571749" w:rsidP="004235A4">
            <w:pPr>
              <w:pStyle w:val="TableBodyText"/>
              <w:ind w:left="-57" w:right="0"/>
              <w:jc w:val="left"/>
              <w:rPr>
                <w:i/>
              </w:rPr>
            </w:pPr>
            <w:r>
              <w:t>Number of observations</w:t>
            </w:r>
          </w:p>
        </w:tc>
        <w:tc>
          <w:tcPr>
            <w:tcW w:w="992" w:type="dxa"/>
            <w:tcBorders>
              <w:top w:val="nil"/>
              <w:left w:val="nil"/>
              <w:bottom w:val="single" w:sz="4" w:space="0" w:color="BFBFBF"/>
              <w:right w:val="nil"/>
            </w:tcBorders>
            <w:shd w:val="clear" w:color="auto" w:fill="auto"/>
            <w:vAlign w:val="bottom"/>
          </w:tcPr>
          <w:p w14:paraId="0C330089" w14:textId="77777777" w:rsidR="00571749" w:rsidRDefault="00571749" w:rsidP="004235A4">
            <w:pPr>
              <w:pStyle w:val="TableBodyText"/>
              <w:tabs>
                <w:tab w:val="left" w:pos="992"/>
              </w:tabs>
              <w:ind w:left="-57" w:right="-142"/>
              <w:jc w:val="left"/>
            </w:pPr>
            <w:r>
              <w:t>Number</w:t>
            </w:r>
          </w:p>
        </w:tc>
        <w:tc>
          <w:tcPr>
            <w:tcW w:w="1843" w:type="dxa"/>
            <w:gridSpan w:val="2"/>
            <w:tcBorders>
              <w:top w:val="nil"/>
              <w:left w:val="nil"/>
              <w:bottom w:val="single" w:sz="4" w:space="0" w:color="BFBFBF"/>
              <w:right w:val="nil"/>
            </w:tcBorders>
            <w:shd w:val="clear" w:color="auto" w:fill="auto"/>
            <w:vAlign w:val="bottom"/>
          </w:tcPr>
          <w:p w14:paraId="1BA848BC" w14:textId="77777777" w:rsidR="00571749" w:rsidRPr="0046007F" w:rsidRDefault="00571749" w:rsidP="004235A4">
            <w:pPr>
              <w:jc w:val="center"/>
              <w:rPr>
                <w:rFonts w:ascii="Arial" w:hAnsi="Arial" w:cs="Arial"/>
                <w:color w:val="000000"/>
                <w:sz w:val="18"/>
                <w:szCs w:val="18"/>
              </w:rPr>
            </w:pPr>
            <w:r w:rsidRPr="0046007F">
              <w:rPr>
                <w:rFonts w:ascii="Arial" w:hAnsi="Arial" w:cs="Arial"/>
                <w:color w:val="000000"/>
                <w:sz w:val="18"/>
                <w:szCs w:val="18"/>
              </w:rPr>
              <w:t>1</w:t>
            </w:r>
            <w:r>
              <w:rPr>
                <w:rFonts w:ascii="Arial" w:hAnsi="Arial" w:cs="Arial"/>
                <w:color w:val="000000"/>
                <w:sz w:val="18"/>
                <w:szCs w:val="18"/>
              </w:rPr>
              <w:t> </w:t>
            </w:r>
            <w:r w:rsidRPr="0046007F">
              <w:rPr>
                <w:rFonts w:ascii="Arial" w:hAnsi="Arial" w:cs="Arial"/>
                <w:color w:val="000000"/>
                <w:sz w:val="18"/>
                <w:szCs w:val="18"/>
              </w:rPr>
              <w:t>160</w:t>
            </w:r>
            <w:r>
              <w:rPr>
                <w:rFonts w:ascii="Arial" w:hAnsi="Arial" w:cs="Arial"/>
                <w:color w:val="000000"/>
                <w:sz w:val="18"/>
                <w:szCs w:val="18"/>
              </w:rPr>
              <w:t> </w:t>
            </w:r>
            <w:r w:rsidRPr="0046007F">
              <w:rPr>
                <w:rFonts w:ascii="Arial" w:hAnsi="Arial" w:cs="Arial"/>
                <w:color w:val="000000"/>
                <w:sz w:val="18"/>
                <w:szCs w:val="18"/>
              </w:rPr>
              <w:t>297</w:t>
            </w:r>
          </w:p>
        </w:tc>
        <w:tc>
          <w:tcPr>
            <w:tcW w:w="1701" w:type="dxa"/>
            <w:gridSpan w:val="2"/>
            <w:tcBorders>
              <w:top w:val="nil"/>
              <w:left w:val="nil"/>
              <w:bottom w:val="single" w:sz="4" w:space="0" w:color="BFBFBF"/>
              <w:right w:val="nil"/>
            </w:tcBorders>
            <w:shd w:val="clear" w:color="auto" w:fill="auto"/>
            <w:vAlign w:val="bottom"/>
          </w:tcPr>
          <w:p w14:paraId="21FB1A48" w14:textId="77777777" w:rsidR="00571749" w:rsidRPr="0046007F" w:rsidRDefault="00571749" w:rsidP="004235A4">
            <w:pPr>
              <w:jc w:val="center"/>
              <w:rPr>
                <w:rFonts w:ascii="Arial" w:hAnsi="Arial" w:cs="Arial"/>
                <w:color w:val="000000"/>
                <w:sz w:val="18"/>
                <w:szCs w:val="18"/>
              </w:rPr>
            </w:pPr>
            <w:r w:rsidRPr="0046007F">
              <w:rPr>
                <w:rFonts w:ascii="Arial" w:hAnsi="Arial" w:cs="Arial"/>
                <w:color w:val="000000"/>
                <w:sz w:val="18"/>
                <w:szCs w:val="18"/>
              </w:rPr>
              <w:t>779</w:t>
            </w:r>
            <w:r>
              <w:rPr>
                <w:rFonts w:ascii="Arial" w:hAnsi="Arial" w:cs="Arial"/>
                <w:color w:val="000000"/>
                <w:sz w:val="18"/>
                <w:szCs w:val="18"/>
              </w:rPr>
              <w:t> </w:t>
            </w:r>
            <w:r w:rsidRPr="0046007F">
              <w:rPr>
                <w:rFonts w:ascii="Arial" w:hAnsi="Arial" w:cs="Arial"/>
                <w:color w:val="000000"/>
                <w:sz w:val="18"/>
                <w:szCs w:val="18"/>
              </w:rPr>
              <w:t>565</w:t>
            </w:r>
          </w:p>
        </w:tc>
        <w:tc>
          <w:tcPr>
            <w:tcW w:w="1559" w:type="dxa"/>
            <w:gridSpan w:val="2"/>
            <w:tcBorders>
              <w:top w:val="nil"/>
              <w:left w:val="nil"/>
              <w:bottom w:val="single" w:sz="4" w:space="0" w:color="BFBFBF"/>
              <w:right w:val="nil"/>
            </w:tcBorders>
            <w:shd w:val="clear" w:color="auto" w:fill="auto"/>
            <w:vAlign w:val="bottom"/>
          </w:tcPr>
          <w:p w14:paraId="392C08A9" w14:textId="77777777" w:rsidR="00571749" w:rsidRPr="0046007F" w:rsidRDefault="00571749" w:rsidP="004235A4">
            <w:pPr>
              <w:jc w:val="center"/>
              <w:rPr>
                <w:rFonts w:ascii="Arial" w:hAnsi="Arial" w:cs="Arial"/>
                <w:color w:val="000000"/>
                <w:sz w:val="18"/>
                <w:szCs w:val="18"/>
              </w:rPr>
            </w:pPr>
            <w:r w:rsidRPr="0046007F">
              <w:rPr>
                <w:rFonts w:ascii="Arial" w:hAnsi="Arial" w:cs="Arial"/>
                <w:color w:val="000000"/>
                <w:sz w:val="18"/>
                <w:szCs w:val="18"/>
              </w:rPr>
              <w:t>231</w:t>
            </w:r>
            <w:r>
              <w:rPr>
                <w:rFonts w:ascii="Arial" w:hAnsi="Arial" w:cs="Arial"/>
                <w:color w:val="000000"/>
                <w:sz w:val="18"/>
                <w:szCs w:val="18"/>
              </w:rPr>
              <w:t> </w:t>
            </w:r>
            <w:r w:rsidRPr="0046007F">
              <w:rPr>
                <w:rFonts w:ascii="Arial" w:hAnsi="Arial" w:cs="Arial"/>
                <w:color w:val="000000"/>
                <w:sz w:val="18"/>
                <w:szCs w:val="18"/>
              </w:rPr>
              <w:t>028</w:t>
            </w:r>
          </w:p>
        </w:tc>
      </w:tr>
      <w:tr w:rsidR="00571749" w14:paraId="2F561D7D" w14:textId="77777777" w:rsidTr="004235A4">
        <w:trPr>
          <w:cantSplit/>
        </w:trPr>
        <w:tc>
          <w:tcPr>
            <w:tcW w:w="8767" w:type="dxa"/>
            <w:gridSpan w:val="8"/>
            <w:tcBorders>
              <w:top w:val="single" w:sz="4" w:space="0" w:color="BFBFBF"/>
              <w:left w:val="nil"/>
              <w:bottom w:val="nil"/>
              <w:right w:val="nil"/>
            </w:tcBorders>
            <w:shd w:val="clear" w:color="auto" w:fill="auto"/>
          </w:tcPr>
          <w:p w14:paraId="7CFA748C" w14:textId="19AA5B43" w:rsidR="006209FB" w:rsidRPr="006209FB" w:rsidRDefault="006209FB" w:rsidP="00CF45F9">
            <w:pPr>
              <w:pStyle w:val="Note"/>
            </w:pPr>
            <w:r>
              <w:rPr>
                <w:rStyle w:val="NoteLabel"/>
              </w:rPr>
              <w:t>a</w:t>
            </w:r>
            <w:r w:rsidR="00571749" w:rsidRPr="003072FD">
              <w:rPr>
                <w:rStyle w:val="NoteLabel"/>
              </w:rPr>
              <w:t xml:space="preserve"> </w:t>
            </w:r>
            <w:r w:rsidR="00571749">
              <w:t xml:space="preserve">The housing assistance variable indicates housing assistance status </w:t>
            </w:r>
            <w:r w:rsidR="008923E6">
              <w:t>at 30 June 2012</w:t>
            </w:r>
            <w:r w:rsidR="00571749">
              <w:t>. The use of lagged variables is discussed in section</w:t>
            </w:r>
            <w:r w:rsidR="00F858B3">
              <w:t> </w:t>
            </w:r>
            <w:r w:rsidR="00571749">
              <w:t>3.</w:t>
            </w:r>
            <w:r>
              <w:t xml:space="preserve"> </w:t>
            </w:r>
            <w:r>
              <w:rPr>
                <w:rStyle w:val="NoteLabel"/>
              </w:rPr>
              <w:t xml:space="preserve">b </w:t>
            </w:r>
            <w:r>
              <w:t>The average number of children in the care of a parent.</w:t>
            </w:r>
            <w:r>
              <w:rPr>
                <w:rStyle w:val="NoteLabel"/>
              </w:rPr>
              <w:t xml:space="preserve"> c</w:t>
            </w:r>
            <w:r w:rsidR="007C5952">
              <w:rPr>
                <w:rStyle w:val="NoteLabel"/>
              </w:rPr>
              <w:t> </w:t>
            </w:r>
            <w:r>
              <w:t xml:space="preserve">Other payments include a range of less common income support payments, including Bereavement Allowance, Wife’s Pension, Wife’s Disability Support Pension, Austudy, Partner Allowance, Sickness Allowance, Special Benefits, Widow Allowance and Abstudy. </w:t>
            </w:r>
            <w:r>
              <w:rPr>
                <w:rStyle w:val="NoteLabel"/>
              </w:rPr>
              <w:t xml:space="preserve">d </w:t>
            </w:r>
            <w:r w:rsidRPr="009D387B">
              <w:t xml:space="preserve">The average </w:t>
            </w:r>
            <w:r>
              <w:t>decile of the Index of Relative Socioeconomic Disadvantage at the Statistical Area 1 geographic unit level. A lower decile indicates greater disadvantage.</w:t>
            </w:r>
          </w:p>
        </w:tc>
      </w:tr>
      <w:tr w:rsidR="00571749" w14:paraId="0690D07A" w14:textId="77777777" w:rsidTr="004235A4">
        <w:trPr>
          <w:cantSplit/>
        </w:trPr>
        <w:tc>
          <w:tcPr>
            <w:tcW w:w="8767" w:type="dxa"/>
            <w:gridSpan w:val="8"/>
            <w:tcBorders>
              <w:top w:val="nil"/>
              <w:left w:val="nil"/>
              <w:bottom w:val="single" w:sz="6" w:space="0" w:color="78A22F"/>
              <w:right w:val="nil"/>
            </w:tcBorders>
            <w:shd w:val="clear" w:color="auto" w:fill="auto"/>
          </w:tcPr>
          <w:p w14:paraId="15B61D5A" w14:textId="77777777" w:rsidR="00571749" w:rsidRDefault="00571749" w:rsidP="004235A4">
            <w:pPr>
              <w:pStyle w:val="Box"/>
              <w:spacing w:before="0" w:line="120" w:lineRule="exact"/>
            </w:pPr>
          </w:p>
        </w:tc>
      </w:tr>
      <w:tr w:rsidR="00571749" w:rsidRPr="000863A5" w14:paraId="518A106B" w14:textId="77777777" w:rsidTr="004235A4">
        <w:tc>
          <w:tcPr>
            <w:tcW w:w="8767" w:type="dxa"/>
            <w:gridSpan w:val="8"/>
            <w:tcBorders>
              <w:top w:val="single" w:sz="6" w:space="0" w:color="78A22F"/>
              <w:left w:val="nil"/>
              <w:bottom w:val="nil"/>
              <w:right w:val="nil"/>
            </w:tcBorders>
          </w:tcPr>
          <w:p w14:paraId="7C9A966F" w14:textId="1AB7ECCC" w:rsidR="00571749" w:rsidRPr="00626D32" w:rsidRDefault="00571749" w:rsidP="004235A4">
            <w:pPr>
              <w:pStyle w:val="BoxSpaceBelow"/>
            </w:pPr>
          </w:p>
        </w:tc>
      </w:tr>
    </w:tbl>
    <w:p w14:paraId="2A019F88" w14:textId="77777777" w:rsidR="000A0387" w:rsidRDefault="000A0387" w:rsidP="000A0387">
      <w:pPr>
        <w:pStyle w:val="BodyText"/>
      </w:pPr>
      <w:r>
        <w:t xml:space="preserve">In contrast, CRA recipients tend to have characteristics more similar to those of ISP recipients who receive no housing assistance. </w:t>
      </w:r>
      <w:r w:rsidRPr="001A6D9C">
        <w:t xml:space="preserve">For instance, </w:t>
      </w:r>
      <w:r>
        <w:t xml:space="preserve">in all waves, </w:t>
      </w:r>
      <w:r w:rsidRPr="001A6D9C">
        <w:t xml:space="preserve">the likelihood of having a medical condition is similar across both groups, as are the socioeconomic characteristics of the areas in which they live. </w:t>
      </w:r>
      <w:r>
        <w:t>That said, t</w:t>
      </w:r>
      <w:r w:rsidRPr="001A6D9C">
        <w:t>here are some</w:t>
      </w:r>
      <w:r>
        <w:t xml:space="preserve"> differences between CRA recipients and ISP recipients who do not receive housing assistance. For example, </w:t>
      </w:r>
      <w:r w:rsidRPr="001A6D9C">
        <w:t xml:space="preserve">CRA recipients are more likely to be single, and </w:t>
      </w:r>
      <w:r>
        <w:t>are more</w:t>
      </w:r>
      <w:r w:rsidRPr="001A6D9C">
        <w:t xml:space="preserve"> likel</w:t>
      </w:r>
      <w:r>
        <w:t xml:space="preserve">y to </w:t>
      </w:r>
      <w:r w:rsidRPr="001A6D9C">
        <w:t>hav</w:t>
      </w:r>
      <w:r>
        <w:t>e moved in the last year than are ISP recipients who do not receive any housing assistance.</w:t>
      </w:r>
    </w:p>
    <w:p w14:paraId="38A4A885" w14:textId="77777777" w:rsidR="00571749" w:rsidRDefault="00571749" w:rsidP="00571749">
      <w:pPr>
        <w:pStyle w:val="Heading4"/>
      </w:pPr>
      <w:r w:rsidRPr="00E41D8D">
        <w:t>Young people living with parents or guardians</w:t>
      </w:r>
    </w:p>
    <w:p w14:paraId="1FE1D361" w14:textId="17A4CA3A" w:rsidR="00571749" w:rsidRDefault="00575CA6" w:rsidP="006700E5">
      <w:pPr>
        <w:pStyle w:val="BodyText"/>
      </w:pPr>
      <w:r>
        <w:t>As mentioned above, t</w:t>
      </w:r>
      <w:r w:rsidR="00571749">
        <w:t xml:space="preserve">he employment of </w:t>
      </w:r>
      <w:r w:rsidR="00571749" w:rsidRPr="00011380">
        <w:t xml:space="preserve">people living with parents or guardians </w:t>
      </w:r>
      <w:r w:rsidR="00571749">
        <w:t xml:space="preserve">may </w:t>
      </w:r>
      <w:r w:rsidR="00571749" w:rsidRPr="00011380">
        <w:t xml:space="preserve">be </w:t>
      </w:r>
      <w:r w:rsidR="00571749">
        <w:t xml:space="preserve">negatively </w:t>
      </w:r>
      <w:r w:rsidR="00571749" w:rsidRPr="00011380">
        <w:t>affected by rent setting rules in public housing</w:t>
      </w:r>
      <w:r w:rsidR="00632ACC">
        <w:t>.</w:t>
      </w:r>
      <w:r w:rsidR="0043640F">
        <w:rPr>
          <w:rStyle w:val="FootnoteReference"/>
        </w:rPr>
        <w:footnoteReference w:id="11"/>
      </w:r>
      <w:r w:rsidR="00571749" w:rsidRPr="00011380">
        <w:t xml:space="preserve"> </w:t>
      </w:r>
      <w:r w:rsidR="00571749">
        <w:t xml:space="preserve">While </w:t>
      </w:r>
      <w:r w:rsidR="00571749" w:rsidRPr="00011380">
        <w:t>rules relating to younger household members vary, all states include the incomes of some younger memb</w:t>
      </w:r>
      <w:r w:rsidR="00571749" w:rsidRPr="006700E5">
        <w:rPr>
          <w:rStyle w:val="BodyTextChar"/>
        </w:rPr>
        <w:t>ers in determining the rent paid by a household living in public housing</w:t>
      </w:r>
      <w:r w:rsidR="00956D37" w:rsidRPr="006700E5">
        <w:rPr>
          <w:rStyle w:val="BodyTextChar"/>
        </w:rPr>
        <w:t>.</w:t>
      </w:r>
      <w:r w:rsidR="006700E5">
        <w:rPr>
          <w:rStyle w:val="BodyTextChar"/>
        </w:rPr>
        <w:t xml:space="preserve"> </w:t>
      </w:r>
      <w:r w:rsidR="00DF5382">
        <w:rPr>
          <w:rStyle w:val="BodyTextChar"/>
        </w:rPr>
        <w:t>T</w:t>
      </w:r>
      <w:r w:rsidR="006700E5" w:rsidRPr="006700E5">
        <w:rPr>
          <w:rStyle w:val="BodyTextChar"/>
        </w:rPr>
        <w:t>able</w:t>
      </w:r>
      <w:r w:rsidR="00531BBF">
        <w:rPr>
          <w:rStyle w:val="BodyTextChar"/>
        </w:rPr>
        <w:t> </w:t>
      </w:r>
      <w:r w:rsidR="006700E5" w:rsidRPr="006700E5">
        <w:rPr>
          <w:rStyle w:val="BodyTextChar"/>
        </w:rPr>
        <w:t xml:space="preserve">3.2 in volume 1 of this report </w:t>
      </w:r>
      <w:r w:rsidR="00DF5382">
        <w:rPr>
          <w:rStyle w:val="BodyTextChar"/>
        </w:rPr>
        <w:t>presents</w:t>
      </w:r>
      <w:r w:rsidR="00DF5382" w:rsidRPr="006700E5">
        <w:rPr>
          <w:rStyle w:val="BodyTextChar"/>
        </w:rPr>
        <w:t xml:space="preserve"> </w:t>
      </w:r>
      <w:r w:rsidR="006700E5" w:rsidRPr="006700E5">
        <w:rPr>
          <w:rStyle w:val="BodyTextChar"/>
        </w:rPr>
        <w:t>a summary of differences in how the income of young people is treated in setting households’ public housing rents.</w:t>
      </w:r>
      <w:r w:rsidR="00956D37" w:rsidRPr="006700E5">
        <w:rPr>
          <w:rStyle w:val="BodyTextChar"/>
        </w:rPr>
        <w:t xml:space="preserve"> </w:t>
      </w:r>
    </w:p>
    <w:p w14:paraId="3576FAA5" w14:textId="77777777" w:rsidR="00571749" w:rsidRDefault="00571749" w:rsidP="00571749">
      <w:pPr>
        <w:pStyle w:val="BodyText"/>
      </w:pPr>
      <w:r>
        <w:t xml:space="preserve">The RED data do not </w:t>
      </w:r>
      <w:r w:rsidR="00FE2AEF">
        <w:t>directly</w:t>
      </w:r>
      <w:r>
        <w:t xml:space="preserve"> identif</w:t>
      </w:r>
      <w:r w:rsidR="006210A0">
        <w:t>y</w:t>
      </w:r>
      <w:r w:rsidR="006700E5">
        <w:t xml:space="preserve"> </w:t>
      </w:r>
      <w:r>
        <w:t>w</w:t>
      </w:r>
      <w:r w:rsidRPr="00E41D8D">
        <w:t xml:space="preserve">orking age young people who receive </w:t>
      </w:r>
      <w:r>
        <w:t>an ISP</w:t>
      </w:r>
      <w:r w:rsidRPr="00E41D8D">
        <w:t xml:space="preserve"> and live with parents </w:t>
      </w:r>
      <w:r>
        <w:t>who receive housing assistance</w:t>
      </w:r>
      <w:r w:rsidRPr="00E41D8D">
        <w:t>.</w:t>
      </w:r>
      <w:r>
        <w:t xml:space="preserve"> In order to assess if </w:t>
      </w:r>
      <w:r w:rsidR="00B218CA">
        <w:t xml:space="preserve">parental </w:t>
      </w:r>
      <w:r>
        <w:t xml:space="preserve">housing assistance has any effect on the employment of younger household members, </w:t>
      </w:r>
      <w:r w:rsidRPr="00E41D8D">
        <w:t xml:space="preserve">it is </w:t>
      </w:r>
      <w:r>
        <w:t xml:space="preserve">necessary to infer the housing assistance status </w:t>
      </w:r>
      <w:r w:rsidRPr="00E41D8D">
        <w:t>of some young people from their parents’ information.</w:t>
      </w:r>
      <w:r>
        <w:t xml:space="preserve"> </w:t>
      </w:r>
    </w:p>
    <w:p w14:paraId="307A4D94" w14:textId="77777777" w:rsidR="00571749" w:rsidRDefault="00571749" w:rsidP="00571749">
      <w:pPr>
        <w:pStyle w:val="BodyText"/>
      </w:pPr>
      <w:r>
        <w:t xml:space="preserve">Data for ISP recipients aged between 16 and 24 can be linked to </w:t>
      </w:r>
      <w:r w:rsidR="00575CA6">
        <w:t>that of their</w:t>
      </w:r>
      <w:r>
        <w:t xml:space="preserve"> parents </w:t>
      </w:r>
      <w:r w:rsidR="00575CA6">
        <w:t xml:space="preserve">who </w:t>
      </w:r>
      <w:r>
        <w:t xml:space="preserve">also receive an ISP. While there is no direct information about whether the younger ISP recipients reside </w:t>
      </w:r>
      <w:r w:rsidR="006210A0">
        <w:t>at the same address</w:t>
      </w:r>
      <w:r>
        <w:t xml:space="preserve"> as their parents, they are assumed to live with their parents if they reside in the same Statistical Area Level 1 </w:t>
      </w:r>
      <w:r w:rsidR="004B3006">
        <w:t xml:space="preserve">(SA 1) </w:t>
      </w:r>
      <w:r>
        <w:t>region.</w:t>
      </w:r>
      <w:r>
        <w:rPr>
          <w:rStyle w:val="FootnoteReference"/>
        </w:rPr>
        <w:footnoteReference w:id="12"/>
      </w:r>
    </w:p>
    <w:p w14:paraId="5EFF0519" w14:textId="77777777" w:rsidR="00571749" w:rsidRDefault="00571749" w:rsidP="00571749">
      <w:pPr>
        <w:pStyle w:val="BodyText"/>
      </w:pPr>
      <w:r>
        <w:t xml:space="preserve">Young ISP recipients living with </w:t>
      </w:r>
      <w:r w:rsidR="00E51391">
        <w:t>parents</w:t>
      </w:r>
      <w:r>
        <w:t xml:space="preserve"> in public housing are less likely to work than those living with their parents in other housing tenures (table</w:t>
      </w:r>
      <w:r w:rsidR="00F858B3">
        <w:t> </w:t>
      </w:r>
      <w:r>
        <w:t xml:space="preserve">4). They are more likely to be Indigenous, live in an area of high disadvantage, </w:t>
      </w:r>
      <w:r w:rsidR="001A35C8">
        <w:t>or</w:t>
      </w:r>
      <w:r>
        <w:t xml:space="preserve"> have a medical condition. They are less likely to be receiving the Youth Allowance (Student) payment.</w:t>
      </w:r>
    </w:p>
    <w:p w14:paraId="78738438" w14:textId="1D0420D5" w:rsidR="00571749" w:rsidRDefault="00571749" w:rsidP="0057174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2672"/>
        <w:gridCol w:w="1162"/>
        <w:gridCol w:w="993"/>
        <w:gridCol w:w="680"/>
        <w:gridCol w:w="992"/>
        <w:gridCol w:w="709"/>
        <w:gridCol w:w="850"/>
        <w:gridCol w:w="709"/>
      </w:tblGrid>
      <w:tr w:rsidR="00571749" w14:paraId="734522DE" w14:textId="77777777" w:rsidTr="004235A4">
        <w:tc>
          <w:tcPr>
            <w:tcW w:w="8767" w:type="dxa"/>
            <w:gridSpan w:val="8"/>
            <w:tcBorders>
              <w:top w:val="single" w:sz="6" w:space="0" w:color="78A22F"/>
              <w:left w:val="nil"/>
              <w:bottom w:val="single" w:sz="4" w:space="0" w:color="BFBFBF"/>
              <w:right w:val="nil"/>
            </w:tcBorders>
            <w:shd w:val="clear" w:color="auto" w:fill="auto"/>
          </w:tcPr>
          <w:p w14:paraId="02A44704" w14:textId="6E065E88" w:rsidR="00571749" w:rsidRPr="006209FB" w:rsidRDefault="00571749" w:rsidP="004235A4">
            <w:pPr>
              <w:pStyle w:val="TableTitle"/>
              <w:rPr>
                <w:rStyle w:val="NoteLabel"/>
              </w:rPr>
            </w:pPr>
            <w:r>
              <w:rPr>
                <w:b w:val="0"/>
              </w:rPr>
              <w:t xml:space="preserve">Table </w:t>
            </w:r>
            <w:bookmarkStart w:id="5" w:name="OLE_LINK14"/>
            <w:r w:rsidR="00D8076D">
              <w:rPr>
                <w:b w:val="0"/>
                <w:noProof/>
              </w:rPr>
              <w:t>4</w:t>
            </w:r>
            <w:bookmarkEnd w:id="5"/>
            <w:r>
              <w:tab/>
              <w:t xml:space="preserve">Characteristics of young ISP recipients </w:t>
            </w:r>
            <w:r w:rsidR="0012694E">
              <w:t>living at home</w:t>
            </w:r>
            <w:r>
              <w:t xml:space="preserve"> by their parent’s type of housing assistance, 30</w:t>
            </w:r>
            <w:r w:rsidR="00056061">
              <w:t> </w:t>
            </w:r>
            <w:r>
              <w:t>June 2013</w:t>
            </w:r>
            <w:r w:rsidR="006209FB" w:rsidRPr="006209FB">
              <w:rPr>
                <w:rStyle w:val="NoteLabel"/>
                <w:b/>
              </w:rPr>
              <w:t>a</w:t>
            </w:r>
          </w:p>
        </w:tc>
      </w:tr>
      <w:tr w:rsidR="006700E5" w14:paraId="530272B0" w14:textId="77777777" w:rsidTr="006700E5">
        <w:trPr>
          <w:cantSplit/>
          <w:trHeight w:val="32"/>
        </w:trPr>
        <w:tc>
          <w:tcPr>
            <w:tcW w:w="2672" w:type="dxa"/>
            <w:tcBorders>
              <w:top w:val="single" w:sz="4" w:space="0" w:color="BFBFBF"/>
              <w:left w:val="nil"/>
              <w:bottom w:val="nil"/>
              <w:right w:val="nil"/>
            </w:tcBorders>
            <w:shd w:val="clear" w:color="auto" w:fill="auto"/>
          </w:tcPr>
          <w:p w14:paraId="3E578441" w14:textId="77777777" w:rsidR="006700E5" w:rsidRPr="00595FBF" w:rsidRDefault="006700E5" w:rsidP="004235A4">
            <w:pPr>
              <w:pStyle w:val="TableColumnHeading"/>
              <w:ind w:left="-57" w:right="0"/>
            </w:pPr>
          </w:p>
        </w:tc>
        <w:tc>
          <w:tcPr>
            <w:tcW w:w="1162" w:type="dxa"/>
            <w:tcBorders>
              <w:top w:val="single" w:sz="4" w:space="0" w:color="BFBFBF"/>
              <w:left w:val="nil"/>
              <w:bottom w:val="nil"/>
              <w:right w:val="nil"/>
            </w:tcBorders>
            <w:shd w:val="clear" w:color="auto" w:fill="auto"/>
          </w:tcPr>
          <w:p w14:paraId="3E7987DB" w14:textId="77777777" w:rsidR="006700E5" w:rsidRPr="00595FBF" w:rsidRDefault="006700E5" w:rsidP="006B62AA">
            <w:pPr>
              <w:pStyle w:val="TableColumnHeading"/>
              <w:ind w:left="-57" w:right="-57"/>
            </w:pPr>
          </w:p>
        </w:tc>
        <w:tc>
          <w:tcPr>
            <w:tcW w:w="1673" w:type="dxa"/>
            <w:gridSpan w:val="2"/>
            <w:tcBorders>
              <w:top w:val="single" w:sz="4" w:space="0" w:color="BFBFBF"/>
              <w:left w:val="nil"/>
              <w:bottom w:val="nil"/>
              <w:right w:val="nil"/>
            </w:tcBorders>
            <w:shd w:val="clear" w:color="auto" w:fill="auto"/>
          </w:tcPr>
          <w:p w14:paraId="575DB905" w14:textId="77777777" w:rsidR="006700E5" w:rsidRPr="00595FBF" w:rsidRDefault="006700E5" w:rsidP="004235A4">
            <w:pPr>
              <w:pStyle w:val="TableColumnHeading"/>
              <w:ind w:left="-113" w:right="0"/>
            </w:pPr>
            <w:r w:rsidRPr="00595FBF">
              <w:t>No housing assistance</w:t>
            </w:r>
          </w:p>
        </w:tc>
        <w:tc>
          <w:tcPr>
            <w:tcW w:w="1701" w:type="dxa"/>
            <w:gridSpan w:val="2"/>
            <w:tcBorders>
              <w:top w:val="single" w:sz="4" w:space="0" w:color="BFBFBF"/>
              <w:left w:val="nil"/>
              <w:bottom w:val="nil"/>
              <w:right w:val="nil"/>
            </w:tcBorders>
            <w:shd w:val="clear" w:color="auto" w:fill="auto"/>
          </w:tcPr>
          <w:p w14:paraId="418FD433" w14:textId="77777777" w:rsidR="006700E5" w:rsidRPr="00595FBF" w:rsidRDefault="006700E5" w:rsidP="004235A4">
            <w:pPr>
              <w:pStyle w:val="TableColumnHeading"/>
              <w:ind w:left="0" w:right="0"/>
            </w:pPr>
            <w:r>
              <w:t>Commonwealth Rent Assistance</w:t>
            </w:r>
          </w:p>
        </w:tc>
        <w:tc>
          <w:tcPr>
            <w:tcW w:w="1559" w:type="dxa"/>
            <w:gridSpan w:val="2"/>
            <w:tcBorders>
              <w:top w:val="single" w:sz="4" w:space="0" w:color="BFBFBF"/>
              <w:left w:val="nil"/>
              <w:bottom w:val="nil"/>
              <w:right w:val="nil"/>
            </w:tcBorders>
            <w:shd w:val="clear" w:color="auto" w:fill="auto"/>
          </w:tcPr>
          <w:p w14:paraId="45CC8B22" w14:textId="77777777" w:rsidR="006700E5" w:rsidRPr="00BE6D06" w:rsidRDefault="006700E5" w:rsidP="00BE6D06">
            <w:pPr>
              <w:pStyle w:val="TableColumnHeading"/>
            </w:pPr>
            <w:r w:rsidRPr="00BE6D06">
              <w:t xml:space="preserve">Public housing </w:t>
            </w:r>
          </w:p>
        </w:tc>
      </w:tr>
      <w:tr w:rsidR="00571749" w14:paraId="218BAB1D" w14:textId="77777777" w:rsidTr="006700E5">
        <w:trPr>
          <w:cantSplit/>
          <w:trHeight w:val="20"/>
        </w:trPr>
        <w:tc>
          <w:tcPr>
            <w:tcW w:w="2672" w:type="dxa"/>
            <w:tcBorders>
              <w:top w:val="nil"/>
              <w:left w:val="nil"/>
              <w:bottom w:val="single" w:sz="4" w:space="0" w:color="BFBFBF"/>
              <w:right w:val="nil"/>
            </w:tcBorders>
            <w:shd w:val="clear" w:color="auto" w:fill="auto"/>
          </w:tcPr>
          <w:p w14:paraId="1FF6B3E3" w14:textId="77777777" w:rsidR="00571749" w:rsidRPr="00595FBF" w:rsidRDefault="00571749" w:rsidP="004235A4">
            <w:pPr>
              <w:pStyle w:val="TableColumnHeading"/>
              <w:ind w:left="-57" w:right="0"/>
            </w:pPr>
          </w:p>
        </w:tc>
        <w:tc>
          <w:tcPr>
            <w:tcW w:w="1162" w:type="dxa"/>
            <w:tcBorders>
              <w:top w:val="nil"/>
              <w:left w:val="nil"/>
              <w:bottom w:val="single" w:sz="4" w:space="0" w:color="BFBFBF"/>
              <w:right w:val="nil"/>
            </w:tcBorders>
            <w:shd w:val="clear" w:color="auto" w:fill="auto"/>
          </w:tcPr>
          <w:p w14:paraId="565FDF29" w14:textId="77777777" w:rsidR="00571749" w:rsidRPr="00595FBF" w:rsidRDefault="00571749" w:rsidP="006B62AA">
            <w:pPr>
              <w:pStyle w:val="TableColumnHeading"/>
              <w:ind w:left="-57" w:right="-57"/>
              <w:jc w:val="left"/>
            </w:pPr>
            <w:r w:rsidRPr="00595FBF">
              <w:t>Unit</w:t>
            </w:r>
          </w:p>
        </w:tc>
        <w:tc>
          <w:tcPr>
            <w:tcW w:w="993" w:type="dxa"/>
            <w:tcBorders>
              <w:top w:val="nil"/>
              <w:left w:val="nil"/>
              <w:bottom w:val="single" w:sz="4" w:space="0" w:color="BFBFBF"/>
              <w:right w:val="nil"/>
            </w:tcBorders>
            <w:shd w:val="clear" w:color="auto" w:fill="auto"/>
          </w:tcPr>
          <w:p w14:paraId="3700FD9D" w14:textId="77777777" w:rsidR="00571749" w:rsidRPr="00595FBF" w:rsidRDefault="00571749" w:rsidP="004235A4">
            <w:pPr>
              <w:pStyle w:val="TableColumnHeading"/>
              <w:ind w:left="0" w:right="0"/>
            </w:pPr>
            <w:r w:rsidRPr="00595FBF">
              <w:t>Mean</w:t>
            </w:r>
          </w:p>
        </w:tc>
        <w:tc>
          <w:tcPr>
            <w:tcW w:w="680" w:type="dxa"/>
            <w:tcBorders>
              <w:top w:val="nil"/>
              <w:left w:val="nil"/>
              <w:bottom w:val="single" w:sz="4" w:space="0" w:color="BFBFBF"/>
              <w:right w:val="nil"/>
            </w:tcBorders>
            <w:shd w:val="clear" w:color="auto" w:fill="auto"/>
          </w:tcPr>
          <w:p w14:paraId="3C0E4215" w14:textId="77777777" w:rsidR="00571749" w:rsidRPr="00595FBF" w:rsidRDefault="00571749" w:rsidP="004235A4">
            <w:pPr>
              <w:pStyle w:val="TableColumnHeading"/>
              <w:ind w:left="0" w:right="0"/>
            </w:pPr>
            <w:r>
              <w:t>sd</w:t>
            </w:r>
          </w:p>
        </w:tc>
        <w:tc>
          <w:tcPr>
            <w:tcW w:w="992" w:type="dxa"/>
            <w:tcBorders>
              <w:top w:val="nil"/>
              <w:left w:val="nil"/>
              <w:bottom w:val="single" w:sz="4" w:space="0" w:color="BFBFBF"/>
              <w:right w:val="nil"/>
            </w:tcBorders>
            <w:shd w:val="clear" w:color="auto" w:fill="auto"/>
          </w:tcPr>
          <w:p w14:paraId="0A09F580" w14:textId="77777777" w:rsidR="00571749" w:rsidRPr="00595FBF" w:rsidRDefault="00571749" w:rsidP="004235A4">
            <w:pPr>
              <w:pStyle w:val="TableColumnHeading"/>
              <w:ind w:left="0" w:right="0"/>
            </w:pPr>
            <w:r w:rsidRPr="00595FBF">
              <w:t>Mean</w:t>
            </w:r>
          </w:p>
        </w:tc>
        <w:tc>
          <w:tcPr>
            <w:tcW w:w="709" w:type="dxa"/>
            <w:tcBorders>
              <w:top w:val="nil"/>
              <w:left w:val="nil"/>
              <w:bottom w:val="single" w:sz="4" w:space="0" w:color="BFBFBF"/>
              <w:right w:val="nil"/>
            </w:tcBorders>
            <w:shd w:val="clear" w:color="auto" w:fill="auto"/>
          </w:tcPr>
          <w:p w14:paraId="3B1BE91F" w14:textId="77777777" w:rsidR="00571749" w:rsidRPr="00595FBF" w:rsidRDefault="00571749" w:rsidP="004235A4">
            <w:pPr>
              <w:pStyle w:val="TableColumnHeading"/>
              <w:ind w:left="0" w:right="0"/>
            </w:pPr>
            <w:r>
              <w:t>sd</w:t>
            </w:r>
          </w:p>
        </w:tc>
        <w:tc>
          <w:tcPr>
            <w:tcW w:w="850" w:type="dxa"/>
            <w:tcBorders>
              <w:top w:val="nil"/>
              <w:left w:val="nil"/>
              <w:bottom w:val="single" w:sz="4" w:space="0" w:color="BFBFBF"/>
              <w:right w:val="nil"/>
            </w:tcBorders>
            <w:shd w:val="clear" w:color="auto" w:fill="auto"/>
          </w:tcPr>
          <w:p w14:paraId="38CB17E3" w14:textId="77777777" w:rsidR="00571749" w:rsidRPr="00595FBF" w:rsidRDefault="00571749" w:rsidP="004235A4">
            <w:pPr>
              <w:pStyle w:val="TableColumnHeading"/>
              <w:ind w:left="0" w:right="0"/>
            </w:pPr>
            <w:r w:rsidRPr="00595FBF">
              <w:t>Mean</w:t>
            </w:r>
          </w:p>
        </w:tc>
        <w:tc>
          <w:tcPr>
            <w:tcW w:w="709" w:type="dxa"/>
            <w:tcBorders>
              <w:top w:val="nil"/>
              <w:left w:val="nil"/>
              <w:bottom w:val="single" w:sz="4" w:space="0" w:color="BFBFBF"/>
              <w:right w:val="nil"/>
            </w:tcBorders>
            <w:shd w:val="clear" w:color="auto" w:fill="auto"/>
          </w:tcPr>
          <w:p w14:paraId="62604032" w14:textId="77777777" w:rsidR="00571749" w:rsidRDefault="00571749" w:rsidP="00793FFB">
            <w:pPr>
              <w:pStyle w:val="TableColumnHeading"/>
            </w:pPr>
            <w:r w:rsidRPr="00793FFB">
              <w:t>sd</w:t>
            </w:r>
          </w:p>
        </w:tc>
      </w:tr>
      <w:tr w:rsidR="00571749" w14:paraId="265B1DA3" w14:textId="77777777" w:rsidTr="006700E5">
        <w:trPr>
          <w:cantSplit/>
          <w:trHeight w:val="20"/>
        </w:trPr>
        <w:tc>
          <w:tcPr>
            <w:tcW w:w="2672" w:type="dxa"/>
            <w:tcBorders>
              <w:top w:val="single" w:sz="4" w:space="0" w:color="BFBFBF"/>
              <w:left w:val="nil"/>
              <w:bottom w:val="nil"/>
              <w:right w:val="nil"/>
            </w:tcBorders>
            <w:shd w:val="clear" w:color="auto" w:fill="auto"/>
            <w:vAlign w:val="bottom"/>
          </w:tcPr>
          <w:p w14:paraId="06302F10" w14:textId="77777777" w:rsidR="00571749" w:rsidRDefault="00571749" w:rsidP="006B62AA">
            <w:pPr>
              <w:pStyle w:val="TableBodyText"/>
              <w:ind w:left="-113" w:right="-57"/>
              <w:jc w:val="left"/>
            </w:pPr>
            <w:r>
              <w:t>Employment</w:t>
            </w:r>
          </w:p>
        </w:tc>
        <w:tc>
          <w:tcPr>
            <w:tcW w:w="1162" w:type="dxa"/>
            <w:tcBorders>
              <w:top w:val="single" w:sz="4" w:space="0" w:color="BFBFBF"/>
              <w:left w:val="nil"/>
              <w:bottom w:val="nil"/>
              <w:right w:val="nil"/>
            </w:tcBorders>
            <w:shd w:val="clear" w:color="auto" w:fill="auto"/>
            <w:vAlign w:val="bottom"/>
          </w:tcPr>
          <w:p w14:paraId="018A1CC8" w14:textId="77777777" w:rsidR="00571749" w:rsidRDefault="00571749" w:rsidP="006B62AA">
            <w:pPr>
              <w:pStyle w:val="TableBodyText"/>
              <w:ind w:left="-57" w:right="-57"/>
              <w:jc w:val="left"/>
            </w:pPr>
            <w:r>
              <w:t>Per cent</w:t>
            </w:r>
          </w:p>
        </w:tc>
        <w:tc>
          <w:tcPr>
            <w:tcW w:w="993" w:type="dxa"/>
            <w:tcBorders>
              <w:top w:val="single" w:sz="4" w:space="0" w:color="BFBFBF"/>
              <w:left w:val="nil"/>
              <w:bottom w:val="nil"/>
              <w:right w:val="nil"/>
            </w:tcBorders>
            <w:shd w:val="clear" w:color="auto" w:fill="auto"/>
            <w:vAlign w:val="bottom"/>
          </w:tcPr>
          <w:p w14:paraId="2A7EDF54" w14:textId="7A319F76" w:rsidR="00571749" w:rsidRDefault="00571749" w:rsidP="00793FFB">
            <w:pPr>
              <w:jc w:val="right"/>
              <w:rPr>
                <w:rFonts w:ascii="Arial" w:hAnsi="Arial" w:cs="Arial"/>
                <w:color w:val="000000"/>
                <w:sz w:val="18"/>
                <w:szCs w:val="18"/>
              </w:rPr>
            </w:pPr>
            <w:r>
              <w:rPr>
                <w:rFonts w:ascii="Arial" w:hAnsi="Arial" w:cs="Arial"/>
                <w:color w:val="000000"/>
                <w:sz w:val="18"/>
                <w:szCs w:val="18"/>
              </w:rPr>
              <w:t>24.</w:t>
            </w:r>
            <w:r w:rsidR="00793FFB">
              <w:rPr>
                <w:rFonts w:ascii="Arial" w:hAnsi="Arial" w:cs="Arial"/>
                <w:color w:val="000000"/>
                <w:sz w:val="18"/>
                <w:szCs w:val="18"/>
              </w:rPr>
              <w:t>1</w:t>
            </w:r>
          </w:p>
        </w:tc>
        <w:tc>
          <w:tcPr>
            <w:tcW w:w="680" w:type="dxa"/>
            <w:tcBorders>
              <w:top w:val="single" w:sz="4" w:space="0" w:color="BFBFBF"/>
              <w:left w:val="nil"/>
              <w:bottom w:val="nil"/>
              <w:right w:val="nil"/>
            </w:tcBorders>
            <w:shd w:val="clear" w:color="auto" w:fill="auto"/>
            <w:vAlign w:val="bottom"/>
          </w:tcPr>
          <w:p w14:paraId="604A559C"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single" w:sz="4" w:space="0" w:color="BFBFBF"/>
              <w:left w:val="nil"/>
              <w:bottom w:val="nil"/>
              <w:right w:val="nil"/>
            </w:tcBorders>
            <w:shd w:val="clear" w:color="auto" w:fill="auto"/>
            <w:vAlign w:val="bottom"/>
          </w:tcPr>
          <w:p w14:paraId="1EC31A94" w14:textId="4BB641CA" w:rsidR="00571749" w:rsidRDefault="00571749" w:rsidP="00793FFB">
            <w:pPr>
              <w:jc w:val="right"/>
              <w:rPr>
                <w:rFonts w:ascii="Arial" w:hAnsi="Arial" w:cs="Arial"/>
                <w:color w:val="000000"/>
                <w:sz w:val="18"/>
                <w:szCs w:val="18"/>
              </w:rPr>
            </w:pPr>
            <w:r>
              <w:rPr>
                <w:rFonts w:ascii="Arial" w:hAnsi="Arial" w:cs="Arial"/>
                <w:color w:val="000000"/>
                <w:sz w:val="18"/>
                <w:szCs w:val="18"/>
              </w:rPr>
              <w:t>19.</w:t>
            </w:r>
            <w:r w:rsidR="00793FFB">
              <w:rPr>
                <w:rFonts w:ascii="Arial" w:hAnsi="Arial" w:cs="Arial"/>
                <w:color w:val="000000"/>
                <w:sz w:val="18"/>
                <w:szCs w:val="18"/>
              </w:rPr>
              <w:t>1</w:t>
            </w:r>
          </w:p>
        </w:tc>
        <w:tc>
          <w:tcPr>
            <w:tcW w:w="709" w:type="dxa"/>
            <w:tcBorders>
              <w:top w:val="single" w:sz="4" w:space="0" w:color="BFBFBF"/>
              <w:left w:val="nil"/>
              <w:bottom w:val="nil"/>
              <w:right w:val="nil"/>
            </w:tcBorders>
            <w:shd w:val="clear" w:color="auto" w:fill="auto"/>
            <w:vAlign w:val="bottom"/>
          </w:tcPr>
          <w:p w14:paraId="3DDF53EB"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single" w:sz="4" w:space="0" w:color="BFBFBF"/>
              <w:left w:val="nil"/>
              <w:bottom w:val="nil"/>
              <w:right w:val="nil"/>
            </w:tcBorders>
            <w:shd w:val="clear" w:color="auto" w:fill="auto"/>
            <w:vAlign w:val="bottom"/>
          </w:tcPr>
          <w:p w14:paraId="3BA32208" w14:textId="349434FE" w:rsidR="00571749" w:rsidRDefault="00BE6D06" w:rsidP="004235A4">
            <w:pPr>
              <w:jc w:val="right"/>
              <w:rPr>
                <w:rFonts w:ascii="Arial" w:hAnsi="Arial" w:cs="Arial"/>
                <w:color w:val="000000"/>
                <w:sz w:val="18"/>
                <w:szCs w:val="18"/>
              </w:rPr>
            </w:pPr>
            <w:r>
              <w:rPr>
                <w:rFonts w:ascii="Arial" w:hAnsi="Arial" w:cs="Arial"/>
                <w:color w:val="000000"/>
                <w:sz w:val="18"/>
                <w:szCs w:val="18"/>
              </w:rPr>
              <w:t>13.7</w:t>
            </w:r>
          </w:p>
        </w:tc>
        <w:tc>
          <w:tcPr>
            <w:tcW w:w="709" w:type="dxa"/>
            <w:tcBorders>
              <w:top w:val="single" w:sz="4" w:space="0" w:color="BFBFBF"/>
              <w:left w:val="nil"/>
              <w:bottom w:val="nil"/>
              <w:right w:val="nil"/>
            </w:tcBorders>
            <w:shd w:val="clear" w:color="auto" w:fill="auto"/>
            <w:vAlign w:val="bottom"/>
          </w:tcPr>
          <w:p w14:paraId="7C5D6791" w14:textId="77777777" w:rsidR="00571749" w:rsidRDefault="00D47A82" w:rsidP="00C4369E">
            <w:pPr>
              <w:pStyle w:val="TableBodyText"/>
            </w:pPr>
            <w:r>
              <w:t> </w:t>
            </w:r>
          </w:p>
        </w:tc>
      </w:tr>
      <w:tr w:rsidR="00571749" w14:paraId="5973750A" w14:textId="77777777" w:rsidTr="006700E5">
        <w:trPr>
          <w:cantSplit/>
          <w:trHeight w:val="20"/>
        </w:trPr>
        <w:tc>
          <w:tcPr>
            <w:tcW w:w="2672" w:type="dxa"/>
            <w:tcBorders>
              <w:top w:val="nil"/>
              <w:left w:val="nil"/>
              <w:bottom w:val="nil"/>
              <w:right w:val="nil"/>
            </w:tcBorders>
            <w:shd w:val="clear" w:color="auto" w:fill="auto"/>
            <w:vAlign w:val="bottom"/>
          </w:tcPr>
          <w:p w14:paraId="108CC8B7" w14:textId="77777777" w:rsidR="00571749" w:rsidRDefault="00571749" w:rsidP="006B62AA">
            <w:pPr>
              <w:pStyle w:val="TableBodyText"/>
              <w:ind w:left="-113" w:right="-57"/>
              <w:jc w:val="left"/>
            </w:pPr>
            <w:r>
              <w:t>Female</w:t>
            </w:r>
          </w:p>
        </w:tc>
        <w:tc>
          <w:tcPr>
            <w:tcW w:w="1162" w:type="dxa"/>
            <w:tcBorders>
              <w:top w:val="nil"/>
              <w:left w:val="nil"/>
              <w:bottom w:val="nil"/>
              <w:right w:val="nil"/>
            </w:tcBorders>
            <w:shd w:val="clear" w:color="auto" w:fill="auto"/>
            <w:vAlign w:val="bottom"/>
          </w:tcPr>
          <w:p w14:paraId="03FCC770"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137BB496" w14:textId="37E3EA26" w:rsidR="00571749" w:rsidRDefault="00793FFB" w:rsidP="004235A4">
            <w:pPr>
              <w:jc w:val="right"/>
              <w:rPr>
                <w:rFonts w:ascii="Arial" w:hAnsi="Arial" w:cs="Arial"/>
                <w:color w:val="000000"/>
                <w:sz w:val="18"/>
                <w:szCs w:val="18"/>
              </w:rPr>
            </w:pPr>
            <w:r>
              <w:rPr>
                <w:rFonts w:ascii="Arial" w:hAnsi="Arial" w:cs="Arial"/>
                <w:color w:val="000000"/>
                <w:sz w:val="18"/>
                <w:szCs w:val="18"/>
              </w:rPr>
              <w:t>50.0</w:t>
            </w:r>
          </w:p>
        </w:tc>
        <w:tc>
          <w:tcPr>
            <w:tcW w:w="680" w:type="dxa"/>
            <w:tcBorders>
              <w:top w:val="nil"/>
              <w:left w:val="nil"/>
              <w:bottom w:val="nil"/>
              <w:right w:val="nil"/>
            </w:tcBorders>
            <w:shd w:val="clear" w:color="auto" w:fill="auto"/>
            <w:vAlign w:val="bottom"/>
          </w:tcPr>
          <w:p w14:paraId="0BCB8802"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1A2D59F8" w14:textId="60FF3667" w:rsidR="00571749" w:rsidRDefault="00793FFB" w:rsidP="004235A4">
            <w:pPr>
              <w:jc w:val="right"/>
              <w:rPr>
                <w:rFonts w:ascii="Arial" w:hAnsi="Arial" w:cs="Arial"/>
                <w:color w:val="000000"/>
                <w:sz w:val="18"/>
                <w:szCs w:val="18"/>
              </w:rPr>
            </w:pPr>
            <w:r>
              <w:rPr>
                <w:rFonts w:ascii="Arial" w:hAnsi="Arial" w:cs="Arial"/>
                <w:color w:val="000000"/>
                <w:sz w:val="18"/>
                <w:szCs w:val="18"/>
              </w:rPr>
              <w:t>50.0</w:t>
            </w:r>
          </w:p>
        </w:tc>
        <w:tc>
          <w:tcPr>
            <w:tcW w:w="709" w:type="dxa"/>
            <w:tcBorders>
              <w:top w:val="nil"/>
              <w:left w:val="nil"/>
              <w:bottom w:val="nil"/>
              <w:right w:val="nil"/>
            </w:tcBorders>
            <w:shd w:val="clear" w:color="auto" w:fill="auto"/>
            <w:vAlign w:val="bottom"/>
          </w:tcPr>
          <w:p w14:paraId="58E13D22"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53F32A7A" w14:textId="09F04181" w:rsidR="00571749" w:rsidRDefault="00BE6D06" w:rsidP="004235A4">
            <w:pPr>
              <w:jc w:val="right"/>
              <w:rPr>
                <w:rFonts w:ascii="Arial" w:hAnsi="Arial" w:cs="Arial"/>
                <w:color w:val="000000"/>
                <w:sz w:val="18"/>
                <w:szCs w:val="18"/>
              </w:rPr>
            </w:pPr>
            <w:r>
              <w:rPr>
                <w:rFonts w:ascii="Arial" w:hAnsi="Arial" w:cs="Arial"/>
                <w:color w:val="000000"/>
                <w:sz w:val="18"/>
                <w:szCs w:val="18"/>
              </w:rPr>
              <w:t>47.8</w:t>
            </w:r>
          </w:p>
        </w:tc>
        <w:tc>
          <w:tcPr>
            <w:tcW w:w="709" w:type="dxa"/>
            <w:tcBorders>
              <w:top w:val="nil"/>
              <w:left w:val="nil"/>
              <w:bottom w:val="nil"/>
              <w:right w:val="nil"/>
            </w:tcBorders>
            <w:shd w:val="clear" w:color="auto" w:fill="auto"/>
            <w:vAlign w:val="bottom"/>
          </w:tcPr>
          <w:p w14:paraId="32B15E17" w14:textId="77777777" w:rsidR="00571749" w:rsidRDefault="00D47A82" w:rsidP="00C4369E">
            <w:pPr>
              <w:pStyle w:val="TableBodyText"/>
            </w:pPr>
            <w:r>
              <w:t> </w:t>
            </w:r>
          </w:p>
        </w:tc>
      </w:tr>
      <w:tr w:rsidR="00571749" w14:paraId="69912127" w14:textId="77777777" w:rsidTr="006700E5">
        <w:trPr>
          <w:cantSplit/>
          <w:trHeight w:val="20"/>
        </w:trPr>
        <w:tc>
          <w:tcPr>
            <w:tcW w:w="2672" w:type="dxa"/>
            <w:tcBorders>
              <w:top w:val="nil"/>
              <w:left w:val="nil"/>
              <w:bottom w:val="nil"/>
              <w:right w:val="nil"/>
            </w:tcBorders>
            <w:shd w:val="clear" w:color="auto" w:fill="auto"/>
            <w:vAlign w:val="bottom"/>
          </w:tcPr>
          <w:p w14:paraId="3D5DF4EC" w14:textId="77777777" w:rsidR="00571749" w:rsidRDefault="00571749" w:rsidP="006B62AA">
            <w:pPr>
              <w:pStyle w:val="TableBodyText"/>
              <w:ind w:left="-113" w:right="-57"/>
              <w:jc w:val="left"/>
            </w:pPr>
            <w:r>
              <w:t>Married/de facto</w:t>
            </w:r>
          </w:p>
        </w:tc>
        <w:tc>
          <w:tcPr>
            <w:tcW w:w="1162" w:type="dxa"/>
            <w:tcBorders>
              <w:top w:val="nil"/>
              <w:left w:val="nil"/>
              <w:bottom w:val="nil"/>
              <w:right w:val="nil"/>
            </w:tcBorders>
            <w:shd w:val="clear" w:color="auto" w:fill="auto"/>
            <w:vAlign w:val="bottom"/>
          </w:tcPr>
          <w:p w14:paraId="5889D7FA"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3B2F6E48" w14:textId="6BAEF654" w:rsidR="00571749" w:rsidRDefault="00571749" w:rsidP="00793FFB">
            <w:pPr>
              <w:jc w:val="right"/>
              <w:rPr>
                <w:rFonts w:ascii="Arial" w:hAnsi="Arial" w:cs="Arial"/>
                <w:color w:val="000000"/>
                <w:sz w:val="18"/>
                <w:szCs w:val="18"/>
              </w:rPr>
            </w:pPr>
            <w:r>
              <w:rPr>
                <w:rFonts w:ascii="Arial" w:hAnsi="Arial" w:cs="Arial"/>
                <w:color w:val="000000"/>
                <w:sz w:val="18"/>
                <w:szCs w:val="18"/>
              </w:rPr>
              <w:t>2.</w:t>
            </w:r>
            <w:r w:rsidR="00793FFB">
              <w:rPr>
                <w:rFonts w:ascii="Arial" w:hAnsi="Arial" w:cs="Arial"/>
                <w:color w:val="000000"/>
                <w:sz w:val="18"/>
                <w:szCs w:val="18"/>
              </w:rPr>
              <w:t>8</w:t>
            </w:r>
          </w:p>
        </w:tc>
        <w:tc>
          <w:tcPr>
            <w:tcW w:w="680" w:type="dxa"/>
            <w:tcBorders>
              <w:top w:val="nil"/>
              <w:left w:val="nil"/>
              <w:bottom w:val="nil"/>
              <w:right w:val="nil"/>
            </w:tcBorders>
            <w:shd w:val="clear" w:color="auto" w:fill="auto"/>
            <w:vAlign w:val="bottom"/>
          </w:tcPr>
          <w:p w14:paraId="25A69F8B"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044353BE" w14:textId="04C5FCE7" w:rsidR="00571749" w:rsidRDefault="00571749" w:rsidP="00793FFB">
            <w:pPr>
              <w:jc w:val="right"/>
              <w:rPr>
                <w:rFonts w:ascii="Arial" w:hAnsi="Arial" w:cs="Arial"/>
                <w:color w:val="000000"/>
                <w:sz w:val="18"/>
                <w:szCs w:val="18"/>
              </w:rPr>
            </w:pPr>
            <w:r>
              <w:rPr>
                <w:rFonts w:ascii="Arial" w:hAnsi="Arial" w:cs="Arial"/>
                <w:color w:val="000000"/>
                <w:sz w:val="18"/>
                <w:szCs w:val="18"/>
              </w:rPr>
              <w:t>2.</w:t>
            </w:r>
            <w:r w:rsidR="00793FFB">
              <w:rPr>
                <w:rFonts w:ascii="Arial" w:hAnsi="Arial" w:cs="Arial"/>
                <w:color w:val="000000"/>
                <w:sz w:val="18"/>
                <w:szCs w:val="18"/>
              </w:rPr>
              <w:t>9</w:t>
            </w:r>
          </w:p>
        </w:tc>
        <w:tc>
          <w:tcPr>
            <w:tcW w:w="709" w:type="dxa"/>
            <w:tcBorders>
              <w:top w:val="nil"/>
              <w:left w:val="nil"/>
              <w:bottom w:val="nil"/>
              <w:right w:val="nil"/>
            </w:tcBorders>
            <w:shd w:val="clear" w:color="auto" w:fill="auto"/>
            <w:vAlign w:val="bottom"/>
          </w:tcPr>
          <w:p w14:paraId="25F05500"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0FF9A497" w14:textId="63E8C823" w:rsidR="00571749" w:rsidRDefault="00571749" w:rsidP="004235A4">
            <w:pPr>
              <w:jc w:val="right"/>
              <w:rPr>
                <w:rFonts w:ascii="Arial" w:hAnsi="Arial" w:cs="Arial"/>
                <w:color w:val="000000"/>
                <w:sz w:val="18"/>
                <w:szCs w:val="18"/>
              </w:rPr>
            </w:pPr>
            <w:r>
              <w:rPr>
                <w:rFonts w:ascii="Arial" w:hAnsi="Arial" w:cs="Arial"/>
                <w:color w:val="000000"/>
                <w:sz w:val="18"/>
                <w:szCs w:val="18"/>
              </w:rPr>
              <w:t>3.</w:t>
            </w:r>
            <w:r w:rsidR="00BE6D06">
              <w:rPr>
                <w:rFonts w:ascii="Arial" w:hAnsi="Arial" w:cs="Arial"/>
                <w:color w:val="000000"/>
                <w:sz w:val="18"/>
                <w:szCs w:val="18"/>
              </w:rPr>
              <w:t>5</w:t>
            </w:r>
          </w:p>
        </w:tc>
        <w:tc>
          <w:tcPr>
            <w:tcW w:w="709" w:type="dxa"/>
            <w:tcBorders>
              <w:top w:val="nil"/>
              <w:left w:val="nil"/>
              <w:bottom w:val="nil"/>
              <w:right w:val="nil"/>
            </w:tcBorders>
            <w:shd w:val="clear" w:color="auto" w:fill="auto"/>
            <w:vAlign w:val="bottom"/>
          </w:tcPr>
          <w:p w14:paraId="772BE22F" w14:textId="77777777" w:rsidR="00571749" w:rsidRDefault="00D47A82" w:rsidP="00C4369E">
            <w:pPr>
              <w:pStyle w:val="TableBodyText"/>
            </w:pPr>
            <w:r>
              <w:t> </w:t>
            </w:r>
          </w:p>
        </w:tc>
      </w:tr>
      <w:tr w:rsidR="00571749" w14:paraId="08602261" w14:textId="77777777" w:rsidTr="006700E5">
        <w:trPr>
          <w:cantSplit/>
          <w:trHeight w:val="20"/>
        </w:trPr>
        <w:tc>
          <w:tcPr>
            <w:tcW w:w="2672" w:type="dxa"/>
            <w:tcBorders>
              <w:top w:val="nil"/>
              <w:left w:val="nil"/>
              <w:bottom w:val="nil"/>
              <w:right w:val="nil"/>
            </w:tcBorders>
            <w:shd w:val="clear" w:color="auto" w:fill="auto"/>
            <w:vAlign w:val="bottom"/>
          </w:tcPr>
          <w:p w14:paraId="7FB1CD93" w14:textId="77777777" w:rsidR="00571749" w:rsidRDefault="00571749" w:rsidP="006B62AA">
            <w:pPr>
              <w:pStyle w:val="TableBodyText"/>
              <w:ind w:left="-113" w:right="-57"/>
              <w:jc w:val="left"/>
            </w:pPr>
            <w:r>
              <w:t>Indigenous</w:t>
            </w:r>
          </w:p>
        </w:tc>
        <w:tc>
          <w:tcPr>
            <w:tcW w:w="1162" w:type="dxa"/>
            <w:tcBorders>
              <w:top w:val="nil"/>
              <w:left w:val="nil"/>
              <w:bottom w:val="nil"/>
              <w:right w:val="nil"/>
            </w:tcBorders>
            <w:shd w:val="clear" w:color="auto" w:fill="auto"/>
            <w:vAlign w:val="bottom"/>
          </w:tcPr>
          <w:p w14:paraId="63287CA2"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234232FD" w14:textId="0002FC0C" w:rsidR="00571749" w:rsidRDefault="00D47A82" w:rsidP="00793FFB">
            <w:pPr>
              <w:jc w:val="right"/>
              <w:rPr>
                <w:rFonts w:ascii="Arial" w:hAnsi="Arial" w:cs="Arial"/>
                <w:color w:val="000000"/>
                <w:sz w:val="18"/>
                <w:szCs w:val="18"/>
              </w:rPr>
            </w:pPr>
            <w:r>
              <w:rPr>
                <w:rFonts w:ascii="Arial" w:hAnsi="Arial" w:cs="Arial"/>
                <w:color w:val="000000"/>
                <w:sz w:val="18"/>
                <w:szCs w:val="18"/>
              </w:rPr>
              <w:t>13.</w:t>
            </w:r>
            <w:r w:rsidR="00793FFB">
              <w:rPr>
                <w:rFonts w:ascii="Arial" w:hAnsi="Arial" w:cs="Arial"/>
                <w:color w:val="000000"/>
                <w:sz w:val="18"/>
                <w:szCs w:val="18"/>
              </w:rPr>
              <w:t>4</w:t>
            </w:r>
          </w:p>
        </w:tc>
        <w:tc>
          <w:tcPr>
            <w:tcW w:w="680" w:type="dxa"/>
            <w:tcBorders>
              <w:top w:val="nil"/>
              <w:left w:val="nil"/>
              <w:bottom w:val="nil"/>
              <w:right w:val="nil"/>
            </w:tcBorders>
            <w:shd w:val="clear" w:color="auto" w:fill="auto"/>
            <w:vAlign w:val="bottom"/>
          </w:tcPr>
          <w:p w14:paraId="3DAAC91C"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5BF20FA9" w14:textId="6F1665C4" w:rsidR="00571749" w:rsidRDefault="00D47A82" w:rsidP="00793FFB">
            <w:pPr>
              <w:jc w:val="right"/>
              <w:rPr>
                <w:rFonts w:ascii="Arial" w:hAnsi="Arial" w:cs="Arial"/>
                <w:color w:val="000000"/>
                <w:sz w:val="18"/>
                <w:szCs w:val="18"/>
              </w:rPr>
            </w:pPr>
            <w:r>
              <w:rPr>
                <w:rFonts w:ascii="Arial" w:hAnsi="Arial" w:cs="Arial"/>
                <w:color w:val="000000"/>
                <w:sz w:val="18"/>
                <w:szCs w:val="18"/>
              </w:rPr>
              <w:t>18.</w:t>
            </w:r>
            <w:r w:rsidR="00793FFB">
              <w:rPr>
                <w:rFonts w:ascii="Arial" w:hAnsi="Arial" w:cs="Arial"/>
                <w:color w:val="000000"/>
                <w:sz w:val="18"/>
                <w:szCs w:val="18"/>
              </w:rPr>
              <w:t>5</w:t>
            </w:r>
          </w:p>
        </w:tc>
        <w:tc>
          <w:tcPr>
            <w:tcW w:w="709" w:type="dxa"/>
            <w:tcBorders>
              <w:top w:val="nil"/>
              <w:left w:val="nil"/>
              <w:bottom w:val="nil"/>
              <w:right w:val="nil"/>
            </w:tcBorders>
            <w:shd w:val="clear" w:color="auto" w:fill="auto"/>
            <w:vAlign w:val="bottom"/>
          </w:tcPr>
          <w:p w14:paraId="704FB416"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3CBCAD33" w14:textId="007E9B45" w:rsidR="00571749" w:rsidRDefault="00D47A82" w:rsidP="00BE6D06">
            <w:pPr>
              <w:jc w:val="right"/>
              <w:rPr>
                <w:rFonts w:ascii="Arial" w:hAnsi="Arial" w:cs="Arial"/>
                <w:color w:val="000000"/>
                <w:sz w:val="18"/>
                <w:szCs w:val="18"/>
              </w:rPr>
            </w:pPr>
            <w:r>
              <w:rPr>
                <w:rFonts w:ascii="Arial" w:hAnsi="Arial" w:cs="Arial"/>
                <w:color w:val="000000"/>
                <w:sz w:val="18"/>
                <w:szCs w:val="18"/>
              </w:rPr>
              <w:t>28.4</w:t>
            </w:r>
          </w:p>
        </w:tc>
        <w:tc>
          <w:tcPr>
            <w:tcW w:w="709" w:type="dxa"/>
            <w:tcBorders>
              <w:top w:val="nil"/>
              <w:left w:val="nil"/>
              <w:bottom w:val="nil"/>
              <w:right w:val="nil"/>
            </w:tcBorders>
            <w:shd w:val="clear" w:color="auto" w:fill="auto"/>
            <w:vAlign w:val="bottom"/>
          </w:tcPr>
          <w:p w14:paraId="2D4D4516" w14:textId="77777777" w:rsidR="00571749" w:rsidRDefault="00D47A82" w:rsidP="00C4369E">
            <w:pPr>
              <w:pStyle w:val="TableBodyText"/>
            </w:pPr>
            <w:r>
              <w:t> </w:t>
            </w:r>
          </w:p>
        </w:tc>
      </w:tr>
      <w:tr w:rsidR="00571749" w14:paraId="102984E5" w14:textId="77777777" w:rsidTr="006700E5">
        <w:trPr>
          <w:cantSplit/>
          <w:trHeight w:val="20"/>
        </w:trPr>
        <w:tc>
          <w:tcPr>
            <w:tcW w:w="2672" w:type="dxa"/>
            <w:tcBorders>
              <w:top w:val="nil"/>
              <w:left w:val="nil"/>
              <w:bottom w:val="nil"/>
              <w:right w:val="nil"/>
            </w:tcBorders>
            <w:shd w:val="clear" w:color="auto" w:fill="auto"/>
            <w:vAlign w:val="bottom"/>
          </w:tcPr>
          <w:p w14:paraId="6B139E5B" w14:textId="77777777" w:rsidR="00571749" w:rsidRDefault="00571749" w:rsidP="006B62AA">
            <w:pPr>
              <w:pStyle w:val="TableBodyText"/>
              <w:ind w:left="-113" w:right="-57"/>
              <w:jc w:val="left"/>
            </w:pPr>
            <w:r>
              <w:t>English as preferred language</w:t>
            </w:r>
          </w:p>
        </w:tc>
        <w:tc>
          <w:tcPr>
            <w:tcW w:w="1162" w:type="dxa"/>
            <w:tcBorders>
              <w:top w:val="nil"/>
              <w:left w:val="nil"/>
              <w:bottom w:val="nil"/>
              <w:right w:val="nil"/>
            </w:tcBorders>
            <w:shd w:val="clear" w:color="auto" w:fill="auto"/>
            <w:vAlign w:val="bottom"/>
          </w:tcPr>
          <w:p w14:paraId="6AAEEEF5"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54122E67" w14:textId="51E27494" w:rsidR="00571749" w:rsidRDefault="00571749" w:rsidP="00793FFB">
            <w:pPr>
              <w:jc w:val="right"/>
              <w:rPr>
                <w:rFonts w:ascii="Arial" w:hAnsi="Arial" w:cs="Arial"/>
                <w:color w:val="000000"/>
                <w:sz w:val="18"/>
                <w:szCs w:val="18"/>
              </w:rPr>
            </w:pPr>
            <w:r>
              <w:rPr>
                <w:rFonts w:ascii="Arial" w:hAnsi="Arial" w:cs="Arial"/>
                <w:color w:val="000000"/>
                <w:sz w:val="18"/>
                <w:szCs w:val="18"/>
              </w:rPr>
              <w:t>98.</w:t>
            </w:r>
            <w:r w:rsidR="00793FFB">
              <w:rPr>
                <w:rFonts w:ascii="Arial" w:hAnsi="Arial" w:cs="Arial"/>
                <w:color w:val="000000"/>
                <w:sz w:val="18"/>
                <w:szCs w:val="18"/>
              </w:rPr>
              <w:t>7</w:t>
            </w:r>
          </w:p>
        </w:tc>
        <w:tc>
          <w:tcPr>
            <w:tcW w:w="680" w:type="dxa"/>
            <w:tcBorders>
              <w:top w:val="nil"/>
              <w:left w:val="nil"/>
              <w:bottom w:val="nil"/>
              <w:right w:val="nil"/>
            </w:tcBorders>
            <w:shd w:val="clear" w:color="auto" w:fill="auto"/>
            <w:vAlign w:val="bottom"/>
          </w:tcPr>
          <w:p w14:paraId="588B19DB"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6B6BCABC" w14:textId="5F961964" w:rsidR="00571749" w:rsidRDefault="00571749" w:rsidP="004235A4">
            <w:pPr>
              <w:jc w:val="right"/>
              <w:rPr>
                <w:rFonts w:ascii="Arial" w:hAnsi="Arial" w:cs="Arial"/>
                <w:color w:val="000000"/>
                <w:sz w:val="18"/>
                <w:szCs w:val="18"/>
              </w:rPr>
            </w:pPr>
            <w:r>
              <w:rPr>
                <w:rFonts w:ascii="Arial" w:hAnsi="Arial" w:cs="Arial"/>
                <w:color w:val="000000"/>
                <w:sz w:val="18"/>
                <w:szCs w:val="18"/>
              </w:rPr>
              <w:t>97.</w:t>
            </w:r>
            <w:r w:rsidR="00793FFB">
              <w:rPr>
                <w:rFonts w:ascii="Arial" w:hAnsi="Arial" w:cs="Arial"/>
                <w:color w:val="000000"/>
                <w:sz w:val="18"/>
                <w:szCs w:val="18"/>
              </w:rPr>
              <w:t>1</w:t>
            </w:r>
          </w:p>
        </w:tc>
        <w:tc>
          <w:tcPr>
            <w:tcW w:w="709" w:type="dxa"/>
            <w:tcBorders>
              <w:top w:val="nil"/>
              <w:left w:val="nil"/>
              <w:bottom w:val="nil"/>
              <w:right w:val="nil"/>
            </w:tcBorders>
            <w:shd w:val="clear" w:color="auto" w:fill="auto"/>
            <w:vAlign w:val="bottom"/>
          </w:tcPr>
          <w:p w14:paraId="214D88E2"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3688FFDF" w14:textId="4154478E" w:rsidR="00571749" w:rsidRDefault="00571749" w:rsidP="004235A4">
            <w:pPr>
              <w:jc w:val="right"/>
              <w:rPr>
                <w:rFonts w:ascii="Arial" w:hAnsi="Arial" w:cs="Arial"/>
                <w:color w:val="000000"/>
                <w:sz w:val="18"/>
                <w:szCs w:val="18"/>
              </w:rPr>
            </w:pPr>
            <w:r>
              <w:rPr>
                <w:rFonts w:ascii="Arial" w:hAnsi="Arial" w:cs="Arial"/>
                <w:color w:val="000000"/>
                <w:sz w:val="18"/>
                <w:szCs w:val="18"/>
              </w:rPr>
              <w:t>98.</w:t>
            </w:r>
            <w:r w:rsidR="00BE6D06">
              <w:rPr>
                <w:rFonts w:ascii="Arial" w:hAnsi="Arial" w:cs="Arial"/>
                <w:color w:val="000000"/>
                <w:sz w:val="18"/>
                <w:szCs w:val="18"/>
              </w:rPr>
              <w:t>8</w:t>
            </w:r>
          </w:p>
        </w:tc>
        <w:tc>
          <w:tcPr>
            <w:tcW w:w="709" w:type="dxa"/>
            <w:tcBorders>
              <w:top w:val="nil"/>
              <w:left w:val="nil"/>
              <w:bottom w:val="nil"/>
              <w:right w:val="nil"/>
            </w:tcBorders>
            <w:shd w:val="clear" w:color="auto" w:fill="auto"/>
            <w:vAlign w:val="bottom"/>
          </w:tcPr>
          <w:p w14:paraId="40CCE993" w14:textId="77777777" w:rsidR="00571749" w:rsidRDefault="00D47A82" w:rsidP="00C4369E">
            <w:pPr>
              <w:pStyle w:val="TableBodyText"/>
            </w:pPr>
            <w:r>
              <w:t> </w:t>
            </w:r>
          </w:p>
        </w:tc>
      </w:tr>
      <w:tr w:rsidR="00571749" w14:paraId="75D51021" w14:textId="77777777" w:rsidTr="006700E5">
        <w:trPr>
          <w:cantSplit/>
          <w:trHeight w:val="20"/>
        </w:trPr>
        <w:tc>
          <w:tcPr>
            <w:tcW w:w="2672" w:type="dxa"/>
            <w:tcBorders>
              <w:top w:val="nil"/>
              <w:left w:val="nil"/>
              <w:bottom w:val="nil"/>
              <w:right w:val="nil"/>
            </w:tcBorders>
            <w:shd w:val="clear" w:color="auto" w:fill="auto"/>
            <w:vAlign w:val="bottom"/>
          </w:tcPr>
          <w:p w14:paraId="23DC0C86" w14:textId="77777777" w:rsidR="00571749" w:rsidRDefault="00571749" w:rsidP="006B62AA">
            <w:pPr>
              <w:pStyle w:val="TableBodyText"/>
              <w:ind w:left="-113" w:right="-57"/>
              <w:jc w:val="left"/>
            </w:pPr>
            <w:r>
              <w:t>Parent</w:t>
            </w:r>
          </w:p>
        </w:tc>
        <w:tc>
          <w:tcPr>
            <w:tcW w:w="1162" w:type="dxa"/>
            <w:tcBorders>
              <w:top w:val="nil"/>
              <w:left w:val="nil"/>
              <w:bottom w:val="nil"/>
              <w:right w:val="nil"/>
            </w:tcBorders>
            <w:shd w:val="clear" w:color="auto" w:fill="auto"/>
            <w:vAlign w:val="bottom"/>
          </w:tcPr>
          <w:p w14:paraId="4BD94785"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6999A729" w14:textId="2F833C9A" w:rsidR="00571749" w:rsidRDefault="00571749" w:rsidP="00793FFB">
            <w:pPr>
              <w:jc w:val="right"/>
              <w:rPr>
                <w:rFonts w:ascii="Arial" w:hAnsi="Arial" w:cs="Arial"/>
                <w:color w:val="000000"/>
                <w:sz w:val="18"/>
                <w:szCs w:val="18"/>
              </w:rPr>
            </w:pPr>
            <w:r>
              <w:rPr>
                <w:rFonts w:ascii="Arial" w:hAnsi="Arial" w:cs="Arial"/>
                <w:color w:val="000000"/>
                <w:sz w:val="18"/>
                <w:szCs w:val="18"/>
              </w:rPr>
              <w:t>5.</w:t>
            </w:r>
            <w:r w:rsidR="00793FFB">
              <w:rPr>
                <w:rFonts w:ascii="Arial" w:hAnsi="Arial" w:cs="Arial"/>
                <w:color w:val="000000"/>
                <w:sz w:val="18"/>
                <w:szCs w:val="18"/>
              </w:rPr>
              <w:t>7</w:t>
            </w:r>
          </w:p>
        </w:tc>
        <w:tc>
          <w:tcPr>
            <w:tcW w:w="680" w:type="dxa"/>
            <w:tcBorders>
              <w:top w:val="nil"/>
              <w:left w:val="nil"/>
              <w:bottom w:val="nil"/>
              <w:right w:val="nil"/>
            </w:tcBorders>
            <w:shd w:val="clear" w:color="auto" w:fill="auto"/>
            <w:vAlign w:val="bottom"/>
          </w:tcPr>
          <w:p w14:paraId="46AEB4AC"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37561017" w14:textId="1DB51A98" w:rsidR="00571749" w:rsidRDefault="00571749" w:rsidP="004235A4">
            <w:pPr>
              <w:jc w:val="right"/>
              <w:rPr>
                <w:rFonts w:ascii="Arial" w:hAnsi="Arial" w:cs="Arial"/>
                <w:color w:val="000000"/>
                <w:sz w:val="18"/>
                <w:szCs w:val="18"/>
              </w:rPr>
            </w:pPr>
            <w:r>
              <w:rPr>
                <w:rFonts w:ascii="Arial" w:hAnsi="Arial" w:cs="Arial"/>
                <w:color w:val="000000"/>
                <w:sz w:val="18"/>
                <w:szCs w:val="18"/>
              </w:rPr>
              <w:t>8.</w:t>
            </w:r>
            <w:r w:rsidR="00793FFB">
              <w:rPr>
                <w:rFonts w:ascii="Arial" w:hAnsi="Arial" w:cs="Arial"/>
                <w:color w:val="000000"/>
                <w:sz w:val="18"/>
                <w:szCs w:val="18"/>
              </w:rPr>
              <w:t>3</w:t>
            </w:r>
          </w:p>
        </w:tc>
        <w:tc>
          <w:tcPr>
            <w:tcW w:w="709" w:type="dxa"/>
            <w:tcBorders>
              <w:top w:val="nil"/>
              <w:left w:val="nil"/>
              <w:bottom w:val="nil"/>
              <w:right w:val="nil"/>
            </w:tcBorders>
            <w:shd w:val="clear" w:color="auto" w:fill="auto"/>
            <w:vAlign w:val="bottom"/>
          </w:tcPr>
          <w:p w14:paraId="7BB40184"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43AB29E0" w14:textId="284712FC" w:rsidR="00571749" w:rsidRDefault="00BE6D06" w:rsidP="004235A4">
            <w:pPr>
              <w:jc w:val="right"/>
              <w:rPr>
                <w:rFonts w:ascii="Arial" w:hAnsi="Arial" w:cs="Arial"/>
                <w:color w:val="000000"/>
                <w:sz w:val="18"/>
                <w:szCs w:val="18"/>
              </w:rPr>
            </w:pPr>
            <w:r>
              <w:rPr>
                <w:rFonts w:ascii="Arial" w:hAnsi="Arial" w:cs="Arial"/>
                <w:color w:val="000000"/>
                <w:sz w:val="18"/>
                <w:szCs w:val="18"/>
              </w:rPr>
              <w:t>10.6</w:t>
            </w:r>
          </w:p>
        </w:tc>
        <w:tc>
          <w:tcPr>
            <w:tcW w:w="709" w:type="dxa"/>
            <w:tcBorders>
              <w:top w:val="nil"/>
              <w:left w:val="nil"/>
              <w:bottom w:val="nil"/>
              <w:right w:val="nil"/>
            </w:tcBorders>
            <w:shd w:val="clear" w:color="auto" w:fill="auto"/>
            <w:vAlign w:val="bottom"/>
          </w:tcPr>
          <w:p w14:paraId="18725935" w14:textId="77777777" w:rsidR="00571749" w:rsidRDefault="00D47A82" w:rsidP="00C4369E">
            <w:pPr>
              <w:pStyle w:val="TableBodyText"/>
            </w:pPr>
            <w:r>
              <w:t> </w:t>
            </w:r>
          </w:p>
        </w:tc>
      </w:tr>
      <w:tr w:rsidR="00571749" w14:paraId="0914A36E" w14:textId="77777777" w:rsidTr="006700E5">
        <w:trPr>
          <w:cantSplit/>
          <w:trHeight w:val="20"/>
        </w:trPr>
        <w:tc>
          <w:tcPr>
            <w:tcW w:w="2672" w:type="dxa"/>
            <w:tcBorders>
              <w:top w:val="nil"/>
              <w:left w:val="nil"/>
              <w:bottom w:val="nil"/>
              <w:right w:val="nil"/>
            </w:tcBorders>
            <w:shd w:val="clear" w:color="auto" w:fill="auto"/>
            <w:vAlign w:val="bottom"/>
          </w:tcPr>
          <w:p w14:paraId="09D8C5F1" w14:textId="77777777" w:rsidR="00571749" w:rsidRPr="003072FD" w:rsidRDefault="00D47A82" w:rsidP="006B62AA">
            <w:pPr>
              <w:pStyle w:val="TableBodyText"/>
              <w:spacing w:line="240" w:lineRule="auto"/>
              <w:ind w:left="-113" w:right="-57"/>
              <w:jc w:val="left"/>
              <w:rPr>
                <w:rStyle w:val="NoteLabel"/>
              </w:rPr>
            </w:pPr>
            <w:r>
              <w:t>  </w:t>
            </w:r>
            <w:r w:rsidR="00571749">
              <w:t>Children aged less than 5</w:t>
            </w:r>
            <w:r w:rsidR="00571749">
              <w:rPr>
                <w:rStyle w:val="NoteLabel"/>
              </w:rPr>
              <w:t>b</w:t>
            </w:r>
          </w:p>
        </w:tc>
        <w:tc>
          <w:tcPr>
            <w:tcW w:w="1162" w:type="dxa"/>
            <w:tcBorders>
              <w:top w:val="nil"/>
              <w:left w:val="nil"/>
              <w:bottom w:val="nil"/>
              <w:right w:val="nil"/>
            </w:tcBorders>
            <w:shd w:val="clear" w:color="auto" w:fill="auto"/>
            <w:vAlign w:val="bottom"/>
          </w:tcPr>
          <w:p w14:paraId="5C2E5D14" w14:textId="77777777" w:rsidR="00571749" w:rsidRDefault="00571749" w:rsidP="006B62AA">
            <w:pPr>
              <w:pStyle w:val="TableBodyText"/>
              <w:ind w:left="-57" w:right="-57"/>
              <w:jc w:val="left"/>
            </w:pPr>
            <w:r>
              <w:t>Number</w:t>
            </w:r>
          </w:p>
        </w:tc>
        <w:tc>
          <w:tcPr>
            <w:tcW w:w="993" w:type="dxa"/>
            <w:tcBorders>
              <w:top w:val="nil"/>
              <w:left w:val="nil"/>
              <w:bottom w:val="nil"/>
              <w:right w:val="nil"/>
            </w:tcBorders>
            <w:shd w:val="clear" w:color="auto" w:fill="auto"/>
            <w:vAlign w:val="bottom"/>
          </w:tcPr>
          <w:p w14:paraId="79B5C0BF" w14:textId="41CD64EA" w:rsidR="00571749" w:rsidRDefault="00571749" w:rsidP="00793FFB">
            <w:pPr>
              <w:jc w:val="right"/>
              <w:rPr>
                <w:rFonts w:ascii="Arial" w:hAnsi="Arial" w:cs="Arial"/>
                <w:color w:val="000000"/>
                <w:sz w:val="18"/>
                <w:szCs w:val="18"/>
              </w:rPr>
            </w:pPr>
            <w:r>
              <w:rPr>
                <w:rFonts w:ascii="Arial" w:hAnsi="Arial" w:cs="Arial"/>
                <w:color w:val="000000"/>
                <w:sz w:val="18"/>
                <w:szCs w:val="18"/>
              </w:rPr>
              <w:t>1.</w:t>
            </w:r>
            <w:r w:rsidR="00793FFB">
              <w:rPr>
                <w:rFonts w:ascii="Arial" w:hAnsi="Arial" w:cs="Arial"/>
                <w:color w:val="000000"/>
                <w:sz w:val="18"/>
                <w:szCs w:val="18"/>
              </w:rPr>
              <w:t>2</w:t>
            </w:r>
          </w:p>
        </w:tc>
        <w:tc>
          <w:tcPr>
            <w:tcW w:w="680" w:type="dxa"/>
            <w:tcBorders>
              <w:top w:val="nil"/>
              <w:left w:val="nil"/>
              <w:bottom w:val="nil"/>
              <w:right w:val="nil"/>
            </w:tcBorders>
            <w:shd w:val="clear" w:color="auto" w:fill="auto"/>
            <w:vAlign w:val="bottom"/>
          </w:tcPr>
          <w:p w14:paraId="4CB06296" w14:textId="7D40E586" w:rsidR="00571749" w:rsidRDefault="00571749" w:rsidP="004235A4">
            <w:pPr>
              <w:jc w:val="right"/>
              <w:rPr>
                <w:rFonts w:ascii="Arial" w:hAnsi="Arial" w:cs="Arial"/>
                <w:color w:val="000000"/>
                <w:sz w:val="18"/>
                <w:szCs w:val="18"/>
              </w:rPr>
            </w:pPr>
            <w:r>
              <w:rPr>
                <w:rFonts w:ascii="Arial" w:hAnsi="Arial" w:cs="Arial"/>
                <w:color w:val="000000"/>
                <w:sz w:val="18"/>
                <w:szCs w:val="18"/>
              </w:rPr>
              <w:t>0.</w:t>
            </w:r>
            <w:r w:rsidR="00C4369E">
              <w:rPr>
                <w:rFonts w:ascii="Arial" w:hAnsi="Arial" w:cs="Arial"/>
                <w:color w:val="000000"/>
                <w:sz w:val="18"/>
                <w:szCs w:val="18"/>
              </w:rPr>
              <w:t>5</w:t>
            </w:r>
          </w:p>
        </w:tc>
        <w:tc>
          <w:tcPr>
            <w:tcW w:w="992" w:type="dxa"/>
            <w:tcBorders>
              <w:top w:val="nil"/>
              <w:left w:val="nil"/>
              <w:bottom w:val="nil"/>
              <w:right w:val="nil"/>
            </w:tcBorders>
            <w:shd w:val="clear" w:color="auto" w:fill="auto"/>
            <w:vAlign w:val="bottom"/>
          </w:tcPr>
          <w:p w14:paraId="25C2F06E" w14:textId="7D3D7C16" w:rsidR="00571749" w:rsidRDefault="00571749" w:rsidP="004235A4">
            <w:pPr>
              <w:jc w:val="right"/>
              <w:rPr>
                <w:rFonts w:ascii="Arial" w:hAnsi="Arial" w:cs="Arial"/>
                <w:color w:val="000000"/>
                <w:sz w:val="18"/>
                <w:szCs w:val="18"/>
              </w:rPr>
            </w:pPr>
            <w:r>
              <w:rPr>
                <w:rFonts w:ascii="Arial" w:hAnsi="Arial" w:cs="Arial"/>
                <w:color w:val="000000"/>
                <w:sz w:val="18"/>
                <w:szCs w:val="18"/>
              </w:rPr>
              <w:t>1.</w:t>
            </w:r>
            <w:r w:rsidR="00793FFB">
              <w:rPr>
                <w:rFonts w:ascii="Arial" w:hAnsi="Arial" w:cs="Arial"/>
                <w:color w:val="000000"/>
                <w:sz w:val="18"/>
                <w:szCs w:val="18"/>
              </w:rPr>
              <w:t>2</w:t>
            </w:r>
          </w:p>
        </w:tc>
        <w:tc>
          <w:tcPr>
            <w:tcW w:w="709" w:type="dxa"/>
            <w:tcBorders>
              <w:top w:val="nil"/>
              <w:left w:val="nil"/>
              <w:bottom w:val="nil"/>
              <w:right w:val="nil"/>
            </w:tcBorders>
            <w:shd w:val="clear" w:color="auto" w:fill="auto"/>
            <w:vAlign w:val="bottom"/>
          </w:tcPr>
          <w:p w14:paraId="428E80EE" w14:textId="2B9C412E" w:rsidR="00571749" w:rsidRDefault="00571749" w:rsidP="00C4369E">
            <w:pPr>
              <w:jc w:val="right"/>
              <w:rPr>
                <w:rFonts w:ascii="Arial" w:hAnsi="Arial" w:cs="Arial"/>
                <w:color w:val="000000"/>
                <w:sz w:val="18"/>
                <w:szCs w:val="18"/>
              </w:rPr>
            </w:pPr>
            <w:r>
              <w:rPr>
                <w:rFonts w:ascii="Arial" w:hAnsi="Arial" w:cs="Arial"/>
                <w:color w:val="000000"/>
                <w:sz w:val="18"/>
                <w:szCs w:val="18"/>
              </w:rPr>
              <w:t>0.</w:t>
            </w:r>
            <w:r w:rsidR="00C4369E">
              <w:rPr>
                <w:rFonts w:ascii="Arial" w:hAnsi="Arial" w:cs="Arial"/>
                <w:color w:val="000000"/>
                <w:sz w:val="18"/>
                <w:szCs w:val="18"/>
              </w:rPr>
              <w:t>5</w:t>
            </w:r>
          </w:p>
        </w:tc>
        <w:tc>
          <w:tcPr>
            <w:tcW w:w="850" w:type="dxa"/>
            <w:tcBorders>
              <w:top w:val="nil"/>
              <w:left w:val="nil"/>
              <w:bottom w:val="nil"/>
              <w:right w:val="nil"/>
            </w:tcBorders>
            <w:shd w:val="clear" w:color="auto" w:fill="auto"/>
            <w:vAlign w:val="bottom"/>
          </w:tcPr>
          <w:p w14:paraId="6FF5038C" w14:textId="226A4760" w:rsidR="00571749" w:rsidRDefault="00571749" w:rsidP="004235A4">
            <w:pPr>
              <w:jc w:val="right"/>
              <w:rPr>
                <w:rFonts w:ascii="Arial" w:hAnsi="Arial" w:cs="Arial"/>
                <w:color w:val="000000"/>
                <w:sz w:val="18"/>
                <w:szCs w:val="18"/>
              </w:rPr>
            </w:pPr>
            <w:r>
              <w:rPr>
                <w:rFonts w:ascii="Arial" w:hAnsi="Arial" w:cs="Arial"/>
                <w:color w:val="000000"/>
                <w:sz w:val="18"/>
                <w:szCs w:val="18"/>
              </w:rPr>
              <w:t>1.</w:t>
            </w:r>
            <w:r w:rsidR="00BE6D06">
              <w:rPr>
                <w:rFonts w:ascii="Arial" w:hAnsi="Arial" w:cs="Arial"/>
                <w:color w:val="000000"/>
                <w:sz w:val="18"/>
                <w:szCs w:val="18"/>
              </w:rPr>
              <w:t>2</w:t>
            </w:r>
          </w:p>
        </w:tc>
        <w:tc>
          <w:tcPr>
            <w:tcW w:w="709" w:type="dxa"/>
            <w:tcBorders>
              <w:top w:val="nil"/>
              <w:left w:val="nil"/>
              <w:bottom w:val="nil"/>
              <w:right w:val="nil"/>
            </w:tcBorders>
            <w:shd w:val="clear" w:color="auto" w:fill="auto"/>
            <w:vAlign w:val="bottom"/>
          </w:tcPr>
          <w:p w14:paraId="259610F1" w14:textId="247D5F00" w:rsidR="00571749" w:rsidRDefault="00571749" w:rsidP="00C4369E">
            <w:pPr>
              <w:pStyle w:val="TableBodyText"/>
            </w:pPr>
            <w:r>
              <w:t>0.</w:t>
            </w:r>
            <w:r w:rsidR="00D47A82">
              <w:t>5</w:t>
            </w:r>
          </w:p>
        </w:tc>
      </w:tr>
      <w:tr w:rsidR="00571749" w14:paraId="163A7C69" w14:textId="77777777" w:rsidTr="006700E5">
        <w:trPr>
          <w:cantSplit/>
          <w:trHeight w:val="20"/>
        </w:trPr>
        <w:tc>
          <w:tcPr>
            <w:tcW w:w="2672" w:type="dxa"/>
            <w:tcBorders>
              <w:top w:val="nil"/>
              <w:left w:val="nil"/>
              <w:bottom w:val="nil"/>
              <w:right w:val="nil"/>
            </w:tcBorders>
            <w:shd w:val="clear" w:color="auto" w:fill="auto"/>
            <w:vAlign w:val="bottom"/>
          </w:tcPr>
          <w:p w14:paraId="77CE5713" w14:textId="77777777" w:rsidR="00571749" w:rsidRDefault="00571749" w:rsidP="006B62AA">
            <w:pPr>
              <w:pStyle w:val="TableBodyText"/>
              <w:ind w:left="-113" w:right="-57"/>
              <w:jc w:val="left"/>
            </w:pPr>
            <w:r>
              <w:t>Medical condition</w:t>
            </w:r>
          </w:p>
        </w:tc>
        <w:tc>
          <w:tcPr>
            <w:tcW w:w="1162" w:type="dxa"/>
            <w:tcBorders>
              <w:top w:val="nil"/>
              <w:left w:val="nil"/>
              <w:bottom w:val="nil"/>
              <w:right w:val="nil"/>
            </w:tcBorders>
            <w:shd w:val="clear" w:color="auto" w:fill="auto"/>
            <w:vAlign w:val="bottom"/>
          </w:tcPr>
          <w:p w14:paraId="41EF62DF"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17B0DF4E" w14:textId="0362C5BF" w:rsidR="00571749" w:rsidRDefault="00571749" w:rsidP="00793FFB">
            <w:pPr>
              <w:jc w:val="right"/>
              <w:rPr>
                <w:rFonts w:ascii="Arial" w:hAnsi="Arial" w:cs="Arial"/>
                <w:color w:val="000000"/>
                <w:sz w:val="18"/>
                <w:szCs w:val="18"/>
              </w:rPr>
            </w:pPr>
            <w:r>
              <w:rPr>
                <w:rFonts w:ascii="Arial" w:hAnsi="Arial" w:cs="Arial"/>
                <w:color w:val="000000"/>
                <w:sz w:val="18"/>
                <w:szCs w:val="18"/>
              </w:rPr>
              <w:t>20.</w:t>
            </w:r>
            <w:r w:rsidR="00793FFB">
              <w:rPr>
                <w:rFonts w:ascii="Arial" w:hAnsi="Arial" w:cs="Arial"/>
                <w:color w:val="000000"/>
                <w:sz w:val="18"/>
                <w:szCs w:val="18"/>
              </w:rPr>
              <w:t>4</w:t>
            </w:r>
          </w:p>
        </w:tc>
        <w:tc>
          <w:tcPr>
            <w:tcW w:w="680" w:type="dxa"/>
            <w:tcBorders>
              <w:top w:val="nil"/>
              <w:left w:val="nil"/>
              <w:bottom w:val="nil"/>
              <w:right w:val="nil"/>
            </w:tcBorders>
            <w:shd w:val="clear" w:color="auto" w:fill="auto"/>
            <w:vAlign w:val="bottom"/>
          </w:tcPr>
          <w:p w14:paraId="77736217"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2086F362" w14:textId="363599C9" w:rsidR="00571749" w:rsidRDefault="00571749" w:rsidP="004235A4">
            <w:pPr>
              <w:jc w:val="right"/>
              <w:rPr>
                <w:rFonts w:ascii="Arial" w:hAnsi="Arial" w:cs="Arial"/>
                <w:color w:val="000000"/>
                <w:sz w:val="18"/>
                <w:szCs w:val="18"/>
              </w:rPr>
            </w:pPr>
            <w:r>
              <w:rPr>
                <w:rFonts w:ascii="Arial" w:hAnsi="Arial" w:cs="Arial"/>
                <w:color w:val="000000"/>
                <w:sz w:val="18"/>
                <w:szCs w:val="18"/>
              </w:rPr>
              <w:t>20.</w:t>
            </w:r>
            <w:r w:rsidR="00793FFB">
              <w:rPr>
                <w:rFonts w:ascii="Arial" w:hAnsi="Arial" w:cs="Arial"/>
                <w:color w:val="000000"/>
                <w:sz w:val="18"/>
                <w:szCs w:val="18"/>
              </w:rPr>
              <w:t>9</w:t>
            </w:r>
          </w:p>
        </w:tc>
        <w:tc>
          <w:tcPr>
            <w:tcW w:w="709" w:type="dxa"/>
            <w:tcBorders>
              <w:top w:val="nil"/>
              <w:left w:val="nil"/>
              <w:bottom w:val="nil"/>
              <w:right w:val="nil"/>
            </w:tcBorders>
            <w:shd w:val="clear" w:color="auto" w:fill="auto"/>
            <w:vAlign w:val="bottom"/>
          </w:tcPr>
          <w:p w14:paraId="7433C726"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016BE0C3" w14:textId="3C6546D1" w:rsidR="00571749" w:rsidRDefault="00571749" w:rsidP="004235A4">
            <w:pPr>
              <w:jc w:val="right"/>
              <w:rPr>
                <w:rFonts w:ascii="Arial" w:hAnsi="Arial" w:cs="Arial"/>
                <w:color w:val="000000"/>
                <w:sz w:val="18"/>
                <w:szCs w:val="18"/>
              </w:rPr>
            </w:pPr>
            <w:r>
              <w:rPr>
                <w:rFonts w:ascii="Arial" w:hAnsi="Arial" w:cs="Arial"/>
                <w:color w:val="000000"/>
                <w:sz w:val="18"/>
                <w:szCs w:val="18"/>
              </w:rPr>
              <w:t>28.</w:t>
            </w:r>
            <w:r w:rsidR="00BE6D06">
              <w:rPr>
                <w:rFonts w:ascii="Arial" w:hAnsi="Arial" w:cs="Arial"/>
                <w:color w:val="000000"/>
                <w:sz w:val="18"/>
                <w:szCs w:val="18"/>
              </w:rPr>
              <w:t>2</w:t>
            </w:r>
          </w:p>
        </w:tc>
        <w:tc>
          <w:tcPr>
            <w:tcW w:w="709" w:type="dxa"/>
            <w:tcBorders>
              <w:top w:val="nil"/>
              <w:left w:val="nil"/>
              <w:bottom w:val="nil"/>
              <w:right w:val="nil"/>
            </w:tcBorders>
            <w:shd w:val="clear" w:color="auto" w:fill="auto"/>
            <w:vAlign w:val="bottom"/>
          </w:tcPr>
          <w:p w14:paraId="229A584E" w14:textId="77777777" w:rsidR="00571749" w:rsidRDefault="00D47A82" w:rsidP="00C4369E">
            <w:pPr>
              <w:pStyle w:val="TableBodyText"/>
            </w:pPr>
            <w:r>
              <w:t> </w:t>
            </w:r>
          </w:p>
        </w:tc>
      </w:tr>
      <w:tr w:rsidR="00571749" w14:paraId="19B69166" w14:textId="77777777" w:rsidTr="006700E5">
        <w:trPr>
          <w:cantSplit/>
          <w:trHeight w:val="20"/>
        </w:trPr>
        <w:tc>
          <w:tcPr>
            <w:tcW w:w="2672" w:type="dxa"/>
            <w:tcBorders>
              <w:top w:val="nil"/>
              <w:left w:val="nil"/>
              <w:bottom w:val="nil"/>
              <w:right w:val="nil"/>
            </w:tcBorders>
            <w:shd w:val="clear" w:color="auto" w:fill="auto"/>
            <w:vAlign w:val="bottom"/>
          </w:tcPr>
          <w:p w14:paraId="5CC37F7A" w14:textId="77777777" w:rsidR="00571749" w:rsidRPr="00DC7C7B" w:rsidRDefault="00571749" w:rsidP="006B62AA">
            <w:pPr>
              <w:pStyle w:val="TableBodyText"/>
              <w:ind w:left="-113" w:right="-57"/>
              <w:jc w:val="left"/>
              <w:rPr>
                <w:bCs/>
                <w:i/>
              </w:rPr>
            </w:pPr>
            <w:r w:rsidRPr="00DC7C7B">
              <w:rPr>
                <w:bCs/>
                <w:i/>
              </w:rPr>
              <w:t>Income support payment</w:t>
            </w:r>
          </w:p>
        </w:tc>
        <w:tc>
          <w:tcPr>
            <w:tcW w:w="1162" w:type="dxa"/>
            <w:tcBorders>
              <w:top w:val="nil"/>
              <w:left w:val="nil"/>
              <w:bottom w:val="nil"/>
              <w:right w:val="nil"/>
            </w:tcBorders>
            <w:shd w:val="clear" w:color="auto" w:fill="auto"/>
            <w:vAlign w:val="bottom"/>
          </w:tcPr>
          <w:p w14:paraId="52FE5DC6" w14:textId="77777777" w:rsidR="00571749" w:rsidRDefault="00571749" w:rsidP="006B62AA">
            <w:pPr>
              <w:pStyle w:val="TableBodyText"/>
              <w:ind w:left="-57" w:right="-57"/>
              <w:jc w:val="left"/>
            </w:pPr>
          </w:p>
        </w:tc>
        <w:tc>
          <w:tcPr>
            <w:tcW w:w="993" w:type="dxa"/>
            <w:tcBorders>
              <w:top w:val="nil"/>
              <w:left w:val="nil"/>
              <w:bottom w:val="nil"/>
              <w:right w:val="nil"/>
            </w:tcBorders>
            <w:shd w:val="clear" w:color="auto" w:fill="auto"/>
            <w:vAlign w:val="bottom"/>
          </w:tcPr>
          <w:p w14:paraId="03604D0D" w14:textId="77777777" w:rsidR="00571749" w:rsidRDefault="00571749" w:rsidP="004235A4">
            <w:pPr>
              <w:pStyle w:val="TableBodyText"/>
              <w:ind w:left="0" w:right="0"/>
            </w:pPr>
          </w:p>
        </w:tc>
        <w:tc>
          <w:tcPr>
            <w:tcW w:w="680" w:type="dxa"/>
            <w:tcBorders>
              <w:top w:val="nil"/>
              <w:left w:val="nil"/>
              <w:bottom w:val="nil"/>
              <w:right w:val="nil"/>
            </w:tcBorders>
            <w:shd w:val="clear" w:color="auto" w:fill="auto"/>
            <w:vAlign w:val="bottom"/>
          </w:tcPr>
          <w:p w14:paraId="20789037" w14:textId="77777777" w:rsidR="00571749" w:rsidRDefault="00571749" w:rsidP="004235A4">
            <w:pPr>
              <w:pStyle w:val="TableBodyText"/>
              <w:ind w:left="0" w:right="0"/>
            </w:pPr>
          </w:p>
        </w:tc>
        <w:tc>
          <w:tcPr>
            <w:tcW w:w="992" w:type="dxa"/>
            <w:tcBorders>
              <w:top w:val="nil"/>
              <w:left w:val="nil"/>
              <w:bottom w:val="nil"/>
              <w:right w:val="nil"/>
            </w:tcBorders>
            <w:shd w:val="clear" w:color="auto" w:fill="auto"/>
            <w:vAlign w:val="bottom"/>
          </w:tcPr>
          <w:p w14:paraId="4C415310" w14:textId="77777777" w:rsidR="00571749" w:rsidRDefault="00571749" w:rsidP="004235A4">
            <w:pPr>
              <w:pStyle w:val="TableBodyText"/>
              <w:ind w:left="0" w:right="0"/>
            </w:pPr>
          </w:p>
        </w:tc>
        <w:tc>
          <w:tcPr>
            <w:tcW w:w="709" w:type="dxa"/>
            <w:tcBorders>
              <w:top w:val="nil"/>
              <w:left w:val="nil"/>
              <w:bottom w:val="nil"/>
              <w:right w:val="nil"/>
            </w:tcBorders>
            <w:shd w:val="clear" w:color="auto" w:fill="auto"/>
            <w:vAlign w:val="bottom"/>
          </w:tcPr>
          <w:p w14:paraId="011C78CA" w14:textId="77777777" w:rsidR="00571749" w:rsidRDefault="00571749" w:rsidP="004235A4">
            <w:pPr>
              <w:pStyle w:val="TableBodyText"/>
              <w:ind w:left="0" w:right="0"/>
            </w:pPr>
          </w:p>
        </w:tc>
        <w:tc>
          <w:tcPr>
            <w:tcW w:w="850" w:type="dxa"/>
            <w:tcBorders>
              <w:top w:val="nil"/>
              <w:left w:val="nil"/>
              <w:bottom w:val="nil"/>
              <w:right w:val="nil"/>
            </w:tcBorders>
            <w:shd w:val="clear" w:color="auto" w:fill="auto"/>
            <w:vAlign w:val="bottom"/>
          </w:tcPr>
          <w:p w14:paraId="3C52870B" w14:textId="77777777" w:rsidR="00571749" w:rsidRDefault="00571749" w:rsidP="004235A4">
            <w:pPr>
              <w:pStyle w:val="TableBodyText"/>
              <w:ind w:left="0" w:right="0"/>
            </w:pPr>
          </w:p>
        </w:tc>
        <w:tc>
          <w:tcPr>
            <w:tcW w:w="709" w:type="dxa"/>
            <w:tcBorders>
              <w:top w:val="nil"/>
              <w:left w:val="nil"/>
              <w:bottom w:val="nil"/>
              <w:right w:val="nil"/>
            </w:tcBorders>
            <w:shd w:val="clear" w:color="auto" w:fill="auto"/>
            <w:vAlign w:val="bottom"/>
          </w:tcPr>
          <w:p w14:paraId="45138A89" w14:textId="77777777" w:rsidR="00571749" w:rsidRDefault="00571749" w:rsidP="00C4369E">
            <w:pPr>
              <w:pStyle w:val="TableBodyText"/>
            </w:pPr>
          </w:p>
        </w:tc>
      </w:tr>
      <w:tr w:rsidR="00571749" w14:paraId="79102F52" w14:textId="77777777" w:rsidTr="006700E5">
        <w:trPr>
          <w:cantSplit/>
          <w:trHeight w:val="20"/>
        </w:trPr>
        <w:tc>
          <w:tcPr>
            <w:tcW w:w="2672" w:type="dxa"/>
            <w:tcBorders>
              <w:top w:val="nil"/>
              <w:left w:val="nil"/>
              <w:bottom w:val="nil"/>
              <w:right w:val="nil"/>
            </w:tcBorders>
            <w:shd w:val="clear" w:color="auto" w:fill="auto"/>
            <w:vAlign w:val="bottom"/>
          </w:tcPr>
          <w:p w14:paraId="0BF4B18D" w14:textId="77777777" w:rsidR="00571749" w:rsidRDefault="00571749" w:rsidP="006B62AA">
            <w:pPr>
              <w:pStyle w:val="TableBodyText"/>
              <w:ind w:left="0" w:right="0"/>
              <w:jc w:val="left"/>
            </w:pPr>
            <w:r>
              <w:t>Disability Support Pension</w:t>
            </w:r>
          </w:p>
        </w:tc>
        <w:tc>
          <w:tcPr>
            <w:tcW w:w="1162" w:type="dxa"/>
            <w:tcBorders>
              <w:top w:val="nil"/>
              <w:left w:val="nil"/>
              <w:bottom w:val="nil"/>
              <w:right w:val="nil"/>
            </w:tcBorders>
            <w:shd w:val="clear" w:color="auto" w:fill="auto"/>
            <w:vAlign w:val="bottom"/>
          </w:tcPr>
          <w:p w14:paraId="454C2A3D"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15FD52F5" w14:textId="2AD32187" w:rsidR="00571749" w:rsidRDefault="00D47A82" w:rsidP="00793FFB">
            <w:pPr>
              <w:jc w:val="right"/>
              <w:rPr>
                <w:rFonts w:ascii="Arial" w:hAnsi="Arial" w:cs="Arial"/>
                <w:color w:val="000000"/>
                <w:sz w:val="18"/>
                <w:szCs w:val="18"/>
              </w:rPr>
            </w:pPr>
            <w:r>
              <w:rPr>
                <w:rFonts w:ascii="Arial" w:hAnsi="Arial" w:cs="Arial"/>
                <w:color w:val="000000"/>
                <w:sz w:val="18"/>
                <w:szCs w:val="18"/>
              </w:rPr>
              <w:t>14.</w:t>
            </w:r>
            <w:r w:rsidR="00793FFB">
              <w:rPr>
                <w:rFonts w:ascii="Arial" w:hAnsi="Arial" w:cs="Arial"/>
                <w:color w:val="000000"/>
                <w:sz w:val="18"/>
                <w:szCs w:val="18"/>
              </w:rPr>
              <w:t>1</w:t>
            </w:r>
          </w:p>
        </w:tc>
        <w:tc>
          <w:tcPr>
            <w:tcW w:w="680" w:type="dxa"/>
            <w:tcBorders>
              <w:top w:val="nil"/>
              <w:left w:val="nil"/>
              <w:bottom w:val="nil"/>
              <w:right w:val="nil"/>
            </w:tcBorders>
            <w:shd w:val="clear" w:color="auto" w:fill="auto"/>
            <w:vAlign w:val="bottom"/>
          </w:tcPr>
          <w:p w14:paraId="326450F4"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4D827336" w14:textId="237604AA" w:rsidR="00571749" w:rsidRDefault="00571749" w:rsidP="004235A4">
            <w:pPr>
              <w:jc w:val="right"/>
              <w:rPr>
                <w:rFonts w:ascii="Arial" w:hAnsi="Arial" w:cs="Arial"/>
                <w:color w:val="000000"/>
                <w:sz w:val="18"/>
                <w:szCs w:val="18"/>
              </w:rPr>
            </w:pPr>
            <w:r>
              <w:rPr>
                <w:rFonts w:ascii="Arial" w:hAnsi="Arial" w:cs="Arial"/>
                <w:color w:val="000000"/>
                <w:sz w:val="18"/>
                <w:szCs w:val="18"/>
              </w:rPr>
              <w:t>12.</w:t>
            </w:r>
            <w:r w:rsidR="00793FFB">
              <w:rPr>
                <w:rFonts w:ascii="Arial" w:hAnsi="Arial" w:cs="Arial"/>
                <w:color w:val="000000"/>
                <w:sz w:val="18"/>
                <w:szCs w:val="18"/>
              </w:rPr>
              <w:t>9</w:t>
            </w:r>
          </w:p>
        </w:tc>
        <w:tc>
          <w:tcPr>
            <w:tcW w:w="709" w:type="dxa"/>
            <w:tcBorders>
              <w:top w:val="nil"/>
              <w:left w:val="nil"/>
              <w:bottom w:val="nil"/>
              <w:right w:val="nil"/>
            </w:tcBorders>
            <w:shd w:val="clear" w:color="auto" w:fill="auto"/>
            <w:vAlign w:val="bottom"/>
          </w:tcPr>
          <w:p w14:paraId="208ABEE7"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05CA670F" w14:textId="72D6757A" w:rsidR="00571749" w:rsidRDefault="00571749" w:rsidP="004235A4">
            <w:pPr>
              <w:jc w:val="right"/>
              <w:rPr>
                <w:rFonts w:ascii="Arial" w:hAnsi="Arial" w:cs="Arial"/>
                <w:color w:val="000000"/>
                <w:sz w:val="18"/>
                <w:szCs w:val="18"/>
              </w:rPr>
            </w:pPr>
            <w:r>
              <w:rPr>
                <w:rFonts w:ascii="Arial" w:hAnsi="Arial" w:cs="Arial"/>
                <w:color w:val="000000"/>
                <w:sz w:val="18"/>
                <w:szCs w:val="18"/>
              </w:rPr>
              <w:t>19.</w:t>
            </w:r>
            <w:r w:rsidR="00BE6D06">
              <w:rPr>
                <w:rFonts w:ascii="Arial" w:hAnsi="Arial" w:cs="Arial"/>
                <w:color w:val="000000"/>
                <w:sz w:val="18"/>
                <w:szCs w:val="18"/>
              </w:rPr>
              <w:t>2</w:t>
            </w:r>
          </w:p>
        </w:tc>
        <w:tc>
          <w:tcPr>
            <w:tcW w:w="709" w:type="dxa"/>
            <w:tcBorders>
              <w:top w:val="nil"/>
              <w:left w:val="nil"/>
              <w:bottom w:val="nil"/>
              <w:right w:val="nil"/>
            </w:tcBorders>
            <w:shd w:val="clear" w:color="auto" w:fill="auto"/>
            <w:vAlign w:val="bottom"/>
          </w:tcPr>
          <w:p w14:paraId="40E05456" w14:textId="77777777" w:rsidR="00571749" w:rsidRDefault="00D47A82" w:rsidP="00C4369E">
            <w:pPr>
              <w:pStyle w:val="TableBodyText"/>
            </w:pPr>
            <w:r>
              <w:t> </w:t>
            </w:r>
          </w:p>
        </w:tc>
      </w:tr>
      <w:tr w:rsidR="00571749" w14:paraId="514E0489" w14:textId="77777777" w:rsidTr="006700E5">
        <w:trPr>
          <w:cantSplit/>
          <w:trHeight w:val="20"/>
        </w:trPr>
        <w:tc>
          <w:tcPr>
            <w:tcW w:w="2672" w:type="dxa"/>
            <w:tcBorders>
              <w:top w:val="nil"/>
              <w:left w:val="nil"/>
              <w:bottom w:val="nil"/>
              <w:right w:val="nil"/>
            </w:tcBorders>
            <w:shd w:val="clear" w:color="auto" w:fill="auto"/>
            <w:vAlign w:val="bottom"/>
          </w:tcPr>
          <w:p w14:paraId="7CF452F3" w14:textId="77777777" w:rsidR="00571749" w:rsidRDefault="00571749" w:rsidP="006B62AA">
            <w:pPr>
              <w:pStyle w:val="TableBodyText"/>
              <w:ind w:left="0" w:right="0"/>
              <w:jc w:val="left"/>
            </w:pPr>
            <w:r>
              <w:t>Newstart Allowance</w:t>
            </w:r>
          </w:p>
        </w:tc>
        <w:tc>
          <w:tcPr>
            <w:tcW w:w="1162" w:type="dxa"/>
            <w:tcBorders>
              <w:top w:val="nil"/>
              <w:left w:val="nil"/>
              <w:bottom w:val="nil"/>
              <w:right w:val="nil"/>
            </w:tcBorders>
            <w:shd w:val="clear" w:color="auto" w:fill="auto"/>
            <w:vAlign w:val="bottom"/>
          </w:tcPr>
          <w:p w14:paraId="441F1F5A"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790288E6" w14:textId="7A4A7F6E" w:rsidR="00571749" w:rsidRDefault="00571749" w:rsidP="00793FFB">
            <w:pPr>
              <w:jc w:val="right"/>
              <w:rPr>
                <w:rFonts w:ascii="Arial" w:hAnsi="Arial" w:cs="Arial"/>
                <w:color w:val="000000"/>
                <w:sz w:val="18"/>
                <w:szCs w:val="18"/>
              </w:rPr>
            </w:pPr>
            <w:r>
              <w:rPr>
                <w:rFonts w:ascii="Arial" w:hAnsi="Arial" w:cs="Arial"/>
                <w:color w:val="000000"/>
                <w:sz w:val="18"/>
                <w:szCs w:val="18"/>
              </w:rPr>
              <w:t>9.</w:t>
            </w:r>
            <w:r w:rsidR="00793FFB">
              <w:rPr>
                <w:rFonts w:ascii="Arial" w:hAnsi="Arial" w:cs="Arial"/>
                <w:color w:val="000000"/>
                <w:sz w:val="18"/>
                <w:szCs w:val="18"/>
              </w:rPr>
              <w:t>1</w:t>
            </w:r>
          </w:p>
        </w:tc>
        <w:tc>
          <w:tcPr>
            <w:tcW w:w="680" w:type="dxa"/>
            <w:tcBorders>
              <w:top w:val="nil"/>
              <w:left w:val="nil"/>
              <w:bottom w:val="nil"/>
              <w:right w:val="nil"/>
            </w:tcBorders>
            <w:shd w:val="clear" w:color="auto" w:fill="auto"/>
            <w:vAlign w:val="bottom"/>
          </w:tcPr>
          <w:p w14:paraId="714ACB26"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5D606AB6" w14:textId="248DDC72" w:rsidR="00571749" w:rsidRDefault="00793FFB" w:rsidP="004235A4">
            <w:pPr>
              <w:jc w:val="right"/>
              <w:rPr>
                <w:rFonts w:ascii="Arial" w:hAnsi="Arial" w:cs="Arial"/>
                <w:color w:val="000000"/>
                <w:sz w:val="18"/>
                <w:szCs w:val="18"/>
              </w:rPr>
            </w:pPr>
            <w:r>
              <w:rPr>
                <w:rFonts w:ascii="Arial" w:hAnsi="Arial" w:cs="Arial"/>
                <w:color w:val="000000"/>
                <w:sz w:val="18"/>
                <w:szCs w:val="18"/>
              </w:rPr>
              <w:t>8.7</w:t>
            </w:r>
          </w:p>
        </w:tc>
        <w:tc>
          <w:tcPr>
            <w:tcW w:w="709" w:type="dxa"/>
            <w:tcBorders>
              <w:top w:val="nil"/>
              <w:left w:val="nil"/>
              <w:bottom w:val="nil"/>
              <w:right w:val="nil"/>
            </w:tcBorders>
            <w:shd w:val="clear" w:color="auto" w:fill="auto"/>
            <w:vAlign w:val="bottom"/>
          </w:tcPr>
          <w:p w14:paraId="56EAB656"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0561E281" w14:textId="611F6BD0" w:rsidR="00571749" w:rsidRDefault="00BE6D06" w:rsidP="004235A4">
            <w:pPr>
              <w:jc w:val="right"/>
              <w:rPr>
                <w:rFonts w:ascii="Arial" w:hAnsi="Arial" w:cs="Arial"/>
                <w:color w:val="000000"/>
                <w:sz w:val="18"/>
                <w:szCs w:val="18"/>
              </w:rPr>
            </w:pPr>
            <w:r>
              <w:rPr>
                <w:rFonts w:ascii="Arial" w:hAnsi="Arial" w:cs="Arial"/>
                <w:color w:val="000000"/>
                <w:sz w:val="18"/>
                <w:szCs w:val="18"/>
              </w:rPr>
              <w:t>10.7</w:t>
            </w:r>
          </w:p>
        </w:tc>
        <w:tc>
          <w:tcPr>
            <w:tcW w:w="709" w:type="dxa"/>
            <w:tcBorders>
              <w:top w:val="nil"/>
              <w:left w:val="nil"/>
              <w:bottom w:val="nil"/>
              <w:right w:val="nil"/>
            </w:tcBorders>
            <w:shd w:val="clear" w:color="auto" w:fill="auto"/>
            <w:vAlign w:val="bottom"/>
          </w:tcPr>
          <w:p w14:paraId="173B1980" w14:textId="77777777" w:rsidR="00571749" w:rsidRDefault="00D47A82" w:rsidP="00C4369E">
            <w:pPr>
              <w:pStyle w:val="TableBodyText"/>
            </w:pPr>
            <w:r>
              <w:t> </w:t>
            </w:r>
          </w:p>
        </w:tc>
      </w:tr>
      <w:tr w:rsidR="00571749" w14:paraId="6506D994" w14:textId="77777777" w:rsidTr="006700E5">
        <w:trPr>
          <w:cantSplit/>
          <w:trHeight w:val="20"/>
        </w:trPr>
        <w:tc>
          <w:tcPr>
            <w:tcW w:w="2672" w:type="dxa"/>
            <w:tcBorders>
              <w:top w:val="nil"/>
              <w:left w:val="nil"/>
              <w:bottom w:val="nil"/>
              <w:right w:val="nil"/>
            </w:tcBorders>
            <w:shd w:val="clear" w:color="auto" w:fill="auto"/>
            <w:vAlign w:val="bottom"/>
          </w:tcPr>
          <w:p w14:paraId="3910EF16" w14:textId="77777777" w:rsidR="00571749" w:rsidRDefault="00571749" w:rsidP="006B62AA">
            <w:pPr>
              <w:pStyle w:val="TableBodyText"/>
              <w:ind w:left="0" w:right="0"/>
              <w:jc w:val="left"/>
            </w:pPr>
            <w:r>
              <w:t>Parenting Payment (Single)</w:t>
            </w:r>
          </w:p>
        </w:tc>
        <w:tc>
          <w:tcPr>
            <w:tcW w:w="1162" w:type="dxa"/>
            <w:tcBorders>
              <w:top w:val="nil"/>
              <w:left w:val="nil"/>
              <w:bottom w:val="nil"/>
              <w:right w:val="nil"/>
            </w:tcBorders>
            <w:shd w:val="clear" w:color="auto" w:fill="auto"/>
            <w:vAlign w:val="bottom"/>
          </w:tcPr>
          <w:p w14:paraId="59B0E75F"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72A9132E" w14:textId="192A3A24" w:rsidR="00571749" w:rsidRDefault="00571749" w:rsidP="00793FFB">
            <w:pPr>
              <w:jc w:val="right"/>
              <w:rPr>
                <w:rFonts w:ascii="Arial" w:hAnsi="Arial" w:cs="Arial"/>
                <w:color w:val="000000"/>
                <w:sz w:val="18"/>
                <w:szCs w:val="18"/>
              </w:rPr>
            </w:pPr>
            <w:r>
              <w:rPr>
                <w:rFonts w:ascii="Arial" w:hAnsi="Arial" w:cs="Arial"/>
                <w:color w:val="000000"/>
                <w:sz w:val="18"/>
                <w:szCs w:val="18"/>
              </w:rPr>
              <w:t>3.</w:t>
            </w:r>
            <w:r w:rsidR="00793FFB">
              <w:rPr>
                <w:rFonts w:ascii="Arial" w:hAnsi="Arial" w:cs="Arial"/>
                <w:color w:val="000000"/>
                <w:sz w:val="18"/>
                <w:szCs w:val="18"/>
              </w:rPr>
              <w:t>8</w:t>
            </w:r>
          </w:p>
        </w:tc>
        <w:tc>
          <w:tcPr>
            <w:tcW w:w="680" w:type="dxa"/>
            <w:tcBorders>
              <w:top w:val="nil"/>
              <w:left w:val="nil"/>
              <w:bottom w:val="nil"/>
              <w:right w:val="nil"/>
            </w:tcBorders>
            <w:shd w:val="clear" w:color="auto" w:fill="auto"/>
            <w:vAlign w:val="bottom"/>
          </w:tcPr>
          <w:p w14:paraId="5B51CC96"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6C228083" w14:textId="241527BE" w:rsidR="00571749" w:rsidRDefault="00571749" w:rsidP="004235A4">
            <w:pPr>
              <w:jc w:val="right"/>
              <w:rPr>
                <w:rFonts w:ascii="Arial" w:hAnsi="Arial" w:cs="Arial"/>
                <w:color w:val="000000"/>
                <w:sz w:val="18"/>
                <w:szCs w:val="18"/>
              </w:rPr>
            </w:pPr>
            <w:r>
              <w:rPr>
                <w:rFonts w:ascii="Arial" w:hAnsi="Arial" w:cs="Arial"/>
                <w:color w:val="000000"/>
                <w:sz w:val="18"/>
                <w:szCs w:val="18"/>
              </w:rPr>
              <w:t>6.</w:t>
            </w:r>
            <w:r w:rsidR="00793FFB">
              <w:rPr>
                <w:rFonts w:ascii="Arial" w:hAnsi="Arial" w:cs="Arial"/>
                <w:color w:val="000000"/>
                <w:sz w:val="18"/>
                <w:szCs w:val="18"/>
              </w:rPr>
              <w:t>2</w:t>
            </w:r>
          </w:p>
        </w:tc>
        <w:tc>
          <w:tcPr>
            <w:tcW w:w="709" w:type="dxa"/>
            <w:tcBorders>
              <w:top w:val="nil"/>
              <w:left w:val="nil"/>
              <w:bottom w:val="nil"/>
              <w:right w:val="nil"/>
            </w:tcBorders>
            <w:shd w:val="clear" w:color="auto" w:fill="auto"/>
            <w:vAlign w:val="bottom"/>
          </w:tcPr>
          <w:p w14:paraId="02A9229F"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2DA1D926" w14:textId="4B3A3853" w:rsidR="00571749" w:rsidRDefault="00571749" w:rsidP="004235A4">
            <w:pPr>
              <w:jc w:val="right"/>
              <w:rPr>
                <w:rFonts w:ascii="Arial" w:hAnsi="Arial" w:cs="Arial"/>
                <w:color w:val="000000"/>
                <w:sz w:val="18"/>
                <w:szCs w:val="18"/>
              </w:rPr>
            </w:pPr>
            <w:r>
              <w:rPr>
                <w:rFonts w:ascii="Arial" w:hAnsi="Arial" w:cs="Arial"/>
                <w:color w:val="000000"/>
                <w:sz w:val="18"/>
                <w:szCs w:val="18"/>
              </w:rPr>
              <w:t>7.</w:t>
            </w:r>
            <w:r w:rsidR="00BE6D06">
              <w:rPr>
                <w:rFonts w:ascii="Arial" w:hAnsi="Arial" w:cs="Arial"/>
                <w:color w:val="000000"/>
                <w:sz w:val="18"/>
                <w:szCs w:val="18"/>
              </w:rPr>
              <w:t>5</w:t>
            </w:r>
          </w:p>
        </w:tc>
        <w:tc>
          <w:tcPr>
            <w:tcW w:w="709" w:type="dxa"/>
            <w:tcBorders>
              <w:top w:val="nil"/>
              <w:left w:val="nil"/>
              <w:bottom w:val="nil"/>
              <w:right w:val="nil"/>
            </w:tcBorders>
            <w:shd w:val="clear" w:color="auto" w:fill="auto"/>
            <w:vAlign w:val="bottom"/>
          </w:tcPr>
          <w:p w14:paraId="351440CD" w14:textId="77777777" w:rsidR="00571749" w:rsidRDefault="00D47A82" w:rsidP="00C4369E">
            <w:pPr>
              <w:pStyle w:val="TableBodyText"/>
            </w:pPr>
            <w:r>
              <w:t> </w:t>
            </w:r>
          </w:p>
        </w:tc>
      </w:tr>
      <w:tr w:rsidR="00571749" w14:paraId="0A121A22" w14:textId="77777777" w:rsidTr="006700E5">
        <w:trPr>
          <w:cantSplit/>
          <w:trHeight w:val="20"/>
        </w:trPr>
        <w:tc>
          <w:tcPr>
            <w:tcW w:w="2672" w:type="dxa"/>
            <w:tcBorders>
              <w:top w:val="nil"/>
              <w:left w:val="nil"/>
              <w:bottom w:val="nil"/>
              <w:right w:val="nil"/>
            </w:tcBorders>
            <w:shd w:val="clear" w:color="auto" w:fill="auto"/>
            <w:vAlign w:val="bottom"/>
          </w:tcPr>
          <w:p w14:paraId="52D5EC30" w14:textId="77777777" w:rsidR="00571749" w:rsidRDefault="006B62AA" w:rsidP="006B62AA">
            <w:pPr>
              <w:pStyle w:val="TableBodyText"/>
              <w:ind w:left="0" w:right="0"/>
              <w:jc w:val="left"/>
            </w:pPr>
            <w:r>
              <w:t>Parenting Payment </w:t>
            </w:r>
            <w:r w:rsidR="00571749">
              <w:t>(Partnered)</w:t>
            </w:r>
          </w:p>
        </w:tc>
        <w:tc>
          <w:tcPr>
            <w:tcW w:w="1162" w:type="dxa"/>
            <w:tcBorders>
              <w:top w:val="nil"/>
              <w:left w:val="nil"/>
              <w:bottom w:val="nil"/>
              <w:right w:val="nil"/>
            </w:tcBorders>
            <w:shd w:val="clear" w:color="auto" w:fill="auto"/>
            <w:vAlign w:val="bottom"/>
          </w:tcPr>
          <w:p w14:paraId="73D2DD14"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7B783AD4" w14:textId="5563B993" w:rsidR="00571749" w:rsidRDefault="00793FFB" w:rsidP="004235A4">
            <w:pPr>
              <w:jc w:val="right"/>
              <w:rPr>
                <w:rFonts w:ascii="Arial" w:hAnsi="Arial" w:cs="Arial"/>
                <w:color w:val="000000"/>
                <w:sz w:val="18"/>
                <w:szCs w:val="18"/>
              </w:rPr>
            </w:pPr>
            <w:r>
              <w:rPr>
                <w:rFonts w:ascii="Arial" w:hAnsi="Arial" w:cs="Arial"/>
                <w:color w:val="000000"/>
                <w:sz w:val="18"/>
                <w:szCs w:val="18"/>
              </w:rPr>
              <w:t>1.0</w:t>
            </w:r>
          </w:p>
        </w:tc>
        <w:tc>
          <w:tcPr>
            <w:tcW w:w="680" w:type="dxa"/>
            <w:tcBorders>
              <w:top w:val="nil"/>
              <w:left w:val="nil"/>
              <w:bottom w:val="nil"/>
              <w:right w:val="nil"/>
            </w:tcBorders>
            <w:shd w:val="clear" w:color="auto" w:fill="auto"/>
            <w:vAlign w:val="bottom"/>
          </w:tcPr>
          <w:p w14:paraId="4E75CCE1"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1841A2F1" w14:textId="2595868A" w:rsidR="00571749" w:rsidRDefault="00571749" w:rsidP="004235A4">
            <w:pPr>
              <w:jc w:val="right"/>
              <w:rPr>
                <w:rFonts w:ascii="Arial" w:hAnsi="Arial" w:cs="Arial"/>
                <w:color w:val="000000"/>
                <w:sz w:val="18"/>
                <w:szCs w:val="18"/>
              </w:rPr>
            </w:pPr>
            <w:r>
              <w:rPr>
                <w:rFonts w:ascii="Arial" w:hAnsi="Arial" w:cs="Arial"/>
                <w:color w:val="000000"/>
                <w:sz w:val="18"/>
                <w:szCs w:val="18"/>
              </w:rPr>
              <w:t>0</w:t>
            </w:r>
            <w:r w:rsidR="00793FFB">
              <w:rPr>
                <w:rFonts w:ascii="Arial" w:hAnsi="Arial" w:cs="Arial"/>
                <w:color w:val="000000"/>
                <w:sz w:val="18"/>
                <w:szCs w:val="18"/>
              </w:rPr>
              <w:t>.9</w:t>
            </w:r>
          </w:p>
        </w:tc>
        <w:tc>
          <w:tcPr>
            <w:tcW w:w="709" w:type="dxa"/>
            <w:tcBorders>
              <w:top w:val="nil"/>
              <w:left w:val="nil"/>
              <w:bottom w:val="nil"/>
              <w:right w:val="nil"/>
            </w:tcBorders>
            <w:shd w:val="clear" w:color="auto" w:fill="auto"/>
            <w:vAlign w:val="bottom"/>
          </w:tcPr>
          <w:p w14:paraId="2914AACE"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18E95D9B" w14:textId="0666548C" w:rsidR="00571749" w:rsidRDefault="00571749" w:rsidP="004235A4">
            <w:pPr>
              <w:jc w:val="right"/>
              <w:rPr>
                <w:rFonts w:ascii="Arial" w:hAnsi="Arial" w:cs="Arial"/>
                <w:color w:val="000000"/>
                <w:sz w:val="18"/>
                <w:szCs w:val="18"/>
              </w:rPr>
            </w:pPr>
            <w:r>
              <w:rPr>
                <w:rFonts w:ascii="Arial" w:hAnsi="Arial" w:cs="Arial"/>
                <w:color w:val="000000"/>
                <w:sz w:val="18"/>
                <w:szCs w:val="18"/>
              </w:rPr>
              <w:t>1.</w:t>
            </w:r>
            <w:r w:rsidR="00BE6D06">
              <w:rPr>
                <w:rFonts w:ascii="Arial" w:hAnsi="Arial" w:cs="Arial"/>
                <w:color w:val="000000"/>
                <w:sz w:val="18"/>
                <w:szCs w:val="18"/>
              </w:rPr>
              <w:t>2</w:t>
            </w:r>
          </w:p>
        </w:tc>
        <w:tc>
          <w:tcPr>
            <w:tcW w:w="709" w:type="dxa"/>
            <w:tcBorders>
              <w:top w:val="nil"/>
              <w:left w:val="nil"/>
              <w:bottom w:val="nil"/>
              <w:right w:val="nil"/>
            </w:tcBorders>
            <w:shd w:val="clear" w:color="auto" w:fill="auto"/>
            <w:vAlign w:val="bottom"/>
          </w:tcPr>
          <w:p w14:paraId="4BB8C2B3" w14:textId="77777777" w:rsidR="00571749" w:rsidRDefault="00D47A82" w:rsidP="00C4369E">
            <w:pPr>
              <w:pStyle w:val="TableBodyText"/>
            </w:pPr>
            <w:r>
              <w:t> </w:t>
            </w:r>
          </w:p>
        </w:tc>
      </w:tr>
      <w:tr w:rsidR="00571749" w14:paraId="5879C525" w14:textId="77777777" w:rsidTr="006700E5">
        <w:trPr>
          <w:cantSplit/>
          <w:trHeight w:val="20"/>
        </w:trPr>
        <w:tc>
          <w:tcPr>
            <w:tcW w:w="2672" w:type="dxa"/>
            <w:tcBorders>
              <w:top w:val="nil"/>
              <w:left w:val="nil"/>
              <w:bottom w:val="nil"/>
              <w:right w:val="nil"/>
            </w:tcBorders>
            <w:shd w:val="clear" w:color="auto" w:fill="auto"/>
            <w:vAlign w:val="bottom"/>
          </w:tcPr>
          <w:p w14:paraId="73813A4E" w14:textId="77777777" w:rsidR="00571749" w:rsidRDefault="00571749" w:rsidP="006B62AA">
            <w:pPr>
              <w:pStyle w:val="TableBodyText"/>
              <w:ind w:left="0" w:right="0"/>
              <w:jc w:val="left"/>
            </w:pPr>
            <w:r>
              <w:t>Youth Allowance (Student)</w:t>
            </w:r>
          </w:p>
        </w:tc>
        <w:tc>
          <w:tcPr>
            <w:tcW w:w="1162" w:type="dxa"/>
            <w:tcBorders>
              <w:top w:val="nil"/>
              <w:left w:val="nil"/>
              <w:bottom w:val="nil"/>
              <w:right w:val="nil"/>
            </w:tcBorders>
            <w:shd w:val="clear" w:color="auto" w:fill="auto"/>
            <w:vAlign w:val="bottom"/>
          </w:tcPr>
          <w:p w14:paraId="3FA6A5C4"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77322B8A" w14:textId="59701302" w:rsidR="00571749" w:rsidRDefault="00793FFB" w:rsidP="004235A4">
            <w:pPr>
              <w:jc w:val="right"/>
              <w:rPr>
                <w:rFonts w:ascii="Arial" w:hAnsi="Arial" w:cs="Arial"/>
                <w:color w:val="000000"/>
                <w:sz w:val="18"/>
                <w:szCs w:val="18"/>
              </w:rPr>
            </w:pPr>
            <w:r>
              <w:rPr>
                <w:rFonts w:ascii="Arial" w:hAnsi="Arial" w:cs="Arial"/>
                <w:color w:val="000000"/>
                <w:sz w:val="18"/>
                <w:szCs w:val="18"/>
              </w:rPr>
              <w:t>46.7</w:t>
            </w:r>
          </w:p>
        </w:tc>
        <w:tc>
          <w:tcPr>
            <w:tcW w:w="680" w:type="dxa"/>
            <w:tcBorders>
              <w:top w:val="nil"/>
              <w:left w:val="nil"/>
              <w:bottom w:val="nil"/>
              <w:right w:val="nil"/>
            </w:tcBorders>
            <w:shd w:val="clear" w:color="auto" w:fill="auto"/>
            <w:vAlign w:val="bottom"/>
          </w:tcPr>
          <w:p w14:paraId="5ABD3715"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27F6F47A" w14:textId="7E897C7F" w:rsidR="00571749" w:rsidRDefault="00793FFB" w:rsidP="004235A4">
            <w:pPr>
              <w:jc w:val="right"/>
              <w:rPr>
                <w:rFonts w:ascii="Arial" w:hAnsi="Arial" w:cs="Arial"/>
                <w:color w:val="000000"/>
                <w:sz w:val="18"/>
                <w:szCs w:val="18"/>
              </w:rPr>
            </w:pPr>
            <w:r>
              <w:rPr>
                <w:rFonts w:ascii="Arial" w:hAnsi="Arial" w:cs="Arial"/>
                <w:color w:val="000000"/>
                <w:sz w:val="18"/>
                <w:szCs w:val="18"/>
              </w:rPr>
              <w:t>34.4</w:t>
            </w:r>
          </w:p>
        </w:tc>
        <w:tc>
          <w:tcPr>
            <w:tcW w:w="709" w:type="dxa"/>
            <w:tcBorders>
              <w:top w:val="nil"/>
              <w:left w:val="nil"/>
              <w:bottom w:val="nil"/>
              <w:right w:val="nil"/>
            </w:tcBorders>
            <w:shd w:val="clear" w:color="auto" w:fill="auto"/>
            <w:vAlign w:val="bottom"/>
          </w:tcPr>
          <w:p w14:paraId="480DA99D"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4F30B5D7" w14:textId="341B83B3" w:rsidR="00571749" w:rsidRDefault="00BE6D06" w:rsidP="004235A4">
            <w:pPr>
              <w:jc w:val="right"/>
              <w:rPr>
                <w:rFonts w:ascii="Arial" w:hAnsi="Arial" w:cs="Arial"/>
                <w:color w:val="000000"/>
                <w:sz w:val="18"/>
                <w:szCs w:val="18"/>
              </w:rPr>
            </w:pPr>
            <w:r>
              <w:rPr>
                <w:rFonts w:ascii="Arial" w:hAnsi="Arial" w:cs="Arial"/>
                <w:color w:val="000000"/>
                <w:sz w:val="18"/>
                <w:szCs w:val="18"/>
              </w:rPr>
              <w:t>22.5</w:t>
            </w:r>
          </w:p>
        </w:tc>
        <w:tc>
          <w:tcPr>
            <w:tcW w:w="709" w:type="dxa"/>
            <w:tcBorders>
              <w:top w:val="nil"/>
              <w:left w:val="nil"/>
              <w:bottom w:val="nil"/>
              <w:right w:val="nil"/>
            </w:tcBorders>
            <w:shd w:val="clear" w:color="auto" w:fill="auto"/>
            <w:vAlign w:val="bottom"/>
          </w:tcPr>
          <w:p w14:paraId="1ABCCFBA" w14:textId="77777777" w:rsidR="00571749" w:rsidRDefault="00D47A82" w:rsidP="00C4369E">
            <w:pPr>
              <w:pStyle w:val="TableBodyText"/>
            </w:pPr>
            <w:r>
              <w:t> </w:t>
            </w:r>
          </w:p>
        </w:tc>
      </w:tr>
      <w:tr w:rsidR="00571749" w14:paraId="2D437D00" w14:textId="77777777" w:rsidTr="006700E5">
        <w:trPr>
          <w:cantSplit/>
          <w:trHeight w:val="20"/>
        </w:trPr>
        <w:tc>
          <w:tcPr>
            <w:tcW w:w="2672" w:type="dxa"/>
            <w:tcBorders>
              <w:top w:val="nil"/>
              <w:left w:val="nil"/>
              <w:bottom w:val="nil"/>
              <w:right w:val="nil"/>
            </w:tcBorders>
            <w:shd w:val="clear" w:color="auto" w:fill="auto"/>
            <w:vAlign w:val="bottom"/>
          </w:tcPr>
          <w:p w14:paraId="528D0D95" w14:textId="77777777" w:rsidR="00571749" w:rsidRDefault="00571749" w:rsidP="006B62AA">
            <w:pPr>
              <w:pStyle w:val="TableBodyText"/>
              <w:ind w:left="0" w:right="0"/>
              <w:jc w:val="left"/>
            </w:pPr>
            <w:r>
              <w:t>Youth Allowance (Jobseeker)</w:t>
            </w:r>
          </w:p>
        </w:tc>
        <w:tc>
          <w:tcPr>
            <w:tcW w:w="1162" w:type="dxa"/>
            <w:tcBorders>
              <w:top w:val="nil"/>
              <w:left w:val="nil"/>
              <w:bottom w:val="nil"/>
              <w:right w:val="nil"/>
            </w:tcBorders>
            <w:shd w:val="clear" w:color="auto" w:fill="auto"/>
            <w:vAlign w:val="bottom"/>
          </w:tcPr>
          <w:p w14:paraId="084EF19D"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5797B766" w14:textId="091CE820" w:rsidR="00571749" w:rsidRDefault="00D47A82" w:rsidP="00793FFB">
            <w:pPr>
              <w:jc w:val="right"/>
              <w:rPr>
                <w:rFonts w:ascii="Arial" w:hAnsi="Arial" w:cs="Arial"/>
                <w:color w:val="000000"/>
                <w:sz w:val="18"/>
                <w:szCs w:val="18"/>
              </w:rPr>
            </w:pPr>
            <w:r>
              <w:rPr>
                <w:rFonts w:ascii="Arial" w:hAnsi="Arial" w:cs="Arial"/>
                <w:color w:val="000000"/>
                <w:sz w:val="18"/>
                <w:szCs w:val="18"/>
              </w:rPr>
              <w:t>21.</w:t>
            </w:r>
            <w:r w:rsidR="00793FFB">
              <w:rPr>
                <w:rFonts w:ascii="Arial" w:hAnsi="Arial" w:cs="Arial"/>
                <w:color w:val="000000"/>
                <w:sz w:val="18"/>
                <w:szCs w:val="18"/>
              </w:rPr>
              <w:t>2</w:t>
            </w:r>
          </w:p>
        </w:tc>
        <w:tc>
          <w:tcPr>
            <w:tcW w:w="680" w:type="dxa"/>
            <w:tcBorders>
              <w:top w:val="nil"/>
              <w:left w:val="nil"/>
              <w:bottom w:val="nil"/>
              <w:right w:val="nil"/>
            </w:tcBorders>
            <w:shd w:val="clear" w:color="auto" w:fill="auto"/>
            <w:vAlign w:val="bottom"/>
          </w:tcPr>
          <w:p w14:paraId="7263BA10"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76E5FB3C" w14:textId="15C9FB03" w:rsidR="00571749" w:rsidRDefault="00793FFB" w:rsidP="004235A4">
            <w:pPr>
              <w:jc w:val="right"/>
              <w:rPr>
                <w:rFonts w:ascii="Arial" w:hAnsi="Arial" w:cs="Arial"/>
                <w:color w:val="000000"/>
                <w:sz w:val="18"/>
                <w:szCs w:val="18"/>
              </w:rPr>
            </w:pPr>
            <w:r>
              <w:rPr>
                <w:rFonts w:ascii="Arial" w:hAnsi="Arial" w:cs="Arial"/>
                <w:color w:val="000000"/>
                <w:sz w:val="18"/>
                <w:szCs w:val="18"/>
              </w:rPr>
              <w:t>30.1</w:t>
            </w:r>
          </w:p>
        </w:tc>
        <w:tc>
          <w:tcPr>
            <w:tcW w:w="709" w:type="dxa"/>
            <w:tcBorders>
              <w:top w:val="nil"/>
              <w:left w:val="nil"/>
              <w:bottom w:val="nil"/>
              <w:right w:val="nil"/>
            </w:tcBorders>
            <w:shd w:val="clear" w:color="auto" w:fill="auto"/>
            <w:vAlign w:val="bottom"/>
          </w:tcPr>
          <w:p w14:paraId="6FE41DB6"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1D54C522" w14:textId="1AC20CEF" w:rsidR="00571749" w:rsidRDefault="00BE6D06" w:rsidP="004235A4">
            <w:pPr>
              <w:jc w:val="right"/>
              <w:rPr>
                <w:rFonts w:ascii="Arial" w:hAnsi="Arial" w:cs="Arial"/>
                <w:color w:val="000000"/>
                <w:sz w:val="18"/>
                <w:szCs w:val="18"/>
              </w:rPr>
            </w:pPr>
            <w:r>
              <w:rPr>
                <w:rFonts w:ascii="Arial" w:hAnsi="Arial" w:cs="Arial"/>
                <w:color w:val="000000"/>
                <w:sz w:val="18"/>
                <w:szCs w:val="18"/>
              </w:rPr>
              <w:t>30.4</w:t>
            </w:r>
          </w:p>
        </w:tc>
        <w:tc>
          <w:tcPr>
            <w:tcW w:w="709" w:type="dxa"/>
            <w:tcBorders>
              <w:top w:val="nil"/>
              <w:left w:val="nil"/>
              <w:bottom w:val="nil"/>
              <w:right w:val="nil"/>
            </w:tcBorders>
            <w:shd w:val="clear" w:color="auto" w:fill="auto"/>
            <w:vAlign w:val="bottom"/>
          </w:tcPr>
          <w:p w14:paraId="581B601F" w14:textId="77777777" w:rsidR="00571749" w:rsidRDefault="00D47A82" w:rsidP="00C4369E">
            <w:pPr>
              <w:pStyle w:val="TableBodyText"/>
            </w:pPr>
            <w:r>
              <w:t> </w:t>
            </w:r>
          </w:p>
        </w:tc>
      </w:tr>
      <w:tr w:rsidR="00571749" w14:paraId="281328F8" w14:textId="77777777" w:rsidTr="006700E5">
        <w:trPr>
          <w:cantSplit/>
          <w:trHeight w:val="20"/>
        </w:trPr>
        <w:tc>
          <w:tcPr>
            <w:tcW w:w="2672" w:type="dxa"/>
            <w:tcBorders>
              <w:top w:val="nil"/>
              <w:left w:val="nil"/>
              <w:bottom w:val="nil"/>
              <w:right w:val="nil"/>
            </w:tcBorders>
            <w:shd w:val="clear" w:color="auto" w:fill="auto"/>
            <w:vAlign w:val="bottom"/>
          </w:tcPr>
          <w:p w14:paraId="111F2685" w14:textId="77777777" w:rsidR="00571749" w:rsidRDefault="00D47A82" w:rsidP="00F67350">
            <w:pPr>
              <w:pStyle w:val="TableBodyText"/>
              <w:ind w:left="0" w:right="0"/>
              <w:jc w:val="left"/>
            </w:pPr>
            <w:r>
              <w:t>Carers</w:t>
            </w:r>
            <w:r w:rsidR="00571749">
              <w:t xml:space="preserve"> Payment</w:t>
            </w:r>
          </w:p>
        </w:tc>
        <w:tc>
          <w:tcPr>
            <w:tcW w:w="1162" w:type="dxa"/>
            <w:tcBorders>
              <w:top w:val="nil"/>
              <w:left w:val="nil"/>
              <w:bottom w:val="nil"/>
              <w:right w:val="nil"/>
            </w:tcBorders>
            <w:shd w:val="clear" w:color="auto" w:fill="auto"/>
            <w:vAlign w:val="bottom"/>
          </w:tcPr>
          <w:p w14:paraId="731574A9"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19296804" w14:textId="1E969542" w:rsidR="00571749" w:rsidRDefault="00793FFB" w:rsidP="004235A4">
            <w:pPr>
              <w:jc w:val="right"/>
              <w:rPr>
                <w:rFonts w:ascii="Arial" w:hAnsi="Arial" w:cs="Arial"/>
                <w:color w:val="000000"/>
                <w:sz w:val="18"/>
                <w:szCs w:val="18"/>
              </w:rPr>
            </w:pPr>
            <w:r>
              <w:rPr>
                <w:rFonts w:ascii="Arial" w:hAnsi="Arial" w:cs="Arial"/>
                <w:color w:val="000000"/>
                <w:sz w:val="18"/>
                <w:szCs w:val="18"/>
              </w:rPr>
              <w:t>2.9</w:t>
            </w:r>
          </w:p>
        </w:tc>
        <w:tc>
          <w:tcPr>
            <w:tcW w:w="680" w:type="dxa"/>
            <w:tcBorders>
              <w:top w:val="nil"/>
              <w:left w:val="nil"/>
              <w:bottom w:val="nil"/>
              <w:right w:val="nil"/>
            </w:tcBorders>
            <w:shd w:val="clear" w:color="auto" w:fill="auto"/>
            <w:vAlign w:val="bottom"/>
          </w:tcPr>
          <w:p w14:paraId="6488153A"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53A33F9D" w14:textId="16EDA921" w:rsidR="00571749" w:rsidRDefault="00571749" w:rsidP="004235A4">
            <w:pPr>
              <w:jc w:val="right"/>
              <w:rPr>
                <w:rFonts w:ascii="Arial" w:hAnsi="Arial" w:cs="Arial"/>
                <w:color w:val="000000"/>
                <w:sz w:val="18"/>
                <w:szCs w:val="18"/>
              </w:rPr>
            </w:pPr>
            <w:r>
              <w:rPr>
                <w:rFonts w:ascii="Arial" w:hAnsi="Arial" w:cs="Arial"/>
                <w:color w:val="000000"/>
                <w:sz w:val="18"/>
                <w:szCs w:val="18"/>
              </w:rPr>
              <w:t>4.</w:t>
            </w:r>
            <w:r w:rsidR="00793FFB">
              <w:rPr>
                <w:rFonts w:ascii="Arial" w:hAnsi="Arial" w:cs="Arial"/>
                <w:color w:val="000000"/>
                <w:sz w:val="18"/>
                <w:szCs w:val="18"/>
              </w:rPr>
              <w:t>5</w:t>
            </w:r>
          </w:p>
        </w:tc>
        <w:tc>
          <w:tcPr>
            <w:tcW w:w="709" w:type="dxa"/>
            <w:tcBorders>
              <w:top w:val="nil"/>
              <w:left w:val="nil"/>
              <w:bottom w:val="nil"/>
              <w:right w:val="nil"/>
            </w:tcBorders>
            <w:shd w:val="clear" w:color="auto" w:fill="auto"/>
            <w:vAlign w:val="bottom"/>
          </w:tcPr>
          <w:p w14:paraId="38CC594E"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128AD510" w14:textId="5059B4E2" w:rsidR="00571749" w:rsidRDefault="00571749" w:rsidP="004235A4">
            <w:pPr>
              <w:jc w:val="right"/>
              <w:rPr>
                <w:rFonts w:ascii="Arial" w:hAnsi="Arial" w:cs="Arial"/>
                <w:color w:val="000000"/>
                <w:sz w:val="18"/>
                <w:szCs w:val="18"/>
              </w:rPr>
            </w:pPr>
            <w:r>
              <w:rPr>
                <w:rFonts w:ascii="Arial" w:hAnsi="Arial" w:cs="Arial"/>
                <w:color w:val="000000"/>
                <w:sz w:val="18"/>
                <w:szCs w:val="18"/>
              </w:rPr>
              <w:t>5.</w:t>
            </w:r>
            <w:r w:rsidR="00BE6D06">
              <w:rPr>
                <w:rFonts w:ascii="Arial" w:hAnsi="Arial" w:cs="Arial"/>
                <w:color w:val="000000"/>
                <w:sz w:val="18"/>
                <w:szCs w:val="18"/>
              </w:rPr>
              <w:t>5</w:t>
            </w:r>
          </w:p>
        </w:tc>
        <w:tc>
          <w:tcPr>
            <w:tcW w:w="709" w:type="dxa"/>
            <w:tcBorders>
              <w:top w:val="nil"/>
              <w:left w:val="nil"/>
              <w:bottom w:val="nil"/>
              <w:right w:val="nil"/>
            </w:tcBorders>
            <w:shd w:val="clear" w:color="auto" w:fill="auto"/>
            <w:vAlign w:val="bottom"/>
          </w:tcPr>
          <w:p w14:paraId="731C847A" w14:textId="77777777" w:rsidR="00571749" w:rsidRDefault="00D47A82" w:rsidP="00C4369E">
            <w:pPr>
              <w:pStyle w:val="TableBodyText"/>
            </w:pPr>
            <w:r>
              <w:t> </w:t>
            </w:r>
          </w:p>
        </w:tc>
      </w:tr>
      <w:tr w:rsidR="00571749" w14:paraId="75B0CE1B" w14:textId="77777777" w:rsidTr="006700E5">
        <w:trPr>
          <w:cantSplit/>
          <w:trHeight w:val="20"/>
        </w:trPr>
        <w:tc>
          <w:tcPr>
            <w:tcW w:w="2672" w:type="dxa"/>
            <w:tcBorders>
              <w:top w:val="nil"/>
              <w:left w:val="nil"/>
              <w:bottom w:val="nil"/>
              <w:right w:val="nil"/>
            </w:tcBorders>
            <w:shd w:val="clear" w:color="auto" w:fill="auto"/>
            <w:vAlign w:val="bottom"/>
          </w:tcPr>
          <w:p w14:paraId="02177442" w14:textId="77777777" w:rsidR="00571749" w:rsidRDefault="00571749" w:rsidP="006209FB">
            <w:pPr>
              <w:pStyle w:val="TableBodyText"/>
              <w:ind w:left="0" w:right="0"/>
              <w:jc w:val="left"/>
            </w:pPr>
            <w:r>
              <w:t>Other</w:t>
            </w:r>
            <w:r w:rsidR="006209FB">
              <w:rPr>
                <w:rStyle w:val="NoteLabel"/>
              </w:rPr>
              <w:t>c</w:t>
            </w:r>
          </w:p>
        </w:tc>
        <w:tc>
          <w:tcPr>
            <w:tcW w:w="1162" w:type="dxa"/>
            <w:tcBorders>
              <w:top w:val="nil"/>
              <w:left w:val="nil"/>
              <w:bottom w:val="nil"/>
              <w:right w:val="nil"/>
            </w:tcBorders>
            <w:shd w:val="clear" w:color="auto" w:fill="auto"/>
            <w:vAlign w:val="bottom"/>
          </w:tcPr>
          <w:p w14:paraId="58D3CA5D"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50072914" w14:textId="2D12111A" w:rsidR="00571749" w:rsidRDefault="00793FFB" w:rsidP="004235A4">
            <w:pPr>
              <w:jc w:val="right"/>
              <w:rPr>
                <w:rFonts w:ascii="Arial" w:hAnsi="Arial" w:cs="Arial"/>
                <w:color w:val="000000"/>
                <w:sz w:val="18"/>
                <w:szCs w:val="18"/>
              </w:rPr>
            </w:pPr>
            <w:r>
              <w:rPr>
                <w:rFonts w:ascii="Arial" w:hAnsi="Arial" w:cs="Arial"/>
                <w:color w:val="000000"/>
                <w:sz w:val="18"/>
                <w:szCs w:val="18"/>
              </w:rPr>
              <w:t>1.2</w:t>
            </w:r>
          </w:p>
        </w:tc>
        <w:tc>
          <w:tcPr>
            <w:tcW w:w="680" w:type="dxa"/>
            <w:tcBorders>
              <w:top w:val="nil"/>
              <w:left w:val="nil"/>
              <w:bottom w:val="nil"/>
              <w:right w:val="nil"/>
            </w:tcBorders>
            <w:shd w:val="clear" w:color="auto" w:fill="auto"/>
            <w:vAlign w:val="bottom"/>
          </w:tcPr>
          <w:p w14:paraId="3DBFC633"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01235584" w14:textId="5FAB8133" w:rsidR="00571749" w:rsidRDefault="00793FFB" w:rsidP="004235A4">
            <w:pPr>
              <w:jc w:val="right"/>
              <w:rPr>
                <w:rFonts w:ascii="Arial" w:hAnsi="Arial" w:cs="Arial"/>
                <w:color w:val="000000"/>
                <w:sz w:val="18"/>
                <w:szCs w:val="18"/>
              </w:rPr>
            </w:pPr>
            <w:r>
              <w:rPr>
                <w:rFonts w:ascii="Arial" w:hAnsi="Arial" w:cs="Arial"/>
                <w:color w:val="000000"/>
                <w:sz w:val="18"/>
                <w:szCs w:val="18"/>
              </w:rPr>
              <w:t>2.3</w:t>
            </w:r>
          </w:p>
        </w:tc>
        <w:tc>
          <w:tcPr>
            <w:tcW w:w="709" w:type="dxa"/>
            <w:tcBorders>
              <w:top w:val="nil"/>
              <w:left w:val="nil"/>
              <w:bottom w:val="nil"/>
              <w:right w:val="nil"/>
            </w:tcBorders>
            <w:shd w:val="clear" w:color="auto" w:fill="auto"/>
            <w:vAlign w:val="bottom"/>
          </w:tcPr>
          <w:p w14:paraId="43946B44"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2FE3E007" w14:textId="536DBBE0" w:rsidR="00571749" w:rsidRDefault="00BE6D06" w:rsidP="004235A4">
            <w:pPr>
              <w:jc w:val="right"/>
              <w:rPr>
                <w:rFonts w:ascii="Arial" w:hAnsi="Arial" w:cs="Arial"/>
                <w:color w:val="000000"/>
                <w:sz w:val="18"/>
                <w:szCs w:val="18"/>
              </w:rPr>
            </w:pPr>
            <w:r>
              <w:rPr>
                <w:rFonts w:ascii="Arial" w:hAnsi="Arial" w:cs="Arial"/>
                <w:color w:val="000000"/>
                <w:sz w:val="18"/>
                <w:szCs w:val="18"/>
              </w:rPr>
              <w:t>3.0</w:t>
            </w:r>
          </w:p>
        </w:tc>
        <w:tc>
          <w:tcPr>
            <w:tcW w:w="709" w:type="dxa"/>
            <w:tcBorders>
              <w:top w:val="nil"/>
              <w:left w:val="nil"/>
              <w:bottom w:val="nil"/>
              <w:right w:val="nil"/>
            </w:tcBorders>
            <w:shd w:val="clear" w:color="auto" w:fill="auto"/>
            <w:vAlign w:val="bottom"/>
          </w:tcPr>
          <w:p w14:paraId="5416470E" w14:textId="77777777" w:rsidR="00571749" w:rsidRDefault="00D47A82" w:rsidP="00C4369E">
            <w:pPr>
              <w:pStyle w:val="TableBodyText"/>
            </w:pPr>
            <w:r>
              <w:t> </w:t>
            </w:r>
          </w:p>
        </w:tc>
      </w:tr>
      <w:tr w:rsidR="00571749" w14:paraId="3BF913D3" w14:textId="77777777" w:rsidTr="006700E5">
        <w:trPr>
          <w:cantSplit/>
          <w:trHeight w:val="20"/>
        </w:trPr>
        <w:tc>
          <w:tcPr>
            <w:tcW w:w="2672" w:type="dxa"/>
            <w:tcBorders>
              <w:top w:val="nil"/>
              <w:left w:val="nil"/>
              <w:bottom w:val="nil"/>
              <w:right w:val="nil"/>
            </w:tcBorders>
            <w:shd w:val="clear" w:color="auto" w:fill="auto"/>
            <w:vAlign w:val="bottom"/>
          </w:tcPr>
          <w:p w14:paraId="1ADFE2D6" w14:textId="77777777" w:rsidR="00571749" w:rsidRPr="00DC7C7B" w:rsidRDefault="00571749" w:rsidP="006B62AA">
            <w:pPr>
              <w:pStyle w:val="TableBodyText"/>
              <w:ind w:left="-113" w:right="0"/>
              <w:jc w:val="left"/>
              <w:rPr>
                <w:bCs/>
                <w:i/>
              </w:rPr>
            </w:pPr>
            <w:r w:rsidRPr="00DC7C7B">
              <w:rPr>
                <w:bCs/>
                <w:i/>
              </w:rPr>
              <w:t>State</w:t>
            </w:r>
          </w:p>
        </w:tc>
        <w:tc>
          <w:tcPr>
            <w:tcW w:w="1162" w:type="dxa"/>
            <w:tcBorders>
              <w:top w:val="nil"/>
              <w:left w:val="nil"/>
              <w:bottom w:val="nil"/>
              <w:right w:val="nil"/>
            </w:tcBorders>
            <w:shd w:val="clear" w:color="auto" w:fill="auto"/>
            <w:vAlign w:val="bottom"/>
          </w:tcPr>
          <w:p w14:paraId="1A0DFD7E" w14:textId="77777777" w:rsidR="00571749" w:rsidRDefault="00571749" w:rsidP="006B62AA">
            <w:pPr>
              <w:pStyle w:val="TableBodyText"/>
              <w:ind w:left="-57" w:right="-57"/>
              <w:jc w:val="left"/>
            </w:pPr>
          </w:p>
        </w:tc>
        <w:tc>
          <w:tcPr>
            <w:tcW w:w="993" w:type="dxa"/>
            <w:tcBorders>
              <w:top w:val="nil"/>
              <w:left w:val="nil"/>
              <w:bottom w:val="nil"/>
              <w:right w:val="nil"/>
            </w:tcBorders>
            <w:shd w:val="clear" w:color="auto" w:fill="auto"/>
            <w:vAlign w:val="bottom"/>
          </w:tcPr>
          <w:p w14:paraId="25C284C5" w14:textId="77777777" w:rsidR="00571749" w:rsidRDefault="00571749" w:rsidP="004235A4">
            <w:pPr>
              <w:pStyle w:val="TableBodyText"/>
              <w:ind w:left="0" w:right="0"/>
            </w:pPr>
          </w:p>
        </w:tc>
        <w:tc>
          <w:tcPr>
            <w:tcW w:w="680" w:type="dxa"/>
            <w:tcBorders>
              <w:top w:val="nil"/>
              <w:left w:val="nil"/>
              <w:bottom w:val="nil"/>
              <w:right w:val="nil"/>
            </w:tcBorders>
            <w:shd w:val="clear" w:color="auto" w:fill="auto"/>
            <w:vAlign w:val="bottom"/>
          </w:tcPr>
          <w:p w14:paraId="326C43AC" w14:textId="77777777" w:rsidR="00571749" w:rsidRDefault="00571749" w:rsidP="004235A4">
            <w:pPr>
              <w:pStyle w:val="TableBodyText"/>
              <w:ind w:left="0" w:right="0"/>
            </w:pPr>
          </w:p>
        </w:tc>
        <w:tc>
          <w:tcPr>
            <w:tcW w:w="992" w:type="dxa"/>
            <w:tcBorders>
              <w:top w:val="nil"/>
              <w:left w:val="nil"/>
              <w:bottom w:val="nil"/>
              <w:right w:val="nil"/>
            </w:tcBorders>
            <w:shd w:val="clear" w:color="auto" w:fill="auto"/>
            <w:vAlign w:val="bottom"/>
          </w:tcPr>
          <w:p w14:paraId="7E6CE99C" w14:textId="77777777" w:rsidR="00571749" w:rsidRDefault="00571749" w:rsidP="004235A4">
            <w:pPr>
              <w:pStyle w:val="TableBodyText"/>
              <w:ind w:left="0" w:right="0"/>
            </w:pPr>
          </w:p>
        </w:tc>
        <w:tc>
          <w:tcPr>
            <w:tcW w:w="709" w:type="dxa"/>
            <w:tcBorders>
              <w:top w:val="nil"/>
              <w:left w:val="nil"/>
              <w:bottom w:val="nil"/>
              <w:right w:val="nil"/>
            </w:tcBorders>
            <w:shd w:val="clear" w:color="auto" w:fill="auto"/>
            <w:vAlign w:val="bottom"/>
          </w:tcPr>
          <w:p w14:paraId="334AF47E" w14:textId="77777777" w:rsidR="00571749" w:rsidRDefault="00571749" w:rsidP="004235A4">
            <w:pPr>
              <w:pStyle w:val="TableBodyText"/>
              <w:ind w:left="0" w:right="0"/>
            </w:pPr>
          </w:p>
        </w:tc>
        <w:tc>
          <w:tcPr>
            <w:tcW w:w="850" w:type="dxa"/>
            <w:tcBorders>
              <w:top w:val="nil"/>
              <w:left w:val="nil"/>
              <w:bottom w:val="nil"/>
              <w:right w:val="nil"/>
            </w:tcBorders>
            <w:shd w:val="clear" w:color="auto" w:fill="auto"/>
            <w:vAlign w:val="bottom"/>
          </w:tcPr>
          <w:p w14:paraId="5D925220" w14:textId="77777777" w:rsidR="00571749" w:rsidRDefault="00571749" w:rsidP="004235A4">
            <w:pPr>
              <w:pStyle w:val="TableBodyText"/>
              <w:ind w:left="0" w:right="0"/>
            </w:pPr>
          </w:p>
        </w:tc>
        <w:tc>
          <w:tcPr>
            <w:tcW w:w="709" w:type="dxa"/>
            <w:tcBorders>
              <w:top w:val="nil"/>
              <w:left w:val="nil"/>
              <w:bottom w:val="nil"/>
              <w:right w:val="nil"/>
            </w:tcBorders>
            <w:shd w:val="clear" w:color="auto" w:fill="auto"/>
            <w:vAlign w:val="bottom"/>
          </w:tcPr>
          <w:p w14:paraId="516572FC" w14:textId="77777777" w:rsidR="00571749" w:rsidRDefault="00571749" w:rsidP="00C4369E">
            <w:pPr>
              <w:pStyle w:val="TableBodyText"/>
            </w:pPr>
          </w:p>
        </w:tc>
      </w:tr>
      <w:tr w:rsidR="00571749" w14:paraId="040E7682" w14:textId="77777777" w:rsidTr="006700E5">
        <w:trPr>
          <w:cantSplit/>
          <w:trHeight w:val="20"/>
        </w:trPr>
        <w:tc>
          <w:tcPr>
            <w:tcW w:w="2672" w:type="dxa"/>
            <w:tcBorders>
              <w:top w:val="nil"/>
              <w:left w:val="nil"/>
              <w:bottom w:val="nil"/>
              <w:right w:val="nil"/>
            </w:tcBorders>
            <w:shd w:val="clear" w:color="auto" w:fill="auto"/>
            <w:vAlign w:val="bottom"/>
          </w:tcPr>
          <w:p w14:paraId="5D7A5D2B" w14:textId="77777777" w:rsidR="00571749" w:rsidRDefault="00571749" w:rsidP="006B62AA">
            <w:pPr>
              <w:pStyle w:val="TableBodyText"/>
              <w:ind w:left="0" w:right="0"/>
              <w:jc w:val="left"/>
            </w:pPr>
            <w:r>
              <w:t>NSW</w:t>
            </w:r>
          </w:p>
        </w:tc>
        <w:tc>
          <w:tcPr>
            <w:tcW w:w="1162" w:type="dxa"/>
            <w:tcBorders>
              <w:top w:val="nil"/>
              <w:left w:val="nil"/>
              <w:bottom w:val="nil"/>
              <w:right w:val="nil"/>
            </w:tcBorders>
            <w:shd w:val="clear" w:color="auto" w:fill="auto"/>
            <w:vAlign w:val="bottom"/>
          </w:tcPr>
          <w:p w14:paraId="3A551A74"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6DE4BA31" w14:textId="11768FEC" w:rsidR="00571749" w:rsidRDefault="00571749" w:rsidP="004235A4">
            <w:pPr>
              <w:jc w:val="right"/>
              <w:rPr>
                <w:rFonts w:ascii="Arial" w:hAnsi="Arial" w:cs="Arial"/>
                <w:color w:val="000000"/>
                <w:sz w:val="18"/>
                <w:szCs w:val="18"/>
              </w:rPr>
            </w:pPr>
            <w:r>
              <w:rPr>
                <w:rFonts w:ascii="Arial" w:hAnsi="Arial" w:cs="Arial"/>
                <w:color w:val="000000"/>
                <w:sz w:val="18"/>
                <w:szCs w:val="18"/>
              </w:rPr>
              <w:t>34.</w:t>
            </w:r>
            <w:r w:rsidR="00793FFB">
              <w:rPr>
                <w:rFonts w:ascii="Arial" w:hAnsi="Arial" w:cs="Arial"/>
                <w:color w:val="000000"/>
                <w:sz w:val="18"/>
                <w:szCs w:val="18"/>
              </w:rPr>
              <w:t>2</w:t>
            </w:r>
          </w:p>
        </w:tc>
        <w:tc>
          <w:tcPr>
            <w:tcW w:w="680" w:type="dxa"/>
            <w:tcBorders>
              <w:top w:val="nil"/>
              <w:left w:val="nil"/>
              <w:bottom w:val="nil"/>
              <w:right w:val="nil"/>
            </w:tcBorders>
            <w:shd w:val="clear" w:color="auto" w:fill="auto"/>
            <w:vAlign w:val="bottom"/>
          </w:tcPr>
          <w:p w14:paraId="7AC7D2C6"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5EEDE233" w14:textId="16CFFDC5" w:rsidR="00571749" w:rsidRDefault="00793FFB" w:rsidP="004235A4">
            <w:pPr>
              <w:jc w:val="right"/>
              <w:rPr>
                <w:rFonts w:ascii="Arial" w:hAnsi="Arial" w:cs="Arial"/>
                <w:color w:val="000000"/>
                <w:sz w:val="18"/>
                <w:szCs w:val="18"/>
              </w:rPr>
            </w:pPr>
            <w:r>
              <w:rPr>
                <w:rFonts w:ascii="Arial" w:hAnsi="Arial" w:cs="Arial"/>
                <w:color w:val="000000"/>
                <w:sz w:val="18"/>
                <w:szCs w:val="18"/>
              </w:rPr>
              <w:t>39.6</w:t>
            </w:r>
          </w:p>
        </w:tc>
        <w:tc>
          <w:tcPr>
            <w:tcW w:w="709" w:type="dxa"/>
            <w:tcBorders>
              <w:top w:val="nil"/>
              <w:left w:val="nil"/>
              <w:bottom w:val="nil"/>
              <w:right w:val="nil"/>
            </w:tcBorders>
            <w:shd w:val="clear" w:color="auto" w:fill="auto"/>
            <w:vAlign w:val="bottom"/>
          </w:tcPr>
          <w:p w14:paraId="670BAA7F"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4598C086" w14:textId="06833FC7" w:rsidR="00571749" w:rsidRDefault="00571749" w:rsidP="004235A4">
            <w:pPr>
              <w:jc w:val="right"/>
              <w:rPr>
                <w:rFonts w:ascii="Arial" w:hAnsi="Arial" w:cs="Arial"/>
                <w:color w:val="000000"/>
                <w:sz w:val="18"/>
                <w:szCs w:val="18"/>
              </w:rPr>
            </w:pPr>
            <w:r>
              <w:rPr>
                <w:rFonts w:ascii="Arial" w:hAnsi="Arial" w:cs="Arial"/>
                <w:color w:val="000000"/>
                <w:sz w:val="18"/>
                <w:szCs w:val="18"/>
              </w:rPr>
              <w:t>34.</w:t>
            </w:r>
            <w:r w:rsidR="00BE6D06">
              <w:rPr>
                <w:rFonts w:ascii="Arial" w:hAnsi="Arial" w:cs="Arial"/>
                <w:color w:val="000000"/>
                <w:sz w:val="18"/>
                <w:szCs w:val="18"/>
              </w:rPr>
              <w:t>1</w:t>
            </w:r>
          </w:p>
        </w:tc>
        <w:tc>
          <w:tcPr>
            <w:tcW w:w="709" w:type="dxa"/>
            <w:tcBorders>
              <w:top w:val="nil"/>
              <w:left w:val="nil"/>
              <w:bottom w:val="nil"/>
              <w:right w:val="nil"/>
            </w:tcBorders>
            <w:shd w:val="clear" w:color="auto" w:fill="auto"/>
            <w:vAlign w:val="bottom"/>
          </w:tcPr>
          <w:p w14:paraId="101EAE39" w14:textId="77777777" w:rsidR="00571749" w:rsidRDefault="00D47A82" w:rsidP="00C4369E">
            <w:pPr>
              <w:pStyle w:val="TableBodyText"/>
            </w:pPr>
            <w:r>
              <w:t> </w:t>
            </w:r>
          </w:p>
        </w:tc>
      </w:tr>
      <w:tr w:rsidR="00571749" w14:paraId="2E0BBA5D" w14:textId="77777777" w:rsidTr="006700E5">
        <w:trPr>
          <w:cantSplit/>
          <w:trHeight w:val="20"/>
        </w:trPr>
        <w:tc>
          <w:tcPr>
            <w:tcW w:w="2672" w:type="dxa"/>
            <w:tcBorders>
              <w:top w:val="nil"/>
              <w:left w:val="nil"/>
              <w:bottom w:val="nil"/>
              <w:right w:val="nil"/>
            </w:tcBorders>
            <w:shd w:val="clear" w:color="auto" w:fill="auto"/>
            <w:vAlign w:val="bottom"/>
          </w:tcPr>
          <w:p w14:paraId="39E51CBD" w14:textId="77777777" w:rsidR="00571749" w:rsidRDefault="00571749" w:rsidP="006B62AA">
            <w:pPr>
              <w:pStyle w:val="TableBodyText"/>
              <w:ind w:left="0" w:right="0"/>
              <w:jc w:val="left"/>
            </w:pPr>
            <w:r>
              <w:t>Vic</w:t>
            </w:r>
          </w:p>
        </w:tc>
        <w:tc>
          <w:tcPr>
            <w:tcW w:w="1162" w:type="dxa"/>
            <w:tcBorders>
              <w:top w:val="nil"/>
              <w:left w:val="nil"/>
              <w:bottom w:val="nil"/>
              <w:right w:val="nil"/>
            </w:tcBorders>
            <w:shd w:val="clear" w:color="auto" w:fill="auto"/>
            <w:vAlign w:val="bottom"/>
          </w:tcPr>
          <w:p w14:paraId="258C4B63"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1234EECF" w14:textId="0EBFC604" w:rsidR="00571749" w:rsidRDefault="00D47A82" w:rsidP="00793FFB">
            <w:pPr>
              <w:jc w:val="right"/>
              <w:rPr>
                <w:rFonts w:ascii="Arial" w:hAnsi="Arial" w:cs="Arial"/>
                <w:color w:val="000000"/>
                <w:sz w:val="18"/>
                <w:szCs w:val="18"/>
              </w:rPr>
            </w:pPr>
            <w:r>
              <w:rPr>
                <w:rFonts w:ascii="Arial" w:hAnsi="Arial" w:cs="Arial"/>
                <w:color w:val="000000"/>
                <w:sz w:val="18"/>
                <w:szCs w:val="18"/>
              </w:rPr>
              <w:t>32.</w:t>
            </w:r>
            <w:r w:rsidR="00793FFB">
              <w:rPr>
                <w:rFonts w:ascii="Arial" w:hAnsi="Arial" w:cs="Arial"/>
                <w:color w:val="000000"/>
                <w:sz w:val="18"/>
                <w:szCs w:val="18"/>
              </w:rPr>
              <w:t>7</w:t>
            </w:r>
          </w:p>
        </w:tc>
        <w:tc>
          <w:tcPr>
            <w:tcW w:w="680" w:type="dxa"/>
            <w:tcBorders>
              <w:top w:val="nil"/>
              <w:left w:val="nil"/>
              <w:bottom w:val="nil"/>
              <w:right w:val="nil"/>
            </w:tcBorders>
            <w:shd w:val="clear" w:color="auto" w:fill="auto"/>
            <w:vAlign w:val="bottom"/>
          </w:tcPr>
          <w:p w14:paraId="13BA2683"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6764229D" w14:textId="73A14865" w:rsidR="00571749" w:rsidRDefault="00571749" w:rsidP="004235A4">
            <w:pPr>
              <w:jc w:val="right"/>
              <w:rPr>
                <w:rFonts w:ascii="Arial" w:hAnsi="Arial" w:cs="Arial"/>
                <w:color w:val="000000"/>
                <w:sz w:val="18"/>
                <w:szCs w:val="18"/>
              </w:rPr>
            </w:pPr>
            <w:r>
              <w:rPr>
                <w:rFonts w:ascii="Arial" w:hAnsi="Arial" w:cs="Arial"/>
                <w:color w:val="000000"/>
                <w:sz w:val="18"/>
                <w:szCs w:val="18"/>
              </w:rPr>
              <w:t>23.</w:t>
            </w:r>
            <w:r w:rsidR="00793FFB">
              <w:rPr>
                <w:rFonts w:ascii="Arial" w:hAnsi="Arial" w:cs="Arial"/>
                <w:color w:val="000000"/>
                <w:sz w:val="18"/>
                <w:szCs w:val="18"/>
              </w:rPr>
              <w:t>5</w:t>
            </w:r>
          </w:p>
        </w:tc>
        <w:tc>
          <w:tcPr>
            <w:tcW w:w="709" w:type="dxa"/>
            <w:tcBorders>
              <w:top w:val="nil"/>
              <w:left w:val="nil"/>
              <w:bottom w:val="nil"/>
              <w:right w:val="nil"/>
            </w:tcBorders>
            <w:shd w:val="clear" w:color="auto" w:fill="auto"/>
            <w:vAlign w:val="bottom"/>
          </w:tcPr>
          <w:p w14:paraId="0790D5A1"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5A6026E0" w14:textId="4E824CE0" w:rsidR="00571749" w:rsidRDefault="00BE6D06" w:rsidP="004235A4">
            <w:pPr>
              <w:jc w:val="right"/>
              <w:rPr>
                <w:rFonts w:ascii="Arial" w:hAnsi="Arial" w:cs="Arial"/>
                <w:color w:val="000000"/>
                <w:sz w:val="18"/>
                <w:szCs w:val="18"/>
              </w:rPr>
            </w:pPr>
            <w:r>
              <w:rPr>
                <w:rFonts w:ascii="Arial" w:hAnsi="Arial" w:cs="Arial"/>
                <w:color w:val="000000"/>
                <w:sz w:val="18"/>
                <w:szCs w:val="18"/>
              </w:rPr>
              <w:t>21.9</w:t>
            </w:r>
          </w:p>
        </w:tc>
        <w:tc>
          <w:tcPr>
            <w:tcW w:w="709" w:type="dxa"/>
            <w:tcBorders>
              <w:top w:val="nil"/>
              <w:left w:val="nil"/>
              <w:bottom w:val="nil"/>
              <w:right w:val="nil"/>
            </w:tcBorders>
            <w:shd w:val="clear" w:color="auto" w:fill="auto"/>
            <w:vAlign w:val="bottom"/>
          </w:tcPr>
          <w:p w14:paraId="35C051B7" w14:textId="77777777" w:rsidR="00571749" w:rsidRDefault="00D47A82" w:rsidP="00C4369E">
            <w:pPr>
              <w:pStyle w:val="TableBodyText"/>
            </w:pPr>
            <w:r>
              <w:t> </w:t>
            </w:r>
          </w:p>
        </w:tc>
      </w:tr>
      <w:tr w:rsidR="00571749" w14:paraId="2DEAEEB0" w14:textId="77777777" w:rsidTr="006700E5">
        <w:trPr>
          <w:cantSplit/>
          <w:trHeight w:val="20"/>
        </w:trPr>
        <w:tc>
          <w:tcPr>
            <w:tcW w:w="2672" w:type="dxa"/>
            <w:tcBorders>
              <w:top w:val="nil"/>
              <w:left w:val="nil"/>
              <w:bottom w:val="nil"/>
              <w:right w:val="nil"/>
            </w:tcBorders>
            <w:shd w:val="clear" w:color="auto" w:fill="auto"/>
            <w:vAlign w:val="bottom"/>
          </w:tcPr>
          <w:p w14:paraId="12F9564F" w14:textId="77777777" w:rsidR="00571749" w:rsidRDefault="00571749" w:rsidP="006B62AA">
            <w:pPr>
              <w:pStyle w:val="TableBodyText"/>
              <w:ind w:left="0" w:right="0"/>
              <w:jc w:val="left"/>
            </w:pPr>
            <w:r>
              <w:t>Qld</w:t>
            </w:r>
          </w:p>
        </w:tc>
        <w:tc>
          <w:tcPr>
            <w:tcW w:w="1162" w:type="dxa"/>
            <w:tcBorders>
              <w:top w:val="nil"/>
              <w:left w:val="nil"/>
              <w:bottom w:val="nil"/>
              <w:right w:val="nil"/>
            </w:tcBorders>
            <w:shd w:val="clear" w:color="auto" w:fill="auto"/>
            <w:vAlign w:val="bottom"/>
          </w:tcPr>
          <w:p w14:paraId="0270C3FC"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3B1B3F43" w14:textId="4A0DE527" w:rsidR="00571749" w:rsidRDefault="00D47A82" w:rsidP="00793FFB">
            <w:pPr>
              <w:jc w:val="right"/>
              <w:rPr>
                <w:rFonts w:ascii="Arial" w:hAnsi="Arial" w:cs="Arial"/>
                <w:color w:val="000000"/>
                <w:sz w:val="18"/>
                <w:szCs w:val="18"/>
              </w:rPr>
            </w:pPr>
            <w:r>
              <w:rPr>
                <w:rFonts w:ascii="Arial" w:hAnsi="Arial" w:cs="Arial"/>
                <w:color w:val="000000"/>
                <w:sz w:val="18"/>
                <w:szCs w:val="18"/>
              </w:rPr>
              <w:t>14.</w:t>
            </w:r>
            <w:r w:rsidR="00793FFB">
              <w:rPr>
                <w:rFonts w:ascii="Arial" w:hAnsi="Arial" w:cs="Arial"/>
                <w:color w:val="000000"/>
                <w:sz w:val="18"/>
                <w:szCs w:val="18"/>
              </w:rPr>
              <w:t>6</w:t>
            </w:r>
          </w:p>
        </w:tc>
        <w:tc>
          <w:tcPr>
            <w:tcW w:w="680" w:type="dxa"/>
            <w:tcBorders>
              <w:top w:val="nil"/>
              <w:left w:val="nil"/>
              <w:bottom w:val="nil"/>
              <w:right w:val="nil"/>
            </w:tcBorders>
            <w:shd w:val="clear" w:color="auto" w:fill="auto"/>
            <w:vAlign w:val="bottom"/>
          </w:tcPr>
          <w:p w14:paraId="1F56C755"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5F29D820" w14:textId="329F42FF" w:rsidR="00571749" w:rsidRDefault="00793FFB" w:rsidP="004235A4">
            <w:pPr>
              <w:jc w:val="right"/>
              <w:rPr>
                <w:rFonts w:ascii="Arial" w:hAnsi="Arial" w:cs="Arial"/>
                <w:color w:val="000000"/>
                <w:sz w:val="18"/>
                <w:szCs w:val="18"/>
              </w:rPr>
            </w:pPr>
            <w:r>
              <w:rPr>
                <w:rFonts w:ascii="Arial" w:hAnsi="Arial" w:cs="Arial"/>
                <w:color w:val="000000"/>
                <w:sz w:val="18"/>
                <w:szCs w:val="18"/>
              </w:rPr>
              <w:t>21.9</w:t>
            </w:r>
          </w:p>
        </w:tc>
        <w:tc>
          <w:tcPr>
            <w:tcW w:w="709" w:type="dxa"/>
            <w:tcBorders>
              <w:top w:val="nil"/>
              <w:left w:val="nil"/>
              <w:bottom w:val="nil"/>
              <w:right w:val="nil"/>
            </w:tcBorders>
            <w:shd w:val="clear" w:color="auto" w:fill="auto"/>
            <w:vAlign w:val="bottom"/>
          </w:tcPr>
          <w:p w14:paraId="63553211"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566EAC56" w14:textId="67B6AC3D" w:rsidR="00571749" w:rsidRDefault="00571749" w:rsidP="004235A4">
            <w:pPr>
              <w:jc w:val="right"/>
              <w:rPr>
                <w:rFonts w:ascii="Arial" w:hAnsi="Arial" w:cs="Arial"/>
                <w:color w:val="000000"/>
                <w:sz w:val="18"/>
                <w:szCs w:val="18"/>
              </w:rPr>
            </w:pPr>
            <w:r>
              <w:rPr>
                <w:rFonts w:ascii="Arial" w:hAnsi="Arial" w:cs="Arial"/>
                <w:color w:val="000000"/>
                <w:sz w:val="18"/>
                <w:szCs w:val="18"/>
              </w:rPr>
              <w:t>17.</w:t>
            </w:r>
            <w:r w:rsidR="00BE6D06">
              <w:rPr>
                <w:rFonts w:ascii="Arial" w:hAnsi="Arial" w:cs="Arial"/>
                <w:color w:val="000000"/>
                <w:sz w:val="18"/>
                <w:szCs w:val="18"/>
              </w:rPr>
              <w:t>8</w:t>
            </w:r>
          </w:p>
        </w:tc>
        <w:tc>
          <w:tcPr>
            <w:tcW w:w="709" w:type="dxa"/>
            <w:tcBorders>
              <w:top w:val="nil"/>
              <w:left w:val="nil"/>
              <w:bottom w:val="nil"/>
              <w:right w:val="nil"/>
            </w:tcBorders>
            <w:shd w:val="clear" w:color="auto" w:fill="auto"/>
            <w:vAlign w:val="bottom"/>
          </w:tcPr>
          <w:p w14:paraId="6ED64A3D" w14:textId="77777777" w:rsidR="00571749" w:rsidRDefault="00D47A82" w:rsidP="00C4369E">
            <w:pPr>
              <w:pStyle w:val="TableBodyText"/>
            </w:pPr>
            <w:r>
              <w:t> </w:t>
            </w:r>
          </w:p>
        </w:tc>
      </w:tr>
      <w:tr w:rsidR="00571749" w14:paraId="3B7327A8" w14:textId="77777777" w:rsidTr="006700E5">
        <w:trPr>
          <w:cantSplit/>
          <w:trHeight w:val="20"/>
        </w:trPr>
        <w:tc>
          <w:tcPr>
            <w:tcW w:w="2672" w:type="dxa"/>
            <w:tcBorders>
              <w:top w:val="nil"/>
              <w:left w:val="nil"/>
              <w:bottom w:val="nil"/>
              <w:right w:val="nil"/>
            </w:tcBorders>
            <w:shd w:val="clear" w:color="auto" w:fill="auto"/>
            <w:vAlign w:val="bottom"/>
          </w:tcPr>
          <w:p w14:paraId="28D39867" w14:textId="77777777" w:rsidR="00571749" w:rsidRDefault="00571749" w:rsidP="006B62AA">
            <w:pPr>
              <w:pStyle w:val="TableBodyText"/>
              <w:ind w:left="0" w:right="0"/>
              <w:jc w:val="left"/>
            </w:pPr>
            <w:r>
              <w:t>SA</w:t>
            </w:r>
          </w:p>
        </w:tc>
        <w:tc>
          <w:tcPr>
            <w:tcW w:w="1162" w:type="dxa"/>
            <w:tcBorders>
              <w:top w:val="nil"/>
              <w:left w:val="nil"/>
              <w:bottom w:val="nil"/>
              <w:right w:val="nil"/>
            </w:tcBorders>
            <w:shd w:val="clear" w:color="auto" w:fill="auto"/>
            <w:vAlign w:val="bottom"/>
          </w:tcPr>
          <w:p w14:paraId="588A5F50"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4F776D3B" w14:textId="79DE8E27" w:rsidR="00571749" w:rsidRDefault="00571749" w:rsidP="004235A4">
            <w:pPr>
              <w:jc w:val="right"/>
              <w:rPr>
                <w:rFonts w:ascii="Arial" w:hAnsi="Arial" w:cs="Arial"/>
                <w:color w:val="000000"/>
                <w:sz w:val="18"/>
                <w:szCs w:val="18"/>
              </w:rPr>
            </w:pPr>
            <w:r>
              <w:rPr>
                <w:rFonts w:ascii="Arial" w:hAnsi="Arial" w:cs="Arial"/>
                <w:color w:val="000000"/>
                <w:sz w:val="18"/>
                <w:szCs w:val="18"/>
              </w:rPr>
              <w:t>8.</w:t>
            </w:r>
            <w:r w:rsidR="00793FFB">
              <w:rPr>
                <w:rFonts w:ascii="Arial" w:hAnsi="Arial" w:cs="Arial"/>
                <w:color w:val="000000"/>
                <w:sz w:val="18"/>
                <w:szCs w:val="18"/>
              </w:rPr>
              <w:t>2</w:t>
            </w:r>
          </w:p>
        </w:tc>
        <w:tc>
          <w:tcPr>
            <w:tcW w:w="680" w:type="dxa"/>
            <w:tcBorders>
              <w:top w:val="nil"/>
              <w:left w:val="nil"/>
              <w:bottom w:val="nil"/>
              <w:right w:val="nil"/>
            </w:tcBorders>
            <w:shd w:val="clear" w:color="auto" w:fill="auto"/>
            <w:vAlign w:val="bottom"/>
          </w:tcPr>
          <w:p w14:paraId="33A6633A"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1139660A" w14:textId="21EA9AD5" w:rsidR="00571749" w:rsidRDefault="00793FFB" w:rsidP="004235A4">
            <w:pPr>
              <w:jc w:val="right"/>
              <w:rPr>
                <w:rFonts w:ascii="Arial" w:hAnsi="Arial" w:cs="Arial"/>
                <w:color w:val="000000"/>
                <w:sz w:val="18"/>
                <w:szCs w:val="18"/>
              </w:rPr>
            </w:pPr>
            <w:r>
              <w:rPr>
                <w:rFonts w:ascii="Arial" w:hAnsi="Arial" w:cs="Arial"/>
                <w:color w:val="000000"/>
                <w:sz w:val="18"/>
                <w:szCs w:val="18"/>
              </w:rPr>
              <w:t>6.8</w:t>
            </w:r>
          </w:p>
        </w:tc>
        <w:tc>
          <w:tcPr>
            <w:tcW w:w="709" w:type="dxa"/>
            <w:tcBorders>
              <w:top w:val="nil"/>
              <w:left w:val="nil"/>
              <w:bottom w:val="nil"/>
              <w:right w:val="nil"/>
            </w:tcBorders>
            <w:shd w:val="clear" w:color="auto" w:fill="auto"/>
            <w:vAlign w:val="bottom"/>
          </w:tcPr>
          <w:p w14:paraId="620C496D"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0C69B27E" w14:textId="5896BC19" w:rsidR="00571749" w:rsidRDefault="00571749" w:rsidP="004235A4">
            <w:pPr>
              <w:jc w:val="right"/>
              <w:rPr>
                <w:rFonts w:ascii="Arial" w:hAnsi="Arial" w:cs="Arial"/>
                <w:color w:val="000000"/>
                <w:sz w:val="18"/>
                <w:szCs w:val="18"/>
              </w:rPr>
            </w:pPr>
            <w:r>
              <w:rPr>
                <w:rFonts w:ascii="Arial" w:hAnsi="Arial" w:cs="Arial"/>
                <w:color w:val="000000"/>
                <w:sz w:val="18"/>
                <w:szCs w:val="18"/>
              </w:rPr>
              <w:t>9.</w:t>
            </w:r>
            <w:r w:rsidR="00BE6D06">
              <w:rPr>
                <w:rFonts w:ascii="Arial" w:hAnsi="Arial" w:cs="Arial"/>
                <w:color w:val="000000"/>
                <w:sz w:val="18"/>
                <w:szCs w:val="18"/>
              </w:rPr>
              <w:t>2</w:t>
            </w:r>
          </w:p>
        </w:tc>
        <w:tc>
          <w:tcPr>
            <w:tcW w:w="709" w:type="dxa"/>
            <w:tcBorders>
              <w:top w:val="nil"/>
              <w:left w:val="nil"/>
              <w:bottom w:val="nil"/>
              <w:right w:val="nil"/>
            </w:tcBorders>
            <w:shd w:val="clear" w:color="auto" w:fill="auto"/>
            <w:vAlign w:val="bottom"/>
          </w:tcPr>
          <w:p w14:paraId="4DF141B9" w14:textId="77777777" w:rsidR="00571749" w:rsidRDefault="00D47A82" w:rsidP="00C4369E">
            <w:pPr>
              <w:pStyle w:val="TableBodyText"/>
            </w:pPr>
            <w:r>
              <w:t> </w:t>
            </w:r>
          </w:p>
        </w:tc>
      </w:tr>
      <w:tr w:rsidR="00571749" w14:paraId="2F3E754A" w14:textId="77777777" w:rsidTr="006700E5">
        <w:trPr>
          <w:cantSplit/>
          <w:trHeight w:val="20"/>
        </w:trPr>
        <w:tc>
          <w:tcPr>
            <w:tcW w:w="2672" w:type="dxa"/>
            <w:tcBorders>
              <w:top w:val="nil"/>
              <w:left w:val="nil"/>
              <w:bottom w:val="nil"/>
              <w:right w:val="nil"/>
            </w:tcBorders>
            <w:shd w:val="clear" w:color="auto" w:fill="auto"/>
            <w:vAlign w:val="bottom"/>
          </w:tcPr>
          <w:p w14:paraId="4BC51C84" w14:textId="77777777" w:rsidR="00571749" w:rsidRDefault="00571749" w:rsidP="006B62AA">
            <w:pPr>
              <w:pStyle w:val="TableBodyText"/>
              <w:ind w:left="0" w:right="0"/>
              <w:jc w:val="left"/>
            </w:pPr>
            <w:r>
              <w:t>WA</w:t>
            </w:r>
          </w:p>
        </w:tc>
        <w:tc>
          <w:tcPr>
            <w:tcW w:w="1162" w:type="dxa"/>
            <w:tcBorders>
              <w:top w:val="nil"/>
              <w:left w:val="nil"/>
              <w:bottom w:val="nil"/>
              <w:right w:val="nil"/>
            </w:tcBorders>
            <w:shd w:val="clear" w:color="auto" w:fill="auto"/>
            <w:vAlign w:val="bottom"/>
          </w:tcPr>
          <w:p w14:paraId="63E3CE8A"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35777520" w14:textId="2D6EC612" w:rsidR="00571749" w:rsidRDefault="00571749" w:rsidP="004235A4">
            <w:pPr>
              <w:jc w:val="right"/>
              <w:rPr>
                <w:rFonts w:ascii="Arial" w:hAnsi="Arial" w:cs="Arial"/>
                <w:color w:val="000000"/>
                <w:sz w:val="18"/>
                <w:szCs w:val="18"/>
              </w:rPr>
            </w:pPr>
            <w:r>
              <w:rPr>
                <w:rFonts w:ascii="Arial" w:hAnsi="Arial" w:cs="Arial"/>
                <w:color w:val="000000"/>
                <w:sz w:val="18"/>
                <w:szCs w:val="18"/>
              </w:rPr>
              <w:t>5.</w:t>
            </w:r>
            <w:r w:rsidR="00793FFB">
              <w:rPr>
                <w:rFonts w:ascii="Arial" w:hAnsi="Arial" w:cs="Arial"/>
                <w:color w:val="000000"/>
                <w:sz w:val="18"/>
                <w:szCs w:val="18"/>
              </w:rPr>
              <w:t>8</w:t>
            </w:r>
          </w:p>
        </w:tc>
        <w:tc>
          <w:tcPr>
            <w:tcW w:w="680" w:type="dxa"/>
            <w:tcBorders>
              <w:top w:val="nil"/>
              <w:left w:val="nil"/>
              <w:bottom w:val="nil"/>
              <w:right w:val="nil"/>
            </w:tcBorders>
            <w:shd w:val="clear" w:color="auto" w:fill="auto"/>
            <w:vAlign w:val="bottom"/>
          </w:tcPr>
          <w:p w14:paraId="42D5232B"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05B2FA99" w14:textId="54DB91CF" w:rsidR="00571749" w:rsidRDefault="00571749" w:rsidP="004235A4">
            <w:pPr>
              <w:jc w:val="right"/>
              <w:rPr>
                <w:rFonts w:ascii="Arial" w:hAnsi="Arial" w:cs="Arial"/>
                <w:color w:val="000000"/>
                <w:sz w:val="18"/>
                <w:szCs w:val="18"/>
              </w:rPr>
            </w:pPr>
            <w:r>
              <w:rPr>
                <w:rFonts w:ascii="Arial" w:hAnsi="Arial" w:cs="Arial"/>
                <w:color w:val="000000"/>
                <w:sz w:val="18"/>
                <w:szCs w:val="18"/>
              </w:rPr>
              <w:t>5.</w:t>
            </w:r>
            <w:r w:rsidR="00793FFB">
              <w:rPr>
                <w:rFonts w:ascii="Arial" w:hAnsi="Arial" w:cs="Arial"/>
                <w:color w:val="000000"/>
                <w:sz w:val="18"/>
                <w:szCs w:val="18"/>
              </w:rPr>
              <w:t>5</w:t>
            </w:r>
          </w:p>
        </w:tc>
        <w:tc>
          <w:tcPr>
            <w:tcW w:w="709" w:type="dxa"/>
            <w:tcBorders>
              <w:top w:val="nil"/>
              <w:left w:val="nil"/>
              <w:bottom w:val="nil"/>
              <w:right w:val="nil"/>
            </w:tcBorders>
            <w:shd w:val="clear" w:color="auto" w:fill="auto"/>
            <w:vAlign w:val="bottom"/>
          </w:tcPr>
          <w:p w14:paraId="3E44681E"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615B2B00" w14:textId="6AB6E2DF" w:rsidR="00571749" w:rsidRDefault="00571749" w:rsidP="004235A4">
            <w:pPr>
              <w:jc w:val="right"/>
              <w:rPr>
                <w:rFonts w:ascii="Arial" w:hAnsi="Arial" w:cs="Arial"/>
                <w:color w:val="000000"/>
                <w:sz w:val="18"/>
                <w:szCs w:val="18"/>
              </w:rPr>
            </w:pPr>
            <w:r>
              <w:rPr>
                <w:rFonts w:ascii="Arial" w:hAnsi="Arial" w:cs="Arial"/>
                <w:color w:val="000000"/>
                <w:sz w:val="18"/>
                <w:szCs w:val="18"/>
              </w:rPr>
              <w:t>9</w:t>
            </w:r>
            <w:r w:rsidR="00BE6D06">
              <w:rPr>
                <w:rFonts w:ascii="Arial" w:hAnsi="Arial" w:cs="Arial"/>
                <w:color w:val="000000"/>
                <w:sz w:val="18"/>
                <w:szCs w:val="18"/>
              </w:rPr>
              <w:t>.</w:t>
            </w:r>
            <w:r w:rsidR="00D47A82">
              <w:rPr>
                <w:rFonts w:ascii="Arial" w:hAnsi="Arial" w:cs="Arial"/>
                <w:color w:val="000000"/>
                <w:sz w:val="18"/>
                <w:szCs w:val="18"/>
              </w:rPr>
              <w:t>5</w:t>
            </w:r>
          </w:p>
        </w:tc>
        <w:tc>
          <w:tcPr>
            <w:tcW w:w="709" w:type="dxa"/>
            <w:tcBorders>
              <w:top w:val="nil"/>
              <w:left w:val="nil"/>
              <w:bottom w:val="nil"/>
              <w:right w:val="nil"/>
            </w:tcBorders>
            <w:shd w:val="clear" w:color="auto" w:fill="auto"/>
            <w:vAlign w:val="bottom"/>
          </w:tcPr>
          <w:p w14:paraId="018D929E" w14:textId="77777777" w:rsidR="00571749" w:rsidRDefault="00D47A82" w:rsidP="00C4369E">
            <w:pPr>
              <w:pStyle w:val="TableBodyText"/>
            </w:pPr>
            <w:r>
              <w:t> </w:t>
            </w:r>
          </w:p>
        </w:tc>
      </w:tr>
      <w:tr w:rsidR="00571749" w14:paraId="3F221674" w14:textId="77777777" w:rsidTr="006700E5">
        <w:trPr>
          <w:cantSplit/>
          <w:trHeight w:val="20"/>
        </w:trPr>
        <w:tc>
          <w:tcPr>
            <w:tcW w:w="2672" w:type="dxa"/>
            <w:tcBorders>
              <w:top w:val="nil"/>
              <w:left w:val="nil"/>
              <w:bottom w:val="nil"/>
              <w:right w:val="nil"/>
            </w:tcBorders>
            <w:shd w:val="clear" w:color="auto" w:fill="auto"/>
            <w:vAlign w:val="bottom"/>
          </w:tcPr>
          <w:p w14:paraId="0A267313" w14:textId="77777777" w:rsidR="00571749" w:rsidRDefault="00571749" w:rsidP="006B62AA">
            <w:pPr>
              <w:pStyle w:val="TableBodyText"/>
              <w:ind w:left="0" w:right="0"/>
              <w:jc w:val="left"/>
            </w:pPr>
            <w:r>
              <w:t>Tas</w:t>
            </w:r>
          </w:p>
        </w:tc>
        <w:tc>
          <w:tcPr>
            <w:tcW w:w="1162" w:type="dxa"/>
            <w:tcBorders>
              <w:top w:val="nil"/>
              <w:left w:val="nil"/>
              <w:bottom w:val="nil"/>
              <w:right w:val="nil"/>
            </w:tcBorders>
            <w:shd w:val="clear" w:color="auto" w:fill="auto"/>
            <w:vAlign w:val="bottom"/>
          </w:tcPr>
          <w:p w14:paraId="0019610F"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68AD1A4E" w14:textId="6AD0A281" w:rsidR="00571749" w:rsidRDefault="00571749" w:rsidP="004235A4">
            <w:pPr>
              <w:jc w:val="right"/>
              <w:rPr>
                <w:rFonts w:ascii="Arial" w:hAnsi="Arial" w:cs="Arial"/>
                <w:color w:val="000000"/>
                <w:sz w:val="18"/>
                <w:szCs w:val="18"/>
              </w:rPr>
            </w:pPr>
            <w:r>
              <w:rPr>
                <w:rFonts w:ascii="Arial" w:hAnsi="Arial" w:cs="Arial"/>
                <w:color w:val="000000"/>
                <w:sz w:val="18"/>
                <w:szCs w:val="18"/>
              </w:rPr>
              <w:t>2.</w:t>
            </w:r>
            <w:r w:rsidR="00793FFB">
              <w:rPr>
                <w:rFonts w:ascii="Arial" w:hAnsi="Arial" w:cs="Arial"/>
                <w:color w:val="000000"/>
                <w:sz w:val="18"/>
                <w:szCs w:val="18"/>
              </w:rPr>
              <w:t>8</w:t>
            </w:r>
          </w:p>
        </w:tc>
        <w:tc>
          <w:tcPr>
            <w:tcW w:w="680" w:type="dxa"/>
            <w:tcBorders>
              <w:top w:val="nil"/>
              <w:left w:val="nil"/>
              <w:bottom w:val="nil"/>
              <w:right w:val="nil"/>
            </w:tcBorders>
            <w:shd w:val="clear" w:color="auto" w:fill="auto"/>
            <w:vAlign w:val="bottom"/>
          </w:tcPr>
          <w:p w14:paraId="53D71E15"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7EA9DF2C" w14:textId="699BC3B8" w:rsidR="00571749" w:rsidRDefault="00571749" w:rsidP="004235A4">
            <w:pPr>
              <w:jc w:val="right"/>
              <w:rPr>
                <w:rFonts w:ascii="Arial" w:hAnsi="Arial" w:cs="Arial"/>
                <w:color w:val="000000"/>
                <w:sz w:val="18"/>
                <w:szCs w:val="18"/>
              </w:rPr>
            </w:pPr>
            <w:r>
              <w:rPr>
                <w:rFonts w:ascii="Arial" w:hAnsi="Arial" w:cs="Arial"/>
                <w:color w:val="000000"/>
                <w:sz w:val="18"/>
                <w:szCs w:val="18"/>
              </w:rPr>
              <w:t>2.</w:t>
            </w:r>
            <w:r w:rsidR="00793FFB">
              <w:rPr>
                <w:rFonts w:ascii="Arial" w:hAnsi="Arial" w:cs="Arial"/>
                <w:color w:val="000000"/>
                <w:sz w:val="18"/>
                <w:szCs w:val="18"/>
              </w:rPr>
              <w:t>3</w:t>
            </w:r>
          </w:p>
        </w:tc>
        <w:tc>
          <w:tcPr>
            <w:tcW w:w="709" w:type="dxa"/>
            <w:tcBorders>
              <w:top w:val="nil"/>
              <w:left w:val="nil"/>
              <w:bottom w:val="nil"/>
              <w:right w:val="nil"/>
            </w:tcBorders>
            <w:shd w:val="clear" w:color="auto" w:fill="auto"/>
            <w:vAlign w:val="bottom"/>
          </w:tcPr>
          <w:p w14:paraId="55E38921"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1510916E" w14:textId="2E12E061" w:rsidR="00571749" w:rsidRDefault="00571749" w:rsidP="004235A4">
            <w:pPr>
              <w:jc w:val="right"/>
              <w:rPr>
                <w:rFonts w:ascii="Arial" w:hAnsi="Arial" w:cs="Arial"/>
                <w:color w:val="000000"/>
                <w:sz w:val="18"/>
                <w:szCs w:val="18"/>
              </w:rPr>
            </w:pPr>
            <w:r>
              <w:rPr>
                <w:rFonts w:ascii="Arial" w:hAnsi="Arial" w:cs="Arial"/>
                <w:color w:val="000000"/>
                <w:sz w:val="18"/>
                <w:szCs w:val="18"/>
              </w:rPr>
              <w:t>3.</w:t>
            </w:r>
            <w:r w:rsidR="00BE6D06">
              <w:rPr>
                <w:rFonts w:ascii="Arial" w:hAnsi="Arial" w:cs="Arial"/>
                <w:color w:val="000000"/>
                <w:sz w:val="18"/>
                <w:szCs w:val="18"/>
              </w:rPr>
              <w:t>1</w:t>
            </w:r>
          </w:p>
        </w:tc>
        <w:tc>
          <w:tcPr>
            <w:tcW w:w="709" w:type="dxa"/>
            <w:tcBorders>
              <w:top w:val="nil"/>
              <w:left w:val="nil"/>
              <w:bottom w:val="nil"/>
              <w:right w:val="nil"/>
            </w:tcBorders>
            <w:shd w:val="clear" w:color="auto" w:fill="auto"/>
            <w:vAlign w:val="bottom"/>
          </w:tcPr>
          <w:p w14:paraId="37A7E5A7" w14:textId="77777777" w:rsidR="00571749" w:rsidRDefault="00D47A82" w:rsidP="00C4369E">
            <w:pPr>
              <w:pStyle w:val="TableBodyText"/>
            </w:pPr>
            <w:r>
              <w:t> </w:t>
            </w:r>
          </w:p>
        </w:tc>
      </w:tr>
      <w:tr w:rsidR="00571749" w14:paraId="4EEC8858" w14:textId="77777777" w:rsidTr="006700E5">
        <w:trPr>
          <w:cantSplit/>
          <w:trHeight w:val="20"/>
        </w:trPr>
        <w:tc>
          <w:tcPr>
            <w:tcW w:w="2672" w:type="dxa"/>
            <w:tcBorders>
              <w:top w:val="nil"/>
              <w:left w:val="nil"/>
              <w:bottom w:val="nil"/>
              <w:right w:val="nil"/>
            </w:tcBorders>
            <w:shd w:val="clear" w:color="auto" w:fill="auto"/>
            <w:vAlign w:val="bottom"/>
          </w:tcPr>
          <w:p w14:paraId="19C4315E" w14:textId="77777777" w:rsidR="00571749" w:rsidRDefault="00571749" w:rsidP="006B62AA">
            <w:pPr>
              <w:pStyle w:val="TableBodyText"/>
              <w:ind w:left="0" w:right="0"/>
              <w:jc w:val="left"/>
            </w:pPr>
            <w:r>
              <w:t>NT</w:t>
            </w:r>
          </w:p>
        </w:tc>
        <w:tc>
          <w:tcPr>
            <w:tcW w:w="1162" w:type="dxa"/>
            <w:tcBorders>
              <w:top w:val="nil"/>
              <w:left w:val="nil"/>
              <w:bottom w:val="nil"/>
              <w:right w:val="nil"/>
            </w:tcBorders>
            <w:shd w:val="clear" w:color="auto" w:fill="auto"/>
            <w:vAlign w:val="bottom"/>
          </w:tcPr>
          <w:p w14:paraId="16A692BB"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0F57D086" w14:textId="056B15A3" w:rsidR="00571749" w:rsidRDefault="00571749" w:rsidP="00793FFB">
            <w:pPr>
              <w:jc w:val="right"/>
              <w:rPr>
                <w:rFonts w:ascii="Arial" w:hAnsi="Arial" w:cs="Arial"/>
                <w:color w:val="000000"/>
                <w:sz w:val="18"/>
                <w:szCs w:val="18"/>
              </w:rPr>
            </w:pPr>
            <w:r>
              <w:rPr>
                <w:rFonts w:ascii="Arial" w:hAnsi="Arial" w:cs="Arial"/>
                <w:color w:val="000000"/>
                <w:sz w:val="18"/>
                <w:szCs w:val="18"/>
              </w:rPr>
              <w:t>1.</w:t>
            </w:r>
            <w:r w:rsidR="00793FFB">
              <w:rPr>
                <w:rFonts w:ascii="Arial" w:hAnsi="Arial" w:cs="Arial"/>
                <w:color w:val="000000"/>
                <w:sz w:val="18"/>
                <w:szCs w:val="18"/>
              </w:rPr>
              <w:t>3</w:t>
            </w:r>
          </w:p>
        </w:tc>
        <w:tc>
          <w:tcPr>
            <w:tcW w:w="680" w:type="dxa"/>
            <w:tcBorders>
              <w:top w:val="nil"/>
              <w:left w:val="nil"/>
              <w:bottom w:val="nil"/>
              <w:right w:val="nil"/>
            </w:tcBorders>
            <w:shd w:val="clear" w:color="auto" w:fill="auto"/>
            <w:vAlign w:val="bottom"/>
          </w:tcPr>
          <w:p w14:paraId="36E76E2F"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677AE22E" w14:textId="3FBBE0D7" w:rsidR="00571749" w:rsidRDefault="00571749" w:rsidP="004235A4">
            <w:pPr>
              <w:jc w:val="right"/>
              <w:rPr>
                <w:rFonts w:ascii="Arial" w:hAnsi="Arial" w:cs="Arial"/>
                <w:color w:val="000000"/>
                <w:sz w:val="18"/>
                <w:szCs w:val="18"/>
              </w:rPr>
            </w:pPr>
            <w:r>
              <w:rPr>
                <w:rFonts w:ascii="Arial" w:hAnsi="Arial" w:cs="Arial"/>
                <w:color w:val="000000"/>
                <w:sz w:val="18"/>
                <w:szCs w:val="18"/>
              </w:rPr>
              <w:t>0.</w:t>
            </w:r>
            <w:r w:rsidR="00793FFB">
              <w:rPr>
                <w:rFonts w:ascii="Arial" w:hAnsi="Arial" w:cs="Arial"/>
                <w:color w:val="000000"/>
                <w:sz w:val="18"/>
                <w:szCs w:val="18"/>
              </w:rPr>
              <w:t>2</w:t>
            </w:r>
          </w:p>
        </w:tc>
        <w:tc>
          <w:tcPr>
            <w:tcW w:w="709" w:type="dxa"/>
            <w:tcBorders>
              <w:top w:val="nil"/>
              <w:left w:val="nil"/>
              <w:bottom w:val="nil"/>
              <w:right w:val="nil"/>
            </w:tcBorders>
            <w:shd w:val="clear" w:color="auto" w:fill="auto"/>
            <w:vAlign w:val="bottom"/>
          </w:tcPr>
          <w:p w14:paraId="7043E822"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782D4FFE" w14:textId="411A7E67" w:rsidR="00571749" w:rsidRDefault="00571749" w:rsidP="004235A4">
            <w:pPr>
              <w:jc w:val="right"/>
              <w:rPr>
                <w:rFonts w:ascii="Arial" w:hAnsi="Arial" w:cs="Arial"/>
                <w:color w:val="000000"/>
                <w:sz w:val="18"/>
                <w:szCs w:val="18"/>
              </w:rPr>
            </w:pPr>
            <w:r>
              <w:rPr>
                <w:rFonts w:ascii="Arial" w:hAnsi="Arial" w:cs="Arial"/>
                <w:color w:val="000000"/>
                <w:sz w:val="18"/>
                <w:szCs w:val="18"/>
              </w:rPr>
              <w:t>2.</w:t>
            </w:r>
            <w:r w:rsidR="00BE6D06">
              <w:rPr>
                <w:rFonts w:ascii="Arial" w:hAnsi="Arial" w:cs="Arial"/>
                <w:color w:val="000000"/>
                <w:sz w:val="18"/>
                <w:szCs w:val="18"/>
              </w:rPr>
              <w:t>5</w:t>
            </w:r>
          </w:p>
        </w:tc>
        <w:tc>
          <w:tcPr>
            <w:tcW w:w="709" w:type="dxa"/>
            <w:tcBorders>
              <w:top w:val="nil"/>
              <w:left w:val="nil"/>
              <w:bottom w:val="nil"/>
              <w:right w:val="nil"/>
            </w:tcBorders>
            <w:shd w:val="clear" w:color="auto" w:fill="auto"/>
            <w:vAlign w:val="bottom"/>
          </w:tcPr>
          <w:p w14:paraId="7D62B5FC" w14:textId="77777777" w:rsidR="00571749" w:rsidRDefault="00D47A82" w:rsidP="00C4369E">
            <w:pPr>
              <w:pStyle w:val="TableBodyText"/>
            </w:pPr>
            <w:r>
              <w:t> </w:t>
            </w:r>
          </w:p>
        </w:tc>
      </w:tr>
      <w:tr w:rsidR="00571749" w14:paraId="7F8CB351" w14:textId="77777777" w:rsidTr="006700E5">
        <w:trPr>
          <w:cantSplit/>
          <w:trHeight w:val="20"/>
        </w:trPr>
        <w:tc>
          <w:tcPr>
            <w:tcW w:w="2672" w:type="dxa"/>
            <w:tcBorders>
              <w:top w:val="nil"/>
              <w:left w:val="nil"/>
              <w:bottom w:val="nil"/>
              <w:right w:val="nil"/>
            </w:tcBorders>
            <w:shd w:val="clear" w:color="auto" w:fill="auto"/>
            <w:vAlign w:val="bottom"/>
          </w:tcPr>
          <w:p w14:paraId="6337854A" w14:textId="77777777" w:rsidR="00571749" w:rsidRDefault="00571749" w:rsidP="006B62AA">
            <w:pPr>
              <w:pStyle w:val="TableBodyText"/>
              <w:ind w:left="0" w:right="0"/>
              <w:jc w:val="left"/>
            </w:pPr>
            <w:r>
              <w:t>ACT</w:t>
            </w:r>
          </w:p>
        </w:tc>
        <w:tc>
          <w:tcPr>
            <w:tcW w:w="1162" w:type="dxa"/>
            <w:tcBorders>
              <w:top w:val="nil"/>
              <w:left w:val="nil"/>
              <w:bottom w:val="nil"/>
              <w:right w:val="nil"/>
            </w:tcBorders>
            <w:shd w:val="clear" w:color="auto" w:fill="auto"/>
            <w:vAlign w:val="bottom"/>
          </w:tcPr>
          <w:p w14:paraId="6401423F"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1F5746FA" w14:textId="008C3828" w:rsidR="00571749" w:rsidRDefault="00571749" w:rsidP="004235A4">
            <w:pPr>
              <w:jc w:val="right"/>
              <w:rPr>
                <w:rFonts w:ascii="Arial" w:hAnsi="Arial" w:cs="Arial"/>
                <w:color w:val="000000"/>
                <w:sz w:val="18"/>
                <w:szCs w:val="18"/>
              </w:rPr>
            </w:pPr>
            <w:r>
              <w:rPr>
                <w:rFonts w:ascii="Arial" w:hAnsi="Arial" w:cs="Arial"/>
                <w:color w:val="000000"/>
                <w:sz w:val="18"/>
                <w:szCs w:val="18"/>
              </w:rPr>
              <w:t>0.</w:t>
            </w:r>
            <w:r w:rsidR="00793FFB">
              <w:rPr>
                <w:rFonts w:ascii="Arial" w:hAnsi="Arial" w:cs="Arial"/>
                <w:color w:val="000000"/>
                <w:sz w:val="18"/>
                <w:szCs w:val="18"/>
              </w:rPr>
              <w:t>4</w:t>
            </w:r>
          </w:p>
        </w:tc>
        <w:tc>
          <w:tcPr>
            <w:tcW w:w="680" w:type="dxa"/>
            <w:tcBorders>
              <w:top w:val="nil"/>
              <w:left w:val="nil"/>
              <w:bottom w:val="nil"/>
              <w:right w:val="nil"/>
            </w:tcBorders>
            <w:shd w:val="clear" w:color="auto" w:fill="auto"/>
            <w:vAlign w:val="bottom"/>
          </w:tcPr>
          <w:p w14:paraId="724AA15C"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341D3DA2" w14:textId="43AD4C97" w:rsidR="00571749" w:rsidRDefault="00571749" w:rsidP="004235A4">
            <w:pPr>
              <w:jc w:val="right"/>
              <w:rPr>
                <w:rFonts w:ascii="Arial" w:hAnsi="Arial" w:cs="Arial"/>
                <w:color w:val="000000"/>
                <w:sz w:val="18"/>
                <w:szCs w:val="18"/>
              </w:rPr>
            </w:pPr>
            <w:r>
              <w:rPr>
                <w:rFonts w:ascii="Arial" w:hAnsi="Arial" w:cs="Arial"/>
                <w:color w:val="000000"/>
                <w:sz w:val="18"/>
                <w:szCs w:val="18"/>
              </w:rPr>
              <w:t>0.</w:t>
            </w:r>
            <w:r w:rsidR="00793FFB">
              <w:rPr>
                <w:rFonts w:ascii="Arial" w:hAnsi="Arial" w:cs="Arial"/>
                <w:color w:val="000000"/>
                <w:sz w:val="18"/>
                <w:szCs w:val="18"/>
              </w:rPr>
              <w:t>2</w:t>
            </w:r>
          </w:p>
        </w:tc>
        <w:tc>
          <w:tcPr>
            <w:tcW w:w="709" w:type="dxa"/>
            <w:tcBorders>
              <w:top w:val="nil"/>
              <w:left w:val="nil"/>
              <w:bottom w:val="nil"/>
              <w:right w:val="nil"/>
            </w:tcBorders>
            <w:shd w:val="clear" w:color="auto" w:fill="auto"/>
            <w:vAlign w:val="bottom"/>
          </w:tcPr>
          <w:p w14:paraId="60D24964"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7E565D7D" w14:textId="33FF1BE4" w:rsidR="00571749" w:rsidRDefault="00571749" w:rsidP="004235A4">
            <w:pPr>
              <w:jc w:val="right"/>
              <w:rPr>
                <w:rFonts w:ascii="Arial" w:hAnsi="Arial" w:cs="Arial"/>
                <w:color w:val="000000"/>
                <w:sz w:val="18"/>
                <w:szCs w:val="18"/>
              </w:rPr>
            </w:pPr>
            <w:r>
              <w:rPr>
                <w:rFonts w:ascii="Arial" w:hAnsi="Arial" w:cs="Arial"/>
                <w:color w:val="000000"/>
                <w:sz w:val="18"/>
                <w:szCs w:val="18"/>
              </w:rPr>
              <w:t>1.</w:t>
            </w:r>
            <w:r w:rsidR="00BE6D06">
              <w:rPr>
                <w:rFonts w:ascii="Arial" w:hAnsi="Arial" w:cs="Arial"/>
                <w:color w:val="000000"/>
                <w:sz w:val="18"/>
                <w:szCs w:val="18"/>
              </w:rPr>
              <w:t>9</w:t>
            </w:r>
          </w:p>
        </w:tc>
        <w:tc>
          <w:tcPr>
            <w:tcW w:w="709" w:type="dxa"/>
            <w:tcBorders>
              <w:top w:val="nil"/>
              <w:left w:val="nil"/>
              <w:bottom w:val="nil"/>
              <w:right w:val="nil"/>
            </w:tcBorders>
            <w:shd w:val="clear" w:color="auto" w:fill="auto"/>
            <w:vAlign w:val="bottom"/>
          </w:tcPr>
          <w:p w14:paraId="524D6E48" w14:textId="77777777" w:rsidR="00571749" w:rsidRDefault="00D47A82" w:rsidP="00C4369E">
            <w:pPr>
              <w:pStyle w:val="TableBodyText"/>
            </w:pPr>
            <w:r>
              <w:t> </w:t>
            </w:r>
          </w:p>
        </w:tc>
      </w:tr>
      <w:tr w:rsidR="00571749" w14:paraId="2D9DE6E1" w14:textId="77777777" w:rsidTr="006700E5">
        <w:trPr>
          <w:cantSplit/>
          <w:trHeight w:val="20"/>
        </w:trPr>
        <w:tc>
          <w:tcPr>
            <w:tcW w:w="2672" w:type="dxa"/>
            <w:tcBorders>
              <w:top w:val="nil"/>
              <w:left w:val="nil"/>
              <w:bottom w:val="nil"/>
              <w:right w:val="nil"/>
            </w:tcBorders>
            <w:shd w:val="clear" w:color="auto" w:fill="auto"/>
            <w:vAlign w:val="bottom"/>
          </w:tcPr>
          <w:p w14:paraId="53C83198" w14:textId="77777777" w:rsidR="00571749" w:rsidRPr="00DC7C7B" w:rsidRDefault="00571749" w:rsidP="006B62AA">
            <w:pPr>
              <w:pStyle w:val="TableBodyText"/>
              <w:ind w:left="-113" w:right="0"/>
              <w:jc w:val="left"/>
              <w:rPr>
                <w:bCs/>
                <w:i/>
              </w:rPr>
            </w:pPr>
            <w:r w:rsidRPr="00DC7C7B">
              <w:rPr>
                <w:bCs/>
                <w:i/>
              </w:rPr>
              <w:t>Region</w:t>
            </w:r>
          </w:p>
        </w:tc>
        <w:tc>
          <w:tcPr>
            <w:tcW w:w="1162" w:type="dxa"/>
            <w:tcBorders>
              <w:top w:val="nil"/>
              <w:left w:val="nil"/>
              <w:bottom w:val="nil"/>
              <w:right w:val="nil"/>
            </w:tcBorders>
            <w:shd w:val="clear" w:color="auto" w:fill="auto"/>
            <w:vAlign w:val="bottom"/>
          </w:tcPr>
          <w:p w14:paraId="42238822" w14:textId="77777777" w:rsidR="00571749" w:rsidRDefault="00571749" w:rsidP="006B62AA">
            <w:pPr>
              <w:pStyle w:val="TableBodyText"/>
              <w:ind w:left="-57" w:right="-57"/>
              <w:jc w:val="left"/>
            </w:pPr>
          </w:p>
        </w:tc>
        <w:tc>
          <w:tcPr>
            <w:tcW w:w="993" w:type="dxa"/>
            <w:tcBorders>
              <w:top w:val="nil"/>
              <w:left w:val="nil"/>
              <w:bottom w:val="nil"/>
              <w:right w:val="nil"/>
            </w:tcBorders>
            <w:shd w:val="clear" w:color="auto" w:fill="auto"/>
            <w:vAlign w:val="bottom"/>
          </w:tcPr>
          <w:p w14:paraId="682A5A1D" w14:textId="77777777" w:rsidR="00571749" w:rsidRDefault="00571749" w:rsidP="004235A4">
            <w:pPr>
              <w:pStyle w:val="TableBodyText"/>
              <w:ind w:left="0" w:right="0"/>
            </w:pPr>
          </w:p>
        </w:tc>
        <w:tc>
          <w:tcPr>
            <w:tcW w:w="680" w:type="dxa"/>
            <w:tcBorders>
              <w:top w:val="nil"/>
              <w:left w:val="nil"/>
              <w:bottom w:val="nil"/>
              <w:right w:val="nil"/>
            </w:tcBorders>
            <w:shd w:val="clear" w:color="auto" w:fill="auto"/>
            <w:vAlign w:val="bottom"/>
          </w:tcPr>
          <w:p w14:paraId="3BCFFB9A" w14:textId="77777777" w:rsidR="00571749" w:rsidRDefault="00571749" w:rsidP="004235A4">
            <w:pPr>
              <w:pStyle w:val="TableBodyText"/>
              <w:ind w:left="0" w:right="0"/>
            </w:pPr>
          </w:p>
        </w:tc>
        <w:tc>
          <w:tcPr>
            <w:tcW w:w="992" w:type="dxa"/>
            <w:tcBorders>
              <w:top w:val="nil"/>
              <w:left w:val="nil"/>
              <w:bottom w:val="nil"/>
              <w:right w:val="nil"/>
            </w:tcBorders>
            <w:shd w:val="clear" w:color="auto" w:fill="auto"/>
            <w:vAlign w:val="bottom"/>
          </w:tcPr>
          <w:p w14:paraId="34F42075" w14:textId="77777777" w:rsidR="00571749" w:rsidRDefault="00571749" w:rsidP="004235A4">
            <w:pPr>
              <w:pStyle w:val="TableBodyText"/>
              <w:ind w:left="0" w:right="0"/>
            </w:pPr>
          </w:p>
        </w:tc>
        <w:tc>
          <w:tcPr>
            <w:tcW w:w="709" w:type="dxa"/>
            <w:tcBorders>
              <w:top w:val="nil"/>
              <w:left w:val="nil"/>
              <w:bottom w:val="nil"/>
              <w:right w:val="nil"/>
            </w:tcBorders>
            <w:shd w:val="clear" w:color="auto" w:fill="auto"/>
            <w:vAlign w:val="bottom"/>
          </w:tcPr>
          <w:p w14:paraId="148DF65B" w14:textId="77777777" w:rsidR="00571749" w:rsidRDefault="00571749" w:rsidP="004235A4">
            <w:pPr>
              <w:pStyle w:val="TableBodyText"/>
              <w:ind w:left="0" w:right="0"/>
            </w:pPr>
          </w:p>
        </w:tc>
        <w:tc>
          <w:tcPr>
            <w:tcW w:w="850" w:type="dxa"/>
            <w:tcBorders>
              <w:top w:val="nil"/>
              <w:left w:val="nil"/>
              <w:bottom w:val="nil"/>
              <w:right w:val="nil"/>
            </w:tcBorders>
            <w:shd w:val="clear" w:color="auto" w:fill="auto"/>
            <w:vAlign w:val="bottom"/>
          </w:tcPr>
          <w:p w14:paraId="2530D056" w14:textId="77777777" w:rsidR="00571749" w:rsidRDefault="00571749" w:rsidP="004235A4">
            <w:pPr>
              <w:pStyle w:val="TableBodyText"/>
              <w:ind w:left="0" w:right="0"/>
            </w:pPr>
          </w:p>
        </w:tc>
        <w:tc>
          <w:tcPr>
            <w:tcW w:w="709" w:type="dxa"/>
            <w:tcBorders>
              <w:top w:val="nil"/>
              <w:left w:val="nil"/>
              <w:bottom w:val="nil"/>
              <w:right w:val="nil"/>
            </w:tcBorders>
            <w:shd w:val="clear" w:color="auto" w:fill="auto"/>
            <w:vAlign w:val="bottom"/>
          </w:tcPr>
          <w:p w14:paraId="5CB52D76" w14:textId="77777777" w:rsidR="00571749" w:rsidRDefault="00571749" w:rsidP="00C4369E">
            <w:pPr>
              <w:pStyle w:val="TableBodyText"/>
            </w:pPr>
          </w:p>
        </w:tc>
      </w:tr>
      <w:tr w:rsidR="00571749" w14:paraId="008AF2A5" w14:textId="77777777" w:rsidTr="006700E5">
        <w:trPr>
          <w:cantSplit/>
          <w:trHeight w:val="20"/>
        </w:trPr>
        <w:tc>
          <w:tcPr>
            <w:tcW w:w="2672" w:type="dxa"/>
            <w:tcBorders>
              <w:top w:val="nil"/>
              <w:left w:val="nil"/>
              <w:bottom w:val="nil"/>
              <w:right w:val="nil"/>
            </w:tcBorders>
            <w:shd w:val="clear" w:color="auto" w:fill="auto"/>
            <w:vAlign w:val="bottom"/>
          </w:tcPr>
          <w:p w14:paraId="1DAF0581" w14:textId="77777777" w:rsidR="00571749" w:rsidRDefault="00571749" w:rsidP="006B62AA">
            <w:pPr>
              <w:pStyle w:val="TableBodyText"/>
              <w:ind w:left="0" w:right="0"/>
              <w:jc w:val="left"/>
            </w:pPr>
            <w:r>
              <w:t>Major city</w:t>
            </w:r>
          </w:p>
        </w:tc>
        <w:tc>
          <w:tcPr>
            <w:tcW w:w="1162" w:type="dxa"/>
            <w:tcBorders>
              <w:top w:val="nil"/>
              <w:left w:val="nil"/>
              <w:bottom w:val="nil"/>
              <w:right w:val="nil"/>
            </w:tcBorders>
            <w:shd w:val="clear" w:color="auto" w:fill="auto"/>
            <w:vAlign w:val="bottom"/>
          </w:tcPr>
          <w:p w14:paraId="5E72EF71"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7A58AA1F" w14:textId="6F8C04BD" w:rsidR="00571749" w:rsidRDefault="00793FFB" w:rsidP="004235A4">
            <w:pPr>
              <w:jc w:val="right"/>
              <w:rPr>
                <w:rFonts w:ascii="Arial" w:hAnsi="Arial" w:cs="Arial"/>
                <w:color w:val="000000"/>
                <w:sz w:val="18"/>
                <w:szCs w:val="18"/>
              </w:rPr>
            </w:pPr>
            <w:r>
              <w:rPr>
                <w:rFonts w:ascii="Arial" w:hAnsi="Arial" w:cs="Arial"/>
                <w:color w:val="000000"/>
                <w:sz w:val="18"/>
                <w:szCs w:val="18"/>
              </w:rPr>
              <w:t>70.8</w:t>
            </w:r>
          </w:p>
        </w:tc>
        <w:tc>
          <w:tcPr>
            <w:tcW w:w="680" w:type="dxa"/>
            <w:tcBorders>
              <w:top w:val="nil"/>
              <w:left w:val="nil"/>
              <w:bottom w:val="nil"/>
              <w:right w:val="nil"/>
            </w:tcBorders>
            <w:shd w:val="clear" w:color="auto" w:fill="auto"/>
            <w:vAlign w:val="bottom"/>
          </w:tcPr>
          <w:p w14:paraId="368372EE"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6BDCDE1D" w14:textId="025C4776" w:rsidR="00571749" w:rsidRDefault="00793FFB" w:rsidP="004235A4">
            <w:pPr>
              <w:jc w:val="right"/>
              <w:rPr>
                <w:rFonts w:ascii="Arial" w:hAnsi="Arial" w:cs="Arial"/>
                <w:color w:val="000000"/>
                <w:sz w:val="18"/>
                <w:szCs w:val="18"/>
              </w:rPr>
            </w:pPr>
            <w:r>
              <w:rPr>
                <w:rFonts w:ascii="Arial" w:hAnsi="Arial" w:cs="Arial"/>
                <w:color w:val="000000"/>
                <w:sz w:val="18"/>
                <w:szCs w:val="18"/>
              </w:rPr>
              <w:t>67.7</w:t>
            </w:r>
          </w:p>
        </w:tc>
        <w:tc>
          <w:tcPr>
            <w:tcW w:w="709" w:type="dxa"/>
            <w:tcBorders>
              <w:top w:val="nil"/>
              <w:left w:val="nil"/>
              <w:bottom w:val="nil"/>
              <w:right w:val="nil"/>
            </w:tcBorders>
            <w:shd w:val="clear" w:color="auto" w:fill="auto"/>
            <w:vAlign w:val="bottom"/>
          </w:tcPr>
          <w:p w14:paraId="1341ED95"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63442818" w14:textId="427BD669" w:rsidR="00571749" w:rsidRDefault="00BE6D06" w:rsidP="004235A4">
            <w:pPr>
              <w:jc w:val="right"/>
              <w:rPr>
                <w:rFonts w:ascii="Arial" w:hAnsi="Arial" w:cs="Arial"/>
                <w:color w:val="000000"/>
                <w:sz w:val="18"/>
                <w:szCs w:val="18"/>
              </w:rPr>
            </w:pPr>
            <w:r>
              <w:rPr>
                <w:rFonts w:ascii="Arial" w:hAnsi="Arial" w:cs="Arial"/>
                <w:color w:val="000000"/>
                <w:sz w:val="18"/>
                <w:szCs w:val="18"/>
              </w:rPr>
              <w:t>71.8</w:t>
            </w:r>
          </w:p>
        </w:tc>
        <w:tc>
          <w:tcPr>
            <w:tcW w:w="709" w:type="dxa"/>
            <w:tcBorders>
              <w:top w:val="nil"/>
              <w:left w:val="nil"/>
              <w:bottom w:val="nil"/>
              <w:right w:val="nil"/>
            </w:tcBorders>
            <w:shd w:val="clear" w:color="auto" w:fill="auto"/>
            <w:vAlign w:val="bottom"/>
          </w:tcPr>
          <w:p w14:paraId="48C31F0C" w14:textId="77777777" w:rsidR="00571749" w:rsidRDefault="00D47A82" w:rsidP="00C4369E">
            <w:pPr>
              <w:pStyle w:val="TableBodyText"/>
            </w:pPr>
            <w:r>
              <w:t> </w:t>
            </w:r>
          </w:p>
        </w:tc>
      </w:tr>
      <w:tr w:rsidR="00571749" w14:paraId="5E9B565D" w14:textId="77777777" w:rsidTr="006700E5">
        <w:trPr>
          <w:cantSplit/>
          <w:trHeight w:val="20"/>
        </w:trPr>
        <w:tc>
          <w:tcPr>
            <w:tcW w:w="2672" w:type="dxa"/>
            <w:tcBorders>
              <w:top w:val="nil"/>
              <w:left w:val="nil"/>
              <w:bottom w:val="nil"/>
              <w:right w:val="nil"/>
            </w:tcBorders>
            <w:shd w:val="clear" w:color="auto" w:fill="auto"/>
            <w:vAlign w:val="bottom"/>
          </w:tcPr>
          <w:p w14:paraId="6D8B4AE7" w14:textId="77777777" w:rsidR="00571749" w:rsidRDefault="00571749" w:rsidP="006B62AA">
            <w:pPr>
              <w:pStyle w:val="TableBodyText"/>
              <w:ind w:left="0" w:right="0"/>
              <w:jc w:val="left"/>
            </w:pPr>
            <w:r>
              <w:t>Inner regional</w:t>
            </w:r>
          </w:p>
        </w:tc>
        <w:tc>
          <w:tcPr>
            <w:tcW w:w="1162" w:type="dxa"/>
            <w:tcBorders>
              <w:top w:val="nil"/>
              <w:left w:val="nil"/>
              <w:bottom w:val="nil"/>
              <w:right w:val="nil"/>
            </w:tcBorders>
            <w:shd w:val="clear" w:color="auto" w:fill="auto"/>
            <w:vAlign w:val="bottom"/>
          </w:tcPr>
          <w:p w14:paraId="13C56B25"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17AC26C3" w14:textId="34178C38" w:rsidR="00571749" w:rsidRDefault="00571749" w:rsidP="004235A4">
            <w:pPr>
              <w:jc w:val="right"/>
              <w:rPr>
                <w:rFonts w:ascii="Arial" w:hAnsi="Arial" w:cs="Arial"/>
                <w:color w:val="000000"/>
                <w:sz w:val="18"/>
                <w:szCs w:val="18"/>
              </w:rPr>
            </w:pPr>
            <w:r>
              <w:rPr>
                <w:rFonts w:ascii="Arial" w:hAnsi="Arial" w:cs="Arial"/>
                <w:color w:val="000000"/>
                <w:sz w:val="18"/>
                <w:szCs w:val="18"/>
              </w:rPr>
              <w:t>17.</w:t>
            </w:r>
            <w:r w:rsidR="00793FFB">
              <w:rPr>
                <w:rFonts w:ascii="Arial" w:hAnsi="Arial" w:cs="Arial"/>
                <w:color w:val="000000"/>
                <w:sz w:val="18"/>
                <w:szCs w:val="18"/>
              </w:rPr>
              <w:t>6</w:t>
            </w:r>
          </w:p>
        </w:tc>
        <w:tc>
          <w:tcPr>
            <w:tcW w:w="680" w:type="dxa"/>
            <w:tcBorders>
              <w:top w:val="nil"/>
              <w:left w:val="nil"/>
              <w:bottom w:val="nil"/>
              <w:right w:val="nil"/>
            </w:tcBorders>
            <w:shd w:val="clear" w:color="auto" w:fill="auto"/>
            <w:vAlign w:val="bottom"/>
          </w:tcPr>
          <w:p w14:paraId="4257C2C8"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3BD8587C" w14:textId="6CDBCBA4" w:rsidR="00571749" w:rsidRDefault="00793FFB" w:rsidP="004235A4">
            <w:pPr>
              <w:jc w:val="right"/>
              <w:rPr>
                <w:rFonts w:ascii="Arial" w:hAnsi="Arial" w:cs="Arial"/>
                <w:color w:val="000000"/>
                <w:sz w:val="18"/>
                <w:szCs w:val="18"/>
              </w:rPr>
            </w:pPr>
            <w:r>
              <w:rPr>
                <w:rFonts w:ascii="Arial" w:hAnsi="Arial" w:cs="Arial"/>
                <w:color w:val="000000"/>
                <w:sz w:val="18"/>
                <w:szCs w:val="18"/>
              </w:rPr>
              <w:t>22.1</w:t>
            </w:r>
          </w:p>
        </w:tc>
        <w:tc>
          <w:tcPr>
            <w:tcW w:w="709" w:type="dxa"/>
            <w:tcBorders>
              <w:top w:val="nil"/>
              <w:left w:val="nil"/>
              <w:bottom w:val="nil"/>
              <w:right w:val="nil"/>
            </w:tcBorders>
            <w:shd w:val="clear" w:color="auto" w:fill="auto"/>
            <w:vAlign w:val="bottom"/>
          </w:tcPr>
          <w:p w14:paraId="75C7611D"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7CE58E17" w14:textId="7A8D3781" w:rsidR="00571749" w:rsidRDefault="00BE6D06" w:rsidP="004235A4">
            <w:pPr>
              <w:jc w:val="right"/>
              <w:rPr>
                <w:rFonts w:ascii="Arial" w:hAnsi="Arial" w:cs="Arial"/>
                <w:color w:val="000000"/>
                <w:sz w:val="18"/>
                <w:szCs w:val="18"/>
              </w:rPr>
            </w:pPr>
            <w:r>
              <w:rPr>
                <w:rFonts w:ascii="Arial" w:hAnsi="Arial" w:cs="Arial"/>
                <w:color w:val="000000"/>
                <w:sz w:val="18"/>
                <w:szCs w:val="18"/>
              </w:rPr>
              <w:t>15.0</w:t>
            </w:r>
          </w:p>
        </w:tc>
        <w:tc>
          <w:tcPr>
            <w:tcW w:w="709" w:type="dxa"/>
            <w:tcBorders>
              <w:top w:val="nil"/>
              <w:left w:val="nil"/>
              <w:bottom w:val="nil"/>
              <w:right w:val="nil"/>
            </w:tcBorders>
            <w:shd w:val="clear" w:color="auto" w:fill="auto"/>
            <w:vAlign w:val="bottom"/>
          </w:tcPr>
          <w:p w14:paraId="0D89129A" w14:textId="77777777" w:rsidR="00571749" w:rsidRDefault="00D47A82" w:rsidP="00C4369E">
            <w:pPr>
              <w:pStyle w:val="TableBodyText"/>
            </w:pPr>
            <w:r>
              <w:t> </w:t>
            </w:r>
          </w:p>
        </w:tc>
      </w:tr>
      <w:tr w:rsidR="00571749" w14:paraId="61E257AD" w14:textId="77777777" w:rsidTr="006700E5">
        <w:trPr>
          <w:cantSplit/>
          <w:trHeight w:val="20"/>
        </w:trPr>
        <w:tc>
          <w:tcPr>
            <w:tcW w:w="2672" w:type="dxa"/>
            <w:tcBorders>
              <w:top w:val="nil"/>
              <w:left w:val="nil"/>
              <w:bottom w:val="nil"/>
              <w:right w:val="nil"/>
            </w:tcBorders>
            <w:shd w:val="clear" w:color="auto" w:fill="auto"/>
            <w:vAlign w:val="bottom"/>
          </w:tcPr>
          <w:p w14:paraId="084D2560" w14:textId="77777777" w:rsidR="00571749" w:rsidRDefault="00571749" w:rsidP="006B62AA">
            <w:pPr>
              <w:pStyle w:val="TableBodyText"/>
              <w:ind w:left="0" w:right="0"/>
              <w:jc w:val="left"/>
            </w:pPr>
            <w:r>
              <w:t>Outer regional</w:t>
            </w:r>
          </w:p>
        </w:tc>
        <w:tc>
          <w:tcPr>
            <w:tcW w:w="1162" w:type="dxa"/>
            <w:tcBorders>
              <w:top w:val="nil"/>
              <w:left w:val="nil"/>
              <w:bottom w:val="nil"/>
              <w:right w:val="nil"/>
            </w:tcBorders>
            <w:shd w:val="clear" w:color="auto" w:fill="auto"/>
            <w:vAlign w:val="bottom"/>
          </w:tcPr>
          <w:p w14:paraId="129F8375"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0C82E018" w14:textId="52435800" w:rsidR="00571749" w:rsidRDefault="00571749" w:rsidP="004235A4">
            <w:pPr>
              <w:jc w:val="right"/>
              <w:rPr>
                <w:rFonts w:ascii="Arial" w:hAnsi="Arial" w:cs="Arial"/>
                <w:color w:val="000000"/>
                <w:sz w:val="18"/>
                <w:szCs w:val="18"/>
              </w:rPr>
            </w:pPr>
            <w:r>
              <w:rPr>
                <w:rFonts w:ascii="Arial" w:hAnsi="Arial" w:cs="Arial"/>
                <w:color w:val="000000"/>
                <w:sz w:val="18"/>
                <w:szCs w:val="18"/>
              </w:rPr>
              <w:t>8.</w:t>
            </w:r>
            <w:r w:rsidR="00793FFB">
              <w:rPr>
                <w:rFonts w:ascii="Arial" w:hAnsi="Arial" w:cs="Arial"/>
                <w:color w:val="000000"/>
                <w:sz w:val="18"/>
                <w:szCs w:val="18"/>
              </w:rPr>
              <w:t>8</w:t>
            </w:r>
          </w:p>
        </w:tc>
        <w:tc>
          <w:tcPr>
            <w:tcW w:w="680" w:type="dxa"/>
            <w:tcBorders>
              <w:top w:val="nil"/>
              <w:left w:val="nil"/>
              <w:bottom w:val="nil"/>
              <w:right w:val="nil"/>
            </w:tcBorders>
            <w:shd w:val="clear" w:color="auto" w:fill="auto"/>
            <w:vAlign w:val="bottom"/>
          </w:tcPr>
          <w:p w14:paraId="13DBC23A"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70B6E5D0" w14:textId="1D2E4E0A" w:rsidR="00571749" w:rsidRDefault="00793FFB" w:rsidP="004235A4">
            <w:pPr>
              <w:jc w:val="right"/>
              <w:rPr>
                <w:rFonts w:ascii="Arial" w:hAnsi="Arial" w:cs="Arial"/>
                <w:color w:val="000000"/>
                <w:sz w:val="18"/>
                <w:szCs w:val="18"/>
              </w:rPr>
            </w:pPr>
            <w:r>
              <w:rPr>
                <w:rFonts w:ascii="Arial" w:hAnsi="Arial" w:cs="Arial"/>
                <w:color w:val="000000"/>
                <w:sz w:val="18"/>
                <w:szCs w:val="18"/>
              </w:rPr>
              <w:t>9.2</w:t>
            </w:r>
          </w:p>
        </w:tc>
        <w:tc>
          <w:tcPr>
            <w:tcW w:w="709" w:type="dxa"/>
            <w:tcBorders>
              <w:top w:val="nil"/>
              <w:left w:val="nil"/>
              <w:bottom w:val="nil"/>
              <w:right w:val="nil"/>
            </w:tcBorders>
            <w:shd w:val="clear" w:color="auto" w:fill="auto"/>
            <w:vAlign w:val="bottom"/>
          </w:tcPr>
          <w:p w14:paraId="339B45FD"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66D8C443" w14:textId="43EAA4BD" w:rsidR="00571749" w:rsidRDefault="00571749" w:rsidP="004235A4">
            <w:pPr>
              <w:jc w:val="right"/>
              <w:rPr>
                <w:rFonts w:ascii="Arial" w:hAnsi="Arial" w:cs="Arial"/>
                <w:color w:val="000000"/>
                <w:sz w:val="18"/>
                <w:szCs w:val="18"/>
              </w:rPr>
            </w:pPr>
            <w:r>
              <w:rPr>
                <w:rFonts w:ascii="Arial" w:hAnsi="Arial" w:cs="Arial"/>
                <w:color w:val="000000"/>
                <w:sz w:val="18"/>
                <w:szCs w:val="18"/>
              </w:rPr>
              <w:t>8.</w:t>
            </w:r>
            <w:r w:rsidR="00BE6D06">
              <w:rPr>
                <w:rFonts w:ascii="Arial" w:hAnsi="Arial" w:cs="Arial"/>
                <w:color w:val="000000"/>
                <w:sz w:val="18"/>
                <w:szCs w:val="18"/>
              </w:rPr>
              <w:t>4</w:t>
            </w:r>
          </w:p>
        </w:tc>
        <w:tc>
          <w:tcPr>
            <w:tcW w:w="709" w:type="dxa"/>
            <w:tcBorders>
              <w:top w:val="nil"/>
              <w:left w:val="nil"/>
              <w:bottom w:val="nil"/>
              <w:right w:val="nil"/>
            </w:tcBorders>
            <w:shd w:val="clear" w:color="auto" w:fill="auto"/>
            <w:vAlign w:val="bottom"/>
          </w:tcPr>
          <w:p w14:paraId="24EE37E0" w14:textId="77777777" w:rsidR="00571749" w:rsidRDefault="00D47A82" w:rsidP="00C4369E">
            <w:pPr>
              <w:pStyle w:val="TableBodyText"/>
            </w:pPr>
            <w:r>
              <w:t> </w:t>
            </w:r>
          </w:p>
        </w:tc>
      </w:tr>
      <w:tr w:rsidR="00571749" w14:paraId="0D07C8AD" w14:textId="77777777" w:rsidTr="006700E5">
        <w:trPr>
          <w:cantSplit/>
          <w:trHeight w:val="20"/>
        </w:trPr>
        <w:tc>
          <w:tcPr>
            <w:tcW w:w="2672" w:type="dxa"/>
            <w:tcBorders>
              <w:top w:val="nil"/>
              <w:left w:val="nil"/>
              <w:bottom w:val="nil"/>
              <w:right w:val="nil"/>
            </w:tcBorders>
            <w:shd w:val="clear" w:color="auto" w:fill="auto"/>
            <w:vAlign w:val="bottom"/>
          </w:tcPr>
          <w:p w14:paraId="434A76BE" w14:textId="77777777" w:rsidR="00571749" w:rsidRDefault="00571749" w:rsidP="006B62AA">
            <w:pPr>
              <w:pStyle w:val="TableBodyText"/>
              <w:ind w:left="0" w:right="0"/>
              <w:jc w:val="left"/>
            </w:pPr>
            <w:r>
              <w:t>Remote or very remote</w:t>
            </w:r>
          </w:p>
        </w:tc>
        <w:tc>
          <w:tcPr>
            <w:tcW w:w="1162" w:type="dxa"/>
            <w:tcBorders>
              <w:top w:val="nil"/>
              <w:left w:val="nil"/>
              <w:bottom w:val="nil"/>
              <w:right w:val="nil"/>
            </w:tcBorders>
            <w:shd w:val="clear" w:color="auto" w:fill="auto"/>
            <w:vAlign w:val="bottom"/>
          </w:tcPr>
          <w:p w14:paraId="1ABA2A45" w14:textId="77777777" w:rsidR="00571749" w:rsidRDefault="00571749" w:rsidP="006B62AA">
            <w:pPr>
              <w:pStyle w:val="TableBodyText"/>
              <w:ind w:left="-57" w:right="-57"/>
              <w:jc w:val="left"/>
            </w:pPr>
            <w:r>
              <w:t>Per cent</w:t>
            </w:r>
          </w:p>
        </w:tc>
        <w:tc>
          <w:tcPr>
            <w:tcW w:w="993" w:type="dxa"/>
            <w:tcBorders>
              <w:top w:val="nil"/>
              <w:left w:val="nil"/>
              <w:bottom w:val="nil"/>
              <w:right w:val="nil"/>
            </w:tcBorders>
            <w:shd w:val="clear" w:color="auto" w:fill="auto"/>
            <w:vAlign w:val="bottom"/>
          </w:tcPr>
          <w:p w14:paraId="72F46B56" w14:textId="4F5E85D6" w:rsidR="00571749" w:rsidRDefault="00571749" w:rsidP="004235A4">
            <w:pPr>
              <w:jc w:val="right"/>
              <w:rPr>
                <w:rFonts w:ascii="Arial" w:hAnsi="Arial" w:cs="Arial"/>
                <w:color w:val="000000"/>
                <w:sz w:val="18"/>
                <w:szCs w:val="18"/>
              </w:rPr>
            </w:pPr>
            <w:r>
              <w:rPr>
                <w:rFonts w:ascii="Arial" w:hAnsi="Arial" w:cs="Arial"/>
                <w:color w:val="000000"/>
                <w:sz w:val="18"/>
                <w:szCs w:val="18"/>
              </w:rPr>
              <w:t>2.</w:t>
            </w:r>
            <w:r w:rsidR="00793FFB">
              <w:rPr>
                <w:rFonts w:ascii="Arial" w:hAnsi="Arial" w:cs="Arial"/>
                <w:color w:val="000000"/>
                <w:sz w:val="18"/>
                <w:szCs w:val="18"/>
              </w:rPr>
              <w:t>8</w:t>
            </w:r>
          </w:p>
        </w:tc>
        <w:tc>
          <w:tcPr>
            <w:tcW w:w="680" w:type="dxa"/>
            <w:tcBorders>
              <w:top w:val="nil"/>
              <w:left w:val="nil"/>
              <w:bottom w:val="nil"/>
              <w:right w:val="nil"/>
            </w:tcBorders>
            <w:shd w:val="clear" w:color="auto" w:fill="auto"/>
            <w:vAlign w:val="bottom"/>
          </w:tcPr>
          <w:p w14:paraId="25C6AD04"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992" w:type="dxa"/>
            <w:tcBorders>
              <w:top w:val="nil"/>
              <w:left w:val="nil"/>
              <w:bottom w:val="nil"/>
              <w:right w:val="nil"/>
            </w:tcBorders>
            <w:shd w:val="clear" w:color="auto" w:fill="auto"/>
            <w:vAlign w:val="bottom"/>
          </w:tcPr>
          <w:p w14:paraId="51E84626" w14:textId="59EA18BC" w:rsidR="00571749" w:rsidRDefault="00793FFB" w:rsidP="004235A4">
            <w:pPr>
              <w:jc w:val="right"/>
              <w:rPr>
                <w:rFonts w:ascii="Arial" w:hAnsi="Arial" w:cs="Arial"/>
                <w:color w:val="000000"/>
                <w:sz w:val="18"/>
                <w:szCs w:val="18"/>
              </w:rPr>
            </w:pPr>
            <w:r>
              <w:rPr>
                <w:rFonts w:ascii="Arial" w:hAnsi="Arial" w:cs="Arial"/>
                <w:color w:val="000000"/>
                <w:sz w:val="18"/>
                <w:szCs w:val="18"/>
              </w:rPr>
              <w:t>1.0</w:t>
            </w:r>
          </w:p>
        </w:tc>
        <w:tc>
          <w:tcPr>
            <w:tcW w:w="709" w:type="dxa"/>
            <w:tcBorders>
              <w:top w:val="nil"/>
              <w:left w:val="nil"/>
              <w:bottom w:val="nil"/>
              <w:right w:val="nil"/>
            </w:tcBorders>
            <w:shd w:val="clear" w:color="auto" w:fill="auto"/>
            <w:vAlign w:val="bottom"/>
          </w:tcPr>
          <w:p w14:paraId="56D7F586" w14:textId="77777777" w:rsidR="00571749" w:rsidRDefault="00D47A82" w:rsidP="004235A4">
            <w:pPr>
              <w:rPr>
                <w:rFonts w:ascii="Arial" w:hAnsi="Arial" w:cs="Arial"/>
                <w:color w:val="000000"/>
                <w:sz w:val="18"/>
                <w:szCs w:val="18"/>
              </w:rPr>
            </w:pPr>
            <w:r>
              <w:rPr>
                <w:rFonts w:ascii="Arial" w:hAnsi="Arial" w:cs="Arial"/>
                <w:color w:val="000000"/>
                <w:sz w:val="18"/>
                <w:szCs w:val="18"/>
              </w:rPr>
              <w:t> </w:t>
            </w:r>
          </w:p>
        </w:tc>
        <w:tc>
          <w:tcPr>
            <w:tcW w:w="850" w:type="dxa"/>
            <w:tcBorders>
              <w:top w:val="nil"/>
              <w:left w:val="nil"/>
              <w:bottom w:val="nil"/>
              <w:right w:val="nil"/>
            </w:tcBorders>
            <w:shd w:val="clear" w:color="auto" w:fill="auto"/>
            <w:vAlign w:val="bottom"/>
          </w:tcPr>
          <w:p w14:paraId="35F2E7BA" w14:textId="7FEEA00A" w:rsidR="00571749" w:rsidRDefault="00571749" w:rsidP="004235A4">
            <w:pPr>
              <w:jc w:val="right"/>
              <w:rPr>
                <w:rFonts w:ascii="Arial" w:hAnsi="Arial" w:cs="Arial"/>
                <w:color w:val="000000"/>
                <w:sz w:val="18"/>
                <w:szCs w:val="18"/>
              </w:rPr>
            </w:pPr>
            <w:r>
              <w:rPr>
                <w:rFonts w:ascii="Arial" w:hAnsi="Arial" w:cs="Arial"/>
                <w:color w:val="000000"/>
                <w:sz w:val="18"/>
                <w:szCs w:val="18"/>
              </w:rPr>
              <w:t>4.</w:t>
            </w:r>
            <w:r w:rsidR="00BE6D06">
              <w:rPr>
                <w:rFonts w:ascii="Arial" w:hAnsi="Arial" w:cs="Arial"/>
                <w:color w:val="000000"/>
                <w:sz w:val="18"/>
                <w:szCs w:val="18"/>
              </w:rPr>
              <w:t>7</w:t>
            </w:r>
          </w:p>
        </w:tc>
        <w:tc>
          <w:tcPr>
            <w:tcW w:w="709" w:type="dxa"/>
            <w:tcBorders>
              <w:top w:val="nil"/>
              <w:left w:val="nil"/>
              <w:bottom w:val="nil"/>
              <w:right w:val="nil"/>
            </w:tcBorders>
            <w:shd w:val="clear" w:color="auto" w:fill="auto"/>
            <w:vAlign w:val="bottom"/>
          </w:tcPr>
          <w:p w14:paraId="42B0A070" w14:textId="77777777" w:rsidR="00571749" w:rsidRDefault="00D47A82" w:rsidP="00C4369E">
            <w:pPr>
              <w:pStyle w:val="TableBodyText"/>
            </w:pPr>
            <w:r>
              <w:t> </w:t>
            </w:r>
          </w:p>
        </w:tc>
      </w:tr>
      <w:tr w:rsidR="00571749" w14:paraId="6DF1B7BB" w14:textId="77777777" w:rsidTr="006700E5">
        <w:trPr>
          <w:cantSplit/>
          <w:trHeight w:val="20"/>
        </w:trPr>
        <w:tc>
          <w:tcPr>
            <w:tcW w:w="2672" w:type="dxa"/>
            <w:tcBorders>
              <w:top w:val="nil"/>
              <w:left w:val="nil"/>
              <w:bottom w:val="nil"/>
              <w:right w:val="nil"/>
            </w:tcBorders>
            <w:shd w:val="clear" w:color="auto" w:fill="auto"/>
            <w:vAlign w:val="bottom"/>
          </w:tcPr>
          <w:p w14:paraId="7EAA3C1B" w14:textId="77777777" w:rsidR="00571749" w:rsidRDefault="00571749" w:rsidP="006B62AA">
            <w:pPr>
              <w:pStyle w:val="TableBodyText"/>
              <w:ind w:left="-113" w:right="0"/>
              <w:jc w:val="left"/>
            </w:pPr>
            <w:r>
              <w:t>SA1 IRSD decile</w:t>
            </w:r>
            <w:r w:rsidR="006209FB">
              <w:rPr>
                <w:rStyle w:val="NoteLabel"/>
              </w:rPr>
              <w:t>d</w:t>
            </w:r>
          </w:p>
        </w:tc>
        <w:tc>
          <w:tcPr>
            <w:tcW w:w="1162" w:type="dxa"/>
            <w:tcBorders>
              <w:top w:val="nil"/>
              <w:left w:val="nil"/>
              <w:bottom w:val="nil"/>
              <w:right w:val="nil"/>
            </w:tcBorders>
            <w:shd w:val="clear" w:color="auto" w:fill="auto"/>
            <w:vAlign w:val="bottom"/>
          </w:tcPr>
          <w:p w14:paraId="63D0DEE7" w14:textId="77777777" w:rsidR="00571749" w:rsidRDefault="00571749" w:rsidP="006B62AA">
            <w:pPr>
              <w:pStyle w:val="TableBodyText"/>
              <w:tabs>
                <w:tab w:val="left" w:pos="992"/>
              </w:tabs>
              <w:ind w:left="-57" w:right="-57"/>
              <w:jc w:val="left"/>
            </w:pPr>
            <w:r>
              <w:t>Decile</w:t>
            </w:r>
          </w:p>
        </w:tc>
        <w:tc>
          <w:tcPr>
            <w:tcW w:w="993" w:type="dxa"/>
            <w:tcBorders>
              <w:top w:val="nil"/>
              <w:left w:val="nil"/>
              <w:bottom w:val="nil"/>
              <w:right w:val="nil"/>
            </w:tcBorders>
            <w:shd w:val="clear" w:color="auto" w:fill="auto"/>
            <w:vAlign w:val="bottom"/>
          </w:tcPr>
          <w:p w14:paraId="5F0430F0" w14:textId="7945373B" w:rsidR="00571749" w:rsidRDefault="00571749" w:rsidP="004235A4">
            <w:pPr>
              <w:jc w:val="right"/>
              <w:rPr>
                <w:rFonts w:ascii="Arial" w:hAnsi="Arial" w:cs="Arial"/>
                <w:color w:val="000000"/>
                <w:sz w:val="18"/>
                <w:szCs w:val="18"/>
              </w:rPr>
            </w:pPr>
            <w:r>
              <w:rPr>
                <w:rFonts w:ascii="Arial" w:hAnsi="Arial" w:cs="Arial"/>
                <w:color w:val="000000"/>
                <w:sz w:val="18"/>
                <w:szCs w:val="18"/>
              </w:rPr>
              <w:t>5.</w:t>
            </w:r>
            <w:r w:rsidR="00793FFB">
              <w:rPr>
                <w:rFonts w:ascii="Arial" w:hAnsi="Arial" w:cs="Arial"/>
                <w:color w:val="000000"/>
                <w:sz w:val="18"/>
                <w:szCs w:val="18"/>
              </w:rPr>
              <w:t>4</w:t>
            </w:r>
          </w:p>
        </w:tc>
        <w:tc>
          <w:tcPr>
            <w:tcW w:w="680" w:type="dxa"/>
            <w:tcBorders>
              <w:top w:val="nil"/>
              <w:left w:val="nil"/>
              <w:bottom w:val="nil"/>
              <w:right w:val="nil"/>
            </w:tcBorders>
            <w:shd w:val="clear" w:color="auto" w:fill="auto"/>
            <w:vAlign w:val="bottom"/>
          </w:tcPr>
          <w:p w14:paraId="3ED64C0B" w14:textId="2897E69C" w:rsidR="00571749" w:rsidRDefault="00571749" w:rsidP="004235A4">
            <w:pPr>
              <w:jc w:val="right"/>
              <w:rPr>
                <w:rFonts w:ascii="Arial" w:hAnsi="Arial" w:cs="Arial"/>
                <w:color w:val="000000"/>
                <w:sz w:val="18"/>
                <w:szCs w:val="18"/>
              </w:rPr>
            </w:pPr>
            <w:r>
              <w:rPr>
                <w:rFonts w:ascii="Arial" w:hAnsi="Arial" w:cs="Arial"/>
                <w:color w:val="000000"/>
                <w:sz w:val="18"/>
                <w:szCs w:val="18"/>
              </w:rPr>
              <w:t>2.</w:t>
            </w:r>
            <w:r w:rsidR="00793FFB">
              <w:rPr>
                <w:rFonts w:ascii="Arial" w:hAnsi="Arial" w:cs="Arial"/>
                <w:color w:val="000000"/>
                <w:sz w:val="18"/>
                <w:szCs w:val="18"/>
              </w:rPr>
              <w:t>7</w:t>
            </w:r>
          </w:p>
        </w:tc>
        <w:tc>
          <w:tcPr>
            <w:tcW w:w="992" w:type="dxa"/>
            <w:tcBorders>
              <w:top w:val="nil"/>
              <w:left w:val="nil"/>
              <w:bottom w:val="nil"/>
              <w:right w:val="nil"/>
            </w:tcBorders>
            <w:shd w:val="clear" w:color="auto" w:fill="auto"/>
            <w:vAlign w:val="bottom"/>
          </w:tcPr>
          <w:p w14:paraId="3E300834" w14:textId="6390AD1F" w:rsidR="00571749" w:rsidRDefault="00571749" w:rsidP="004235A4">
            <w:pPr>
              <w:jc w:val="right"/>
              <w:rPr>
                <w:rFonts w:ascii="Arial" w:hAnsi="Arial" w:cs="Arial"/>
                <w:color w:val="000000"/>
                <w:sz w:val="18"/>
                <w:szCs w:val="18"/>
              </w:rPr>
            </w:pPr>
            <w:r>
              <w:rPr>
                <w:rFonts w:ascii="Arial" w:hAnsi="Arial" w:cs="Arial"/>
                <w:color w:val="000000"/>
                <w:sz w:val="18"/>
                <w:szCs w:val="18"/>
              </w:rPr>
              <w:t>5.</w:t>
            </w:r>
            <w:r w:rsidR="00793FFB">
              <w:rPr>
                <w:rFonts w:ascii="Arial" w:hAnsi="Arial" w:cs="Arial"/>
                <w:color w:val="000000"/>
                <w:sz w:val="18"/>
                <w:szCs w:val="18"/>
              </w:rPr>
              <w:t>2</w:t>
            </w:r>
          </w:p>
        </w:tc>
        <w:tc>
          <w:tcPr>
            <w:tcW w:w="709" w:type="dxa"/>
            <w:tcBorders>
              <w:top w:val="nil"/>
              <w:left w:val="nil"/>
              <w:bottom w:val="nil"/>
              <w:right w:val="nil"/>
            </w:tcBorders>
            <w:shd w:val="clear" w:color="auto" w:fill="auto"/>
            <w:vAlign w:val="bottom"/>
          </w:tcPr>
          <w:p w14:paraId="53B7944C" w14:textId="5929922A" w:rsidR="00571749" w:rsidRDefault="00571749" w:rsidP="00793FFB">
            <w:pPr>
              <w:jc w:val="right"/>
              <w:rPr>
                <w:rFonts w:ascii="Arial" w:hAnsi="Arial" w:cs="Arial"/>
                <w:color w:val="000000"/>
                <w:sz w:val="18"/>
                <w:szCs w:val="18"/>
              </w:rPr>
            </w:pPr>
            <w:r>
              <w:rPr>
                <w:rFonts w:ascii="Arial" w:hAnsi="Arial" w:cs="Arial"/>
                <w:color w:val="000000"/>
                <w:sz w:val="18"/>
                <w:szCs w:val="18"/>
              </w:rPr>
              <w:t>2.</w:t>
            </w:r>
            <w:r w:rsidR="00793FFB">
              <w:rPr>
                <w:rFonts w:ascii="Arial" w:hAnsi="Arial" w:cs="Arial"/>
                <w:color w:val="000000"/>
                <w:sz w:val="18"/>
                <w:szCs w:val="18"/>
              </w:rPr>
              <w:t>6</w:t>
            </w:r>
          </w:p>
        </w:tc>
        <w:tc>
          <w:tcPr>
            <w:tcW w:w="850" w:type="dxa"/>
            <w:tcBorders>
              <w:top w:val="nil"/>
              <w:left w:val="nil"/>
              <w:bottom w:val="nil"/>
              <w:right w:val="nil"/>
            </w:tcBorders>
            <w:shd w:val="clear" w:color="auto" w:fill="auto"/>
            <w:vAlign w:val="bottom"/>
          </w:tcPr>
          <w:p w14:paraId="44C1068B" w14:textId="47F286EF" w:rsidR="00571749" w:rsidRDefault="00BE6D06" w:rsidP="004235A4">
            <w:pPr>
              <w:jc w:val="right"/>
              <w:rPr>
                <w:rFonts w:ascii="Arial" w:hAnsi="Arial" w:cs="Arial"/>
                <w:color w:val="000000"/>
                <w:sz w:val="18"/>
                <w:szCs w:val="18"/>
              </w:rPr>
            </w:pPr>
            <w:r>
              <w:rPr>
                <w:rFonts w:ascii="Arial" w:hAnsi="Arial" w:cs="Arial"/>
                <w:color w:val="000000"/>
                <w:sz w:val="18"/>
                <w:szCs w:val="18"/>
              </w:rPr>
              <w:t>4.0</w:t>
            </w:r>
          </w:p>
        </w:tc>
        <w:tc>
          <w:tcPr>
            <w:tcW w:w="709" w:type="dxa"/>
            <w:tcBorders>
              <w:top w:val="nil"/>
              <w:left w:val="nil"/>
              <w:bottom w:val="nil"/>
              <w:right w:val="nil"/>
            </w:tcBorders>
            <w:shd w:val="clear" w:color="auto" w:fill="auto"/>
            <w:vAlign w:val="bottom"/>
          </w:tcPr>
          <w:p w14:paraId="3C24E1A8" w14:textId="251396C2" w:rsidR="00571749" w:rsidRDefault="00571749" w:rsidP="00C4369E">
            <w:pPr>
              <w:pStyle w:val="TableBodyText"/>
            </w:pPr>
            <w:r>
              <w:t>2.</w:t>
            </w:r>
            <w:r w:rsidR="00C4369E">
              <w:t>4</w:t>
            </w:r>
          </w:p>
        </w:tc>
      </w:tr>
      <w:tr w:rsidR="00571749" w14:paraId="6E9A1033" w14:textId="77777777" w:rsidTr="006700E5">
        <w:trPr>
          <w:cantSplit/>
          <w:trHeight w:val="20"/>
        </w:trPr>
        <w:tc>
          <w:tcPr>
            <w:tcW w:w="2672" w:type="dxa"/>
            <w:tcBorders>
              <w:top w:val="nil"/>
              <w:left w:val="nil"/>
              <w:bottom w:val="single" w:sz="4" w:space="0" w:color="BFBFBF"/>
              <w:right w:val="nil"/>
            </w:tcBorders>
            <w:shd w:val="clear" w:color="auto" w:fill="auto"/>
            <w:vAlign w:val="bottom"/>
          </w:tcPr>
          <w:p w14:paraId="6D2268A2" w14:textId="77777777" w:rsidR="00571749" w:rsidRDefault="00571749" w:rsidP="006B62AA">
            <w:pPr>
              <w:pStyle w:val="TableBodyText"/>
              <w:ind w:left="-113" w:right="0"/>
              <w:jc w:val="left"/>
            </w:pPr>
            <w:r>
              <w:t>Number of observations</w:t>
            </w:r>
          </w:p>
        </w:tc>
        <w:tc>
          <w:tcPr>
            <w:tcW w:w="1162" w:type="dxa"/>
            <w:tcBorders>
              <w:top w:val="nil"/>
              <w:left w:val="nil"/>
              <w:bottom w:val="single" w:sz="4" w:space="0" w:color="BFBFBF"/>
              <w:right w:val="nil"/>
            </w:tcBorders>
            <w:shd w:val="clear" w:color="auto" w:fill="auto"/>
            <w:vAlign w:val="bottom"/>
          </w:tcPr>
          <w:p w14:paraId="5C14F7AD" w14:textId="77777777" w:rsidR="00571749" w:rsidRDefault="00571749" w:rsidP="006B62AA">
            <w:pPr>
              <w:pStyle w:val="TableBodyText"/>
              <w:tabs>
                <w:tab w:val="left" w:pos="992"/>
              </w:tabs>
              <w:ind w:left="-57" w:right="-57"/>
              <w:jc w:val="left"/>
            </w:pPr>
            <w:r>
              <w:t>Number</w:t>
            </w:r>
          </w:p>
        </w:tc>
        <w:tc>
          <w:tcPr>
            <w:tcW w:w="1673" w:type="dxa"/>
            <w:gridSpan w:val="2"/>
            <w:tcBorders>
              <w:top w:val="nil"/>
              <w:left w:val="nil"/>
              <w:bottom w:val="single" w:sz="4" w:space="0" w:color="BFBFBF"/>
              <w:right w:val="nil"/>
            </w:tcBorders>
            <w:shd w:val="clear" w:color="auto" w:fill="auto"/>
            <w:vAlign w:val="bottom"/>
          </w:tcPr>
          <w:p w14:paraId="2B6E862F" w14:textId="77777777" w:rsidR="00571749" w:rsidRPr="003B7581" w:rsidRDefault="00D47A82" w:rsidP="004235A4">
            <w:pPr>
              <w:jc w:val="center"/>
              <w:rPr>
                <w:rFonts w:ascii="Arial" w:hAnsi="Arial" w:cs="Arial"/>
                <w:color w:val="000000"/>
                <w:sz w:val="18"/>
                <w:szCs w:val="18"/>
              </w:rPr>
            </w:pPr>
            <w:r>
              <w:rPr>
                <w:rFonts w:ascii="Arial" w:hAnsi="Arial" w:cs="Arial"/>
                <w:color w:val="000000"/>
                <w:sz w:val="18"/>
                <w:szCs w:val="18"/>
              </w:rPr>
              <w:t>49 283</w:t>
            </w:r>
          </w:p>
        </w:tc>
        <w:tc>
          <w:tcPr>
            <w:tcW w:w="1701" w:type="dxa"/>
            <w:gridSpan w:val="2"/>
            <w:tcBorders>
              <w:top w:val="nil"/>
              <w:left w:val="nil"/>
              <w:bottom w:val="single" w:sz="4" w:space="0" w:color="BFBFBF"/>
              <w:right w:val="nil"/>
            </w:tcBorders>
            <w:shd w:val="clear" w:color="auto" w:fill="auto"/>
            <w:vAlign w:val="bottom"/>
          </w:tcPr>
          <w:p w14:paraId="4A1E86D9" w14:textId="77777777" w:rsidR="00571749" w:rsidRPr="003B7581" w:rsidRDefault="00D47A82" w:rsidP="004235A4">
            <w:pPr>
              <w:jc w:val="center"/>
              <w:rPr>
                <w:rFonts w:ascii="Arial" w:hAnsi="Arial" w:cs="Arial"/>
                <w:color w:val="000000"/>
                <w:sz w:val="18"/>
                <w:szCs w:val="18"/>
              </w:rPr>
            </w:pPr>
            <w:r>
              <w:rPr>
                <w:rFonts w:ascii="Arial" w:hAnsi="Arial" w:cs="Arial"/>
                <w:color w:val="000000"/>
                <w:sz w:val="18"/>
                <w:szCs w:val="18"/>
              </w:rPr>
              <w:t>37 047</w:t>
            </w:r>
          </w:p>
        </w:tc>
        <w:tc>
          <w:tcPr>
            <w:tcW w:w="1559" w:type="dxa"/>
            <w:gridSpan w:val="2"/>
            <w:tcBorders>
              <w:top w:val="nil"/>
              <w:left w:val="nil"/>
              <w:bottom w:val="single" w:sz="4" w:space="0" w:color="BFBFBF"/>
              <w:right w:val="nil"/>
            </w:tcBorders>
            <w:shd w:val="clear" w:color="auto" w:fill="auto"/>
            <w:vAlign w:val="bottom"/>
          </w:tcPr>
          <w:p w14:paraId="10282181" w14:textId="77777777" w:rsidR="00571749" w:rsidRPr="003B7581" w:rsidRDefault="00D47A82" w:rsidP="004235A4">
            <w:pPr>
              <w:jc w:val="center"/>
              <w:rPr>
                <w:rFonts w:ascii="Arial" w:hAnsi="Arial" w:cs="Arial"/>
                <w:color w:val="000000"/>
                <w:sz w:val="18"/>
                <w:szCs w:val="18"/>
              </w:rPr>
            </w:pPr>
            <w:r>
              <w:rPr>
                <w:rFonts w:ascii="Arial" w:hAnsi="Arial" w:cs="Arial"/>
                <w:color w:val="000000"/>
                <w:sz w:val="18"/>
                <w:szCs w:val="18"/>
              </w:rPr>
              <w:t>24 542</w:t>
            </w:r>
          </w:p>
        </w:tc>
      </w:tr>
      <w:tr w:rsidR="00571749" w14:paraId="077EF368" w14:textId="77777777" w:rsidTr="004235A4">
        <w:trPr>
          <w:cantSplit/>
        </w:trPr>
        <w:tc>
          <w:tcPr>
            <w:tcW w:w="8767" w:type="dxa"/>
            <w:gridSpan w:val="8"/>
            <w:tcBorders>
              <w:top w:val="single" w:sz="4" w:space="0" w:color="BFBFBF"/>
              <w:left w:val="nil"/>
              <w:bottom w:val="nil"/>
              <w:right w:val="nil"/>
            </w:tcBorders>
            <w:shd w:val="clear" w:color="auto" w:fill="auto"/>
          </w:tcPr>
          <w:p w14:paraId="276C7987" w14:textId="24561520" w:rsidR="00571749" w:rsidRDefault="006209FB" w:rsidP="00CF45F9">
            <w:pPr>
              <w:pStyle w:val="Note"/>
              <w:rPr>
                <w:i/>
              </w:rPr>
            </w:pPr>
            <w:r w:rsidRPr="0017252C">
              <w:rPr>
                <w:rStyle w:val="NoteLabel"/>
              </w:rPr>
              <w:t>a</w:t>
            </w:r>
            <w:r>
              <w:rPr>
                <w:rStyle w:val="NoteLabel"/>
              </w:rPr>
              <w:t xml:space="preserve"> </w:t>
            </w:r>
            <w:r>
              <w:t>H</w:t>
            </w:r>
            <w:r w:rsidR="00571749">
              <w:t xml:space="preserve">ousing assistance indicates </w:t>
            </w:r>
            <w:r w:rsidR="004138EC">
              <w:t>an individual’s</w:t>
            </w:r>
            <w:r w:rsidR="00571749">
              <w:t xml:space="preserve"> parent’s housing assistance status </w:t>
            </w:r>
            <w:r w:rsidR="00E51391">
              <w:t>at 30 June 2012</w:t>
            </w:r>
            <w:r w:rsidR="00571749">
              <w:t xml:space="preserve">. The use of </w:t>
            </w:r>
            <w:r w:rsidR="00585172">
              <w:t xml:space="preserve">a </w:t>
            </w:r>
            <w:r w:rsidR="00571749">
              <w:t xml:space="preserve">lagged </w:t>
            </w:r>
            <w:r w:rsidR="003E27B4">
              <w:t xml:space="preserve">housing assistance </w:t>
            </w:r>
            <w:r w:rsidR="00571749">
              <w:t>variable is discussed in section</w:t>
            </w:r>
            <w:r w:rsidR="00531BBF">
              <w:t> </w:t>
            </w:r>
            <w:r w:rsidR="00571749">
              <w:t xml:space="preserve">3. </w:t>
            </w:r>
            <w:r w:rsidR="00571749">
              <w:rPr>
                <w:rStyle w:val="NoteLabel"/>
              </w:rPr>
              <w:t xml:space="preserve">b </w:t>
            </w:r>
            <w:r w:rsidR="00571749">
              <w:t xml:space="preserve">The average number of children in the care of </w:t>
            </w:r>
            <w:r w:rsidR="00585172">
              <w:t xml:space="preserve">a </w:t>
            </w:r>
            <w:r w:rsidR="00571749">
              <w:t>parent.</w:t>
            </w:r>
            <w:r w:rsidR="00571749">
              <w:rPr>
                <w:rStyle w:val="NoteLabel"/>
              </w:rPr>
              <w:t xml:space="preserve"> c </w:t>
            </w:r>
            <w:r>
              <w:t xml:space="preserve">Other payments include a range of less common income support payments, including Bereavement Allowance, Wife’s Pension, Wife’s Disability Support Pension, Austudy, Partner Allowance, Sickness Allowance, Special Benefits, Widow Allowance and Abstudy. </w:t>
            </w:r>
            <w:r>
              <w:rPr>
                <w:rStyle w:val="NoteLabel"/>
              </w:rPr>
              <w:t xml:space="preserve">d </w:t>
            </w:r>
            <w:r w:rsidRPr="009D387B">
              <w:t xml:space="preserve">The average </w:t>
            </w:r>
            <w:r>
              <w:t>decile of the Index of Relative Socioeconomic Disadvantage at the Statistical Area 1 geographic unit level. A lower decile indicates greater disadvantage.</w:t>
            </w:r>
          </w:p>
        </w:tc>
      </w:tr>
      <w:tr w:rsidR="00571749" w14:paraId="11F91220" w14:textId="77777777" w:rsidTr="004235A4">
        <w:trPr>
          <w:cantSplit/>
        </w:trPr>
        <w:tc>
          <w:tcPr>
            <w:tcW w:w="8767" w:type="dxa"/>
            <w:gridSpan w:val="8"/>
            <w:tcBorders>
              <w:top w:val="nil"/>
              <w:left w:val="nil"/>
              <w:bottom w:val="single" w:sz="6" w:space="0" w:color="78A22F"/>
              <w:right w:val="nil"/>
            </w:tcBorders>
            <w:shd w:val="clear" w:color="auto" w:fill="auto"/>
          </w:tcPr>
          <w:p w14:paraId="2C4C9B93" w14:textId="77777777" w:rsidR="00571749" w:rsidRDefault="00571749" w:rsidP="004235A4">
            <w:pPr>
              <w:pStyle w:val="Box"/>
              <w:spacing w:before="0" w:line="120" w:lineRule="exact"/>
            </w:pPr>
          </w:p>
        </w:tc>
      </w:tr>
      <w:tr w:rsidR="00571749" w:rsidRPr="000863A5" w14:paraId="74C8EB81" w14:textId="77777777" w:rsidTr="004235A4">
        <w:tc>
          <w:tcPr>
            <w:tcW w:w="8767" w:type="dxa"/>
            <w:gridSpan w:val="8"/>
            <w:tcBorders>
              <w:top w:val="single" w:sz="6" w:space="0" w:color="78A22F"/>
              <w:left w:val="nil"/>
              <w:bottom w:val="nil"/>
              <w:right w:val="nil"/>
            </w:tcBorders>
          </w:tcPr>
          <w:p w14:paraId="1B390030" w14:textId="3E6F1815" w:rsidR="00571749" w:rsidRPr="00626D32" w:rsidRDefault="00571749" w:rsidP="004235A4">
            <w:pPr>
              <w:pStyle w:val="BoxSpaceBelow"/>
            </w:pPr>
          </w:p>
        </w:tc>
      </w:tr>
    </w:tbl>
    <w:p w14:paraId="5AFFAB4C" w14:textId="77777777" w:rsidR="00571749" w:rsidRDefault="00571749" w:rsidP="00571749">
      <w:pPr>
        <w:pStyle w:val="Heading3"/>
      </w:pPr>
      <w:r>
        <w:t>Housing assistance and employment</w:t>
      </w:r>
    </w:p>
    <w:p w14:paraId="1D5B7122" w14:textId="3D28D1B2" w:rsidR="00571749" w:rsidRDefault="00364BBB" w:rsidP="00571749">
      <w:pPr>
        <w:pStyle w:val="BodyText"/>
      </w:pPr>
      <w:r>
        <w:t>P</w:t>
      </w:r>
      <w:r w:rsidR="00571749">
        <w:t xml:space="preserve">ublic housing tenants </w:t>
      </w:r>
      <w:r w:rsidR="00585172">
        <w:t>we</w:t>
      </w:r>
      <w:r w:rsidR="00571749">
        <w:t>re consistently less likely to be in work than other ISP recipients</w:t>
      </w:r>
      <w:r>
        <w:t xml:space="preserve"> over the period considered in this study</w:t>
      </w:r>
      <w:r w:rsidR="00571749">
        <w:t xml:space="preserve">. </w:t>
      </w:r>
      <w:r w:rsidR="003E0F78">
        <w:t>On average</w:t>
      </w:r>
      <w:r w:rsidR="00571749">
        <w:t xml:space="preserve">, around one in five ISP recipients reported earning income </w:t>
      </w:r>
      <w:r w:rsidR="00585172">
        <w:t xml:space="preserve">from employment </w:t>
      </w:r>
      <w:r w:rsidR="00571749">
        <w:t>at 30 June of each year between 2005 and 2013 and are considered as being employed (figure</w:t>
      </w:r>
      <w:r w:rsidR="00F858B3">
        <w:t> </w:t>
      </w:r>
      <w:r w:rsidR="00571749">
        <w:t xml:space="preserve">3). The </w:t>
      </w:r>
      <w:r w:rsidR="003E0F78">
        <w:t xml:space="preserve">average </w:t>
      </w:r>
      <w:r w:rsidR="00571749">
        <w:t xml:space="preserve">figure for those residing in public housing was substantially lower, at </w:t>
      </w:r>
      <w:r w:rsidR="00CF45F9">
        <w:t xml:space="preserve">approximately </w:t>
      </w:r>
      <w:r w:rsidR="00056F22">
        <w:t>12 per cent.</w:t>
      </w:r>
    </w:p>
    <w:p w14:paraId="580FD5C1" w14:textId="46FBC508" w:rsidR="00571749" w:rsidRDefault="00571749" w:rsidP="0057174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1749" w14:paraId="0F653F6E" w14:textId="77777777" w:rsidTr="004235A4">
        <w:tc>
          <w:tcPr>
            <w:tcW w:w="8771" w:type="dxa"/>
            <w:tcBorders>
              <w:top w:val="single" w:sz="6" w:space="0" w:color="78A22F"/>
              <w:left w:val="nil"/>
              <w:bottom w:val="nil"/>
              <w:right w:val="nil"/>
            </w:tcBorders>
            <w:shd w:val="clear" w:color="auto" w:fill="auto"/>
          </w:tcPr>
          <w:p w14:paraId="728833FD" w14:textId="12FCDF6D" w:rsidR="00571749" w:rsidRDefault="00571749" w:rsidP="004235A4">
            <w:pPr>
              <w:pStyle w:val="FigureTitle"/>
            </w:pPr>
            <w:r w:rsidRPr="00784A05">
              <w:rPr>
                <w:b w:val="0"/>
              </w:rPr>
              <w:t xml:space="preserve">Figure </w:t>
            </w:r>
            <w:bookmarkStart w:id="6" w:name="OLE_LINK11"/>
            <w:r w:rsidR="00D8076D">
              <w:rPr>
                <w:b w:val="0"/>
                <w:noProof/>
              </w:rPr>
              <w:t>3</w:t>
            </w:r>
            <w:bookmarkEnd w:id="6"/>
            <w:r>
              <w:tab/>
              <w:t>Employment rates, by housing assistance status</w:t>
            </w:r>
            <w:r w:rsidR="00E51391">
              <w:t>, 2005 to 2013</w:t>
            </w:r>
            <w:r w:rsidR="007C5952" w:rsidRPr="007C5952">
              <w:rPr>
                <w:rStyle w:val="NoteLabel"/>
                <w:b/>
              </w:rPr>
              <w:t>a,b</w:t>
            </w:r>
          </w:p>
          <w:p w14:paraId="6E3F59CF" w14:textId="77777777" w:rsidR="00571749" w:rsidRPr="00176D3F" w:rsidRDefault="00571749" w:rsidP="004235A4">
            <w:pPr>
              <w:pStyle w:val="Subtitle"/>
            </w:pPr>
            <w:r>
              <w:t>Per cent</w:t>
            </w:r>
          </w:p>
        </w:tc>
      </w:tr>
      <w:tr w:rsidR="00571749" w14:paraId="52F00127" w14:textId="77777777" w:rsidTr="004235A4">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571749" w14:paraId="22FD89FB" w14:textId="77777777" w:rsidTr="004235A4">
              <w:trPr>
                <w:jc w:val="center"/>
              </w:trPr>
              <w:tc>
                <w:tcPr>
                  <w:tcW w:w="8504" w:type="dxa"/>
                  <w:tcBorders>
                    <w:top w:val="nil"/>
                    <w:bottom w:val="nil"/>
                  </w:tcBorders>
                </w:tcPr>
                <w:p w14:paraId="3A3F21B9" w14:textId="736F73D0" w:rsidR="00571749" w:rsidRDefault="00FF302A" w:rsidP="004235A4">
                  <w:pPr>
                    <w:pStyle w:val="Figure"/>
                    <w:spacing w:before="60" w:after="60"/>
                  </w:pPr>
                  <w:r>
                    <w:rPr>
                      <w:noProof/>
                    </w:rPr>
                    <w:drawing>
                      <wp:inline distT="0" distB="0" distL="0" distR="0" wp14:anchorId="49A7771D" wp14:editId="3D418642">
                        <wp:extent cx="5257800" cy="2800350"/>
                        <wp:effectExtent l="0" t="0" r="0" b="0"/>
                        <wp:docPr id="9" name="Picture 9" descr="This figure shows the employment rates of ISP recipients with different housing assistance status between 2005 and 2013. The employment rates of all people  increase slightly between 2005 and 2008, before decreasing. Employment in public housing was around 9.5 per cent in 2013. Among CRA recipients and people not receiving any housing assistance, employment was just under 20 per cent at this time.&#10;" title="Figure 3: Employment rates, by housing assistance status, 2005 to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57800" cy="2800350"/>
                                </a:xfrm>
                                <a:prstGeom prst="rect">
                                  <a:avLst/>
                                </a:prstGeom>
                                <a:noFill/>
                                <a:ln>
                                  <a:noFill/>
                                </a:ln>
                              </pic:spPr>
                            </pic:pic>
                          </a:graphicData>
                        </a:graphic>
                      </wp:inline>
                    </w:drawing>
                  </w:r>
                </w:p>
              </w:tc>
            </w:tr>
          </w:tbl>
          <w:p w14:paraId="73A31881" w14:textId="77777777" w:rsidR="00571749" w:rsidRDefault="00571749" w:rsidP="004235A4">
            <w:pPr>
              <w:pStyle w:val="Figure"/>
            </w:pPr>
          </w:p>
        </w:tc>
      </w:tr>
      <w:tr w:rsidR="007C5952" w:rsidRPr="00176D3F" w14:paraId="44E7979B" w14:textId="77777777" w:rsidTr="004235A4">
        <w:tc>
          <w:tcPr>
            <w:tcW w:w="8771" w:type="dxa"/>
            <w:tcBorders>
              <w:top w:val="nil"/>
              <w:left w:val="nil"/>
              <w:bottom w:val="nil"/>
              <w:right w:val="nil"/>
            </w:tcBorders>
            <w:shd w:val="clear" w:color="auto" w:fill="auto"/>
          </w:tcPr>
          <w:p w14:paraId="5C690B69" w14:textId="77777777" w:rsidR="007C5952" w:rsidRDefault="007C5952" w:rsidP="007C5952">
            <w:pPr>
              <w:pStyle w:val="Source"/>
              <w:rPr>
                <w:i/>
              </w:rPr>
            </w:pPr>
            <w:r w:rsidRPr="007C5952">
              <w:rPr>
                <w:rStyle w:val="NoteLabel"/>
              </w:rPr>
              <w:t>a</w:t>
            </w:r>
            <w:r>
              <w:rPr>
                <w:rStyle w:val="NoteLabel"/>
              </w:rPr>
              <w:t xml:space="preserve"> </w:t>
            </w:r>
            <w:r w:rsidRPr="00924049">
              <w:t xml:space="preserve">ISP recipients aged </w:t>
            </w:r>
            <w:r w:rsidR="008705F6">
              <w:t xml:space="preserve">16–65 </w:t>
            </w:r>
            <w:r w:rsidRPr="00924049">
              <w:t>at 30 June of each year.</w:t>
            </w:r>
            <w:r>
              <w:t xml:space="preserve"> </w:t>
            </w:r>
            <w:r w:rsidRPr="007C5952">
              <w:rPr>
                <w:rStyle w:val="NoteLabel"/>
              </w:rPr>
              <w:t>b</w:t>
            </w:r>
            <w:r w:rsidRPr="003072FD">
              <w:rPr>
                <w:rStyle w:val="NoteLabel"/>
              </w:rPr>
              <w:t xml:space="preserve"> </w:t>
            </w:r>
            <w:r>
              <w:t>The housing assistance variable indicates housing assistance status in the previous year. The use of lagged variables is discussed in section 3.</w:t>
            </w:r>
          </w:p>
        </w:tc>
      </w:tr>
      <w:tr w:rsidR="00571749" w:rsidRPr="00176D3F" w14:paraId="104B0CE9" w14:textId="77777777" w:rsidTr="004235A4">
        <w:tc>
          <w:tcPr>
            <w:tcW w:w="8771" w:type="dxa"/>
            <w:tcBorders>
              <w:top w:val="nil"/>
              <w:left w:val="nil"/>
              <w:bottom w:val="nil"/>
              <w:right w:val="nil"/>
            </w:tcBorders>
            <w:shd w:val="clear" w:color="auto" w:fill="auto"/>
          </w:tcPr>
          <w:p w14:paraId="03AFF4B2" w14:textId="77777777" w:rsidR="00571749" w:rsidRPr="00176D3F" w:rsidRDefault="00F858B3" w:rsidP="004235A4">
            <w:pPr>
              <w:pStyle w:val="Source"/>
            </w:pPr>
            <w:r>
              <w:rPr>
                <w:i/>
              </w:rPr>
              <w:t>S</w:t>
            </w:r>
            <w:r w:rsidR="00571749" w:rsidRPr="00784A05">
              <w:rPr>
                <w:i/>
              </w:rPr>
              <w:t>ource</w:t>
            </w:r>
            <w:r w:rsidR="00571749" w:rsidRPr="00176D3F">
              <w:t xml:space="preserve">: </w:t>
            </w:r>
            <w:r w:rsidR="005F4C6C">
              <w:t xml:space="preserve">Author </w:t>
            </w:r>
            <w:r w:rsidR="00571749">
              <w:t>estimates based on the Research and Evaluation Database.</w:t>
            </w:r>
          </w:p>
        </w:tc>
      </w:tr>
      <w:tr w:rsidR="00571749" w14:paraId="33D3C659" w14:textId="77777777" w:rsidTr="004235A4">
        <w:tc>
          <w:tcPr>
            <w:tcW w:w="8771" w:type="dxa"/>
            <w:tcBorders>
              <w:top w:val="nil"/>
              <w:left w:val="nil"/>
              <w:bottom w:val="single" w:sz="6" w:space="0" w:color="78A22F"/>
              <w:right w:val="nil"/>
            </w:tcBorders>
            <w:shd w:val="clear" w:color="auto" w:fill="auto"/>
          </w:tcPr>
          <w:p w14:paraId="2A3AFB9F" w14:textId="77777777" w:rsidR="00571749" w:rsidRDefault="00571749" w:rsidP="004235A4">
            <w:pPr>
              <w:pStyle w:val="Figurespace"/>
            </w:pPr>
          </w:p>
        </w:tc>
      </w:tr>
      <w:tr w:rsidR="00571749" w:rsidRPr="000863A5" w14:paraId="1A3F9A43" w14:textId="77777777" w:rsidTr="004235A4">
        <w:trPr>
          <w:hidden/>
        </w:trPr>
        <w:tc>
          <w:tcPr>
            <w:tcW w:w="8771" w:type="dxa"/>
            <w:tcBorders>
              <w:top w:val="single" w:sz="6" w:space="0" w:color="78A22F"/>
              <w:left w:val="nil"/>
              <w:bottom w:val="nil"/>
              <w:right w:val="nil"/>
            </w:tcBorders>
          </w:tcPr>
          <w:p w14:paraId="5E6D1807" w14:textId="0D4A45A6" w:rsidR="00571749" w:rsidRPr="0081524F" w:rsidRDefault="00571749" w:rsidP="004235A4">
            <w:pPr>
              <w:pStyle w:val="BoxSpaceBelow"/>
              <w:rPr>
                <w:rFonts w:ascii="Times New Roman" w:hAnsi="Times New Roman"/>
                <w:b/>
                <w:vanish/>
                <w:color w:val="FF00FF"/>
              </w:rPr>
            </w:pPr>
          </w:p>
        </w:tc>
      </w:tr>
    </w:tbl>
    <w:p w14:paraId="150DCE64" w14:textId="5D35350A" w:rsidR="00571749" w:rsidRPr="000A0387" w:rsidRDefault="00571749" w:rsidP="007656A5">
      <w:pPr>
        <w:pStyle w:val="BodyText"/>
        <w:rPr>
          <w:spacing w:val="-2"/>
        </w:rPr>
      </w:pPr>
      <w:r w:rsidRPr="000A0387">
        <w:rPr>
          <w:spacing w:val="-2"/>
        </w:rPr>
        <w:t xml:space="preserve">Although rates of employment vary considerably across different types of </w:t>
      </w:r>
      <w:r w:rsidR="00BB439F" w:rsidRPr="000A0387">
        <w:rPr>
          <w:spacing w:val="-2"/>
        </w:rPr>
        <w:t>income support</w:t>
      </w:r>
      <w:r w:rsidRPr="000A0387">
        <w:rPr>
          <w:spacing w:val="-2"/>
        </w:rPr>
        <w:t xml:space="preserve">, </w:t>
      </w:r>
      <w:r w:rsidR="007656A5" w:rsidRPr="000A0387">
        <w:rPr>
          <w:spacing w:val="-2"/>
        </w:rPr>
        <w:t>p</w:t>
      </w:r>
      <w:r w:rsidRPr="000A0387">
        <w:rPr>
          <w:spacing w:val="-2"/>
        </w:rPr>
        <w:t xml:space="preserve">ublic housing residents </w:t>
      </w:r>
      <w:r w:rsidR="00092F29" w:rsidRPr="000A0387">
        <w:rPr>
          <w:spacing w:val="-2"/>
        </w:rPr>
        <w:t xml:space="preserve">record </w:t>
      </w:r>
      <w:r w:rsidRPr="000A0387">
        <w:rPr>
          <w:spacing w:val="-2"/>
        </w:rPr>
        <w:t>lower employment rates than CRA recipien</w:t>
      </w:r>
      <w:r w:rsidRPr="000A0387">
        <w:rPr>
          <w:rStyle w:val="BodyTextChar"/>
          <w:spacing w:val="-2"/>
        </w:rPr>
        <w:t>ts and other income support recipients who do not receive housing assistance</w:t>
      </w:r>
      <w:r w:rsidRPr="000A0387">
        <w:rPr>
          <w:spacing w:val="-2"/>
        </w:rPr>
        <w:t xml:space="preserve"> </w:t>
      </w:r>
      <w:r w:rsidR="00B740A8" w:rsidRPr="000A0387">
        <w:rPr>
          <w:spacing w:val="-2"/>
        </w:rPr>
        <w:t xml:space="preserve">across all ISP types </w:t>
      </w:r>
      <w:r w:rsidRPr="000A0387">
        <w:rPr>
          <w:spacing w:val="-2"/>
        </w:rPr>
        <w:t>(figure</w:t>
      </w:r>
      <w:r w:rsidR="00F858B3" w:rsidRPr="000A0387">
        <w:rPr>
          <w:spacing w:val="-2"/>
        </w:rPr>
        <w:t> </w:t>
      </w:r>
      <w:r w:rsidR="004D7CF6" w:rsidRPr="000A0387">
        <w:rPr>
          <w:spacing w:val="-2"/>
        </w:rPr>
        <w:t>4</w:t>
      </w:r>
      <w:r w:rsidRPr="000A0387">
        <w:rPr>
          <w:spacing w:val="-2"/>
        </w:rPr>
        <w:t>).</w:t>
      </w:r>
    </w:p>
    <w:p w14:paraId="4DB381D5" w14:textId="3BA8E06E" w:rsidR="00571749" w:rsidRPr="00185F8D" w:rsidRDefault="00571749" w:rsidP="00571749">
      <w:pPr>
        <w:pStyle w:val="BodyText"/>
        <w:rPr>
          <w:spacing w:val="-2"/>
        </w:rPr>
      </w:pPr>
      <w:r w:rsidRPr="00185F8D">
        <w:rPr>
          <w:spacing w:val="-2"/>
        </w:rPr>
        <w:t>The rates of employment of young ISP recipients (aged 16</w:t>
      </w:r>
      <w:r w:rsidRPr="001842EF">
        <w:rPr>
          <w:spacing w:val="-2"/>
        </w:rPr>
        <w:t>–</w:t>
      </w:r>
      <w:r w:rsidRPr="00185F8D">
        <w:rPr>
          <w:spacing w:val="-2"/>
        </w:rPr>
        <w:t xml:space="preserve">24) </w:t>
      </w:r>
      <w:r w:rsidR="000010F9">
        <w:rPr>
          <w:spacing w:val="-2"/>
        </w:rPr>
        <w:t xml:space="preserve">living at home with </w:t>
      </w:r>
      <w:r w:rsidRPr="00185F8D">
        <w:rPr>
          <w:spacing w:val="-2"/>
        </w:rPr>
        <w:t xml:space="preserve">parents </w:t>
      </w:r>
      <w:r w:rsidR="000010F9">
        <w:rPr>
          <w:spacing w:val="-2"/>
        </w:rPr>
        <w:t>who</w:t>
      </w:r>
      <w:r w:rsidRPr="00185F8D">
        <w:rPr>
          <w:spacing w:val="-2"/>
        </w:rPr>
        <w:t xml:space="preserve"> also receive an ISP, </w:t>
      </w:r>
      <w:r w:rsidRPr="001842EF">
        <w:rPr>
          <w:spacing w:val="-2"/>
        </w:rPr>
        <w:t>appear to be</w:t>
      </w:r>
      <w:r w:rsidRPr="00185F8D">
        <w:rPr>
          <w:spacing w:val="-2"/>
        </w:rPr>
        <w:t xml:space="preserve"> related to their parents’ housing assistance status. </w:t>
      </w:r>
      <w:r w:rsidR="00B740A8">
        <w:rPr>
          <w:spacing w:val="-2"/>
        </w:rPr>
        <w:t xml:space="preserve">Across all ISP types, </w:t>
      </w:r>
      <w:r w:rsidR="00B26C6B">
        <w:rPr>
          <w:spacing w:val="-2"/>
        </w:rPr>
        <w:t xml:space="preserve">between 2005 and 2013 </w:t>
      </w:r>
      <w:r w:rsidR="00B740A8">
        <w:rPr>
          <w:spacing w:val="-2"/>
        </w:rPr>
        <w:t>y</w:t>
      </w:r>
      <w:r w:rsidRPr="00185F8D">
        <w:rPr>
          <w:spacing w:val="-2"/>
        </w:rPr>
        <w:t xml:space="preserve">oung recipients </w:t>
      </w:r>
      <w:r w:rsidR="007656A5">
        <w:rPr>
          <w:spacing w:val="-2"/>
        </w:rPr>
        <w:t>living</w:t>
      </w:r>
      <w:r w:rsidR="000010F9">
        <w:rPr>
          <w:spacing w:val="-2"/>
        </w:rPr>
        <w:t xml:space="preserve"> with their</w:t>
      </w:r>
      <w:r w:rsidRPr="00185F8D">
        <w:rPr>
          <w:spacing w:val="-2"/>
        </w:rPr>
        <w:t xml:space="preserve"> parents in public housing</w:t>
      </w:r>
      <w:r>
        <w:rPr>
          <w:spacing w:val="-2"/>
        </w:rPr>
        <w:t xml:space="preserve"> </w:t>
      </w:r>
      <w:r w:rsidR="00B740A8">
        <w:rPr>
          <w:spacing w:val="-2"/>
        </w:rPr>
        <w:t>had</w:t>
      </w:r>
      <w:r w:rsidRPr="00185F8D">
        <w:rPr>
          <w:spacing w:val="-2"/>
        </w:rPr>
        <w:t xml:space="preserve"> lower employment rates than their peer</w:t>
      </w:r>
      <w:r>
        <w:rPr>
          <w:spacing w:val="-2"/>
        </w:rPr>
        <w:t xml:space="preserve">s </w:t>
      </w:r>
      <w:r w:rsidR="00B740A8">
        <w:rPr>
          <w:spacing w:val="-2"/>
        </w:rPr>
        <w:t>in other tenures</w:t>
      </w:r>
      <w:r w:rsidR="00050EEF">
        <w:rPr>
          <w:spacing w:val="-2"/>
        </w:rPr>
        <w:t xml:space="preserve"> </w:t>
      </w:r>
      <w:r>
        <w:rPr>
          <w:spacing w:val="-2"/>
        </w:rPr>
        <w:t>(figure </w:t>
      </w:r>
      <w:r w:rsidR="000010F9">
        <w:rPr>
          <w:spacing w:val="-2"/>
        </w:rPr>
        <w:t>5</w:t>
      </w:r>
      <w:r>
        <w:rPr>
          <w:spacing w:val="-2"/>
        </w:rPr>
        <w:t xml:space="preserve">). Overall, </w:t>
      </w:r>
      <w:r w:rsidR="00CF45F9">
        <w:rPr>
          <w:spacing w:val="-2"/>
        </w:rPr>
        <w:t xml:space="preserve">about </w:t>
      </w:r>
      <w:r>
        <w:rPr>
          <w:spacing w:val="-2"/>
        </w:rPr>
        <w:t>15</w:t>
      </w:r>
      <w:r w:rsidRPr="00185F8D">
        <w:rPr>
          <w:spacing w:val="-2"/>
        </w:rPr>
        <w:t xml:space="preserve"> per cent of young ISP recipients </w:t>
      </w:r>
      <w:r w:rsidR="007656A5">
        <w:rPr>
          <w:spacing w:val="-2"/>
        </w:rPr>
        <w:t xml:space="preserve">living with </w:t>
      </w:r>
      <w:r w:rsidRPr="00185F8D">
        <w:rPr>
          <w:spacing w:val="-2"/>
        </w:rPr>
        <w:t>parents in public housing were</w:t>
      </w:r>
      <w:r>
        <w:rPr>
          <w:spacing w:val="-2"/>
        </w:rPr>
        <w:t xml:space="preserve"> employed, compared to around 21</w:t>
      </w:r>
      <w:r w:rsidRPr="00185F8D">
        <w:rPr>
          <w:spacing w:val="-2"/>
        </w:rPr>
        <w:t xml:space="preserve"> per cent of children </w:t>
      </w:r>
      <w:r w:rsidR="007656A5">
        <w:rPr>
          <w:spacing w:val="-2"/>
        </w:rPr>
        <w:t>living</w:t>
      </w:r>
      <w:r w:rsidR="000010F9">
        <w:rPr>
          <w:spacing w:val="-2"/>
        </w:rPr>
        <w:t xml:space="preserve"> with </w:t>
      </w:r>
      <w:r>
        <w:rPr>
          <w:spacing w:val="-2"/>
        </w:rPr>
        <w:t xml:space="preserve">parents </w:t>
      </w:r>
      <w:r w:rsidR="000010F9">
        <w:rPr>
          <w:spacing w:val="-2"/>
        </w:rPr>
        <w:t xml:space="preserve">who </w:t>
      </w:r>
      <w:r>
        <w:rPr>
          <w:spacing w:val="-2"/>
        </w:rPr>
        <w:t>receive CRA and 26</w:t>
      </w:r>
      <w:r w:rsidRPr="00185F8D">
        <w:rPr>
          <w:spacing w:val="-2"/>
        </w:rPr>
        <w:t xml:space="preserve"> per cent of </w:t>
      </w:r>
      <w:r w:rsidR="000010F9">
        <w:rPr>
          <w:spacing w:val="-2"/>
        </w:rPr>
        <w:t xml:space="preserve">those living with </w:t>
      </w:r>
      <w:r w:rsidRPr="00185F8D">
        <w:rPr>
          <w:spacing w:val="-2"/>
        </w:rPr>
        <w:t xml:space="preserve">parents </w:t>
      </w:r>
      <w:r w:rsidR="000010F9">
        <w:rPr>
          <w:spacing w:val="-2"/>
        </w:rPr>
        <w:t>who</w:t>
      </w:r>
      <w:r w:rsidRPr="00185F8D">
        <w:rPr>
          <w:spacing w:val="-2"/>
        </w:rPr>
        <w:t xml:space="preserve"> were not receiving housing assistance.</w:t>
      </w:r>
    </w:p>
    <w:p w14:paraId="7A88A85C" w14:textId="4AFE3D2A" w:rsidR="00571749" w:rsidRDefault="00571749" w:rsidP="0057174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1749" w14:paraId="5C2DD752" w14:textId="77777777" w:rsidTr="004235A4">
        <w:tc>
          <w:tcPr>
            <w:tcW w:w="8771" w:type="dxa"/>
            <w:tcBorders>
              <w:top w:val="single" w:sz="6" w:space="0" w:color="78A22F"/>
              <w:left w:val="nil"/>
              <w:bottom w:val="nil"/>
              <w:right w:val="nil"/>
            </w:tcBorders>
            <w:shd w:val="clear" w:color="auto" w:fill="auto"/>
          </w:tcPr>
          <w:p w14:paraId="67AFC569" w14:textId="28EB609C" w:rsidR="00571749" w:rsidRDefault="00571749" w:rsidP="004235A4">
            <w:pPr>
              <w:pStyle w:val="FigureTitle"/>
            </w:pPr>
            <w:r w:rsidRPr="00784A05">
              <w:rPr>
                <w:b w:val="0"/>
              </w:rPr>
              <w:t xml:space="preserve">Figure </w:t>
            </w:r>
            <w:bookmarkStart w:id="7" w:name="OLE_LINK1"/>
            <w:r w:rsidR="00D8076D">
              <w:rPr>
                <w:b w:val="0"/>
                <w:noProof/>
              </w:rPr>
              <w:t>4</w:t>
            </w:r>
            <w:bookmarkEnd w:id="7"/>
            <w:r>
              <w:tab/>
              <w:t xml:space="preserve">Employment of housing assistance recipients by income support payment </w:t>
            </w:r>
            <w:r w:rsidR="007C5952">
              <w:t>type</w:t>
            </w:r>
            <w:r w:rsidR="00A80A45">
              <w:t>, 2005 to 2013</w:t>
            </w:r>
            <w:r w:rsidR="007C5952" w:rsidRPr="007C5952">
              <w:rPr>
                <w:rStyle w:val="NoteLabel"/>
                <w:b/>
              </w:rPr>
              <w:t>a,b,c</w:t>
            </w:r>
          </w:p>
          <w:p w14:paraId="5D352DE0" w14:textId="77777777" w:rsidR="00571749" w:rsidRPr="00176D3F" w:rsidRDefault="00571749" w:rsidP="004235A4">
            <w:pPr>
              <w:pStyle w:val="Subtitle"/>
            </w:pPr>
            <w:r>
              <w:t>Per cent</w:t>
            </w:r>
          </w:p>
        </w:tc>
      </w:tr>
      <w:tr w:rsidR="00571749" w14:paraId="303A27B2" w14:textId="77777777" w:rsidTr="004235A4">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571749" w14:paraId="4FCCB12D" w14:textId="77777777" w:rsidTr="00EE0B0E">
              <w:trPr>
                <w:jc w:val="center"/>
              </w:trPr>
              <w:tc>
                <w:tcPr>
                  <w:tcW w:w="8504" w:type="dxa"/>
                  <w:tcBorders>
                    <w:top w:val="nil"/>
                    <w:bottom w:val="nil"/>
                  </w:tcBorders>
                </w:tcPr>
                <w:p w14:paraId="65AA42AC" w14:textId="48EFAAC0" w:rsidR="00571749" w:rsidRDefault="002C7DE8" w:rsidP="004235A4">
                  <w:pPr>
                    <w:pStyle w:val="Figure"/>
                    <w:spacing w:before="60" w:after="60"/>
                  </w:pPr>
                  <w:r>
                    <w:rPr>
                      <w:noProof/>
                    </w:rPr>
                    <w:drawing>
                      <wp:inline distT="0" distB="0" distL="0" distR="0" wp14:anchorId="7983200D" wp14:editId="51BC1979">
                        <wp:extent cx="5210175" cy="2152650"/>
                        <wp:effectExtent l="0" t="0" r="9525" b="0"/>
                        <wp:docPr id="3" name="Picture 3" descr="This figure shows the employment rates among recipients of different income support payments, with recipients classified according to their housing assistance status. Employment among public housing residents is generally lower than those who receive no housing assistance or receive CRA, although employment varies by ISP. Employment is highest among recipients of Parenting Payment (Single), Youth Allowance (Student) and Newstart Allowance.&#10;" title="Figure 4: Employment of housing assistance recipients by income support payment type, 2005 to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10175" cy="2152650"/>
                                </a:xfrm>
                                <a:prstGeom prst="rect">
                                  <a:avLst/>
                                </a:prstGeom>
                                <a:noFill/>
                                <a:ln>
                                  <a:noFill/>
                                </a:ln>
                              </pic:spPr>
                            </pic:pic>
                          </a:graphicData>
                        </a:graphic>
                      </wp:inline>
                    </w:drawing>
                  </w:r>
                </w:p>
              </w:tc>
            </w:tr>
          </w:tbl>
          <w:p w14:paraId="7AB5EC60" w14:textId="77777777" w:rsidR="00571749" w:rsidRDefault="00571749" w:rsidP="004235A4">
            <w:pPr>
              <w:pStyle w:val="Figure"/>
            </w:pPr>
          </w:p>
        </w:tc>
      </w:tr>
      <w:tr w:rsidR="00571749" w:rsidRPr="00176D3F" w14:paraId="39FC08BF" w14:textId="77777777" w:rsidTr="004235A4">
        <w:tc>
          <w:tcPr>
            <w:tcW w:w="8771" w:type="dxa"/>
            <w:tcBorders>
              <w:top w:val="nil"/>
              <w:left w:val="nil"/>
              <w:bottom w:val="nil"/>
              <w:right w:val="nil"/>
            </w:tcBorders>
            <w:shd w:val="clear" w:color="auto" w:fill="auto"/>
          </w:tcPr>
          <w:p w14:paraId="4211A537" w14:textId="77777777" w:rsidR="00571749" w:rsidRPr="0017252C" w:rsidRDefault="007C5952" w:rsidP="00A80A45">
            <w:pPr>
              <w:pStyle w:val="Note"/>
              <w:rPr>
                <w:i/>
              </w:rPr>
            </w:pPr>
            <w:r w:rsidRPr="007C5952">
              <w:rPr>
                <w:rStyle w:val="NoteLabel"/>
              </w:rPr>
              <w:t>a</w:t>
            </w:r>
            <w:r>
              <w:rPr>
                <w:rStyle w:val="NoteLabel"/>
              </w:rPr>
              <w:t xml:space="preserve"> </w:t>
            </w:r>
            <w:r w:rsidRPr="00924049">
              <w:t xml:space="preserve">ISP recipients aged </w:t>
            </w:r>
            <w:r w:rsidR="008705F6">
              <w:t xml:space="preserve">16–65 </w:t>
            </w:r>
            <w:r w:rsidRPr="00924049">
              <w:t>at 30 June of each year</w:t>
            </w:r>
            <w:r w:rsidR="00A80A45">
              <w:t>.</w:t>
            </w:r>
            <w:r>
              <w:t xml:space="preserve"> </w:t>
            </w:r>
            <w:r w:rsidRPr="007C5952">
              <w:rPr>
                <w:rStyle w:val="NoteLabel"/>
              </w:rPr>
              <w:t>b</w:t>
            </w:r>
            <w:r w:rsidRPr="003072FD">
              <w:rPr>
                <w:rStyle w:val="NoteLabel"/>
              </w:rPr>
              <w:t xml:space="preserve"> </w:t>
            </w:r>
            <w:r>
              <w:t xml:space="preserve">The housing assistance variable indicates housing assistance status in the previous year. The use of lagged variables is discussed in section 3. </w:t>
            </w:r>
            <w:r w:rsidRPr="007C5952">
              <w:rPr>
                <w:rStyle w:val="NoteLabel"/>
              </w:rPr>
              <w:t>c</w:t>
            </w:r>
            <w:r>
              <w:t> </w:t>
            </w:r>
            <w:r w:rsidR="00571749">
              <w:t xml:space="preserve">Other payments include a range of less common </w:t>
            </w:r>
            <w:r>
              <w:t>ISPs</w:t>
            </w:r>
            <w:r w:rsidR="00571749">
              <w:t>, including Bereavement Allowance, Wife’s Pension, Wife’s Disability Support Pension, Austudy, Partner Allowance, Sickness Allowance, Special Benefits, Widow Allowance and Abstudy.</w:t>
            </w:r>
          </w:p>
        </w:tc>
      </w:tr>
      <w:tr w:rsidR="00571749" w:rsidRPr="00176D3F" w14:paraId="2FA219DE" w14:textId="77777777" w:rsidTr="004235A4">
        <w:tc>
          <w:tcPr>
            <w:tcW w:w="8771" w:type="dxa"/>
            <w:tcBorders>
              <w:top w:val="nil"/>
              <w:left w:val="nil"/>
              <w:bottom w:val="nil"/>
              <w:right w:val="nil"/>
            </w:tcBorders>
            <w:shd w:val="clear" w:color="auto" w:fill="auto"/>
          </w:tcPr>
          <w:p w14:paraId="14E85218" w14:textId="142F5C67" w:rsidR="00571749" w:rsidRPr="00176D3F" w:rsidRDefault="00522CE1" w:rsidP="00F311B0">
            <w:pPr>
              <w:pStyle w:val="Source"/>
            </w:pPr>
            <w:r w:rsidRPr="00522CE1">
              <w:rPr>
                <w:i/>
              </w:rPr>
              <w:t>Source</w:t>
            </w:r>
            <w:r w:rsidRPr="00522CE1">
              <w:t xml:space="preserve">: </w:t>
            </w:r>
            <w:r w:rsidR="00DF5382">
              <w:t>Author estimates, Research and Evaluation Database.</w:t>
            </w:r>
          </w:p>
        </w:tc>
      </w:tr>
      <w:tr w:rsidR="00571749" w14:paraId="0B4328C7" w14:textId="77777777" w:rsidTr="004235A4">
        <w:tc>
          <w:tcPr>
            <w:tcW w:w="8771" w:type="dxa"/>
            <w:tcBorders>
              <w:top w:val="nil"/>
              <w:left w:val="nil"/>
              <w:bottom w:val="single" w:sz="6" w:space="0" w:color="78A22F"/>
              <w:right w:val="nil"/>
            </w:tcBorders>
            <w:shd w:val="clear" w:color="auto" w:fill="auto"/>
          </w:tcPr>
          <w:p w14:paraId="78C7277F" w14:textId="77777777" w:rsidR="00571749" w:rsidRDefault="00571749" w:rsidP="004235A4">
            <w:pPr>
              <w:pStyle w:val="Figurespace"/>
            </w:pPr>
          </w:p>
        </w:tc>
      </w:tr>
      <w:tr w:rsidR="00571749" w:rsidRPr="000863A5" w14:paraId="0EA58458" w14:textId="77777777" w:rsidTr="004235A4">
        <w:tc>
          <w:tcPr>
            <w:tcW w:w="8771" w:type="dxa"/>
            <w:tcBorders>
              <w:top w:val="single" w:sz="6" w:space="0" w:color="78A22F"/>
              <w:left w:val="nil"/>
              <w:bottom w:val="nil"/>
              <w:right w:val="nil"/>
            </w:tcBorders>
          </w:tcPr>
          <w:p w14:paraId="2A8014AA" w14:textId="6DD34A30" w:rsidR="00571749" w:rsidRPr="00626D32" w:rsidRDefault="00571749" w:rsidP="004235A4">
            <w:pPr>
              <w:pStyle w:val="BoxSpaceBelow"/>
            </w:pPr>
          </w:p>
        </w:tc>
      </w:tr>
    </w:tbl>
    <w:p w14:paraId="7ED2DB7D" w14:textId="5DD20C85" w:rsidR="00571749" w:rsidRDefault="00571749" w:rsidP="0057174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1749" w14:paraId="25AB6BDA" w14:textId="77777777" w:rsidTr="004235A4">
        <w:tc>
          <w:tcPr>
            <w:tcW w:w="8771" w:type="dxa"/>
            <w:tcBorders>
              <w:top w:val="single" w:sz="6" w:space="0" w:color="78A22F"/>
              <w:left w:val="nil"/>
              <w:bottom w:val="nil"/>
              <w:right w:val="nil"/>
            </w:tcBorders>
            <w:shd w:val="clear" w:color="auto" w:fill="auto"/>
          </w:tcPr>
          <w:p w14:paraId="7A3B3B19" w14:textId="1AE8A01A" w:rsidR="00571749" w:rsidRPr="00CE1B01" w:rsidRDefault="00571749" w:rsidP="004235A4">
            <w:pPr>
              <w:pStyle w:val="FigureTitle"/>
              <w:rPr>
                <w:rStyle w:val="NoteLabel"/>
              </w:rPr>
            </w:pPr>
            <w:r w:rsidRPr="00784A05">
              <w:rPr>
                <w:b w:val="0"/>
              </w:rPr>
              <w:t xml:space="preserve">Figure </w:t>
            </w:r>
            <w:r w:rsidR="00D8076D">
              <w:rPr>
                <w:b w:val="0"/>
                <w:noProof/>
              </w:rPr>
              <w:t>5</w:t>
            </w:r>
            <w:r>
              <w:tab/>
              <w:t>Employment of young ISP recipients living at home, by parents’ housing assistance status</w:t>
            </w:r>
            <w:r w:rsidR="00A80A45">
              <w:t>, 2005 to 2013</w:t>
            </w:r>
            <w:r w:rsidRPr="007221EE">
              <w:rPr>
                <w:rStyle w:val="NoteLabel"/>
                <w:b/>
              </w:rPr>
              <w:t>a,b</w:t>
            </w:r>
            <w:r w:rsidR="007C5952">
              <w:rPr>
                <w:rStyle w:val="NoteLabel"/>
                <w:b/>
              </w:rPr>
              <w:t>,c</w:t>
            </w:r>
          </w:p>
          <w:p w14:paraId="4D57357A" w14:textId="77777777" w:rsidR="00571749" w:rsidRPr="00176D3F" w:rsidRDefault="00571749" w:rsidP="004235A4">
            <w:pPr>
              <w:pStyle w:val="Subtitle"/>
            </w:pPr>
            <w:r>
              <w:t>Per cent</w:t>
            </w:r>
          </w:p>
        </w:tc>
      </w:tr>
      <w:tr w:rsidR="00571749" w14:paraId="28A758FA" w14:textId="77777777" w:rsidTr="004235A4">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571749" w14:paraId="3219A862" w14:textId="77777777" w:rsidTr="00EE0B0E">
              <w:trPr>
                <w:jc w:val="center"/>
              </w:trPr>
              <w:tc>
                <w:tcPr>
                  <w:tcW w:w="8504" w:type="dxa"/>
                  <w:tcBorders>
                    <w:top w:val="nil"/>
                    <w:bottom w:val="nil"/>
                  </w:tcBorders>
                </w:tcPr>
                <w:p w14:paraId="3C555E91" w14:textId="4C07E3EB" w:rsidR="00571749" w:rsidRDefault="002C7DE8" w:rsidP="004235A4">
                  <w:pPr>
                    <w:pStyle w:val="Figure"/>
                    <w:tabs>
                      <w:tab w:val="left" w:pos="3355"/>
                    </w:tabs>
                    <w:spacing w:before="60" w:after="60"/>
                    <w:jc w:val="left"/>
                  </w:pPr>
                  <w:r>
                    <w:rPr>
                      <w:noProof/>
                    </w:rPr>
                    <w:drawing>
                      <wp:inline distT="0" distB="0" distL="0" distR="0" wp14:anchorId="664079EE" wp14:editId="00955991">
                        <wp:extent cx="5210175" cy="2152650"/>
                        <wp:effectExtent l="0" t="0" r="9525" b="0"/>
                        <wp:docPr id="4" name="Picture 4" descr="This figure shows the rates of employment among recipients of different income support payments that are aged between 16 and 24, by their parent’s housing assistance status. Employment among public housing residents is generally lower than those who receive no housing assistance or receive CRA, although employment varies by ISP. Employment is highest among recipients of Youth Allowance (Student), Youth Allowance (Job seeker) and Newstart Allowance.&#10;" title="Figure 5: Employment of young ISP recipients living at home, by parents’ housing assistance status, 2005 to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10175" cy="2152650"/>
                                </a:xfrm>
                                <a:prstGeom prst="rect">
                                  <a:avLst/>
                                </a:prstGeom>
                                <a:noFill/>
                                <a:ln>
                                  <a:noFill/>
                                </a:ln>
                              </pic:spPr>
                            </pic:pic>
                          </a:graphicData>
                        </a:graphic>
                      </wp:inline>
                    </w:drawing>
                  </w:r>
                </w:p>
              </w:tc>
            </w:tr>
          </w:tbl>
          <w:p w14:paraId="1D5D8AED" w14:textId="77777777" w:rsidR="00571749" w:rsidRDefault="00571749" w:rsidP="004235A4">
            <w:pPr>
              <w:pStyle w:val="Figure"/>
            </w:pPr>
          </w:p>
        </w:tc>
      </w:tr>
      <w:tr w:rsidR="00571749" w:rsidRPr="00176D3F" w14:paraId="0FD5192B" w14:textId="77777777" w:rsidTr="004235A4">
        <w:tc>
          <w:tcPr>
            <w:tcW w:w="8771" w:type="dxa"/>
            <w:tcBorders>
              <w:top w:val="nil"/>
              <w:left w:val="nil"/>
              <w:bottom w:val="nil"/>
              <w:right w:val="nil"/>
            </w:tcBorders>
            <w:shd w:val="clear" w:color="auto" w:fill="auto"/>
          </w:tcPr>
          <w:p w14:paraId="370D2F1C" w14:textId="77777777" w:rsidR="00571749" w:rsidRPr="00176D3F" w:rsidRDefault="00571749" w:rsidP="007C5952">
            <w:pPr>
              <w:pStyle w:val="Note"/>
            </w:pPr>
            <w:r>
              <w:rPr>
                <w:rStyle w:val="NoteLabel"/>
              </w:rPr>
              <w:t>a</w:t>
            </w:r>
            <w:r>
              <w:t xml:space="preserve"> ISP recipients aged 16–24</w:t>
            </w:r>
            <w:r w:rsidR="00A80A45">
              <w:t xml:space="preserve"> at 30 June of each year</w:t>
            </w:r>
            <w:r>
              <w:t xml:space="preserve">. </w:t>
            </w:r>
            <w:r w:rsidRPr="00FE1A01">
              <w:rPr>
                <w:rStyle w:val="NoteLabel"/>
              </w:rPr>
              <w:t>b</w:t>
            </w:r>
            <w:r w:rsidR="007C5952">
              <w:rPr>
                <w:rStyle w:val="NoteLabel"/>
              </w:rPr>
              <w:t xml:space="preserve"> </w:t>
            </w:r>
            <w:r w:rsidR="007C5952">
              <w:t>Housing assistance indicates an individual’s parent’s housing assistance status in the previous year. The use of a lagged housing assistance variable is discussed in section</w:t>
            </w:r>
            <w:r w:rsidR="00531BBF">
              <w:t> </w:t>
            </w:r>
            <w:r w:rsidR="007C5952">
              <w:t xml:space="preserve">3. </w:t>
            </w:r>
            <w:r w:rsidR="007C5952" w:rsidRPr="007C5952">
              <w:rPr>
                <w:rStyle w:val="NoteLabel"/>
              </w:rPr>
              <w:t>c</w:t>
            </w:r>
            <w:r w:rsidR="007C5952">
              <w:t> </w:t>
            </w:r>
            <w:r>
              <w:t>Other payments include a range of less common income support payments, including Bereavement Allowance, Wife’s Pension, Wife’s Disability Support Pension, Austudy, Partner Allowance, Sickness Allowance, Special Benefits, Widow Allowance and Abstudy.</w:t>
            </w:r>
          </w:p>
        </w:tc>
      </w:tr>
      <w:tr w:rsidR="00571749" w:rsidRPr="00176D3F" w14:paraId="34D7D9C2" w14:textId="77777777" w:rsidTr="004235A4">
        <w:tc>
          <w:tcPr>
            <w:tcW w:w="8771" w:type="dxa"/>
            <w:tcBorders>
              <w:top w:val="nil"/>
              <w:left w:val="nil"/>
              <w:bottom w:val="nil"/>
              <w:right w:val="nil"/>
            </w:tcBorders>
            <w:shd w:val="clear" w:color="auto" w:fill="auto"/>
          </w:tcPr>
          <w:p w14:paraId="7D3351D8" w14:textId="77F8A2BF" w:rsidR="00571749" w:rsidRPr="00522CE1" w:rsidRDefault="00F858B3" w:rsidP="00522CE1">
            <w:pPr>
              <w:pStyle w:val="Source"/>
              <w:rPr>
                <w:rStyle w:val="DraftingNote"/>
                <w:b w:val="0"/>
                <w:color w:val="auto"/>
                <w:sz w:val="18"/>
                <w:u w:val="none"/>
              </w:rPr>
            </w:pPr>
            <w:r w:rsidRPr="00522CE1">
              <w:rPr>
                <w:i/>
              </w:rPr>
              <w:t>S</w:t>
            </w:r>
            <w:r w:rsidR="00571749" w:rsidRPr="00522CE1">
              <w:rPr>
                <w:i/>
              </w:rPr>
              <w:t>ource</w:t>
            </w:r>
            <w:r w:rsidR="00571749" w:rsidRPr="00522CE1">
              <w:t xml:space="preserve">: </w:t>
            </w:r>
            <w:r w:rsidR="00DF5382">
              <w:t>Author estimates, Research and Evaluation Database.</w:t>
            </w:r>
          </w:p>
        </w:tc>
      </w:tr>
      <w:tr w:rsidR="00571749" w14:paraId="71AE163C" w14:textId="77777777" w:rsidTr="004235A4">
        <w:tc>
          <w:tcPr>
            <w:tcW w:w="8771" w:type="dxa"/>
            <w:tcBorders>
              <w:top w:val="nil"/>
              <w:left w:val="nil"/>
              <w:bottom w:val="single" w:sz="6" w:space="0" w:color="78A22F"/>
              <w:right w:val="nil"/>
            </w:tcBorders>
            <w:shd w:val="clear" w:color="auto" w:fill="auto"/>
          </w:tcPr>
          <w:p w14:paraId="57C9BEEB" w14:textId="77777777" w:rsidR="00571749" w:rsidRDefault="00571749" w:rsidP="004235A4">
            <w:pPr>
              <w:pStyle w:val="Figurespace"/>
            </w:pPr>
          </w:p>
        </w:tc>
      </w:tr>
      <w:tr w:rsidR="00571749" w:rsidRPr="000863A5" w14:paraId="645E43C4" w14:textId="77777777" w:rsidTr="004235A4">
        <w:tc>
          <w:tcPr>
            <w:tcW w:w="8771" w:type="dxa"/>
            <w:tcBorders>
              <w:top w:val="single" w:sz="6" w:space="0" w:color="78A22F"/>
              <w:left w:val="nil"/>
              <w:bottom w:val="nil"/>
              <w:right w:val="nil"/>
            </w:tcBorders>
          </w:tcPr>
          <w:p w14:paraId="3E97E5F8" w14:textId="7179FA8A" w:rsidR="00571749" w:rsidRPr="00626D32" w:rsidRDefault="00571749" w:rsidP="004235A4">
            <w:pPr>
              <w:pStyle w:val="BoxSpaceBelow"/>
            </w:pPr>
          </w:p>
        </w:tc>
      </w:tr>
    </w:tbl>
    <w:p w14:paraId="0F5AACE5" w14:textId="43F00F16" w:rsidR="00571749" w:rsidRDefault="00D8076D" w:rsidP="00571749">
      <w:pPr>
        <w:pStyle w:val="Heading2"/>
      </w:pPr>
      <w:r>
        <w:rPr>
          <w:noProof/>
        </w:rPr>
        <w:t>3</w:t>
      </w:r>
      <w:r w:rsidR="00571749">
        <w:tab/>
        <w:t>Modelling the relationship between housing assistance and employment</w:t>
      </w:r>
    </w:p>
    <w:p w14:paraId="24A775E1" w14:textId="77777777" w:rsidR="00571749" w:rsidRDefault="00571749" w:rsidP="00571749">
      <w:pPr>
        <w:pStyle w:val="BodyText"/>
      </w:pPr>
      <w:r>
        <w:t xml:space="preserve">To test whether housing assistance </w:t>
      </w:r>
      <w:r w:rsidR="00D8143F">
        <w:t xml:space="preserve">affects </w:t>
      </w:r>
      <w:r>
        <w:t xml:space="preserve">employment, </w:t>
      </w:r>
      <w:r w:rsidR="00D8143F">
        <w:t>other</w:t>
      </w:r>
      <w:r>
        <w:t xml:space="preserve"> characteristics of housing assistance recipients that are typically associated with employment have to be taken into account. Regression analysis allows the relationship of each factor with employment to be individually quantified.</w:t>
      </w:r>
      <w:r w:rsidR="00D8143F">
        <w:t xml:space="preserve"> </w:t>
      </w:r>
    </w:p>
    <w:p w14:paraId="4762046A" w14:textId="081D4DAF" w:rsidR="005A451A" w:rsidRDefault="00571749" w:rsidP="00571749">
      <w:pPr>
        <w:pStyle w:val="BodyText"/>
      </w:pPr>
      <w:r>
        <w:t xml:space="preserve">To evaluate whether the financial incentives </w:t>
      </w:r>
      <w:r w:rsidR="00D8143F">
        <w:t>created</w:t>
      </w:r>
      <w:r>
        <w:t xml:space="preserve"> by housing assistance affect employment, the incentives would ideally be taken into account explicitly</w:t>
      </w:r>
      <w:r w:rsidR="00D8143F">
        <w:t xml:space="preserve"> in the modelling</w:t>
      </w:r>
      <w:r>
        <w:t xml:space="preserve">. This could be achieved by incorporating </w:t>
      </w:r>
      <w:r w:rsidR="000F5520">
        <w:t xml:space="preserve">a measure of the financial incentives </w:t>
      </w:r>
      <w:r>
        <w:t xml:space="preserve">faced by each individual into a model of employment. </w:t>
      </w:r>
      <w:r w:rsidR="00B26C6B">
        <w:t xml:space="preserve">This would allow, for example, the effect of public housing on employment through a stability effect to be examined separately from the effect of public housing through the financial effect. </w:t>
      </w:r>
      <w:r>
        <w:t xml:space="preserve">However, this was not possible within the timeframe of this project. Instead, as per Whelan (2004), a ‘reduced form’ approach is </w:t>
      </w:r>
      <w:r w:rsidR="00AF2AE7">
        <w:t>adopted</w:t>
      </w:r>
      <w:r>
        <w:t>, where the overall effect of the receipt of housing assistance on employment is estimated</w:t>
      </w:r>
      <w:r w:rsidR="00F311B0">
        <w:t xml:space="preserve"> by including variables indicating whether someone receives CRA, </w:t>
      </w:r>
      <w:r w:rsidR="00D8143F">
        <w:t>lives in public housing</w:t>
      </w:r>
      <w:r w:rsidR="00CF45F9">
        <w:t xml:space="preserve">, </w:t>
      </w:r>
      <w:r w:rsidR="00F311B0">
        <w:t xml:space="preserve">or </w:t>
      </w:r>
      <w:r w:rsidR="00D8143F">
        <w:t>receives no housing assistance</w:t>
      </w:r>
      <w:r>
        <w:t xml:space="preserve">. </w:t>
      </w:r>
    </w:p>
    <w:p w14:paraId="165041E2" w14:textId="352FE66E" w:rsidR="00571749" w:rsidRDefault="005A451A" w:rsidP="005A451A">
      <w:pPr>
        <w:pStyle w:val="BodyText"/>
      </w:pPr>
      <w:r>
        <w:t xml:space="preserve">This section outlines the approach to modelling the relationship between housing assistance and employment. The employment model, and the control variables that are included are discussed first. </w:t>
      </w:r>
      <w:r w:rsidR="00F311B0">
        <w:t xml:space="preserve">A </w:t>
      </w:r>
      <w:r w:rsidR="00571749">
        <w:t>simple pooled cross</w:t>
      </w:r>
      <w:r w:rsidR="000F5520">
        <w:noBreakHyphen/>
      </w:r>
      <w:r w:rsidR="00571749">
        <w:t xml:space="preserve">sectional model that adjusts for observed differences between ISP recipients is </w:t>
      </w:r>
      <w:r>
        <w:t>then outlined</w:t>
      </w:r>
      <w:r w:rsidR="00571749">
        <w:t xml:space="preserve">. </w:t>
      </w:r>
      <w:r>
        <w:t>The pooled cross</w:t>
      </w:r>
      <w:r w:rsidR="00056061">
        <w:noBreakHyphen/>
      </w:r>
      <w:r>
        <w:t xml:space="preserve">sectional model </w:t>
      </w:r>
      <w:r w:rsidR="00525669">
        <w:t>permits estimation</w:t>
      </w:r>
      <w:r w:rsidR="00D5548F">
        <w:t xml:space="preserve"> of the employment rates of people with different housing assistance status that are adjusted for differences in their observed characteristics. </w:t>
      </w:r>
      <w:r w:rsidR="00571749">
        <w:t xml:space="preserve">This is followed by a discussion of </w:t>
      </w:r>
      <w:r w:rsidR="00F311B0">
        <w:t>possible</w:t>
      </w:r>
      <w:r w:rsidR="00571749">
        <w:t xml:space="preserve"> endogeneity</w:t>
      </w:r>
      <w:r w:rsidR="0051440C">
        <w:t xml:space="preserve"> </w:t>
      </w:r>
      <w:r w:rsidR="00F311B0">
        <w:t xml:space="preserve">between </w:t>
      </w:r>
      <w:r w:rsidR="00571749">
        <w:t>employment and housing assistance</w:t>
      </w:r>
      <w:r w:rsidR="00A87022">
        <w:t xml:space="preserve"> and how it is dealt with</w:t>
      </w:r>
      <w:r w:rsidR="00571749">
        <w:t xml:space="preserve">; and </w:t>
      </w:r>
      <w:r w:rsidR="00F311B0">
        <w:t xml:space="preserve">the potential for </w:t>
      </w:r>
      <w:r w:rsidR="00571749">
        <w:t xml:space="preserve">unobserved </w:t>
      </w:r>
      <w:r w:rsidR="00AE1C91">
        <w:t>characteristics</w:t>
      </w:r>
      <w:r w:rsidR="00F311B0">
        <w:t xml:space="preserve"> to affect results</w:t>
      </w:r>
      <w:r w:rsidR="00571749">
        <w:t xml:space="preserve">. The fixed effects model used to counter bias associated with unobserved </w:t>
      </w:r>
      <w:r w:rsidR="005F487D">
        <w:t xml:space="preserve">characteristics </w:t>
      </w:r>
      <w:r w:rsidR="00571749">
        <w:t>is then presented.</w:t>
      </w:r>
    </w:p>
    <w:p w14:paraId="1FFC39BE" w14:textId="77777777" w:rsidR="00571749" w:rsidRDefault="006D0478" w:rsidP="00571749">
      <w:pPr>
        <w:pStyle w:val="Heading3"/>
      </w:pPr>
      <w:r>
        <w:t>A model of employment and housing assistance</w:t>
      </w:r>
    </w:p>
    <w:p w14:paraId="2A40022B" w14:textId="4E18D015" w:rsidR="00571749" w:rsidRDefault="00B42D51" w:rsidP="0022120E">
      <w:pPr>
        <w:pStyle w:val="BodyText"/>
      </w:pPr>
      <w:r>
        <w:t xml:space="preserve">As discussed above, people make decisions about whether or not to participate in work by comparing the benefits and costs of working (box 1). The reduced form model does not specifically include these benefits and costs, but examines the relationship between receipt of housing assistance </w:t>
      </w:r>
      <w:r w:rsidR="0022120E">
        <w:t xml:space="preserve">— which is hypothesised to reduce the relative benefits of working — </w:t>
      </w:r>
      <w:r>
        <w:t xml:space="preserve">and the likelihood of observing employment. The relationship between </w:t>
      </w:r>
      <w:r w:rsidR="0022120E">
        <w:t xml:space="preserve">employment, housing assistance and a series of control variables can be </w:t>
      </w:r>
      <w:r w:rsidR="00571749">
        <w:t xml:space="preserve">represented </w:t>
      </w:r>
      <w:r w:rsidR="0022120E">
        <w:t xml:space="preserve">by </w:t>
      </w:r>
      <w:r w:rsidR="00571749">
        <w:t xml:space="preserve">a ‘latent’ variable </w:t>
      </w:r>
      <w:r w:rsidR="00E26B14">
        <w:t>approach</w:t>
      </w:r>
      <w:r w:rsidR="00092F29">
        <w:rPr>
          <w:rStyle w:val="FootnoteReference"/>
        </w:rPr>
        <w:footnoteReference w:id="13"/>
      </w:r>
      <w:r w:rsidR="00571749">
        <w:t>, similar to that presented in</w:t>
      </w:r>
      <w:r w:rsidR="00522CE1">
        <w:t xml:space="preserve"> Whelan</w:t>
      </w:r>
      <w:r w:rsidR="00571749">
        <w:t xml:space="preserve"> </w:t>
      </w:r>
      <w:r w:rsidR="00497AB1" w:rsidRPr="00497AB1">
        <w:t>(2004)</w:t>
      </w:r>
      <w:r w:rsidR="00571749">
        <w:t xml:space="preserve"> and </w:t>
      </w:r>
      <w:r w:rsidR="00522CE1">
        <w:t xml:space="preserve">Whelan and Ong </w:t>
      </w:r>
      <w:r w:rsidR="0070267B" w:rsidRPr="0070267B">
        <w:t>(2008)</w:t>
      </w:r>
      <w:r w:rsidR="0070267B">
        <w:t>.</w:t>
      </w:r>
    </w:p>
    <w:p w14:paraId="74A004C8" w14:textId="77777777" w:rsidR="00571749" w:rsidRDefault="00B5223C" w:rsidP="00571749">
      <w:pPr>
        <w:pStyle w:val="BodyText"/>
        <w:tabs>
          <w:tab w:val="left" w:pos="8505"/>
        </w:tabs>
        <w:jc w:val="left"/>
      </w:pPr>
      <m:oMath>
        <m:sSubSup>
          <m:sSubSupPr>
            <m:ctrlPr>
              <w:rPr>
                <w:rFonts w:ascii="Cambria Math" w:hAnsi="Cambria Math"/>
                <w:i/>
              </w:rPr>
            </m:ctrlPr>
          </m:sSubSupPr>
          <m:e>
            <m:r>
              <w:rPr>
                <w:rFonts w:ascii="Cambria Math" w:hAnsi="Cambria Math"/>
              </w:rPr>
              <m:t>E</m:t>
            </m:r>
          </m:e>
          <m:sub>
            <m:r>
              <w:rPr>
                <w:rFonts w:ascii="Cambria Math" w:hAnsi="Cambria Math"/>
              </w:rPr>
              <m:t>i,t</m:t>
            </m:r>
          </m:sub>
          <m:sup>
            <m:r>
              <w:rPr>
                <w:rFonts w:ascii="Cambria Math" w:hAnsi="Cambria Math"/>
              </w:rPr>
              <m:t>*</m:t>
            </m:r>
          </m:sup>
        </m:sSubSup>
        <m:r>
          <w:rPr>
            <w:rFonts w:ascii="Cambria Math" w:hAnsi="Cambria Math"/>
          </w:rPr>
          <m:t xml:space="preserve">= </m:t>
        </m:r>
        <m:sSub>
          <m:sSubPr>
            <m:ctrlPr>
              <w:rPr>
                <w:rFonts w:ascii="Cambria Math" w:hAnsi="Cambria Math"/>
                <w:i/>
              </w:rPr>
            </m:ctrlPr>
          </m:sSubPr>
          <m:e>
            <m:sSup>
              <m:sSupPr>
                <m:ctrlPr>
                  <w:rPr>
                    <w:rFonts w:ascii="Cambria Math" w:hAnsi="Cambria Math"/>
                    <w:i/>
                  </w:rPr>
                </m:ctrlPr>
              </m:sSupPr>
              <m:e>
                <m:r>
                  <w:rPr>
                    <w:rFonts w:ascii="Cambria Math" w:hAnsi="Cambria Math"/>
                  </w:rPr>
                  <m:t>X</m:t>
                </m:r>
              </m:e>
              <m:sup>
                <m:r>
                  <w:rPr>
                    <w:rFonts w:ascii="Cambria Math" w:hAnsi="Cambria Math"/>
                  </w:rPr>
                  <m:t>'</m:t>
                </m:r>
              </m:sup>
            </m:sSup>
          </m:e>
          <m:sub>
            <m:r>
              <w:rPr>
                <w:rFonts w:ascii="Cambria Math" w:hAnsi="Cambria Math"/>
              </w:rPr>
              <m:t>i,t</m:t>
            </m:r>
          </m:sub>
        </m:sSub>
        <m:r>
          <w:rPr>
            <w:rFonts w:ascii="Cambria Math" w:hAnsi="Cambria Math"/>
          </w:rPr>
          <m:t>β+</m:t>
        </m:r>
        <m:sSub>
          <m:sSubPr>
            <m:ctrlPr>
              <w:rPr>
                <w:rFonts w:ascii="Cambria Math" w:hAnsi="Cambria Math"/>
                <w:i/>
              </w:rPr>
            </m:ctrlPr>
          </m:sSubPr>
          <m:e>
            <m:r>
              <w:rPr>
                <w:rFonts w:ascii="Cambria Math" w:hAnsi="Cambria Math"/>
              </w:rPr>
              <m:t>HA'</m:t>
            </m:r>
          </m:e>
          <m:sub>
            <m:r>
              <w:rPr>
                <w:rFonts w:ascii="Cambria Math" w:hAnsi="Cambria Math"/>
              </w:rPr>
              <m:t>i,t-1</m:t>
            </m:r>
          </m:sub>
        </m:sSub>
        <m:r>
          <w:rPr>
            <w:rFonts w:ascii="Cambria Math" w:hAnsi="Cambria Math"/>
          </w:rPr>
          <m:t xml:space="preserve">γ+ </m:t>
        </m:r>
        <m:sSub>
          <m:sSubPr>
            <m:ctrlPr>
              <w:rPr>
                <w:rFonts w:ascii="Cambria Math" w:hAnsi="Cambria Math"/>
                <w:i/>
              </w:rPr>
            </m:ctrlPr>
          </m:sSubPr>
          <m:e>
            <m:r>
              <w:rPr>
                <w:rFonts w:ascii="Cambria Math" w:hAnsi="Cambria Math"/>
              </w:rPr>
              <m:t>Y'</m:t>
            </m:r>
          </m:e>
          <m:sub>
            <m:r>
              <w:rPr>
                <w:rFonts w:ascii="Cambria Math" w:hAnsi="Cambria Math"/>
              </w:rPr>
              <m:t>t</m:t>
            </m:r>
          </m:sub>
        </m:sSub>
        <m:r>
          <w:rPr>
            <w:rFonts w:ascii="Cambria Math" w:hAnsi="Cambria Math"/>
          </w:rPr>
          <m:t xml:space="preserve">φ+ </m:t>
        </m:r>
        <m:sSub>
          <m:sSubPr>
            <m:ctrlPr>
              <w:rPr>
                <w:rFonts w:ascii="Cambria Math" w:hAnsi="Cambria Math"/>
                <w:i/>
              </w:rPr>
            </m:ctrlPr>
          </m:sSubPr>
          <m:e>
            <m:r>
              <w:rPr>
                <w:rFonts w:ascii="Cambria Math" w:hAnsi="Cambria Math"/>
              </w:rPr>
              <m:t>μ</m:t>
            </m:r>
          </m:e>
          <m:sub>
            <m:r>
              <w:rPr>
                <w:rFonts w:ascii="Cambria Math" w:hAnsi="Cambria Math"/>
              </w:rPr>
              <m:t>i,t</m:t>
            </m:r>
          </m:sub>
        </m:sSub>
      </m:oMath>
      <w:r w:rsidR="00571749">
        <w:t xml:space="preserve">    for </w:t>
      </w:r>
      <m:oMath>
        <m:r>
          <w:rPr>
            <w:rFonts w:ascii="Cambria Math" w:hAnsi="Cambria Math"/>
          </w:rPr>
          <m:t>t=1, … , T</m:t>
        </m:r>
      </m:oMath>
      <w:r w:rsidR="00571749">
        <w:t xml:space="preserve"> and </w:t>
      </w:r>
      <m:oMath>
        <m:r>
          <w:rPr>
            <w:rFonts w:ascii="Cambria Math" w:hAnsi="Cambria Math"/>
          </w:rPr>
          <m:t>i=1, … , N</m:t>
        </m:r>
      </m:oMath>
      <w:r w:rsidR="00571749">
        <w:tab/>
        <w:t>[1]</w:t>
      </w:r>
    </w:p>
    <w:p w14:paraId="39E472B4" w14:textId="77777777" w:rsidR="00571749" w:rsidRPr="00423175" w:rsidRDefault="00B5223C" w:rsidP="00571749">
      <w:pPr>
        <w:pStyle w:val="BodyText"/>
        <w:tabs>
          <w:tab w:val="left" w:pos="8505"/>
        </w:tabs>
      </w:pPr>
      <m:oMath>
        <m:sSub>
          <m:sSubPr>
            <m:ctrlPr>
              <w:rPr>
                <w:rFonts w:ascii="Cambria Math" w:hAnsi="Cambria Math"/>
                <w:i/>
              </w:rPr>
            </m:ctrlPr>
          </m:sSubPr>
          <m:e>
            <m:r>
              <w:rPr>
                <w:rFonts w:ascii="Cambria Math" w:hAnsi="Cambria Math"/>
              </w:rPr>
              <m:t>E</m:t>
            </m:r>
          </m:e>
          <m:sub>
            <m:r>
              <w:rPr>
                <w:rFonts w:ascii="Cambria Math" w:hAnsi="Cambria Math"/>
              </w:rPr>
              <m:t>i,t</m:t>
            </m:r>
          </m:sub>
        </m:sSub>
        <m:r>
          <w:rPr>
            <w:rFonts w:ascii="Cambria Math" w:hAnsi="Cambria Math"/>
          </w:rPr>
          <m:t xml:space="preserve">= </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 xml:space="preserve">1 </m:t>
                </m:r>
                <m:r>
                  <m:rPr>
                    <m:nor/>
                  </m:rPr>
                  <w:rPr>
                    <w:rFonts w:ascii="Cambria Math" w:hAnsi="Cambria Math"/>
                  </w:rPr>
                  <m:t>if</m:t>
                </m:r>
                <m:r>
                  <w:rPr>
                    <w:rFonts w:ascii="Cambria Math" w:hAnsi="Cambria Math"/>
                  </w:rPr>
                  <m:t xml:space="preserve"> </m:t>
                </m:r>
                <m:sSubSup>
                  <m:sSubSupPr>
                    <m:ctrlPr>
                      <w:rPr>
                        <w:rFonts w:ascii="Cambria Math" w:hAnsi="Cambria Math"/>
                        <w:i/>
                      </w:rPr>
                    </m:ctrlPr>
                  </m:sSubSupPr>
                  <m:e>
                    <m:r>
                      <w:rPr>
                        <w:rFonts w:ascii="Cambria Math" w:hAnsi="Cambria Math"/>
                      </w:rPr>
                      <m:t>E</m:t>
                    </m:r>
                  </m:e>
                  <m:sub>
                    <m:r>
                      <w:rPr>
                        <w:rFonts w:ascii="Cambria Math" w:hAnsi="Cambria Math"/>
                      </w:rPr>
                      <m:t>i,t</m:t>
                    </m:r>
                  </m:sub>
                  <m:sup>
                    <m:r>
                      <w:rPr>
                        <w:rFonts w:ascii="Cambria Math" w:hAnsi="Cambria Math"/>
                      </w:rPr>
                      <m:t>*</m:t>
                    </m:r>
                  </m:sup>
                </m:sSubSup>
                <m:r>
                  <w:rPr>
                    <w:rFonts w:ascii="Cambria Math" w:hAnsi="Cambria Math"/>
                  </w:rPr>
                  <m:t xml:space="preserve">&gt;0 </m:t>
                </m:r>
              </m:e>
              <m:e>
                <m:ctrlPr>
                  <w:rPr>
                    <w:rFonts w:ascii="Cambria Math" w:eastAsia="Cambria Math" w:hAnsi="Cambria Math" w:cs="Cambria Math"/>
                  </w:rPr>
                </m:ctrlPr>
              </m:e>
              <m:e>
                <m:r>
                  <w:rPr>
                    <w:rFonts w:ascii="Cambria Math" w:hAnsi="Cambria Math"/>
                  </w:rPr>
                  <m:t xml:space="preserve"> 0 </m:t>
                </m:r>
                <m:r>
                  <m:rPr>
                    <m:nor/>
                  </m:rPr>
                  <w:rPr>
                    <w:rFonts w:ascii="Cambria Math" w:hAnsi="Cambria Math"/>
                  </w:rPr>
                  <m:t>if</m:t>
                </m:r>
                <m:r>
                  <w:rPr>
                    <w:rFonts w:ascii="Cambria Math" w:hAnsi="Cambria Math"/>
                  </w:rPr>
                  <m:t xml:space="preserve"> </m:t>
                </m:r>
                <m:sSubSup>
                  <m:sSubSupPr>
                    <m:ctrlPr>
                      <w:rPr>
                        <w:rFonts w:ascii="Cambria Math" w:hAnsi="Cambria Math"/>
                        <w:i/>
                      </w:rPr>
                    </m:ctrlPr>
                  </m:sSubSupPr>
                  <m:e>
                    <m:r>
                      <w:rPr>
                        <w:rFonts w:ascii="Cambria Math" w:hAnsi="Cambria Math"/>
                      </w:rPr>
                      <m:t>E</m:t>
                    </m:r>
                  </m:e>
                  <m:sub>
                    <m:r>
                      <w:rPr>
                        <w:rFonts w:ascii="Cambria Math" w:hAnsi="Cambria Math"/>
                      </w:rPr>
                      <m:t>i,t</m:t>
                    </m:r>
                  </m:sub>
                  <m:sup>
                    <m:r>
                      <w:rPr>
                        <w:rFonts w:ascii="Cambria Math" w:hAnsi="Cambria Math"/>
                      </w:rPr>
                      <m:t>*</m:t>
                    </m:r>
                  </m:sup>
                </m:sSubSup>
                <m:r>
                  <w:rPr>
                    <w:rFonts w:ascii="Cambria Math" w:hAnsi="Cambria Math"/>
                  </w:rPr>
                  <m:t xml:space="preserve">≤0 </m:t>
                </m:r>
              </m:e>
            </m:eqArr>
          </m:e>
        </m:d>
      </m:oMath>
      <w:r w:rsidR="00571749">
        <w:tab/>
        <w:t>[2]</w:t>
      </w:r>
    </w:p>
    <w:p w14:paraId="0C113B96" w14:textId="77777777" w:rsidR="00571749" w:rsidRDefault="00571749" w:rsidP="00571749">
      <w:pPr>
        <w:pStyle w:val="BodyText"/>
        <w:keepNext/>
      </w:pPr>
      <w:r>
        <w:t xml:space="preserve">In this </w:t>
      </w:r>
      <w:r w:rsidR="00E1334B">
        <w:t>model</w:t>
      </w:r>
      <w:r>
        <w:t>:</w:t>
      </w:r>
    </w:p>
    <w:p w14:paraId="0C2794F4" w14:textId="6739F256" w:rsidR="00571749" w:rsidRPr="00A80A4C" w:rsidRDefault="00B5223C" w:rsidP="00571749">
      <w:pPr>
        <w:pStyle w:val="ListBullet"/>
        <w:keepNext/>
      </w:pPr>
      <m:oMath>
        <m:sSub>
          <m:sSubPr>
            <m:ctrlPr>
              <w:rPr>
                <w:rFonts w:ascii="Cambria Math" w:hAnsi="Cambria Math"/>
                <w:i/>
              </w:rPr>
            </m:ctrlPr>
          </m:sSubPr>
          <m:e>
            <m:r>
              <w:rPr>
                <w:rFonts w:ascii="Cambria Math" w:hAnsi="Cambria Math"/>
              </w:rPr>
              <m:t>E</m:t>
            </m:r>
          </m:e>
          <m:sub>
            <m:r>
              <w:rPr>
                <w:rFonts w:ascii="Cambria Math" w:hAnsi="Cambria Math"/>
              </w:rPr>
              <m:t>i,t</m:t>
            </m:r>
          </m:sub>
        </m:sSub>
      </m:oMath>
      <w:r w:rsidR="00571749">
        <w:t xml:space="preserve"> is a binary variable indicating whether individual </w:t>
      </w:r>
      <w:r w:rsidR="00571749" w:rsidRPr="00890F25">
        <w:rPr>
          <w:i/>
        </w:rPr>
        <w:t>i</w:t>
      </w:r>
      <w:r w:rsidR="00571749">
        <w:t xml:space="preserve"> is in paid employment at 30</w:t>
      </w:r>
      <w:r w:rsidR="00851D51">
        <w:t> </w:t>
      </w:r>
      <w:r w:rsidR="00571749">
        <w:t xml:space="preserve">June of year </w:t>
      </w:r>
      <w:r w:rsidR="009632EB">
        <w:rPr>
          <w:i/>
        </w:rPr>
        <w:t>t</w:t>
      </w:r>
      <w:r w:rsidR="00CF45F9">
        <w:rPr>
          <w:i/>
        </w:rPr>
        <w:t>.</w:t>
      </w:r>
    </w:p>
    <w:p w14:paraId="658A159A" w14:textId="3512BD30" w:rsidR="00571749" w:rsidRPr="00A80A4C" w:rsidRDefault="00B5223C" w:rsidP="00571749">
      <w:pPr>
        <w:pStyle w:val="ListBullet"/>
        <w:spacing w:line="320" w:lineRule="atLeast"/>
      </w:pPr>
      <m:oMath>
        <m:sSub>
          <m:sSubPr>
            <m:ctrlPr>
              <w:rPr>
                <w:rFonts w:ascii="Cambria Math" w:hAnsi="Cambria Math"/>
                <w:i/>
              </w:rPr>
            </m:ctrlPr>
          </m:sSubPr>
          <m:e>
            <m:r>
              <w:rPr>
                <w:rFonts w:ascii="Cambria Math" w:hAnsi="Cambria Math"/>
              </w:rPr>
              <m:t>X</m:t>
            </m:r>
          </m:e>
          <m:sub>
            <m:r>
              <w:rPr>
                <w:rFonts w:ascii="Cambria Math" w:hAnsi="Cambria Math"/>
              </w:rPr>
              <m:t>i,t</m:t>
            </m:r>
          </m:sub>
        </m:sSub>
      </m:oMath>
      <w:r w:rsidR="00571749">
        <w:t xml:space="preserve"> indicates a vector of individual characteristics, and location and neighbourhood variables that </w:t>
      </w:r>
      <w:r w:rsidR="009C1FB7">
        <w:t xml:space="preserve">might </w:t>
      </w:r>
      <w:r w:rsidR="00571749">
        <w:t>affect an individual’s likelihood of employment. These characteristics act as control</w:t>
      </w:r>
      <w:r w:rsidR="00CF2A87">
        <w:t xml:space="preserve"> variables,</w:t>
      </w:r>
      <w:r w:rsidR="00571749">
        <w:t xml:space="preserve"> isolat</w:t>
      </w:r>
      <w:r w:rsidR="00CF2A87">
        <w:t>ing</w:t>
      </w:r>
      <w:r w:rsidR="00571749">
        <w:t xml:space="preserve"> the effect of housing assistance on employment</w:t>
      </w:r>
      <w:r w:rsidR="00CF45F9">
        <w:t>.</w:t>
      </w:r>
    </w:p>
    <w:p w14:paraId="7D6BA14A" w14:textId="2AF09C27" w:rsidR="00571749" w:rsidRPr="00890F25" w:rsidRDefault="00B5223C" w:rsidP="00571749">
      <w:pPr>
        <w:pStyle w:val="ListBullet"/>
      </w:pPr>
      <m:oMath>
        <m:sSubSup>
          <m:sSubSupPr>
            <m:ctrlPr>
              <w:rPr>
                <w:rFonts w:ascii="Cambria Math" w:hAnsi="Cambria Math"/>
                <w:i/>
              </w:rPr>
            </m:ctrlPr>
          </m:sSubSupPr>
          <m:e>
            <m:r>
              <w:rPr>
                <w:rFonts w:ascii="Cambria Math" w:hAnsi="Cambria Math"/>
              </w:rPr>
              <m:t>E</m:t>
            </m:r>
          </m:e>
          <m:sub>
            <m:r>
              <w:rPr>
                <w:rFonts w:ascii="Cambria Math" w:hAnsi="Cambria Math"/>
              </w:rPr>
              <m:t>i,t</m:t>
            </m:r>
          </m:sub>
          <m:sup>
            <m:r>
              <w:rPr>
                <w:rFonts w:ascii="Cambria Math" w:hAnsi="Cambria Math"/>
              </w:rPr>
              <m:t>*</m:t>
            </m:r>
          </m:sup>
        </m:sSubSup>
      </m:oMath>
      <w:r w:rsidR="00571749">
        <w:t xml:space="preserve"> is a latent variable used to relate </w:t>
      </w:r>
      <w:r w:rsidR="001E078E">
        <w:t xml:space="preserve">explanatory </w:t>
      </w:r>
      <w:r w:rsidR="00571749">
        <w:t xml:space="preserve">variables </w:t>
      </w:r>
      <w:r w:rsidR="00911FAD">
        <w:t xml:space="preserve">in </w:t>
      </w:r>
      <w:r w:rsidR="002C2FFB">
        <w:t xml:space="preserve">equation </w:t>
      </w:r>
      <w:r w:rsidR="00911FAD">
        <w:t>[1]</w:t>
      </w:r>
      <w:r w:rsidR="002C2FFB">
        <w:t xml:space="preserve"> </w:t>
      </w:r>
      <w:r w:rsidR="00571749">
        <w:t xml:space="preserve">with the binary </w:t>
      </w:r>
      <w:r w:rsidR="002C2FFB">
        <w:t xml:space="preserve">employment </w:t>
      </w:r>
      <w:r w:rsidR="00D00EFE">
        <w:t xml:space="preserve">status </w:t>
      </w:r>
      <w:r w:rsidR="002C2FFB">
        <w:t xml:space="preserve">variable, </w:t>
      </w:r>
      <m:oMath>
        <m:sSub>
          <m:sSubPr>
            <m:ctrlPr>
              <w:rPr>
                <w:rFonts w:ascii="Cambria Math" w:hAnsi="Cambria Math"/>
                <w:i/>
              </w:rPr>
            </m:ctrlPr>
          </m:sSubPr>
          <m:e>
            <m:r>
              <w:rPr>
                <w:rFonts w:ascii="Cambria Math" w:hAnsi="Cambria Math"/>
              </w:rPr>
              <m:t>E</m:t>
            </m:r>
          </m:e>
          <m:sub>
            <m:r>
              <w:rPr>
                <w:rFonts w:ascii="Cambria Math" w:hAnsi="Cambria Math"/>
              </w:rPr>
              <m:t>i,t</m:t>
            </m:r>
          </m:sub>
        </m:sSub>
      </m:oMath>
      <w:r w:rsidR="00CF45F9">
        <w:t>.</w:t>
      </w:r>
    </w:p>
    <w:p w14:paraId="251786C0" w14:textId="6BA3431B" w:rsidR="00571749" w:rsidRDefault="00B5223C" w:rsidP="00571749">
      <w:pPr>
        <w:pStyle w:val="ListBullet"/>
        <w:spacing w:line="320" w:lineRule="atLeast"/>
      </w:pPr>
      <m:oMath>
        <m:sSub>
          <m:sSubPr>
            <m:ctrlPr>
              <w:rPr>
                <w:rFonts w:ascii="Cambria Math" w:hAnsi="Cambria Math"/>
                <w:i/>
              </w:rPr>
            </m:ctrlPr>
          </m:sSubPr>
          <m:e>
            <m:r>
              <w:rPr>
                <w:rFonts w:ascii="Cambria Math" w:hAnsi="Cambria Math"/>
              </w:rPr>
              <m:t>HA</m:t>
            </m:r>
          </m:e>
          <m:sub>
            <m:r>
              <w:rPr>
                <w:rFonts w:ascii="Cambria Math" w:hAnsi="Cambria Math"/>
              </w:rPr>
              <m:t>i,t-1</m:t>
            </m:r>
          </m:sub>
        </m:sSub>
        <m:r>
          <w:rPr>
            <w:rFonts w:ascii="Cambria Math" w:hAnsi="Cambria Math"/>
          </w:rPr>
          <m:t xml:space="preserve"> </m:t>
        </m:r>
      </m:oMath>
      <w:r w:rsidR="00571749">
        <w:t>is a vector of binary variables indicating whether an individual receive</w:t>
      </w:r>
      <w:r w:rsidR="00D8143F">
        <w:t>d</w:t>
      </w:r>
      <w:r w:rsidR="00571749">
        <w:t xml:space="preserve"> CRA, </w:t>
      </w:r>
      <w:r w:rsidR="00D8143F">
        <w:t>wa</w:t>
      </w:r>
      <w:r w:rsidR="00571749">
        <w:t>s a resident of public housing or receive</w:t>
      </w:r>
      <w:r w:rsidR="00D8143F">
        <w:t>d</w:t>
      </w:r>
      <w:r w:rsidR="00571749">
        <w:t xml:space="preserve"> no housing assistance a</w:t>
      </w:r>
      <w:r w:rsidR="009632EB">
        <w:t>t 30 June of the preceding year</w:t>
      </w:r>
      <w:r w:rsidR="00CF45F9">
        <w:t>.</w:t>
      </w:r>
    </w:p>
    <w:p w14:paraId="129938C3" w14:textId="715252D3" w:rsidR="00571749" w:rsidRDefault="00B5223C" w:rsidP="00571749">
      <w:pPr>
        <w:pStyle w:val="ListBullet"/>
        <w:spacing w:line="320" w:lineRule="atLeast"/>
      </w:pPr>
      <m:oMath>
        <m:sSub>
          <m:sSubPr>
            <m:ctrlPr>
              <w:rPr>
                <w:rFonts w:ascii="Cambria Math" w:hAnsi="Cambria Math"/>
                <w:i/>
              </w:rPr>
            </m:ctrlPr>
          </m:sSubPr>
          <m:e>
            <m:r>
              <w:rPr>
                <w:rFonts w:ascii="Cambria Math" w:hAnsi="Cambria Math"/>
              </w:rPr>
              <m:t>Y</m:t>
            </m:r>
          </m:e>
          <m:sub>
            <m:r>
              <w:rPr>
                <w:rFonts w:ascii="Cambria Math" w:hAnsi="Cambria Math"/>
              </w:rPr>
              <m:t>t</m:t>
            </m:r>
          </m:sub>
        </m:sSub>
      </m:oMath>
      <w:r w:rsidR="00571749">
        <w:t xml:space="preserve"> is a vector of binary variables indicating the year an observation was recorded, </w:t>
      </w:r>
      <w:r w:rsidR="009C1FB7">
        <w:t xml:space="preserve">designed to </w:t>
      </w:r>
      <w:r w:rsidR="00571749">
        <w:t xml:space="preserve">control </w:t>
      </w:r>
      <w:r w:rsidR="009C1FB7">
        <w:t xml:space="preserve">mainly </w:t>
      </w:r>
      <w:r w:rsidR="00571749">
        <w:t xml:space="preserve">for the effect of </w:t>
      </w:r>
      <w:r w:rsidR="00CF2A87">
        <w:t>changes to policies and</w:t>
      </w:r>
      <w:r w:rsidR="009632EB">
        <w:t xml:space="preserve"> labour market conditions</w:t>
      </w:r>
      <w:r w:rsidR="00CF45F9">
        <w:t>.</w:t>
      </w:r>
    </w:p>
    <w:p w14:paraId="1B234F7C" w14:textId="5EA0D74B" w:rsidR="00571749" w:rsidRDefault="00571749" w:rsidP="00571749">
      <w:pPr>
        <w:pStyle w:val="ListBullet"/>
        <w:spacing w:line="320" w:lineRule="atLeast"/>
      </w:pPr>
      <m:oMath>
        <m:r>
          <w:rPr>
            <w:rFonts w:ascii="Cambria Math" w:hAnsi="Cambria Math"/>
          </w:rPr>
          <m:t>β</m:t>
        </m:r>
      </m:oMath>
      <w:r>
        <w:t xml:space="preserve">, </w:t>
      </w:r>
      <m:oMath>
        <m:r>
          <w:rPr>
            <w:rFonts w:ascii="Cambria Math" w:hAnsi="Cambria Math"/>
          </w:rPr>
          <m:t>φ</m:t>
        </m:r>
      </m:oMath>
      <w:r>
        <w:t xml:space="preserve"> and </w:t>
      </w:r>
      <m:oMath>
        <m:r>
          <w:rPr>
            <w:rFonts w:ascii="Cambria Math" w:hAnsi="Cambria Math"/>
          </w:rPr>
          <m:t>γ</m:t>
        </m:r>
      </m:oMath>
      <w:r>
        <w:t xml:space="preserve"> are vectors of parameters to be estimated, and </w:t>
      </w:r>
      <m:oMath>
        <m:sSub>
          <m:sSubPr>
            <m:ctrlPr>
              <w:rPr>
                <w:rFonts w:ascii="Cambria Math" w:hAnsi="Cambria Math"/>
                <w:i/>
              </w:rPr>
            </m:ctrlPr>
          </m:sSubPr>
          <m:e>
            <m:r>
              <w:rPr>
                <w:rFonts w:ascii="Cambria Math" w:hAnsi="Cambria Math"/>
              </w:rPr>
              <m:t>μ</m:t>
            </m:r>
          </m:e>
          <m:sub>
            <m:r>
              <w:rPr>
                <w:rFonts w:ascii="Cambria Math" w:hAnsi="Cambria Math"/>
              </w:rPr>
              <m:t>i,t</m:t>
            </m:r>
          </m:sub>
        </m:sSub>
        <m:r>
          <m:rPr>
            <m:sty m:val="p"/>
          </m:rPr>
          <w:rPr>
            <w:rFonts w:ascii="Cambria Math" w:hAnsi="Cambria Math"/>
          </w:rPr>
          <m:t xml:space="preserve"> </m:t>
        </m:r>
      </m:oMath>
      <w:r>
        <w:t xml:space="preserve">is a </w:t>
      </w:r>
      <w:r w:rsidR="00DB56D9">
        <w:t xml:space="preserve">randomly </w:t>
      </w:r>
      <w:r>
        <w:t>distributed error term.</w:t>
      </w:r>
    </w:p>
    <w:p w14:paraId="34ACF5D4" w14:textId="7F995D09" w:rsidR="000B4772" w:rsidRPr="000A0387" w:rsidRDefault="003E4D80" w:rsidP="001E078E">
      <w:pPr>
        <w:pStyle w:val="BodyText"/>
        <w:rPr>
          <w:spacing w:val="-2"/>
        </w:rPr>
      </w:pPr>
      <w:r w:rsidRPr="000A0387">
        <w:rPr>
          <w:spacing w:val="-2"/>
        </w:rPr>
        <w:t>In the analysis</w:t>
      </w:r>
      <w:r w:rsidR="00D50F29" w:rsidRPr="000A0387">
        <w:rPr>
          <w:spacing w:val="-2"/>
        </w:rPr>
        <w:t xml:space="preserve"> presented below</w:t>
      </w:r>
      <w:r w:rsidRPr="000A0387">
        <w:rPr>
          <w:spacing w:val="-2"/>
        </w:rPr>
        <w:t>, t</w:t>
      </w:r>
      <w:r w:rsidR="004A213E" w:rsidRPr="000A0387">
        <w:rPr>
          <w:spacing w:val="-2"/>
        </w:rPr>
        <w:t xml:space="preserve">his model of employment and housing assistance is implemented as a logistic model, rather than a probit model (as in Whelan </w:t>
      </w:r>
      <w:r w:rsidR="0070267B" w:rsidRPr="000A0387">
        <w:rPr>
          <w:spacing w:val="-2"/>
        </w:rPr>
        <w:t>2004 and Whelan and Ong 2008</w:t>
      </w:r>
      <w:r w:rsidR="004A213E" w:rsidRPr="000A0387">
        <w:rPr>
          <w:spacing w:val="-2"/>
        </w:rPr>
        <w:t>). This is similar to the approach taken by Dockery, Ong and Wood (2008). While there is little practical difference in the two approaches, the logit model is preferred as it allows for the comparison of results with the fixed effects logit model below.</w:t>
      </w:r>
      <w:r w:rsidR="0003690B" w:rsidRPr="000A0387">
        <w:rPr>
          <w:rStyle w:val="FootnoteReference"/>
          <w:spacing w:val="-2"/>
        </w:rPr>
        <w:footnoteReference w:id="14"/>
      </w:r>
      <w:r w:rsidR="001E078E" w:rsidRPr="000A0387" w:rsidDel="001E078E">
        <w:rPr>
          <w:spacing w:val="-2"/>
        </w:rPr>
        <w:t xml:space="preserve"> </w:t>
      </w:r>
    </w:p>
    <w:p w14:paraId="6A5F9F2E" w14:textId="77777777" w:rsidR="004A213E" w:rsidRDefault="004A213E" w:rsidP="001C1C78">
      <w:pPr>
        <w:pStyle w:val="Heading4"/>
      </w:pPr>
      <w:r>
        <w:t>Control variables</w:t>
      </w:r>
    </w:p>
    <w:p w14:paraId="716A8764" w14:textId="466037DD" w:rsidR="004A213E" w:rsidRDefault="003E4D80" w:rsidP="004A213E">
      <w:pPr>
        <w:pStyle w:val="BodyText"/>
      </w:pPr>
      <w:r>
        <w:t>In the estimations of this model presented below, t</w:t>
      </w:r>
      <w:r w:rsidR="004A213E">
        <w:t xml:space="preserve">he control variables — indicated by </w:t>
      </w:r>
      <m:oMath>
        <m:sSub>
          <m:sSubPr>
            <m:ctrlPr>
              <w:rPr>
                <w:rFonts w:ascii="Cambria Math" w:hAnsi="Cambria Math"/>
                <w:i/>
              </w:rPr>
            </m:ctrlPr>
          </m:sSubPr>
          <m:e>
            <m:sSup>
              <m:sSupPr>
                <m:ctrlPr>
                  <w:rPr>
                    <w:rFonts w:ascii="Cambria Math" w:hAnsi="Cambria Math"/>
                    <w:i/>
                  </w:rPr>
                </m:ctrlPr>
              </m:sSupPr>
              <m:e>
                <m:r>
                  <w:rPr>
                    <w:rFonts w:ascii="Cambria Math" w:hAnsi="Cambria Math"/>
                  </w:rPr>
                  <m:t>X</m:t>
                </m:r>
              </m:e>
              <m:sup>
                <m:r>
                  <w:rPr>
                    <w:rFonts w:ascii="Cambria Math" w:hAnsi="Cambria Math"/>
                  </w:rPr>
                  <m:t>'</m:t>
                </m:r>
              </m:sup>
            </m:sSup>
          </m:e>
          <m:sub>
            <m:r>
              <w:rPr>
                <w:rFonts w:ascii="Cambria Math" w:hAnsi="Cambria Math"/>
              </w:rPr>
              <m:t>i,t</m:t>
            </m:r>
          </m:sub>
        </m:sSub>
      </m:oMath>
      <w:r w:rsidR="004A213E">
        <w:t xml:space="preserve"> above — are consistent with those typically included in analyses of labour supply, and in previous analyses of the relationship between housing assistance and employment (including Dockery, Ong and Wood </w:t>
      </w:r>
      <w:r w:rsidR="00AD1087" w:rsidRPr="00AD1087">
        <w:t>(2008)</w:t>
      </w:r>
      <w:r w:rsidR="004A213E">
        <w:t xml:space="preserve">, Whelan and Ong </w:t>
      </w:r>
      <w:r w:rsidR="0070267B" w:rsidRPr="0070267B">
        <w:t>(2008)</w:t>
      </w:r>
      <w:r w:rsidR="004A213E">
        <w:t xml:space="preserve">, and Whelan </w:t>
      </w:r>
      <w:r w:rsidR="00497AB1" w:rsidRPr="00497AB1">
        <w:t>(2004)</w:t>
      </w:r>
      <w:r w:rsidR="004A213E">
        <w:t xml:space="preserve">). </w:t>
      </w:r>
    </w:p>
    <w:p w14:paraId="1ED905CF" w14:textId="71F693DD" w:rsidR="004A213E" w:rsidRPr="005E2B66" w:rsidRDefault="006D7BB4" w:rsidP="004A213E">
      <w:pPr>
        <w:pStyle w:val="BodyText"/>
      </w:pPr>
      <w:r w:rsidRPr="005E2B66">
        <w:t>Control variables include a range of factors</w:t>
      </w:r>
      <w:r w:rsidR="005E2B66" w:rsidRPr="005E2B66">
        <w:t xml:space="preserve"> expected to affect employment</w:t>
      </w:r>
      <w:r w:rsidR="004A213E" w:rsidRPr="005E2B66">
        <w:t xml:space="preserve"> (table</w:t>
      </w:r>
      <w:r w:rsidR="00056061">
        <w:t> </w:t>
      </w:r>
      <w:r w:rsidR="004A213E" w:rsidRPr="005E2B66">
        <w:t>1). Age is included as a categorical variable, with categories selected to account for the impact of crucial states of a person’s working life on employment decisions. This treatment of age allows for the inclusion of year variables.</w:t>
      </w:r>
    </w:p>
    <w:p w14:paraId="06C0A10E" w14:textId="75F35CFB" w:rsidR="004A213E" w:rsidRDefault="004A213E" w:rsidP="004A213E">
      <w:pPr>
        <w:pStyle w:val="BodyText"/>
      </w:pPr>
      <w:r>
        <w:t>A series of interaction variables are included</w:t>
      </w:r>
      <w:r w:rsidR="00F14107">
        <w:t xml:space="preserve"> in the modelling</w:t>
      </w:r>
      <w:r>
        <w:t xml:space="preserve">, allowing the effect of housing assistance to vary by state and ISP. The model is estimated both with and without these interaction terms. There are </w:t>
      </w:r>
      <w:r w:rsidR="00CF45F9">
        <w:t xml:space="preserve">about </w:t>
      </w:r>
      <w:r>
        <w:t xml:space="preserve">70 explanatory variables in the model with interaction terms, and </w:t>
      </w:r>
      <w:r w:rsidR="00CF45F9">
        <w:t xml:space="preserve">about </w:t>
      </w:r>
      <w:r>
        <w:t>40 in the specification without them.</w:t>
      </w:r>
    </w:p>
    <w:p w14:paraId="26EF5B2C" w14:textId="5B22580A" w:rsidR="004A213E" w:rsidRDefault="004A213E" w:rsidP="004A213E">
      <w:pPr>
        <w:pStyle w:val="BodyText"/>
      </w:pPr>
      <w:r>
        <w:t>Several variables included in other research are not included in the final specification. Non</w:t>
      </w:r>
      <w:r>
        <w:noBreakHyphen/>
        <w:t>work income was excluded as it directly affects the eligibility for and receipt of housing assistance. Partner income was not included due to difficulties in establishing a reliable indicator in RED.</w:t>
      </w:r>
      <w:r>
        <w:rPr>
          <w:rStyle w:val="FootnoteReference"/>
        </w:rPr>
        <w:footnoteReference w:id="15"/>
      </w:r>
      <w:r>
        <w:t xml:space="preserve"> Both of these variables were found to have a small and statistically insignificant effect on employment by Dockery, Ong and </w:t>
      </w:r>
      <w:r w:rsidR="00D60B11">
        <w:t xml:space="preserve">Wood </w:t>
      </w:r>
      <w:r w:rsidRPr="00F70D4A">
        <w:t>(2008)</w:t>
      </w:r>
      <w:r>
        <w:t xml:space="preserve">. </w:t>
      </w:r>
    </w:p>
    <w:p w14:paraId="47896C98" w14:textId="77777777" w:rsidR="004A213E" w:rsidRPr="00F858B3" w:rsidRDefault="004A213E" w:rsidP="004A213E">
      <w:pPr>
        <w:pStyle w:val="BodyText"/>
      </w:pPr>
      <w:r w:rsidRPr="00E11909">
        <w:rPr>
          <w:spacing w:val="-2"/>
          <w:szCs w:val="24"/>
        </w:rPr>
        <w:t xml:space="preserve">More importantly, </w:t>
      </w:r>
      <w:r w:rsidR="005E2B66">
        <w:rPr>
          <w:spacing w:val="-2"/>
          <w:szCs w:val="24"/>
        </w:rPr>
        <w:t xml:space="preserve">RED </w:t>
      </w:r>
      <w:r w:rsidR="00780F89">
        <w:rPr>
          <w:spacing w:val="-2"/>
          <w:szCs w:val="24"/>
        </w:rPr>
        <w:t>does not include sufficient information to</w:t>
      </w:r>
      <w:r w:rsidRPr="00E11909">
        <w:rPr>
          <w:spacing w:val="-2"/>
          <w:szCs w:val="24"/>
        </w:rPr>
        <w:t xml:space="preserve"> account </w:t>
      </w:r>
      <w:r w:rsidR="00780F89">
        <w:rPr>
          <w:spacing w:val="-2"/>
          <w:szCs w:val="24"/>
        </w:rPr>
        <w:t xml:space="preserve">for </w:t>
      </w:r>
      <w:r w:rsidRPr="00E11909">
        <w:rPr>
          <w:spacing w:val="-2"/>
          <w:szCs w:val="24"/>
        </w:rPr>
        <w:t xml:space="preserve">the effect of differences in the level of education on the employment prospects of ISP recipients. RED includes only limited information about the educational attainments of recipients of Newstart Allowance, Youth Allowance and Austudy payments who have undertaken further education in order to meet the activity requirements associated </w:t>
      </w:r>
      <w:r>
        <w:rPr>
          <w:spacing w:val="-2"/>
          <w:szCs w:val="24"/>
        </w:rPr>
        <w:t>with receipt of those payments.</w:t>
      </w:r>
      <w:r w:rsidR="001C1C78">
        <w:rPr>
          <w:spacing w:val="-2"/>
          <w:szCs w:val="24"/>
        </w:rPr>
        <w:t xml:space="preserve"> The absence of this information and the potential for omitted variable bias is discussed below.</w:t>
      </w:r>
    </w:p>
    <w:p w14:paraId="7E17D33D" w14:textId="0609819C" w:rsidR="004A213E" w:rsidRDefault="004A213E" w:rsidP="004A213E">
      <w:pPr>
        <w:pStyle w:val="Heading3"/>
      </w:pPr>
      <w:r>
        <w:t xml:space="preserve">Pooled </w:t>
      </w:r>
      <w:r w:rsidR="000F5520">
        <w:t>cross</w:t>
      </w:r>
      <w:r w:rsidR="00056061">
        <w:noBreakHyphen/>
      </w:r>
      <w:r w:rsidR="000F5520">
        <w:t>section</w:t>
      </w:r>
      <w:r w:rsidR="00997571">
        <w:t>al</w:t>
      </w:r>
      <w:r>
        <w:t xml:space="preserve"> estimation</w:t>
      </w:r>
    </w:p>
    <w:p w14:paraId="730FCB0F" w14:textId="7A46E746" w:rsidR="004A213E" w:rsidRDefault="00A80A45" w:rsidP="004A213E">
      <w:pPr>
        <w:pStyle w:val="BodyText"/>
      </w:pPr>
      <w:r>
        <w:t xml:space="preserve">Using the </w:t>
      </w:r>
      <w:r w:rsidR="004A213E">
        <w:t xml:space="preserve">economic model of employment </w:t>
      </w:r>
      <w:r>
        <w:t xml:space="preserve">described </w:t>
      </w:r>
      <w:r w:rsidR="004A213E">
        <w:t>above</w:t>
      </w:r>
      <w:r>
        <w:t xml:space="preserve">, </w:t>
      </w:r>
      <w:r w:rsidR="004A213E">
        <w:t>the conditional probability of</w:t>
      </w:r>
      <w:r w:rsidR="00056061">
        <w:t xml:space="preserve"> </w:t>
      </w:r>
      <w:r w:rsidR="004A213E">
        <w:t xml:space="preserve">individual </w:t>
      </w:r>
      <w:r w:rsidR="004A213E">
        <w:rPr>
          <w:i/>
        </w:rPr>
        <w:t>i</w:t>
      </w:r>
      <w:r w:rsidR="004A213E">
        <w:t xml:space="preserve"> being employed at time </w:t>
      </w:r>
      <w:r w:rsidR="004A213E">
        <w:rPr>
          <w:i/>
        </w:rPr>
        <w:t xml:space="preserve">t </w:t>
      </w:r>
      <w:r>
        <w:t xml:space="preserve">can </w:t>
      </w:r>
      <w:r w:rsidR="004A213E">
        <w:t>be expressed as:</w:t>
      </w:r>
    </w:p>
    <w:p w14:paraId="3FEE010D" w14:textId="77777777" w:rsidR="004A213E" w:rsidRPr="00890F25" w:rsidRDefault="004A213E" w:rsidP="004A213E">
      <w:pPr>
        <w:pStyle w:val="BodyText"/>
        <w:tabs>
          <w:tab w:val="left" w:pos="8505"/>
        </w:tabs>
        <w:ind w:right="-283"/>
      </w:pPr>
      <m:oMath>
        <m:r>
          <w:rPr>
            <w:rFonts w:ascii="Cambria Math" w:hAnsi="Cambria Math"/>
          </w:rPr>
          <m:t>E</m:t>
        </m:r>
        <m:d>
          <m:dPr>
            <m:endChr m:val="|"/>
            <m:ctrlPr>
              <w:rPr>
                <w:rFonts w:ascii="Cambria Math" w:hAnsi="Cambria Math"/>
                <w:i/>
              </w:rPr>
            </m:ctrlPr>
          </m:dPr>
          <m:e>
            <m:sSub>
              <m:sSubPr>
                <m:ctrlPr>
                  <w:rPr>
                    <w:rFonts w:ascii="Cambria Math" w:hAnsi="Cambria Math"/>
                    <w:i/>
                  </w:rPr>
                </m:ctrlPr>
              </m:sSubPr>
              <m:e>
                <m:r>
                  <w:rPr>
                    <w:rFonts w:ascii="Cambria Math" w:hAnsi="Cambria Math"/>
                  </w:rPr>
                  <m:t>E</m:t>
                </m:r>
              </m:e>
              <m:sub>
                <m:r>
                  <w:rPr>
                    <w:rFonts w:ascii="Cambria Math" w:hAnsi="Cambria Math"/>
                  </w:rPr>
                  <m:t>i,t</m:t>
                </m:r>
              </m:sub>
            </m:sSub>
            <m:r>
              <w:rPr>
                <w:rFonts w:ascii="Cambria Math" w:hAnsi="Cambria Math"/>
              </w:rPr>
              <m:t xml:space="preserve">=1 </m:t>
            </m:r>
          </m:e>
        </m:d>
        <m:sSub>
          <m:sSubPr>
            <m:ctrlPr>
              <w:rPr>
                <w:rFonts w:ascii="Cambria Math" w:hAnsi="Cambria Math"/>
                <w:i/>
              </w:rPr>
            </m:ctrlPr>
          </m:sSubPr>
          <m:e>
            <m:r>
              <w:rPr>
                <w:rFonts w:ascii="Cambria Math" w:hAnsi="Cambria Math"/>
              </w:rPr>
              <m:t>X</m:t>
            </m:r>
          </m:e>
          <m:sub>
            <m:r>
              <w:rPr>
                <w:rFonts w:ascii="Cambria Math" w:hAnsi="Cambria Math"/>
              </w:rPr>
              <m:t>i,t</m:t>
            </m:r>
          </m:sub>
        </m:sSub>
        <m:r>
          <w:rPr>
            <w:rFonts w:ascii="Cambria Math" w:hAnsi="Cambria Math"/>
          </w:rPr>
          <m:t>,</m:t>
        </m:r>
        <m:sSub>
          <m:sSubPr>
            <m:ctrlPr>
              <w:rPr>
                <w:rFonts w:ascii="Cambria Math" w:hAnsi="Cambria Math"/>
                <w:i/>
              </w:rPr>
            </m:ctrlPr>
          </m:sSubPr>
          <m:e>
            <m:r>
              <w:rPr>
                <w:rFonts w:ascii="Cambria Math" w:hAnsi="Cambria Math"/>
              </w:rPr>
              <m:t>HA</m:t>
            </m:r>
          </m:e>
          <m:sub>
            <m:r>
              <w:rPr>
                <w:rFonts w:ascii="Cambria Math" w:hAnsi="Cambria Math"/>
              </w:rPr>
              <m:t>i,t-1</m:t>
            </m:r>
          </m:sub>
        </m:sSub>
      </m:oMath>
      <w:r>
        <w:rPr>
          <w:i/>
        </w:rPr>
        <w:t>,</w:t>
      </w:r>
      <m:oMath>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t</m:t>
            </m:r>
          </m:sub>
        </m:sSub>
        <m:r>
          <w:rPr>
            <w:rFonts w:ascii="Cambria Math" w:hAnsi="Cambria Math"/>
          </w:rPr>
          <m:t>)</m:t>
        </m:r>
      </m:oMath>
      <w:r>
        <w:rPr>
          <w:i/>
        </w:rPr>
        <w:t xml:space="preserve"> = </w:t>
      </w:r>
      <m:oMath>
        <m:sSub>
          <m:sSubPr>
            <m:ctrlPr>
              <w:rPr>
                <w:rFonts w:ascii="Cambria Math" w:hAnsi="Cambria Math"/>
                <w:i/>
              </w:rPr>
            </m:ctrlPr>
          </m:sSubPr>
          <m:e>
            <m:sSup>
              <m:sSupPr>
                <m:ctrlPr>
                  <w:rPr>
                    <w:rFonts w:ascii="Cambria Math" w:hAnsi="Cambria Math"/>
                    <w:i/>
                  </w:rPr>
                </m:ctrlPr>
              </m:sSupPr>
              <m:e>
                <m:r>
                  <w:rPr>
                    <w:rFonts w:ascii="Cambria Math" w:hAnsi="Cambria Math"/>
                  </w:rPr>
                  <m:t>F(X</m:t>
                </m:r>
              </m:e>
              <m:sup>
                <m:r>
                  <w:rPr>
                    <w:rFonts w:ascii="Cambria Math" w:hAnsi="Cambria Math"/>
                  </w:rPr>
                  <m:t>'</m:t>
                </m:r>
              </m:sup>
            </m:sSup>
          </m:e>
          <m:sub>
            <m:r>
              <w:rPr>
                <w:rFonts w:ascii="Cambria Math" w:hAnsi="Cambria Math"/>
              </w:rPr>
              <m:t>i,t</m:t>
            </m:r>
          </m:sub>
        </m:sSub>
        <m:r>
          <w:rPr>
            <w:rFonts w:ascii="Cambria Math" w:hAnsi="Cambria Math"/>
          </w:rPr>
          <m:t>β+</m:t>
        </m:r>
        <m:sSub>
          <m:sSubPr>
            <m:ctrlPr>
              <w:rPr>
                <w:rFonts w:ascii="Cambria Math" w:hAnsi="Cambria Math"/>
                <w:i/>
              </w:rPr>
            </m:ctrlPr>
          </m:sSubPr>
          <m:e>
            <m:r>
              <w:rPr>
                <w:rFonts w:ascii="Cambria Math" w:hAnsi="Cambria Math"/>
              </w:rPr>
              <m:t>HA'</m:t>
            </m:r>
          </m:e>
          <m:sub>
            <m:r>
              <w:rPr>
                <w:rFonts w:ascii="Cambria Math" w:hAnsi="Cambria Math"/>
              </w:rPr>
              <m:t>i,t-1</m:t>
            </m:r>
          </m:sub>
        </m:sSub>
        <m:r>
          <w:rPr>
            <w:rFonts w:ascii="Cambria Math" w:hAnsi="Cambria Math"/>
          </w:rPr>
          <m:t xml:space="preserve">γ+ </m:t>
        </m:r>
        <m:sSub>
          <m:sSubPr>
            <m:ctrlPr>
              <w:rPr>
                <w:rFonts w:ascii="Cambria Math" w:hAnsi="Cambria Math"/>
                <w:i/>
              </w:rPr>
            </m:ctrlPr>
          </m:sSubPr>
          <m:e>
            <m:r>
              <w:rPr>
                <w:rFonts w:ascii="Cambria Math" w:hAnsi="Cambria Math"/>
              </w:rPr>
              <m:t>Y'</m:t>
            </m:r>
          </m:e>
          <m:sub>
            <m:r>
              <w:rPr>
                <w:rFonts w:ascii="Cambria Math" w:hAnsi="Cambria Math"/>
              </w:rPr>
              <m:t>t</m:t>
            </m:r>
          </m:sub>
        </m:sSub>
        <m:r>
          <w:rPr>
            <w:rFonts w:ascii="Cambria Math" w:hAnsi="Cambria Math"/>
          </w:rPr>
          <m:t>φ),</m:t>
        </m:r>
      </m:oMath>
      <w:r>
        <w:t xml:space="preserve"> </w:t>
      </w:r>
      <w:r w:rsidR="00071165">
        <w:t xml:space="preserve">  </w:t>
      </w:r>
      <w:r>
        <w:t>for</w:t>
      </w:r>
      <w:r w:rsidR="00071165">
        <w:t xml:space="preserve">  </w:t>
      </w:r>
      <w:r>
        <w:t xml:space="preserve"> </w:t>
      </w:r>
      <m:oMath>
        <m:r>
          <w:rPr>
            <w:rFonts w:ascii="Cambria Math" w:hAnsi="Cambria Math"/>
          </w:rPr>
          <m:t>t=1, … , T</m:t>
        </m:r>
      </m:oMath>
      <w:r>
        <w:tab/>
        <w:t>[3]</w:t>
      </w:r>
    </w:p>
    <w:p w14:paraId="28AB1A47" w14:textId="77777777" w:rsidR="004A213E" w:rsidRDefault="004A213E" w:rsidP="004A213E">
      <w:pPr>
        <w:pStyle w:val="BodyText"/>
        <w:tabs>
          <w:tab w:val="right" w:pos="8789"/>
        </w:tabs>
      </w:pPr>
      <w:r>
        <w:t xml:space="preserve">where F(.) represents the logistic function that is consistent with the distribution of </w:t>
      </w:r>
      <m:oMath>
        <m:sSub>
          <m:sSubPr>
            <m:ctrlPr>
              <w:rPr>
                <w:rFonts w:ascii="Cambria Math" w:hAnsi="Cambria Math"/>
                <w:i/>
              </w:rPr>
            </m:ctrlPr>
          </m:sSubPr>
          <m:e>
            <m:r>
              <w:rPr>
                <w:rFonts w:ascii="Cambria Math" w:hAnsi="Cambria Math"/>
              </w:rPr>
              <m:t>μ</m:t>
            </m:r>
          </m:e>
          <m:sub>
            <m:r>
              <w:rPr>
                <w:rFonts w:ascii="Cambria Math" w:hAnsi="Cambria Math"/>
              </w:rPr>
              <m:t>i,t</m:t>
            </m:r>
          </m:sub>
        </m:sSub>
      </m:oMath>
      <w:r w:rsidR="00071165">
        <w:t xml:space="preserve"> </w:t>
      </w:r>
      <w:r>
        <w:t>in </w:t>
      </w:r>
      <w:r w:rsidR="00071165">
        <w:t xml:space="preserve">equation </w:t>
      </w:r>
      <w:r>
        <w:t>[1].</w:t>
      </w:r>
    </w:p>
    <w:p w14:paraId="471BE55E" w14:textId="77777777" w:rsidR="004A213E" w:rsidRPr="005E2B66" w:rsidRDefault="004A213E" w:rsidP="004A213E">
      <w:pPr>
        <w:pStyle w:val="BodyText"/>
      </w:pPr>
      <w:r w:rsidRPr="005E2B66">
        <w:t xml:space="preserve">To the extent that </w:t>
      </w:r>
      <m:oMath>
        <m:r>
          <w:rPr>
            <w:rFonts w:ascii="Cambria Math" w:hAnsi="Cambria Math"/>
          </w:rPr>
          <m:t>X</m:t>
        </m:r>
      </m:oMath>
      <w:r w:rsidRPr="005E2B66">
        <w:t xml:space="preserve"> accurately reflects differences in individual</w:t>
      </w:r>
      <w:r w:rsidR="004D4977">
        <w:t>s’</w:t>
      </w:r>
      <w:r w:rsidRPr="005E2B66">
        <w:t xml:space="preserve"> characteristics, location and neighbourhood, the </w:t>
      </w:r>
      <m:oMath>
        <m:r>
          <w:rPr>
            <w:rFonts w:ascii="Cambria Math" w:hAnsi="Cambria Math"/>
          </w:rPr>
          <m:t>γ</m:t>
        </m:r>
      </m:oMath>
      <w:r w:rsidRPr="005E2B66">
        <w:t xml:space="preserve"> coefficients represent the impact of housing assistance on the likelihood of employment.</w:t>
      </w:r>
    </w:p>
    <w:p w14:paraId="143B1D3E" w14:textId="529133B5" w:rsidR="004A213E" w:rsidDel="000D68F4" w:rsidRDefault="00F10389" w:rsidP="004A213E">
      <w:pPr>
        <w:pStyle w:val="BodyText"/>
      </w:pPr>
      <w:r>
        <w:t>T</w:t>
      </w:r>
      <w:r w:rsidR="00071165" w:rsidRPr="005E2B66">
        <w:t xml:space="preserve">he </w:t>
      </w:r>
      <w:r w:rsidR="004A213E" w:rsidRPr="005E2B66">
        <w:t>pooled data include multiple observations of the same people across time</w:t>
      </w:r>
      <w:r>
        <w:t xml:space="preserve">, </w:t>
      </w:r>
      <w:r w:rsidR="00D940BB">
        <w:t xml:space="preserve">meaning that </w:t>
      </w:r>
      <w:r w:rsidR="00071165" w:rsidRPr="005E2B66">
        <w:t>observations in the pooled data are not independent</w:t>
      </w:r>
      <w:r w:rsidR="00D940BB">
        <w:t xml:space="preserve">. To account for this, </w:t>
      </w:r>
      <w:r>
        <w:t>t</w:t>
      </w:r>
      <w:r w:rsidRPr="005E2B66">
        <w:t xml:space="preserve">he pooled </w:t>
      </w:r>
      <w:r>
        <w:t>cross</w:t>
      </w:r>
      <w:r w:rsidR="00056061">
        <w:noBreakHyphen/>
      </w:r>
      <w:r>
        <w:t>section</w:t>
      </w:r>
      <w:r w:rsidRPr="005E2B66">
        <w:t>al model was estimated using robust standard errors</w:t>
      </w:r>
      <w:r>
        <w:t>.</w:t>
      </w:r>
    </w:p>
    <w:p w14:paraId="3ADDA20D" w14:textId="77777777" w:rsidR="00571749" w:rsidRDefault="00571749" w:rsidP="00571749">
      <w:pPr>
        <w:pStyle w:val="Heading3"/>
      </w:pPr>
      <w:r>
        <w:t>Endogeneity of employment and housing assistance</w:t>
      </w:r>
    </w:p>
    <w:p w14:paraId="639E8DFC" w14:textId="28283B7C" w:rsidR="00571749" w:rsidRDefault="00571749" w:rsidP="00571749">
      <w:pPr>
        <w:pStyle w:val="BodyText"/>
      </w:pPr>
      <w:r>
        <w:t>Modelling</w:t>
      </w:r>
      <w:r w:rsidR="00576C3A">
        <w:t xml:space="preserve"> </w:t>
      </w:r>
      <w:r w:rsidR="00071165">
        <w:t xml:space="preserve">of </w:t>
      </w:r>
      <w:r>
        <w:t xml:space="preserve">the relationship between housing assistance and employment using regression analysis is complicated by the </w:t>
      </w:r>
      <w:r w:rsidR="00576C3A">
        <w:t xml:space="preserve">potential </w:t>
      </w:r>
      <w:r>
        <w:t>endogeneity of housing assistance.</w:t>
      </w:r>
      <w:r>
        <w:rPr>
          <w:rStyle w:val="FootnoteReference"/>
        </w:rPr>
        <w:footnoteReference w:id="16"/>
      </w:r>
      <w:r>
        <w:t xml:space="preserve"> Dockery et al. </w:t>
      </w:r>
      <w:r w:rsidRPr="00441A38">
        <w:t>(2008)</w:t>
      </w:r>
      <w:r>
        <w:t xml:space="preserve"> identify two </w:t>
      </w:r>
      <w:r w:rsidR="00071165">
        <w:t xml:space="preserve">possible </w:t>
      </w:r>
      <w:r>
        <w:t>sources of endogeneity that need to be addressed in order to obtain unbiased estimates of the effect of housing assistance on employment</w:t>
      </w:r>
      <w:r w:rsidR="00F032C5">
        <w:t>, namely</w:t>
      </w:r>
      <w:r>
        <w:t>:</w:t>
      </w:r>
    </w:p>
    <w:p w14:paraId="54B9DE67" w14:textId="77777777" w:rsidR="00571749" w:rsidRDefault="00571749" w:rsidP="00571749">
      <w:pPr>
        <w:pStyle w:val="ListBullet"/>
      </w:pPr>
      <w:r>
        <w:t xml:space="preserve">reverse causality of housing assistance and employment </w:t>
      </w:r>
    </w:p>
    <w:p w14:paraId="7995F7CC" w14:textId="77777777" w:rsidR="00571749" w:rsidRDefault="00571749" w:rsidP="00571749">
      <w:pPr>
        <w:pStyle w:val="ListBullet"/>
      </w:pPr>
      <w:r>
        <w:t>unobserved characteristics</w:t>
      </w:r>
      <w:r w:rsidR="00576C3A">
        <w:t xml:space="preserve"> of housing assistance recipients</w:t>
      </w:r>
      <w:r>
        <w:t>.</w:t>
      </w:r>
    </w:p>
    <w:p w14:paraId="095039E9" w14:textId="77777777" w:rsidR="00571749" w:rsidRDefault="00571749" w:rsidP="00571749">
      <w:pPr>
        <w:pStyle w:val="Heading4"/>
      </w:pPr>
      <w:r>
        <w:t>Reverse causality</w:t>
      </w:r>
    </w:p>
    <w:p w14:paraId="65CA493A" w14:textId="77777777" w:rsidR="00571749" w:rsidRDefault="00571749" w:rsidP="00571749">
      <w:pPr>
        <w:pStyle w:val="BodyText"/>
      </w:pPr>
      <w:r>
        <w:t>The research hypothesis stated in section</w:t>
      </w:r>
      <w:r w:rsidR="00F858B3">
        <w:t> </w:t>
      </w:r>
      <w:r>
        <w:t xml:space="preserve">1 assumes a causal relationship between housing assistance and employment — housing assistance alters an individual’s incentive to work, thereby </w:t>
      </w:r>
      <w:r w:rsidR="0068627E">
        <w:t>affecting</w:t>
      </w:r>
      <w:r w:rsidR="00576C3A">
        <w:t xml:space="preserve"> their</w:t>
      </w:r>
      <w:r>
        <w:t xml:space="preserve"> employment status. However, the reverse is also </w:t>
      </w:r>
      <w:r w:rsidR="00050DAA">
        <w:t xml:space="preserve">possible </w:t>
      </w:r>
      <w:r>
        <w:t>— an individual who gains employment may earn sufficient income to become ineligible for housing assistance.</w:t>
      </w:r>
    </w:p>
    <w:p w14:paraId="1C682F02" w14:textId="51313775" w:rsidR="0068627E" w:rsidRDefault="0068627E" w:rsidP="0068627E">
      <w:pPr>
        <w:pStyle w:val="BodyText"/>
      </w:pPr>
      <w:r>
        <w:t>The longitudinal nature of RED allows the use of lagged housing assistance to address the problem of reverse causality, as per Dockery et al. (2008). When an individual</w:t>
      </w:r>
      <w:r w:rsidR="00C74882">
        <w:t>’s employment</w:t>
      </w:r>
      <w:r>
        <w:t xml:space="preserve"> income</w:t>
      </w:r>
      <w:r w:rsidR="00C74882">
        <w:t xml:space="preserve"> affects the rent that they pay </w:t>
      </w:r>
      <w:r w:rsidR="00056F22">
        <w:t>for public housing</w:t>
      </w:r>
      <w:r>
        <w:t xml:space="preserve">, the causality is clear: their employment status affects their housing assistance. However, if employment at a given point in time (time </w:t>
      </w:r>
      <w:r>
        <w:rPr>
          <w:i/>
        </w:rPr>
        <w:t>t</w:t>
      </w:r>
      <w:r>
        <w:t xml:space="preserve">) is modelled as a function of an individual’s housing assistance status in the preceding time period (time </w:t>
      </w:r>
      <w:r>
        <w:rPr>
          <w:i/>
        </w:rPr>
        <w:t>t</w:t>
      </w:r>
      <w:r>
        <w:rPr>
          <w:i/>
        </w:rPr>
        <w:noBreakHyphen/>
        <w:t>1</w:t>
      </w:r>
      <w:r>
        <w:t>), then employment in the current time period cannot ‘cause’ housing assistance in the previous period. As with the employment model presented by Dockery et al. (2008), the possibility of reverse causality is addressed by lagging housing assistance status by one year in the models presented in this paper.</w:t>
      </w:r>
      <w:r>
        <w:rPr>
          <w:rStyle w:val="FootnoteReference"/>
        </w:rPr>
        <w:footnoteReference w:id="17"/>
      </w:r>
    </w:p>
    <w:p w14:paraId="63E019A5" w14:textId="77777777" w:rsidR="00571749" w:rsidRDefault="00571749" w:rsidP="00571749">
      <w:pPr>
        <w:pStyle w:val="Heading4"/>
      </w:pPr>
      <w:r>
        <w:t>Unobserved characteristics</w:t>
      </w:r>
      <w:r w:rsidR="00576C3A">
        <w:t xml:space="preserve"> of housing assistance recipients</w:t>
      </w:r>
    </w:p>
    <w:p w14:paraId="2744B871" w14:textId="682962D0" w:rsidR="00571749" w:rsidRPr="00624EAF" w:rsidRDefault="00571749" w:rsidP="00571749">
      <w:pPr>
        <w:pStyle w:val="BodyText"/>
        <w:rPr>
          <w:spacing w:val="-2"/>
        </w:rPr>
      </w:pPr>
      <w:r w:rsidRPr="00624EAF">
        <w:rPr>
          <w:spacing w:val="-2"/>
        </w:rPr>
        <w:t xml:space="preserve">Where the receipt of housing assistance </w:t>
      </w:r>
      <w:r w:rsidR="00050DAA">
        <w:rPr>
          <w:spacing w:val="-2"/>
        </w:rPr>
        <w:t>and employment are</w:t>
      </w:r>
      <w:r w:rsidR="00050DAA" w:rsidRPr="00624EAF">
        <w:rPr>
          <w:spacing w:val="-2"/>
        </w:rPr>
        <w:t xml:space="preserve"> </w:t>
      </w:r>
      <w:r w:rsidRPr="00624EAF">
        <w:rPr>
          <w:spacing w:val="-2"/>
        </w:rPr>
        <w:t xml:space="preserve">affected </w:t>
      </w:r>
      <w:r w:rsidR="00050DAA">
        <w:rPr>
          <w:spacing w:val="-2"/>
        </w:rPr>
        <w:t>in a systematic way</w:t>
      </w:r>
      <w:r w:rsidR="00050DAA" w:rsidRPr="00624EAF">
        <w:rPr>
          <w:spacing w:val="-2"/>
        </w:rPr>
        <w:t xml:space="preserve"> </w:t>
      </w:r>
      <w:r w:rsidRPr="00624EAF">
        <w:rPr>
          <w:spacing w:val="-2"/>
        </w:rPr>
        <w:t>by unmeasurable or</w:t>
      </w:r>
      <w:r>
        <w:rPr>
          <w:spacing w:val="-2"/>
        </w:rPr>
        <w:t xml:space="preserve"> unobserved</w:t>
      </w:r>
      <w:r w:rsidRPr="00624EAF">
        <w:rPr>
          <w:spacing w:val="-2"/>
        </w:rPr>
        <w:t xml:space="preserve"> </w:t>
      </w:r>
      <w:r>
        <w:rPr>
          <w:spacing w:val="-2"/>
        </w:rPr>
        <w:t>factors</w:t>
      </w:r>
      <w:r w:rsidR="00AE1C91">
        <w:rPr>
          <w:spacing w:val="-2"/>
        </w:rPr>
        <w:t xml:space="preserve"> —</w:t>
      </w:r>
      <w:r>
        <w:rPr>
          <w:spacing w:val="-2"/>
        </w:rPr>
        <w:t xml:space="preserve"> </w:t>
      </w:r>
      <w:r w:rsidRPr="00624EAF">
        <w:rPr>
          <w:spacing w:val="-2"/>
        </w:rPr>
        <w:t>such as motivation</w:t>
      </w:r>
      <w:r w:rsidR="00AE1C91">
        <w:rPr>
          <w:spacing w:val="-2"/>
        </w:rPr>
        <w:t xml:space="preserve"> or education — </w:t>
      </w:r>
      <w:r w:rsidRPr="00624EAF">
        <w:rPr>
          <w:spacing w:val="-2"/>
        </w:rPr>
        <w:t xml:space="preserve">the estimated effect of housing assistance on employment </w:t>
      </w:r>
      <w:r w:rsidR="00F10389">
        <w:rPr>
          <w:spacing w:val="-2"/>
        </w:rPr>
        <w:t>can</w:t>
      </w:r>
      <w:r w:rsidR="00F10389" w:rsidRPr="00624EAF">
        <w:rPr>
          <w:spacing w:val="-2"/>
        </w:rPr>
        <w:t xml:space="preserve"> </w:t>
      </w:r>
      <w:r w:rsidRPr="00624EAF">
        <w:rPr>
          <w:spacing w:val="-2"/>
        </w:rPr>
        <w:t>be biased</w:t>
      </w:r>
      <w:r w:rsidR="00C97934">
        <w:rPr>
          <w:spacing w:val="-2"/>
        </w:rPr>
        <w:t>.</w:t>
      </w:r>
      <w:r>
        <w:rPr>
          <w:rStyle w:val="FootnoteReference"/>
          <w:spacing w:val="-2"/>
        </w:rPr>
        <w:footnoteReference w:id="18"/>
      </w:r>
      <w:r w:rsidRPr="00624EAF">
        <w:rPr>
          <w:spacing w:val="-2"/>
        </w:rPr>
        <w:t xml:space="preserve"> That is, estimates of the effect of housing assistance on employment will reflect both the relationship between housing assistance and employment, and the relati</w:t>
      </w:r>
      <w:r>
        <w:rPr>
          <w:spacing w:val="-2"/>
        </w:rPr>
        <w:t>onship between unmeasurable or</w:t>
      </w:r>
      <w:r w:rsidRPr="00624EAF">
        <w:rPr>
          <w:spacing w:val="-2"/>
        </w:rPr>
        <w:t xml:space="preserve"> unobserved factors and employment. </w:t>
      </w:r>
    </w:p>
    <w:p w14:paraId="1264974D" w14:textId="6788DB1A" w:rsidR="00571749" w:rsidRPr="005A1FA8" w:rsidRDefault="00571749" w:rsidP="00571749">
      <w:pPr>
        <w:pStyle w:val="BodyText"/>
      </w:pPr>
      <w:r>
        <w:t xml:space="preserve">For example, </w:t>
      </w:r>
      <w:r w:rsidR="00050DAA">
        <w:t xml:space="preserve">the </w:t>
      </w:r>
      <w:r>
        <w:t xml:space="preserve">severity of </w:t>
      </w:r>
      <w:r w:rsidR="00050DAA">
        <w:t xml:space="preserve">a </w:t>
      </w:r>
      <w:r>
        <w:t>disability affects employment prospects among people with a disability</w:t>
      </w:r>
      <w:r w:rsidR="00CA5330">
        <w:t xml:space="preserve"> </w:t>
      </w:r>
      <w:r w:rsidR="00CA5330" w:rsidRPr="00CA5330">
        <w:rPr>
          <w:szCs w:val="24"/>
        </w:rPr>
        <w:t>(Wilkins 2003)</w:t>
      </w:r>
      <w:r>
        <w:t xml:space="preserve">. At the same time, DSP recipients with a severe disability may be more likely to be allocated public housing and less likely to be employed than those with a moderate disability. However, information about the severity of an individual’s disability is unobserved. This means that any observed association between housing assistance and employment </w:t>
      </w:r>
      <w:r w:rsidR="00050DAA">
        <w:t>could</w:t>
      </w:r>
      <w:r>
        <w:t xml:space="preserve"> incorporate both the effect of housing assistance </w:t>
      </w:r>
      <w:r>
        <w:rPr>
          <w:i/>
        </w:rPr>
        <w:t>and</w:t>
      </w:r>
      <w:r>
        <w:t xml:space="preserve"> level of disability. </w:t>
      </w:r>
    </w:p>
    <w:p w14:paraId="380D2D0E" w14:textId="77777777" w:rsidR="00571749" w:rsidRDefault="00995E91" w:rsidP="00571749">
      <w:pPr>
        <w:pStyle w:val="BodyText"/>
      </w:pPr>
      <w:r>
        <w:t>T</w:t>
      </w:r>
      <w:r w:rsidR="00571749">
        <w:t xml:space="preserve">he administrative data used do not include information on some </w:t>
      </w:r>
      <w:r w:rsidR="004B4329">
        <w:t xml:space="preserve">potentially </w:t>
      </w:r>
      <w:r w:rsidR="00571749">
        <w:t>important correlates of employment</w:t>
      </w:r>
      <w:r w:rsidR="004B4329">
        <w:t xml:space="preserve"> and housing assistance</w:t>
      </w:r>
      <w:r w:rsidR="00571749">
        <w:t>,</w:t>
      </w:r>
      <w:r>
        <w:t xml:space="preserve"> such as education and mental health status. As a result, </w:t>
      </w:r>
      <w:r w:rsidR="00571749">
        <w:t xml:space="preserve">there is potential for </w:t>
      </w:r>
      <w:r w:rsidR="004B4329">
        <w:t>the measured effect of housing assistance on employment to be biased.</w:t>
      </w:r>
    </w:p>
    <w:p w14:paraId="6C8641E2" w14:textId="77777777" w:rsidR="00571749" w:rsidRDefault="00571749" w:rsidP="00571749">
      <w:pPr>
        <w:pStyle w:val="BodyText"/>
      </w:pPr>
      <w:r>
        <w:t xml:space="preserve">Two strategies were used to minimise bias associated with unobserved </w:t>
      </w:r>
      <w:r w:rsidR="005F487D">
        <w:t>characteristics</w:t>
      </w:r>
      <w:r>
        <w:t xml:space="preserve">: </w:t>
      </w:r>
    </w:p>
    <w:p w14:paraId="759A6619" w14:textId="77777777" w:rsidR="00571749" w:rsidRPr="0017356C" w:rsidRDefault="00F60146" w:rsidP="00571749">
      <w:pPr>
        <w:pStyle w:val="ListBullet"/>
      </w:pPr>
      <w:r>
        <w:t>A</w:t>
      </w:r>
      <w:r w:rsidR="00571749">
        <w:t xml:space="preserve">s many </w:t>
      </w:r>
      <w:r w:rsidR="005F487D">
        <w:t xml:space="preserve">relevant </w:t>
      </w:r>
      <w:r w:rsidR="00571749">
        <w:t>independent variables as possible</w:t>
      </w:r>
      <w:r>
        <w:t xml:space="preserve"> were included in the model</w:t>
      </w:r>
      <w:r w:rsidR="00056F22">
        <w:t xml:space="preserve"> in order to minimise the likelihood of unobserved variable bias</w:t>
      </w:r>
      <w:r w:rsidR="00571749" w:rsidRPr="0017356C">
        <w:t>.</w:t>
      </w:r>
    </w:p>
    <w:p w14:paraId="3F4BB59B" w14:textId="77777777" w:rsidR="00571749" w:rsidRPr="0017356C" w:rsidRDefault="00571749" w:rsidP="00571749">
      <w:pPr>
        <w:pStyle w:val="ListBullet"/>
      </w:pPr>
      <w:r>
        <w:t>The</w:t>
      </w:r>
      <w:r w:rsidRPr="0017356C">
        <w:t xml:space="preserve"> panel nature of the data </w:t>
      </w:r>
      <w:r w:rsidR="00F60146">
        <w:t>was exploited through</w:t>
      </w:r>
      <w:r w:rsidRPr="0017356C">
        <w:t xml:space="preserve"> </w:t>
      </w:r>
      <w:r>
        <w:t>the use of fixed effects</w:t>
      </w:r>
      <w:r w:rsidR="00995E91">
        <w:t xml:space="preserve"> models</w:t>
      </w:r>
      <w:r>
        <w:t xml:space="preserve"> to </w:t>
      </w:r>
      <w:r w:rsidRPr="0017356C">
        <w:t xml:space="preserve">examine how </w:t>
      </w:r>
      <w:r>
        <w:t xml:space="preserve">an </w:t>
      </w:r>
      <w:r w:rsidRPr="0017356C">
        <w:t xml:space="preserve">individual’s housing assistance affects their employment </w:t>
      </w:r>
      <w:r w:rsidR="00D00EFE">
        <w:t xml:space="preserve">status </w:t>
      </w:r>
      <w:r>
        <w:t>after taking into account unobserved characteristics that remain constant across time.</w:t>
      </w:r>
    </w:p>
    <w:p w14:paraId="5682E422" w14:textId="7DF5F3D9" w:rsidR="00571749" w:rsidRDefault="00571749" w:rsidP="00571749">
      <w:pPr>
        <w:pStyle w:val="BodyText"/>
      </w:pPr>
      <w:r>
        <w:t>Limiting the sample to ISP recipients — as is necessarily the case when using RED — will limit the variation attributable to unobserved factors to some extent, given that receipt of an ISP (or F</w:t>
      </w:r>
      <w:r w:rsidR="00CF45F9">
        <w:t xml:space="preserve">amily Tax Benefit Part </w:t>
      </w:r>
      <w:r>
        <w:t>A) is a prerequisite for the receipt of CRA</w:t>
      </w:r>
      <w:r w:rsidR="00497AB1" w:rsidRPr="00497AB1">
        <w:rPr>
          <w:szCs w:val="24"/>
        </w:rPr>
        <w:t>(Whelan and Ong 2008; Whelan 2004</w:t>
      </w:r>
      <w:r>
        <w:t>). However, even within this subpopulation, there is likely to be a selection effect, where unobserved factors affect both an individual’s selection into housing assistance and their employment.</w:t>
      </w:r>
      <w:r w:rsidR="0088765F" w:rsidDel="0088765F">
        <w:t xml:space="preserve"> </w:t>
      </w:r>
    </w:p>
    <w:p w14:paraId="7676CA9C" w14:textId="77777777" w:rsidR="00571749" w:rsidRDefault="00571749" w:rsidP="00571749">
      <w:pPr>
        <w:pStyle w:val="Heading3"/>
      </w:pPr>
      <w:r>
        <w:t>Fixed effects models</w:t>
      </w:r>
    </w:p>
    <w:p w14:paraId="4647AFD8" w14:textId="77777777" w:rsidR="00196141" w:rsidRDefault="00207863" w:rsidP="00571749">
      <w:pPr>
        <w:pStyle w:val="BodyText"/>
      </w:pPr>
      <w:r w:rsidRPr="00F22BAF">
        <w:t xml:space="preserve">Panel regression techniques can be used to account for </w:t>
      </w:r>
      <w:r w:rsidR="00050DAA" w:rsidRPr="00F22BAF">
        <w:t xml:space="preserve">individual </w:t>
      </w:r>
      <w:r w:rsidRPr="00F22BAF">
        <w:t>differences that do not change over time, irrespective of whether th</w:t>
      </w:r>
      <w:r w:rsidR="005A3A2E">
        <w:t>o</w:t>
      </w:r>
      <w:r w:rsidRPr="00F22BAF">
        <w:t xml:space="preserve">se differences are observed or not. </w:t>
      </w:r>
      <w:r w:rsidR="00050DAA" w:rsidRPr="00F22BAF">
        <w:t>In a fixed</w:t>
      </w:r>
      <w:r w:rsidR="00050DAA">
        <w:t xml:space="preserve"> effects model, </w:t>
      </w:r>
      <w:r w:rsidR="00571749">
        <w:t xml:space="preserve">assuming that </w:t>
      </w:r>
      <w:r w:rsidR="00050DAA">
        <w:t>th</w:t>
      </w:r>
      <w:r w:rsidR="005A3A2E">
        <w:t>o</w:t>
      </w:r>
      <w:r w:rsidR="00050DAA">
        <w:t>se differences</w:t>
      </w:r>
      <w:r w:rsidR="00571749">
        <w:t xml:space="preserve"> are constant over time, and observing </w:t>
      </w:r>
      <w:r w:rsidR="00050DAA">
        <w:t xml:space="preserve">an </w:t>
      </w:r>
      <w:r w:rsidR="00571749">
        <w:t xml:space="preserve">individual over time, any variation in employment </w:t>
      </w:r>
      <w:r w:rsidR="00050DAA">
        <w:t>is</w:t>
      </w:r>
      <w:r w:rsidR="00571749">
        <w:t xml:space="preserve"> attributed to </w:t>
      </w:r>
      <w:r w:rsidR="00050DAA">
        <w:t xml:space="preserve">the </w:t>
      </w:r>
      <w:r w:rsidR="00571749">
        <w:t xml:space="preserve">observed characteristics that </w:t>
      </w:r>
      <w:r w:rsidR="00050DAA">
        <w:t xml:space="preserve">do </w:t>
      </w:r>
      <w:r>
        <w:t xml:space="preserve">vary </w:t>
      </w:r>
      <w:r w:rsidR="00571749">
        <w:t xml:space="preserve">over </w:t>
      </w:r>
      <w:r w:rsidR="00C400EF">
        <w:t>time</w:t>
      </w:r>
      <w:r w:rsidR="00571749">
        <w:t>.</w:t>
      </w:r>
    </w:p>
    <w:p w14:paraId="4731BDF8" w14:textId="77777777" w:rsidR="00571749" w:rsidRDefault="00571749" w:rsidP="00571749">
      <w:pPr>
        <w:pStyle w:val="BodyText"/>
      </w:pPr>
      <w:r>
        <w:t xml:space="preserve">In the panel framework, an individual’s probability of employment at time </w:t>
      </w:r>
      <w:r>
        <w:rPr>
          <w:i/>
        </w:rPr>
        <w:t xml:space="preserve">t </w:t>
      </w:r>
      <w:r>
        <w:t xml:space="preserve">may be thought of as a function of </w:t>
      </w:r>
      <w:r w:rsidR="00C34AD7">
        <w:t xml:space="preserve">their </w:t>
      </w:r>
      <w:r>
        <w:t>observed demographic characteristics (for example, age</w:t>
      </w:r>
      <w:r w:rsidR="00C34AD7">
        <w:t>, marital status, number of children</w:t>
      </w:r>
      <w:r>
        <w:t xml:space="preserve">), </w:t>
      </w:r>
      <w:r w:rsidR="00C34AD7">
        <w:t>their</w:t>
      </w:r>
      <w:r>
        <w:t xml:space="preserve"> housing assistance status</w:t>
      </w:r>
      <w:r w:rsidR="00C34AD7">
        <w:t xml:space="preserve"> and</w:t>
      </w:r>
      <w:r>
        <w:t xml:space="preserve"> their unobserved individual</w:t>
      </w:r>
      <w:r w:rsidR="00F858B3">
        <w:noBreakHyphen/>
      </w:r>
      <w:r>
        <w:t>specific characteristics (for example, motivation or risk of poor mental health), which are assumed to remain constant over time. In essence, the panel model is an extension of the cross</w:t>
      </w:r>
      <w:r w:rsidR="00F858B3">
        <w:noBreakHyphen/>
      </w:r>
      <w:r>
        <w:t>sectional model presented above, with the addition of an individual</w:t>
      </w:r>
      <w:r w:rsidR="00F858B3">
        <w:noBreakHyphen/>
      </w:r>
      <w:r>
        <w:t>specific term that is constant over time (</w:t>
      </w:r>
      <m:oMath>
        <m:sSub>
          <m:sSubPr>
            <m:ctrlPr>
              <w:rPr>
                <w:rFonts w:ascii="Cambria Math" w:hAnsi="Cambria Math"/>
                <w:i/>
              </w:rPr>
            </m:ctrlPr>
          </m:sSubPr>
          <m:e>
            <m:r>
              <w:rPr>
                <w:rFonts w:ascii="Cambria Math" w:hAnsi="Cambria Math"/>
              </w:rPr>
              <m:t>c</m:t>
            </m:r>
          </m:e>
          <m:sub>
            <m:r>
              <w:rPr>
                <w:rFonts w:ascii="Cambria Math" w:hAnsi="Cambria Math"/>
              </w:rPr>
              <m:t>i</m:t>
            </m:r>
          </m:sub>
        </m:sSub>
        <m:r>
          <w:rPr>
            <w:rFonts w:ascii="Cambria Math" w:hAnsi="Cambria Math"/>
          </w:rPr>
          <m:t>)</m:t>
        </m:r>
      </m:oMath>
      <w:r>
        <w:t>:</w:t>
      </w:r>
    </w:p>
    <w:p w14:paraId="5A51BE64" w14:textId="77777777" w:rsidR="00571749" w:rsidRDefault="00571749" w:rsidP="00571749">
      <w:pPr>
        <w:pStyle w:val="BodyText"/>
        <w:tabs>
          <w:tab w:val="right" w:pos="8789"/>
        </w:tabs>
      </w:pPr>
      <m:oMath>
        <m:r>
          <w:rPr>
            <w:rFonts w:ascii="Cambria Math" w:hAnsi="Cambria Math"/>
          </w:rPr>
          <m:t>E</m:t>
        </m:r>
        <m:d>
          <m:dPr>
            <m:endChr m:val="|"/>
            <m:ctrlPr>
              <w:rPr>
                <w:rFonts w:ascii="Cambria Math" w:hAnsi="Cambria Math"/>
                <w:i/>
              </w:rPr>
            </m:ctrlPr>
          </m:dPr>
          <m:e>
            <m:sSub>
              <m:sSubPr>
                <m:ctrlPr>
                  <w:rPr>
                    <w:rFonts w:ascii="Cambria Math" w:hAnsi="Cambria Math"/>
                    <w:i/>
                  </w:rPr>
                </m:ctrlPr>
              </m:sSubPr>
              <m:e>
                <m:r>
                  <w:rPr>
                    <w:rFonts w:ascii="Cambria Math" w:hAnsi="Cambria Math"/>
                  </w:rPr>
                  <m:t>E</m:t>
                </m:r>
              </m:e>
              <m:sub>
                <m:r>
                  <w:rPr>
                    <w:rFonts w:ascii="Cambria Math" w:hAnsi="Cambria Math"/>
                  </w:rPr>
                  <m:t>i,t</m:t>
                </m:r>
              </m:sub>
            </m:sSub>
            <m:r>
              <w:rPr>
                <w:rFonts w:ascii="Cambria Math" w:hAnsi="Cambria Math"/>
              </w:rPr>
              <m:t xml:space="preserve">=1 </m:t>
            </m:r>
          </m:e>
        </m:d>
        <m:sSub>
          <m:sSubPr>
            <m:ctrlPr>
              <w:rPr>
                <w:rFonts w:ascii="Cambria Math" w:hAnsi="Cambria Math"/>
                <w:i/>
              </w:rPr>
            </m:ctrlPr>
          </m:sSubPr>
          <m:e>
            <m:r>
              <w:rPr>
                <w:rFonts w:ascii="Cambria Math" w:hAnsi="Cambria Math"/>
              </w:rPr>
              <m:t>X</m:t>
            </m:r>
          </m:e>
          <m:sub>
            <m:r>
              <w:rPr>
                <w:rFonts w:ascii="Cambria Math" w:hAnsi="Cambria Math"/>
              </w:rPr>
              <m:t>i,t</m:t>
            </m:r>
          </m:sub>
        </m:sSub>
        <m:r>
          <w:rPr>
            <w:rFonts w:ascii="Cambria Math" w:hAnsi="Cambria Math"/>
          </w:rPr>
          <m:t>,</m:t>
        </m:r>
        <m:sSub>
          <m:sSubPr>
            <m:ctrlPr>
              <w:rPr>
                <w:rFonts w:ascii="Cambria Math" w:hAnsi="Cambria Math"/>
                <w:i/>
              </w:rPr>
            </m:ctrlPr>
          </m:sSubPr>
          <m:e>
            <m:r>
              <w:rPr>
                <w:rFonts w:ascii="Cambria Math" w:hAnsi="Cambria Math"/>
              </w:rPr>
              <m:t>HA</m:t>
            </m:r>
          </m:e>
          <m:sub>
            <m:r>
              <w:rPr>
                <w:rFonts w:ascii="Cambria Math" w:hAnsi="Cambria Math"/>
              </w:rPr>
              <m:t>i,t-1</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i</m:t>
            </m:r>
          </m:sub>
        </m:sSub>
        <m:r>
          <w:rPr>
            <w:rFonts w:ascii="Cambria Math" w:hAnsi="Cambria Math"/>
          </w:rPr>
          <m:t>) =</m:t>
        </m:r>
        <m:sSub>
          <m:sSubPr>
            <m:ctrlPr>
              <w:rPr>
                <w:rFonts w:ascii="Cambria Math" w:hAnsi="Cambria Math"/>
                <w:i/>
              </w:rPr>
            </m:ctrlPr>
          </m:sSubPr>
          <m:e>
            <m:r>
              <w:rPr>
                <w:rFonts w:ascii="Cambria Math" w:hAnsi="Cambria Math"/>
              </w:rPr>
              <m:t>F(c</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i,t</m:t>
            </m:r>
          </m:sub>
        </m:sSub>
        <m:r>
          <w:rPr>
            <w:rFonts w:ascii="Cambria Math" w:hAnsi="Cambria Math"/>
          </w:rPr>
          <m:t>β+</m:t>
        </m:r>
        <m:sSub>
          <m:sSubPr>
            <m:ctrlPr>
              <w:rPr>
                <w:rFonts w:ascii="Cambria Math" w:hAnsi="Cambria Math"/>
                <w:i/>
              </w:rPr>
            </m:ctrlPr>
          </m:sSubPr>
          <m:e>
            <m:r>
              <w:rPr>
                <w:rFonts w:ascii="Cambria Math" w:hAnsi="Cambria Math"/>
              </w:rPr>
              <m:t>HA'</m:t>
            </m:r>
          </m:e>
          <m:sub>
            <m:r>
              <w:rPr>
                <w:rFonts w:ascii="Cambria Math" w:hAnsi="Cambria Math"/>
              </w:rPr>
              <m:t>i,t-1</m:t>
            </m:r>
          </m:sub>
        </m:sSub>
        <m:r>
          <w:rPr>
            <w:rFonts w:ascii="Cambria Math" w:hAnsi="Cambria Math"/>
          </w:rPr>
          <m:t>γ+</m:t>
        </m:r>
        <m:sSub>
          <m:sSubPr>
            <m:ctrlPr>
              <w:rPr>
                <w:rFonts w:ascii="Cambria Math" w:hAnsi="Cambria Math"/>
                <w:i/>
              </w:rPr>
            </m:ctrlPr>
          </m:sSubPr>
          <m:e>
            <m:r>
              <w:rPr>
                <w:rFonts w:ascii="Cambria Math" w:hAnsi="Cambria Math"/>
              </w:rPr>
              <m:t>Y'</m:t>
            </m:r>
          </m:e>
          <m:sub>
            <m:r>
              <w:rPr>
                <w:rFonts w:ascii="Cambria Math" w:hAnsi="Cambria Math"/>
              </w:rPr>
              <m:t>t</m:t>
            </m:r>
          </m:sub>
        </m:sSub>
        <m:r>
          <w:rPr>
            <w:rFonts w:ascii="Cambria Math" w:hAnsi="Cambria Math"/>
          </w:rPr>
          <m:t>φ)</m:t>
        </m:r>
      </m:oMath>
      <w:r>
        <w:tab/>
        <w:t>[4]</w:t>
      </w:r>
    </w:p>
    <w:p w14:paraId="0D01E05E" w14:textId="77777777" w:rsidR="00571749" w:rsidRDefault="00571749" w:rsidP="00571749">
      <w:pPr>
        <w:pStyle w:val="BodyText"/>
      </w:pPr>
      <w:r>
        <w:tab/>
        <w:t xml:space="preserve">for </w:t>
      </w:r>
      <m:oMath>
        <m:r>
          <w:rPr>
            <w:rFonts w:ascii="Cambria Math" w:hAnsi="Cambria Math"/>
          </w:rPr>
          <m:t>t=1, … , T</m:t>
        </m:r>
      </m:oMath>
      <w:r>
        <w:t xml:space="preserve"> and </w:t>
      </w:r>
      <m:oMath>
        <m:r>
          <w:rPr>
            <w:rFonts w:ascii="Cambria Math" w:hAnsi="Cambria Math"/>
          </w:rPr>
          <m:t>i=1, … , N</m:t>
        </m:r>
      </m:oMath>
      <w:r>
        <w:t>.</w:t>
      </w:r>
    </w:p>
    <w:p w14:paraId="1C09280E" w14:textId="7F26CC45" w:rsidR="00571749" w:rsidRDefault="00571749" w:rsidP="00571749">
      <w:pPr>
        <w:pStyle w:val="BodyText"/>
      </w:pPr>
      <w:r>
        <w:t>The choice of panel model is dependent on the nature of the individual</w:t>
      </w:r>
      <w:r w:rsidR="00F858B3">
        <w:noBreakHyphen/>
      </w:r>
      <w:r>
        <w:t xml:space="preserve">specific term. If the expected value of </w:t>
      </w:r>
      <w:r w:rsidR="005A3A2E">
        <w:t xml:space="preserve">the </w:t>
      </w:r>
      <w:r w:rsidR="00207863">
        <w:t>individual</w:t>
      </w:r>
      <w:r w:rsidR="00056061">
        <w:noBreakHyphen/>
      </w:r>
      <w:r w:rsidR="00207863">
        <w:t xml:space="preserve">specific term </w:t>
      </w:r>
      <w:r>
        <w:t>is equal to zero and randomly distributed given the individuals</w:t>
      </w:r>
      <w:r w:rsidR="00C34AD7">
        <w:t>’</w:t>
      </w:r>
      <w:r>
        <w:t xml:space="preserve"> characteristics, then a random effects model can be used.</w:t>
      </w:r>
      <w:r w:rsidR="00CE7E5B">
        <w:rPr>
          <w:rStyle w:val="FootnoteReference"/>
        </w:rPr>
        <w:footnoteReference w:id="19"/>
      </w:r>
      <w:r>
        <w:t xml:space="preserve"> If this condition does not hold then a fixed effects model is appropriate. A fixed effect</w:t>
      </w:r>
      <w:r w:rsidR="00C34AD7">
        <w:t>s</w:t>
      </w:r>
      <w:r>
        <w:t xml:space="preserve"> model can therefore be thought of as more flexible than a random effects model, as it places no restrictions on the distribution of </w:t>
      </w:r>
      <w:r w:rsidR="00C34AD7">
        <w:t xml:space="preserve">the </w:t>
      </w:r>
      <w:r>
        <w:t>individual</w:t>
      </w:r>
      <w:r>
        <w:noBreakHyphen/>
        <w:t>specific term. A fixed effects panel model is used in this instance.</w:t>
      </w:r>
      <w:r>
        <w:rPr>
          <w:rStyle w:val="FootnoteReference"/>
        </w:rPr>
        <w:footnoteReference w:id="20"/>
      </w:r>
    </w:p>
    <w:p w14:paraId="26525384" w14:textId="29519349" w:rsidR="00571749" w:rsidRDefault="00571749" w:rsidP="00571749">
      <w:pPr>
        <w:pStyle w:val="BodyText"/>
        <w:tabs>
          <w:tab w:val="right" w:pos="8789"/>
        </w:tabs>
      </w:pPr>
      <w:r>
        <w:t xml:space="preserve">The fixed effects model is estimated using the Chamberlain estimator, a method that allows for the consistent estimation of parameters </w:t>
      </w:r>
      <m:oMath>
        <m:r>
          <w:rPr>
            <w:rFonts w:ascii="Cambria Math" w:hAnsi="Cambria Math"/>
          </w:rPr>
          <m:t>β</m:t>
        </m:r>
      </m:oMath>
      <w:r>
        <w:t xml:space="preserve">, </w:t>
      </w:r>
      <m:oMath>
        <m:r>
          <w:rPr>
            <w:rFonts w:ascii="Cambria Math" w:hAnsi="Cambria Math"/>
          </w:rPr>
          <m:t>φ</m:t>
        </m:r>
      </m:oMath>
      <w:r>
        <w:t xml:space="preserve">, and </w:t>
      </w:r>
      <m:oMath>
        <m:r>
          <w:rPr>
            <w:rFonts w:ascii="Cambria Math" w:hAnsi="Cambria Math"/>
          </w:rPr>
          <m:t>γ</m:t>
        </m:r>
      </m:oMath>
      <w:r>
        <w:t xml:space="preserve"> in a way that does not depend upon the individual</w:t>
      </w:r>
      <w:r>
        <w:noBreakHyphen/>
        <w:t>specific term</w:t>
      </w:r>
      <w:r w:rsidR="0094072F">
        <w:t>,</w:t>
      </w:r>
      <w:r>
        <w:t xml:space="preserve"> </w:t>
      </w:r>
      <m:oMath>
        <m:sSub>
          <m:sSubPr>
            <m:ctrlPr>
              <w:rPr>
                <w:rFonts w:ascii="Cambria Math" w:hAnsi="Cambria Math"/>
                <w:i/>
              </w:rPr>
            </m:ctrlPr>
          </m:sSubPr>
          <m:e>
            <m:r>
              <w:rPr>
                <w:rFonts w:ascii="Cambria Math" w:hAnsi="Cambria Math"/>
              </w:rPr>
              <m:t>c</m:t>
            </m:r>
          </m:e>
          <m:sub>
            <m:r>
              <w:rPr>
                <w:rFonts w:ascii="Cambria Math" w:hAnsi="Cambria Math"/>
              </w:rPr>
              <m:t>i</m:t>
            </m:r>
          </m:sub>
        </m:sSub>
      </m:oMath>
      <w:r w:rsidR="00975FBF">
        <w:t xml:space="preserve"> </w:t>
      </w:r>
      <w:r w:rsidR="00975FBF" w:rsidRPr="00975FBF">
        <w:rPr>
          <w:szCs w:val="24"/>
        </w:rPr>
        <w:t>(Chamberlain 1980)</w:t>
      </w:r>
      <w:r>
        <w:t xml:space="preserve">. Producing estimates of </w:t>
      </w:r>
      <m:oMath>
        <m:r>
          <w:rPr>
            <w:rFonts w:ascii="Cambria Math" w:hAnsi="Cambria Math"/>
          </w:rPr>
          <m:t>β</m:t>
        </m:r>
      </m:oMath>
      <w:r>
        <w:t xml:space="preserve">, </w:t>
      </w:r>
      <m:oMath>
        <m:r>
          <w:rPr>
            <w:rFonts w:ascii="Cambria Math" w:hAnsi="Cambria Math"/>
          </w:rPr>
          <m:t>φ</m:t>
        </m:r>
      </m:oMath>
      <w:r>
        <w:t xml:space="preserve">, and </w:t>
      </w:r>
      <m:oMath>
        <m:r>
          <w:rPr>
            <w:rFonts w:ascii="Cambria Math" w:hAnsi="Cambria Math"/>
          </w:rPr>
          <m:t>γ</m:t>
        </m:r>
      </m:oMath>
      <w:r>
        <w:t xml:space="preserve"> that are independent of the individual</w:t>
      </w:r>
      <w:r>
        <w:noBreakHyphen/>
        <w:t xml:space="preserve">specific term relies on </w:t>
      </w:r>
      <w:r w:rsidR="004849B1">
        <w:t xml:space="preserve">characteristics of </w:t>
      </w:r>
      <w:r>
        <w:t xml:space="preserve">the logit functional form to remove </w:t>
      </w:r>
      <m:oMath>
        <m:sSub>
          <m:sSubPr>
            <m:ctrlPr>
              <w:rPr>
                <w:rFonts w:ascii="Cambria Math" w:hAnsi="Cambria Math"/>
                <w:i/>
              </w:rPr>
            </m:ctrlPr>
          </m:sSubPr>
          <m:e>
            <m:r>
              <w:rPr>
                <w:rFonts w:ascii="Cambria Math" w:hAnsi="Cambria Math"/>
              </w:rPr>
              <m:t>c</m:t>
            </m:r>
          </m:e>
          <m:sub>
            <m:r>
              <w:rPr>
                <w:rFonts w:ascii="Cambria Math" w:hAnsi="Cambria Math"/>
              </w:rPr>
              <m:t>i</m:t>
            </m:r>
          </m:sub>
        </m:sSub>
      </m:oMath>
      <w:r w:rsidR="00DC7476">
        <w:t xml:space="preserve"> </w:t>
      </w:r>
      <w:r>
        <w:t xml:space="preserve">from the estimation equation </w:t>
      </w:r>
      <w:r w:rsidRPr="008D6082">
        <w:rPr>
          <w:szCs w:val="24"/>
        </w:rPr>
        <w:t>(Wooldridge 2002)</w:t>
      </w:r>
      <w:r>
        <w:t xml:space="preserve">. In practical terms, this means that the parameters can be estimated without knowing or estimating </w:t>
      </w:r>
      <m:oMath>
        <m:sSub>
          <m:sSubPr>
            <m:ctrlPr>
              <w:rPr>
                <w:rFonts w:ascii="Cambria Math" w:hAnsi="Cambria Math"/>
                <w:i/>
              </w:rPr>
            </m:ctrlPr>
          </m:sSubPr>
          <m:e>
            <m:r>
              <w:rPr>
                <w:rFonts w:ascii="Cambria Math" w:hAnsi="Cambria Math"/>
              </w:rPr>
              <m:t>c</m:t>
            </m:r>
          </m:e>
          <m:sub>
            <m:r>
              <w:rPr>
                <w:rFonts w:ascii="Cambria Math" w:hAnsi="Cambria Math"/>
              </w:rPr>
              <m:t>i</m:t>
            </m:r>
          </m:sub>
        </m:sSub>
      </m:oMath>
      <w:r>
        <w:t>.</w:t>
      </w:r>
    </w:p>
    <w:p w14:paraId="3F5AABCC" w14:textId="77777777" w:rsidR="00571749" w:rsidRDefault="00571749" w:rsidP="00571749">
      <w:pPr>
        <w:pStyle w:val="BodyText"/>
      </w:pPr>
      <w:r>
        <w:t xml:space="preserve">There are two limitations to the fixed effects model. </w:t>
      </w:r>
    </w:p>
    <w:p w14:paraId="147D7778" w14:textId="77777777" w:rsidR="00571749" w:rsidRDefault="00571749" w:rsidP="00571749">
      <w:pPr>
        <w:pStyle w:val="BodyText"/>
      </w:pPr>
      <w:r>
        <w:t>First, where there is little or no variation in a control variable over time, it is not possible to estimate the effect of that variable on employment. For example, it is not possible to quantify the effect that gender has on employment status using a fixed effects model. Any effect of gender is controlled for by the inclusion of the time</w:t>
      </w:r>
      <w:r w:rsidR="00F858B3">
        <w:noBreakHyphen/>
      </w:r>
      <w:r>
        <w:t>invariant fixed effect.</w:t>
      </w:r>
    </w:p>
    <w:p w14:paraId="2C5CFF93" w14:textId="77777777" w:rsidR="008D0736" w:rsidRDefault="00571749" w:rsidP="00C537DB">
      <w:pPr>
        <w:pStyle w:val="BodyText"/>
      </w:pPr>
      <w:r>
        <w:t>Second, as the individual</w:t>
      </w:r>
      <w:r>
        <w:noBreakHyphen/>
        <w:t xml:space="preserve">specific fixed effect is never estimated, it is necessary to </w:t>
      </w:r>
      <w:r w:rsidR="004E6A79">
        <w:t xml:space="preserve">adopt a value for </w:t>
      </w:r>
      <w:r>
        <w:t>the underlying ‘base</w:t>
      </w:r>
      <w:r w:rsidR="007F1611">
        <w:t>line</w:t>
      </w:r>
      <w:r>
        <w:t>’ employment</w:t>
      </w:r>
      <w:r w:rsidR="008D0736">
        <w:t xml:space="preserve"> rate</w:t>
      </w:r>
      <w:r>
        <w:t xml:space="preserve"> in order to calculate </w:t>
      </w:r>
      <w:r w:rsidR="008D0736">
        <w:t>the estimated impact of changes to key variables on</w:t>
      </w:r>
      <w:r>
        <w:t xml:space="preserve"> </w:t>
      </w:r>
      <w:r w:rsidR="008D0736">
        <w:t>employment rates</w:t>
      </w:r>
      <w:r>
        <w:t xml:space="preserve">. </w:t>
      </w:r>
      <w:r w:rsidR="008D0736">
        <w:t>Specifically, i</w:t>
      </w:r>
      <w:r>
        <w:t>n the results from the fixed effects estimation presented below</w:t>
      </w:r>
      <w:r w:rsidR="008D0736">
        <w:t>:</w:t>
      </w:r>
    </w:p>
    <w:p w14:paraId="06C58119" w14:textId="77777777" w:rsidR="008D0736" w:rsidRDefault="008D0736" w:rsidP="005F4C6C">
      <w:pPr>
        <w:pStyle w:val="ListBullet"/>
      </w:pPr>
      <w:r>
        <w:t xml:space="preserve">the </w:t>
      </w:r>
      <w:r w:rsidR="006D4FE7">
        <w:t>expected rate of</w:t>
      </w:r>
      <w:r>
        <w:t xml:space="preserve"> employment </w:t>
      </w:r>
      <w:r w:rsidR="006D4FE7">
        <w:t>of</w:t>
      </w:r>
      <w:r>
        <w:t xml:space="preserve"> people receiving a particular </w:t>
      </w:r>
      <w:r w:rsidR="00C17F92">
        <w:t>type of housing assistance</w:t>
      </w:r>
      <w:r>
        <w:t xml:space="preserve"> </w:t>
      </w:r>
      <w:r w:rsidR="004E4754">
        <w:t>in a given</w:t>
      </w:r>
      <w:r>
        <w:t xml:space="preserve"> state is estimated </w:t>
      </w:r>
      <w:r w:rsidR="00C17F92">
        <w:t xml:space="preserve">by multiplying the odds of employment in </w:t>
      </w:r>
      <w:r w:rsidR="00F67350">
        <w:t>New South Wales</w:t>
      </w:r>
      <w:r w:rsidR="004E4754">
        <w:t xml:space="preserve"> (</w:t>
      </w:r>
      <w:r w:rsidR="005F4C6C">
        <w:t xml:space="preserve">which is treated as </w:t>
      </w:r>
      <w:r w:rsidR="004E4754">
        <w:t>the default state</w:t>
      </w:r>
      <w:r w:rsidR="005F4C6C">
        <w:t xml:space="preserve"> in the logistic regressions</w:t>
      </w:r>
      <w:r w:rsidR="004E4754">
        <w:t xml:space="preserve">) </w:t>
      </w:r>
      <w:r w:rsidR="00C17F92">
        <w:t>by the</w:t>
      </w:r>
      <w:r w:rsidR="004E4754">
        <w:t xml:space="preserve"> estimated</w:t>
      </w:r>
      <w:r w:rsidR="00C17F92">
        <w:t xml:space="preserve"> odds ratio associated with the type of housing assistance received and</w:t>
      </w:r>
      <w:r w:rsidR="004E4754">
        <w:t xml:space="preserve"> the given state of residence</w:t>
      </w:r>
    </w:p>
    <w:p w14:paraId="61F655A0" w14:textId="77777777" w:rsidR="00571749" w:rsidRDefault="00C17F92" w:rsidP="005F4C6C">
      <w:pPr>
        <w:pStyle w:val="ListBullet"/>
      </w:pPr>
      <w:r>
        <w:t xml:space="preserve">the </w:t>
      </w:r>
      <w:r w:rsidR="006D4FE7">
        <w:t>expected rate of employment of</w:t>
      </w:r>
      <w:r>
        <w:t xml:space="preserve"> people receiving a particular ISP and living in a particular state is estimated by multiplying the odds of employment </w:t>
      </w:r>
      <w:r w:rsidR="00AE4CAE">
        <w:t>among Carers Payment recipients</w:t>
      </w:r>
      <w:r>
        <w:t xml:space="preserve"> by the </w:t>
      </w:r>
      <w:r w:rsidR="00DC5F49">
        <w:t xml:space="preserve">estimated </w:t>
      </w:r>
      <w:r>
        <w:t>odds ratio associated with the type of housing assistance and ISP received.</w:t>
      </w:r>
    </w:p>
    <w:p w14:paraId="423FC825" w14:textId="3C8AEEE9" w:rsidR="00196141" w:rsidRPr="00571749" w:rsidRDefault="00050DAA" w:rsidP="007B71E8">
      <w:pPr>
        <w:pStyle w:val="BodyText"/>
      </w:pPr>
      <w:r>
        <w:t>D</w:t>
      </w:r>
      <w:r w:rsidR="0042365C">
        <w:t>espite these limitations,</w:t>
      </w:r>
      <w:r w:rsidR="00196141">
        <w:t xml:space="preserve"> the ability to account for time</w:t>
      </w:r>
      <w:r w:rsidR="00056061">
        <w:noBreakHyphen/>
      </w:r>
      <w:r w:rsidR="00196141">
        <w:t>invariant unobserved characteristics make</w:t>
      </w:r>
      <w:r>
        <w:t>s</w:t>
      </w:r>
      <w:r w:rsidR="00196141">
        <w:t xml:space="preserve"> the fixed effects</w:t>
      </w:r>
      <w:r>
        <w:t xml:space="preserve"> model</w:t>
      </w:r>
      <w:r w:rsidR="00196141">
        <w:t xml:space="preserve"> preferable to the pooled cross</w:t>
      </w:r>
      <w:r w:rsidR="00056061">
        <w:noBreakHyphen/>
      </w:r>
      <w:r w:rsidR="00196141">
        <w:t xml:space="preserve">section approach. This is primarily </w:t>
      </w:r>
      <w:r w:rsidR="00FC38C1">
        <w:t>because of</w:t>
      </w:r>
      <w:r w:rsidR="00196141">
        <w:t xml:space="preserve"> the absence of information about individual factors that </w:t>
      </w:r>
      <w:r w:rsidR="00CB044C">
        <w:t>may substantially</w:t>
      </w:r>
      <w:r w:rsidR="00196141">
        <w:t xml:space="preserve"> affect employment</w:t>
      </w:r>
      <w:r w:rsidR="00FC38C1">
        <w:t xml:space="preserve"> in the estimation dataset</w:t>
      </w:r>
      <w:r w:rsidR="00CB044C">
        <w:t xml:space="preserve">, </w:t>
      </w:r>
      <w:r w:rsidR="00FC38C1">
        <w:t xml:space="preserve">and the </w:t>
      </w:r>
      <w:r w:rsidR="00CB044C">
        <w:t xml:space="preserve">potential </w:t>
      </w:r>
      <w:r w:rsidR="00FC38C1">
        <w:t xml:space="preserve">that this biases </w:t>
      </w:r>
      <w:r w:rsidR="00CB044C">
        <w:t>coefficients</w:t>
      </w:r>
      <w:r w:rsidR="00FC38C1">
        <w:t xml:space="preserve"> in the pooled </w:t>
      </w:r>
      <w:r w:rsidR="000F5520">
        <w:t>cross</w:t>
      </w:r>
      <w:r w:rsidR="00056061">
        <w:noBreakHyphen/>
      </w:r>
      <w:r w:rsidR="000F5520">
        <w:t>section</w:t>
      </w:r>
      <w:r w:rsidR="00FC38C1">
        <w:t xml:space="preserve"> model</w:t>
      </w:r>
      <w:r w:rsidR="00CB044C">
        <w:t xml:space="preserve">. If unobserved characteristics </w:t>
      </w:r>
      <w:r w:rsidR="00D00EFE">
        <w:t xml:space="preserve">did not </w:t>
      </w:r>
      <w:r w:rsidR="00CB044C">
        <w:t>affect employment, there would be no substantial difference between the results from the fixed effects and pooled cross</w:t>
      </w:r>
      <w:r w:rsidR="00056061">
        <w:noBreakHyphen/>
      </w:r>
      <w:r w:rsidR="00CB044C">
        <w:t xml:space="preserve">sectional </w:t>
      </w:r>
      <w:r w:rsidR="0010696F">
        <w:t>models</w:t>
      </w:r>
      <w:r w:rsidR="00CB044C">
        <w:t>.</w:t>
      </w:r>
    </w:p>
    <w:p w14:paraId="23EE184C" w14:textId="4DCC7EEF" w:rsidR="00571749" w:rsidRDefault="00D8076D" w:rsidP="00571749">
      <w:pPr>
        <w:pStyle w:val="Heading2"/>
      </w:pPr>
      <w:r>
        <w:rPr>
          <w:noProof/>
        </w:rPr>
        <w:t>4</w:t>
      </w:r>
      <w:r w:rsidR="00571749">
        <w:tab/>
        <w:t>Results</w:t>
      </w:r>
    </w:p>
    <w:p w14:paraId="0026E1D2" w14:textId="00C9A515" w:rsidR="005F5F84" w:rsidRPr="000A0387" w:rsidRDefault="00571749" w:rsidP="007B71E8">
      <w:pPr>
        <w:pStyle w:val="BodyText"/>
        <w:rPr>
          <w:spacing w:val="-2"/>
        </w:rPr>
      </w:pPr>
      <w:r w:rsidRPr="000A0387">
        <w:rPr>
          <w:spacing w:val="-2"/>
        </w:rPr>
        <w:t>This section presents results from</w:t>
      </w:r>
      <w:r w:rsidR="001743D3" w:rsidRPr="000A0387">
        <w:rPr>
          <w:spacing w:val="-2"/>
        </w:rPr>
        <w:t xml:space="preserve"> both the pooled cross</w:t>
      </w:r>
      <w:r w:rsidR="00056061" w:rsidRPr="000A0387">
        <w:rPr>
          <w:spacing w:val="-2"/>
        </w:rPr>
        <w:noBreakHyphen/>
      </w:r>
      <w:r w:rsidR="001743D3" w:rsidRPr="000A0387">
        <w:rPr>
          <w:spacing w:val="-2"/>
        </w:rPr>
        <w:t>sectional and the fixed effects models.</w:t>
      </w:r>
    </w:p>
    <w:p w14:paraId="6EB1F054" w14:textId="350C4A96" w:rsidR="00192922" w:rsidRDefault="005F5F84" w:rsidP="007B71E8">
      <w:pPr>
        <w:pStyle w:val="BodyText"/>
      </w:pPr>
      <w:r>
        <w:t>T</w:t>
      </w:r>
      <w:r w:rsidR="00571749">
        <w:t xml:space="preserve">he </w:t>
      </w:r>
      <w:r w:rsidR="001C78AC">
        <w:t xml:space="preserve">pooled </w:t>
      </w:r>
      <w:r w:rsidR="00571749">
        <w:t>cross</w:t>
      </w:r>
      <w:r w:rsidR="00F858B3">
        <w:noBreakHyphen/>
      </w:r>
      <w:r w:rsidR="00571749">
        <w:t xml:space="preserve">sectional model takes into account a range of observed </w:t>
      </w:r>
      <w:r w:rsidR="007234B8">
        <w:t>characteristics</w:t>
      </w:r>
      <w:r w:rsidR="00571749">
        <w:t xml:space="preserve">; this model is used to test the extent to which observed characteristics can account for the differences in employment </w:t>
      </w:r>
      <w:r w:rsidR="007234B8">
        <w:t xml:space="preserve">rates between public housing tenants, CRA recipients and other ISP recipients </w:t>
      </w:r>
      <w:r w:rsidR="00571749">
        <w:t>that were observed in section</w:t>
      </w:r>
      <w:r w:rsidR="00F858B3">
        <w:t> </w:t>
      </w:r>
      <w:r w:rsidR="001743D3">
        <w:t>2. Given the different characteristics</w:t>
      </w:r>
      <w:r w:rsidR="004D583C">
        <w:t xml:space="preserve"> of recipients of different ISPs</w:t>
      </w:r>
      <w:r w:rsidR="001743D3">
        <w:t>, results are presented separately for different ISP types. Similarly, as rules regarding eligibility, lease terms and rent</w:t>
      </w:r>
      <w:r w:rsidR="00056061">
        <w:noBreakHyphen/>
      </w:r>
      <w:r w:rsidR="001743D3">
        <w:t xml:space="preserve">setting in public housing vary between </w:t>
      </w:r>
      <w:r w:rsidR="00997571">
        <w:t xml:space="preserve">the </w:t>
      </w:r>
      <w:r w:rsidR="001743D3">
        <w:t>states and have the potential to lead to different employment outcomes, results are also presented for each state.</w:t>
      </w:r>
      <w:r w:rsidR="001743D3">
        <w:rPr>
          <w:rStyle w:val="FootnoteReference"/>
        </w:rPr>
        <w:footnoteReference w:id="21"/>
      </w:r>
      <w:r w:rsidR="004A7B8F">
        <w:t xml:space="preserve"> Estimates of the effects of housing assistance on the employment of young ISP recipients who live with their parents are also included</w:t>
      </w:r>
      <w:r w:rsidR="004D583C">
        <w:t>, with effects presented for different ISPs separately.</w:t>
      </w:r>
    </w:p>
    <w:p w14:paraId="3B5DCBD1" w14:textId="5FB2BA81" w:rsidR="00CB044C" w:rsidRPr="000A0387" w:rsidRDefault="001743D3" w:rsidP="007B71E8">
      <w:pPr>
        <w:pStyle w:val="BodyText"/>
        <w:rPr>
          <w:spacing w:val="-2"/>
        </w:rPr>
      </w:pPr>
      <w:r w:rsidRPr="000A0387">
        <w:rPr>
          <w:spacing w:val="-2"/>
        </w:rPr>
        <w:t xml:space="preserve">The </w:t>
      </w:r>
      <w:r w:rsidR="00571749" w:rsidRPr="000A0387">
        <w:rPr>
          <w:spacing w:val="-2"/>
        </w:rPr>
        <w:t xml:space="preserve">fixed effects model accounts for </w:t>
      </w:r>
      <w:r w:rsidR="00CA3DFE" w:rsidRPr="000A0387">
        <w:rPr>
          <w:spacing w:val="-2"/>
        </w:rPr>
        <w:t xml:space="preserve">observed and </w:t>
      </w:r>
      <w:r w:rsidR="00571749" w:rsidRPr="000A0387">
        <w:rPr>
          <w:spacing w:val="-2"/>
        </w:rPr>
        <w:t xml:space="preserve">unobserved </w:t>
      </w:r>
      <w:r w:rsidR="00CA3DFE" w:rsidRPr="000A0387">
        <w:rPr>
          <w:spacing w:val="-2"/>
        </w:rPr>
        <w:t xml:space="preserve">characteristics </w:t>
      </w:r>
      <w:r w:rsidR="00571749" w:rsidRPr="000A0387">
        <w:rPr>
          <w:spacing w:val="-2"/>
        </w:rPr>
        <w:t>that do not vary over time as well as the observed differences</w:t>
      </w:r>
      <w:r w:rsidR="00CA3DFE" w:rsidRPr="000A0387">
        <w:rPr>
          <w:spacing w:val="-2"/>
        </w:rPr>
        <w:t xml:space="preserve"> that do vary</w:t>
      </w:r>
      <w:r w:rsidRPr="000A0387">
        <w:rPr>
          <w:spacing w:val="-2"/>
        </w:rPr>
        <w:t>. T</w:t>
      </w:r>
      <w:r w:rsidR="00571749" w:rsidRPr="000A0387">
        <w:rPr>
          <w:spacing w:val="-2"/>
        </w:rPr>
        <w:t xml:space="preserve">his model is used to test </w:t>
      </w:r>
      <w:r w:rsidR="0000071F" w:rsidRPr="000A0387">
        <w:rPr>
          <w:spacing w:val="-2"/>
        </w:rPr>
        <w:t xml:space="preserve">whether </w:t>
      </w:r>
      <w:r w:rsidR="007234B8" w:rsidRPr="000A0387">
        <w:rPr>
          <w:spacing w:val="-2"/>
        </w:rPr>
        <w:t xml:space="preserve">the </w:t>
      </w:r>
      <w:r w:rsidR="00571749" w:rsidRPr="000A0387">
        <w:rPr>
          <w:spacing w:val="-2"/>
        </w:rPr>
        <w:t xml:space="preserve">differences in employment </w:t>
      </w:r>
      <w:r w:rsidR="007234B8" w:rsidRPr="000A0387">
        <w:rPr>
          <w:spacing w:val="-2"/>
        </w:rPr>
        <w:t xml:space="preserve">rates </w:t>
      </w:r>
      <w:r w:rsidR="00571749" w:rsidRPr="000A0387">
        <w:rPr>
          <w:spacing w:val="-2"/>
        </w:rPr>
        <w:t>that were observed in section</w:t>
      </w:r>
      <w:r w:rsidR="00F858B3" w:rsidRPr="000A0387">
        <w:rPr>
          <w:spacing w:val="-2"/>
        </w:rPr>
        <w:t> </w:t>
      </w:r>
      <w:r w:rsidRPr="000A0387">
        <w:rPr>
          <w:spacing w:val="-2"/>
        </w:rPr>
        <w:t>2</w:t>
      </w:r>
      <w:r w:rsidR="001C78AC" w:rsidRPr="000A0387">
        <w:rPr>
          <w:spacing w:val="-2"/>
        </w:rPr>
        <w:t xml:space="preserve"> can be better explained by </w:t>
      </w:r>
      <w:r w:rsidR="007234B8" w:rsidRPr="000A0387">
        <w:rPr>
          <w:spacing w:val="-2"/>
        </w:rPr>
        <w:t xml:space="preserve">also </w:t>
      </w:r>
      <w:r w:rsidR="001C78AC" w:rsidRPr="000A0387">
        <w:rPr>
          <w:spacing w:val="-2"/>
        </w:rPr>
        <w:t>account</w:t>
      </w:r>
      <w:r w:rsidR="0000071F" w:rsidRPr="000A0387">
        <w:rPr>
          <w:spacing w:val="-2"/>
        </w:rPr>
        <w:t>ing for</w:t>
      </w:r>
      <w:r w:rsidR="001C78AC" w:rsidRPr="000A0387">
        <w:rPr>
          <w:spacing w:val="-2"/>
        </w:rPr>
        <w:t xml:space="preserve"> </w:t>
      </w:r>
      <w:r w:rsidR="007234B8" w:rsidRPr="000A0387">
        <w:rPr>
          <w:spacing w:val="-2"/>
        </w:rPr>
        <w:t>the</w:t>
      </w:r>
      <w:r w:rsidR="001C78AC" w:rsidRPr="000A0387">
        <w:rPr>
          <w:spacing w:val="-2"/>
        </w:rPr>
        <w:t xml:space="preserve"> </w:t>
      </w:r>
      <w:r w:rsidRPr="000A0387">
        <w:rPr>
          <w:spacing w:val="-2"/>
        </w:rPr>
        <w:t>time</w:t>
      </w:r>
      <w:r w:rsidR="00056061" w:rsidRPr="000A0387">
        <w:rPr>
          <w:spacing w:val="-2"/>
        </w:rPr>
        <w:noBreakHyphen/>
      </w:r>
      <w:r w:rsidRPr="000A0387">
        <w:rPr>
          <w:spacing w:val="-2"/>
        </w:rPr>
        <w:t xml:space="preserve">invariant </w:t>
      </w:r>
      <w:r w:rsidR="001C78AC" w:rsidRPr="000A0387">
        <w:rPr>
          <w:spacing w:val="-2"/>
        </w:rPr>
        <w:t>characteristics of ISP recipients</w:t>
      </w:r>
      <w:r w:rsidR="00571749" w:rsidRPr="000A0387">
        <w:rPr>
          <w:spacing w:val="-2"/>
        </w:rPr>
        <w:t>.</w:t>
      </w:r>
      <w:r w:rsidR="004A7B8F" w:rsidRPr="000A0387">
        <w:rPr>
          <w:spacing w:val="-2"/>
        </w:rPr>
        <w:t xml:space="preserve"> As with the pooled cross</w:t>
      </w:r>
      <w:r w:rsidR="00056061" w:rsidRPr="000A0387">
        <w:rPr>
          <w:spacing w:val="-2"/>
        </w:rPr>
        <w:noBreakHyphen/>
      </w:r>
      <w:r w:rsidR="004A7B8F" w:rsidRPr="000A0387">
        <w:rPr>
          <w:spacing w:val="-2"/>
        </w:rPr>
        <w:t>sectional model, results are presented separate</w:t>
      </w:r>
      <w:r w:rsidR="00192922" w:rsidRPr="000A0387">
        <w:rPr>
          <w:spacing w:val="-2"/>
        </w:rPr>
        <w:t xml:space="preserve">ly </w:t>
      </w:r>
      <w:r w:rsidR="00997571" w:rsidRPr="000A0387">
        <w:rPr>
          <w:spacing w:val="-2"/>
        </w:rPr>
        <w:t>for</w:t>
      </w:r>
      <w:r w:rsidR="00192922" w:rsidRPr="000A0387">
        <w:rPr>
          <w:spacing w:val="-2"/>
        </w:rPr>
        <w:t xml:space="preserve"> </w:t>
      </w:r>
      <w:r w:rsidR="00997571" w:rsidRPr="000A0387">
        <w:rPr>
          <w:spacing w:val="-2"/>
        </w:rPr>
        <w:t xml:space="preserve">each </w:t>
      </w:r>
      <w:r w:rsidR="00192922" w:rsidRPr="000A0387">
        <w:rPr>
          <w:spacing w:val="-2"/>
        </w:rPr>
        <w:t>ISP</w:t>
      </w:r>
      <w:r w:rsidR="00997571" w:rsidRPr="000A0387">
        <w:rPr>
          <w:spacing w:val="-2"/>
        </w:rPr>
        <w:t xml:space="preserve"> type </w:t>
      </w:r>
      <w:r w:rsidR="00192922" w:rsidRPr="000A0387">
        <w:rPr>
          <w:spacing w:val="-2"/>
        </w:rPr>
        <w:t>and state</w:t>
      </w:r>
      <w:r w:rsidR="00CB044C" w:rsidRPr="000A0387">
        <w:rPr>
          <w:spacing w:val="-2"/>
        </w:rPr>
        <w:t>.</w:t>
      </w:r>
      <w:r w:rsidR="00192922" w:rsidRPr="000A0387">
        <w:rPr>
          <w:spacing w:val="-2"/>
        </w:rPr>
        <w:t xml:space="preserve"> </w:t>
      </w:r>
    </w:p>
    <w:p w14:paraId="1860D82F" w14:textId="028AD606" w:rsidR="001C2420" w:rsidRDefault="00CB044C" w:rsidP="007B71E8">
      <w:pPr>
        <w:pStyle w:val="BodyText"/>
      </w:pPr>
      <w:r>
        <w:t>T</w:t>
      </w:r>
      <w:r w:rsidR="00192922">
        <w:t>he effect of parental receipt of housing assistance on the employment of children who live at home is not tested using the fixed effects model. This is because it is considered inappropriate to assum</w:t>
      </w:r>
      <w:r>
        <w:t xml:space="preserve">e that </w:t>
      </w:r>
      <w:r w:rsidR="00BD339C">
        <w:t>education (an</w:t>
      </w:r>
      <w:r w:rsidR="00DE17F1">
        <w:t xml:space="preserve"> important unobserved variable) </w:t>
      </w:r>
      <w:r w:rsidR="00192922">
        <w:t>remain</w:t>
      </w:r>
      <w:r w:rsidR="00DE17F1">
        <w:t>s</w:t>
      </w:r>
      <w:r w:rsidR="00192922">
        <w:t xml:space="preserve"> fixed over time</w:t>
      </w:r>
      <w:r>
        <w:t xml:space="preserve"> within this cohort</w:t>
      </w:r>
      <w:r w:rsidR="00192922">
        <w:t>.</w:t>
      </w:r>
      <w:r w:rsidR="00BD339C">
        <w:rPr>
          <w:rStyle w:val="FootnoteReference"/>
        </w:rPr>
        <w:footnoteReference w:id="22"/>
      </w:r>
      <w:r w:rsidR="00192922">
        <w:t xml:space="preserve"> Finally, t</w:t>
      </w:r>
      <w:r w:rsidR="001C2420">
        <w:t xml:space="preserve">he relationship </w:t>
      </w:r>
      <w:r w:rsidR="00192922">
        <w:t xml:space="preserve">between </w:t>
      </w:r>
      <w:r w:rsidR="001C2420">
        <w:t>stability of residence and employment is considered in the context of the preferred, fixed effects model. The potential for neighbourhood disadvantage to affect employment is also briefly examined.</w:t>
      </w:r>
    </w:p>
    <w:p w14:paraId="565252F2" w14:textId="77777777" w:rsidR="00571749" w:rsidRDefault="00571749" w:rsidP="00571749">
      <w:pPr>
        <w:pStyle w:val="Heading3"/>
      </w:pPr>
      <w:r>
        <w:t xml:space="preserve">Accounting for observed </w:t>
      </w:r>
      <w:r w:rsidR="00A80A45">
        <w:t>characteristics</w:t>
      </w:r>
      <w:r>
        <w:t xml:space="preserve">: </w:t>
      </w:r>
      <w:r w:rsidR="001C78AC">
        <w:t xml:space="preserve">pooled </w:t>
      </w:r>
      <w:r>
        <w:t>cross</w:t>
      </w:r>
      <w:r w:rsidR="00F858B3">
        <w:noBreakHyphen/>
      </w:r>
      <w:r>
        <w:t>sectional estimates of the relationship between housing assistance and employment</w:t>
      </w:r>
    </w:p>
    <w:p w14:paraId="2F44FFE2" w14:textId="77777777" w:rsidR="00152D17" w:rsidRDefault="00571749" w:rsidP="00571749">
      <w:pPr>
        <w:pStyle w:val="BodyText"/>
      </w:pPr>
      <w:r>
        <w:t xml:space="preserve">After taking into account the </w:t>
      </w:r>
      <w:r w:rsidR="000109AD">
        <w:t xml:space="preserve">observed </w:t>
      </w:r>
      <w:r>
        <w:t xml:space="preserve">characteristics of ISP recipients, </w:t>
      </w:r>
      <w:r w:rsidR="00DE17F1">
        <w:t xml:space="preserve">this model indicates that </w:t>
      </w:r>
      <w:r>
        <w:t xml:space="preserve">public housing tenants are </w:t>
      </w:r>
      <w:r w:rsidR="000109AD">
        <w:t xml:space="preserve">still </w:t>
      </w:r>
      <w:r>
        <w:t>less likely than other ISP recipients to be employed</w:t>
      </w:r>
      <w:r w:rsidR="001C78AC">
        <w:t xml:space="preserve"> (</w:t>
      </w:r>
      <w:r w:rsidR="000109AD">
        <w:t>a</w:t>
      </w:r>
      <w:r w:rsidR="001C78AC">
        <w:t>nnex A, table</w:t>
      </w:r>
      <w:r w:rsidR="00F858B3">
        <w:t> </w:t>
      </w:r>
      <w:r w:rsidR="001C78AC">
        <w:t>1)</w:t>
      </w:r>
      <w:r>
        <w:t xml:space="preserve">. That is, </w:t>
      </w:r>
      <w:r w:rsidR="00BD339C">
        <w:t xml:space="preserve">based on the results in this section, </w:t>
      </w:r>
      <w:r>
        <w:t xml:space="preserve">one might conclude that public housing residents are less likely to be employed </w:t>
      </w:r>
      <w:r>
        <w:rPr>
          <w:i/>
        </w:rPr>
        <w:t>as a result of</w:t>
      </w:r>
      <w:r w:rsidR="001C78AC">
        <w:t xml:space="preserve"> rec</w:t>
      </w:r>
      <w:r>
        <w:t>e</w:t>
      </w:r>
      <w:r w:rsidR="001C78AC">
        <w:t>i</w:t>
      </w:r>
      <w:r>
        <w:t>ving housing assistance.</w:t>
      </w:r>
      <w:r w:rsidDel="005E1A1C">
        <w:t xml:space="preserve"> </w:t>
      </w:r>
      <w:r w:rsidR="00152D17">
        <w:t xml:space="preserve">However, as shown by the fixed effects results below, this conclusion </w:t>
      </w:r>
      <w:r w:rsidR="00363722">
        <w:t xml:space="preserve">is likely to </w:t>
      </w:r>
      <w:r w:rsidR="00152D17">
        <w:t>be incorrect.</w:t>
      </w:r>
    </w:p>
    <w:p w14:paraId="05193F25" w14:textId="77777777" w:rsidR="00571749" w:rsidRPr="00671C50" w:rsidRDefault="00571749" w:rsidP="00571749">
      <w:pPr>
        <w:pStyle w:val="BodyText"/>
      </w:pPr>
      <w:r>
        <w:t xml:space="preserve">Overall, </w:t>
      </w:r>
      <w:r w:rsidR="00152D17">
        <w:t xml:space="preserve">on the basis of the observed characteristics, </w:t>
      </w:r>
      <w:r>
        <w:t>residents of public housing have a predicted probability of employment net of other factors that is:</w:t>
      </w:r>
    </w:p>
    <w:p w14:paraId="34983134" w14:textId="77777777" w:rsidR="00571749" w:rsidRPr="00671C50" w:rsidRDefault="00571749" w:rsidP="00571749">
      <w:pPr>
        <w:pStyle w:val="ListBullet"/>
      </w:pPr>
      <w:r w:rsidRPr="00671C50">
        <w:t>around 6.2 percentage points lower than that of a CRA recipient</w:t>
      </w:r>
    </w:p>
    <w:p w14:paraId="4DA46BA9" w14:textId="77777777" w:rsidR="00571749" w:rsidRDefault="00571749" w:rsidP="00571749">
      <w:pPr>
        <w:pStyle w:val="ListBullet"/>
      </w:pPr>
      <w:r w:rsidRPr="00671C50">
        <w:t>around 6.4 percentage points lower than that of a comparable recipient of income support who receives no housing assistance.</w:t>
      </w:r>
    </w:p>
    <w:p w14:paraId="37C30F15" w14:textId="77777777" w:rsidR="004F099E" w:rsidRDefault="004E6A79" w:rsidP="00455C27">
      <w:pPr>
        <w:pStyle w:val="Heading4"/>
      </w:pPr>
      <w:r>
        <w:t>Income support payment type</w:t>
      </w:r>
      <w:r w:rsidR="00C429AE">
        <w:t xml:space="preserve"> and </w:t>
      </w:r>
      <w:r w:rsidR="004F099E">
        <w:t>state of residence</w:t>
      </w:r>
    </w:p>
    <w:p w14:paraId="5126668E" w14:textId="77777777" w:rsidR="00571749" w:rsidRDefault="000109AD" w:rsidP="00571749">
      <w:pPr>
        <w:pStyle w:val="BodyText"/>
      </w:pPr>
      <w:r>
        <w:t>As noted above, the inclusion of interaction terms in t</w:t>
      </w:r>
      <w:r w:rsidR="00571749" w:rsidRPr="00606C1C">
        <w:t xml:space="preserve">he </w:t>
      </w:r>
      <w:r w:rsidR="001C78AC">
        <w:t>pooled cross</w:t>
      </w:r>
      <w:r w:rsidR="00F858B3">
        <w:noBreakHyphen/>
      </w:r>
      <w:r w:rsidR="001C78AC">
        <w:t>section</w:t>
      </w:r>
      <w:r w:rsidR="003800D3">
        <w:t>al</w:t>
      </w:r>
      <w:r w:rsidR="001C78AC">
        <w:t xml:space="preserve"> employment</w:t>
      </w:r>
      <w:r w:rsidR="00571749" w:rsidRPr="00606C1C">
        <w:t xml:space="preserve"> model</w:t>
      </w:r>
      <w:r w:rsidR="00571749">
        <w:t xml:space="preserve"> </w:t>
      </w:r>
      <w:r w:rsidR="00571749" w:rsidRPr="00606C1C">
        <w:t xml:space="preserve">allows housing assistance status to have different effects for </w:t>
      </w:r>
      <w:r w:rsidR="00571749">
        <w:t xml:space="preserve">people living in different states or receiving </w:t>
      </w:r>
      <w:r w:rsidR="00571749" w:rsidRPr="00606C1C">
        <w:t>different income support types.</w:t>
      </w:r>
      <w:r w:rsidR="00571749">
        <w:rPr>
          <w:rStyle w:val="FootnoteReference"/>
        </w:rPr>
        <w:footnoteReference w:id="23"/>
      </w:r>
      <w:r w:rsidR="00571749" w:rsidRPr="00606C1C">
        <w:t xml:space="preserve"> </w:t>
      </w:r>
      <w:r w:rsidR="00571749">
        <w:t>The predicted probability of employment for public housing residents</w:t>
      </w:r>
      <w:r>
        <w:t xml:space="preserve"> across both ISP types and states </w:t>
      </w:r>
      <w:r w:rsidR="00571749">
        <w:t>is consistently lower than it is for other ISP recipients.</w:t>
      </w:r>
    </w:p>
    <w:p w14:paraId="49392BD4" w14:textId="4F07E579" w:rsidR="008705F6" w:rsidRPr="008A2612" w:rsidRDefault="008705F6" w:rsidP="008705F6">
      <w:pPr>
        <w:pStyle w:val="BodyText"/>
      </w:pPr>
      <w:r w:rsidRPr="008A2612">
        <w:t>Across ISPs, the predicted employment probabilities vary considerably by housing assistance status</w:t>
      </w:r>
      <w:r>
        <w:t xml:space="preserve"> (figure </w:t>
      </w:r>
      <w:r w:rsidR="00A84146">
        <w:t>6</w:t>
      </w:r>
      <w:r>
        <w:t>)</w:t>
      </w:r>
      <w:r w:rsidRPr="008A2612">
        <w:t>. For example:</w:t>
      </w:r>
    </w:p>
    <w:p w14:paraId="3153407A" w14:textId="77777777" w:rsidR="008705F6" w:rsidRPr="008A2612" w:rsidRDefault="008705F6" w:rsidP="008705F6">
      <w:pPr>
        <w:pStyle w:val="ListBullet"/>
      </w:pPr>
      <w:r w:rsidRPr="008A2612">
        <w:t>the predicted employment probability for DSP</w:t>
      </w:r>
      <w:r>
        <w:t xml:space="preserve"> and Newstart Allowance</w:t>
      </w:r>
      <w:r w:rsidRPr="008A2612">
        <w:t xml:space="preserve"> recipients residing in public housing is </w:t>
      </w:r>
      <w:r>
        <w:t>around 3.5</w:t>
      </w:r>
      <w:r w:rsidRPr="008A2612">
        <w:t xml:space="preserve"> percentage points </w:t>
      </w:r>
      <w:r>
        <w:t>less than the predicted probability for those</w:t>
      </w:r>
      <w:r w:rsidRPr="008A2612">
        <w:t xml:space="preserve"> who do not receive any housing assistance.</w:t>
      </w:r>
    </w:p>
    <w:p w14:paraId="61DD67B4" w14:textId="596AA9EA" w:rsidR="008705F6" w:rsidRDefault="008705F6" w:rsidP="008705F6">
      <w:pPr>
        <w:pStyle w:val="ListBullet"/>
      </w:pPr>
      <w:r>
        <w:t>t</w:t>
      </w:r>
      <w:r w:rsidRPr="008A2612">
        <w:t xml:space="preserve">he gap for recipients of Parenting Payment (Single) is </w:t>
      </w:r>
      <w:r w:rsidR="00CF45F9">
        <w:t>about</w:t>
      </w:r>
      <w:r w:rsidR="00CF45F9" w:rsidRPr="008A2612">
        <w:t xml:space="preserve"> </w:t>
      </w:r>
      <w:r w:rsidRPr="008A2612">
        <w:t xml:space="preserve">15 percentage </w:t>
      </w:r>
      <w:r>
        <w:t>points</w:t>
      </w:r>
    </w:p>
    <w:p w14:paraId="05E04700" w14:textId="6C056712" w:rsidR="008705F6" w:rsidRDefault="008705F6" w:rsidP="008705F6">
      <w:pPr>
        <w:pStyle w:val="ListBullet"/>
      </w:pPr>
      <w:r>
        <w:t xml:space="preserve">the gap for Youth </w:t>
      </w:r>
      <w:r w:rsidRPr="00DD6D06">
        <w:t xml:space="preserve">Allowance recipients is </w:t>
      </w:r>
      <w:r w:rsidR="00CF45F9">
        <w:t>about</w:t>
      </w:r>
      <w:r w:rsidR="00CF45F9" w:rsidRPr="00DD6D06">
        <w:t xml:space="preserve"> </w:t>
      </w:r>
      <w:r w:rsidRPr="00DD6D06">
        <w:t>11 percentage</w:t>
      </w:r>
      <w:r>
        <w:t xml:space="preserve"> points.</w:t>
      </w:r>
    </w:p>
    <w:p w14:paraId="08107FFA" w14:textId="6F8D6788" w:rsidR="008705F6" w:rsidRPr="000A0387" w:rsidRDefault="008705F6" w:rsidP="000A03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705F6" w:rsidRPr="005615AB" w14:paraId="19D3481E" w14:textId="77777777" w:rsidTr="00DB56D9">
        <w:tc>
          <w:tcPr>
            <w:tcW w:w="8771" w:type="dxa"/>
            <w:tcBorders>
              <w:top w:val="single" w:sz="6" w:space="0" w:color="78A22F"/>
              <w:left w:val="nil"/>
              <w:bottom w:val="nil"/>
              <w:right w:val="nil"/>
            </w:tcBorders>
            <w:shd w:val="clear" w:color="auto" w:fill="auto"/>
          </w:tcPr>
          <w:p w14:paraId="7C0A5D67" w14:textId="6C2560C1" w:rsidR="008705F6" w:rsidRPr="005615AB" w:rsidRDefault="008705F6" w:rsidP="00DB56D9">
            <w:pPr>
              <w:pStyle w:val="FigureTitle"/>
            </w:pPr>
            <w:r w:rsidRPr="005615AB">
              <w:rPr>
                <w:b w:val="0"/>
              </w:rPr>
              <w:t xml:space="preserve">Figure </w:t>
            </w:r>
            <w:bookmarkStart w:id="8" w:name="OLE_LINK4"/>
            <w:r w:rsidR="00D8076D">
              <w:rPr>
                <w:b w:val="0"/>
                <w:noProof/>
              </w:rPr>
              <w:t>6</w:t>
            </w:r>
            <w:bookmarkEnd w:id="8"/>
            <w:r w:rsidRPr="005615AB">
              <w:tab/>
              <w:t>Predicted probability of employment, by housing assistance type and income support payment type</w:t>
            </w:r>
            <w:r w:rsidRPr="005615AB">
              <w:rPr>
                <w:rStyle w:val="NoteLabel"/>
                <w:b/>
              </w:rPr>
              <w:t>a,b</w:t>
            </w:r>
          </w:p>
          <w:p w14:paraId="34AE327A" w14:textId="77777777" w:rsidR="008705F6" w:rsidRPr="005615AB" w:rsidRDefault="008705F6" w:rsidP="00DB56D9">
            <w:pPr>
              <w:pStyle w:val="Subtitle"/>
            </w:pPr>
            <w:r w:rsidRPr="005615AB">
              <w:t>Average predicted probability of employment</w:t>
            </w:r>
          </w:p>
        </w:tc>
      </w:tr>
      <w:tr w:rsidR="008705F6" w14:paraId="78B247F7" w14:textId="77777777" w:rsidTr="00DB56D9">
        <w:tblPrEx>
          <w:tblCellMar>
            <w:left w:w="108" w:type="dxa"/>
            <w:right w:w="108" w:type="dxa"/>
          </w:tblCellMar>
        </w:tblPrEx>
        <w:tc>
          <w:tcPr>
            <w:tcW w:w="8771" w:type="dxa"/>
            <w:tcBorders>
              <w:top w:val="nil"/>
              <w:left w:val="nil"/>
              <w:bottom w:val="nil"/>
              <w:right w:val="nil"/>
            </w:tcBorders>
            <w:shd w:val="clear" w:color="auto" w:fill="auto"/>
          </w:tcPr>
          <w:p w14:paraId="5982598C" w14:textId="2F8C657B" w:rsidR="008705F6" w:rsidRDefault="002C7DE8" w:rsidP="00DB56D9">
            <w:pPr>
              <w:pStyle w:val="Figure"/>
            </w:pPr>
            <w:r>
              <w:rPr>
                <w:noProof/>
              </w:rPr>
              <w:drawing>
                <wp:inline distT="0" distB="0" distL="0" distR="0" wp14:anchorId="761634E6" wp14:editId="1663CA7A">
                  <wp:extent cx="5210175" cy="2152650"/>
                  <wp:effectExtent l="0" t="0" r="9525" b="0"/>
                  <wp:docPr id="10" name="Picture 10" descr="This figure shows predicted probabilities of employment derived from the cross-sectional logit employment model. Predicted probabilities for people receiving different income support payments and with different housing assistance statuses are shown. Residents of public housing have consistently lower predicted employment probability than ISP recipients who do not receive housing assistance or who receive CRA.&#10;" title="Figure 6: Predicted probability of employment, by housing assistance type and income support payment ty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10175" cy="2152650"/>
                          </a:xfrm>
                          <a:prstGeom prst="rect">
                            <a:avLst/>
                          </a:prstGeom>
                          <a:noFill/>
                          <a:ln>
                            <a:noFill/>
                          </a:ln>
                        </pic:spPr>
                      </pic:pic>
                    </a:graphicData>
                  </a:graphic>
                </wp:inline>
              </w:drawing>
            </w:r>
          </w:p>
        </w:tc>
      </w:tr>
      <w:tr w:rsidR="008705F6" w:rsidRPr="00176D3F" w14:paraId="452C8D65" w14:textId="77777777" w:rsidTr="00DB56D9">
        <w:tc>
          <w:tcPr>
            <w:tcW w:w="8771" w:type="dxa"/>
            <w:tcBorders>
              <w:top w:val="nil"/>
              <w:left w:val="nil"/>
              <w:bottom w:val="nil"/>
              <w:right w:val="nil"/>
            </w:tcBorders>
            <w:shd w:val="clear" w:color="auto" w:fill="auto"/>
          </w:tcPr>
          <w:p w14:paraId="6A7FD573" w14:textId="121DBAD4" w:rsidR="008705F6" w:rsidRPr="00504EA5" w:rsidRDefault="008705F6" w:rsidP="00757E22">
            <w:pPr>
              <w:pStyle w:val="Note"/>
            </w:pPr>
            <w:r>
              <w:rPr>
                <w:rStyle w:val="NoteLabel"/>
              </w:rPr>
              <w:t>a</w:t>
            </w:r>
            <w:r>
              <w:t xml:space="preserve"> ISP recipients aged 16–65</w:t>
            </w:r>
            <w:r w:rsidR="001E078E">
              <w:t xml:space="preserve">, between 2005 and 2013. </w:t>
            </w:r>
            <w:r>
              <w:t xml:space="preserve">Estimates are calculated using a </w:t>
            </w:r>
            <w:r w:rsidR="001E078E">
              <w:t xml:space="preserve">pooled </w:t>
            </w:r>
            <w:r>
              <w:t>cross</w:t>
            </w:r>
            <w:r>
              <w:noBreakHyphen/>
              <w:t>sectional logit model that includes interactions between housing assistance and ISP type</w:t>
            </w:r>
            <w:r w:rsidR="001E078E">
              <w:t>.</w:t>
            </w:r>
            <w:r>
              <w:t xml:space="preserve"> Odds ratios for all covariates are presented in annex A. </w:t>
            </w:r>
            <w:r>
              <w:rPr>
                <w:rStyle w:val="NoteLabel"/>
              </w:rPr>
              <w:t>b </w:t>
            </w:r>
            <w:r>
              <w:t>Other payments include a range of less common ISPs, including Bereavement Allowance, Wife’s Pension, Wife’s Disability Support Pension, Austudy, Partner Allowance, Sickness Allowance, Special Benefits, Widow Allowance and Abstudy.</w:t>
            </w:r>
          </w:p>
        </w:tc>
      </w:tr>
      <w:tr w:rsidR="008705F6" w:rsidRPr="00176D3F" w14:paraId="02D013B2" w14:textId="77777777" w:rsidTr="00DB56D9">
        <w:tc>
          <w:tcPr>
            <w:tcW w:w="8771" w:type="dxa"/>
            <w:tcBorders>
              <w:top w:val="nil"/>
              <w:left w:val="nil"/>
              <w:bottom w:val="nil"/>
              <w:right w:val="nil"/>
            </w:tcBorders>
            <w:shd w:val="clear" w:color="auto" w:fill="auto"/>
          </w:tcPr>
          <w:p w14:paraId="593935C1" w14:textId="77777777" w:rsidR="008705F6" w:rsidRPr="00176D3F" w:rsidRDefault="008705F6" w:rsidP="00DB56D9">
            <w:pPr>
              <w:pStyle w:val="Source"/>
            </w:pPr>
            <w:r>
              <w:rPr>
                <w:i/>
              </w:rPr>
              <w:t>Source</w:t>
            </w:r>
            <w:r>
              <w:t xml:space="preserve">: Author estimates, Research and Evaluation Database. </w:t>
            </w:r>
          </w:p>
        </w:tc>
      </w:tr>
      <w:tr w:rsidR="008705F6" w14:paraId="4F1A77DE" w14:textId="77777777" w:rsidTr="00DB56D9">
        <w:tc>
          <w:tcPr>
            <w:tcW w:w="8771" w:type="dxa"/>
            <w:tcBorders>
              <w:top w:val="nil"/>
              <w:left w:val="nil"/>
              <w:bottom w:val="single" w:sz="6" w:space="0" w:color="78A22F"/>
              <w:right w:val="nil"/>
            </w:tcBorders>
            <w:shd w:val="clear" w:color="auto" w:fill="auto"/>
          </w:tcPr>
          <w:p w14:paraId="03903A55" w14:textId="77777777" w:rsidR="008705F6" w:rsidRDefault="008705F6" w:rsidP="00DB56D9">
            <w:pPr>
              <w:pStyle w:val="Figurespace"/>
            </w:pPr>
          </w:p>
        </w:tc>
      </w:tr>
      <w:tr w:rsidR="008705F6" w:rsidRPr="000863A5" w14:paraId="41B748EA" w14:textId="77777777" w:rsidTr="00DB56D9">
        <w:tc>
          <w:tcPr>
            <w:tcW w:w="8771" w:type="dxa"/>
            <w:tcBorders>
              <w:top w:val="single" w:sz="6" w:space="0" w:color="78A22F"/>
              <w:left w:val="nil"/>
              <w:bottom w:val="nil"/>
              <w:right w:val="nil"/>
            </w:tcBorders>
          </w:tcPr>
          <w:p w14:paraId="457557D4" w14:textId="1B6D1A0A" w:rsidR="008705F6" w:rsidRPr="00626D32" w:rsidRDefault="008705F6" w:rsidP="00DB56D9">
            <w:pPr>
              <w:pStyle w:val="BoxSpaceBelow"/>
            </w:pPr>
          </w:p>
        </w:tc>
      </w:tr>
    </w:tbl>
    <w:p w14:paraId="2F751E3D" w14:textId="7144585A" w:rsidR="000835FD" w:rsidRDefault="00571749" w:rsidP="00571749">
      <w:pPr>
        <w:pStyle w:val="BodyText"/>
      </w:pPr>
      <w:r>
        <w:t xml:space="preserve">Across </w:t>
      </w:r>
      <w:r w:rsidR="00E53871">
        <w:t xml:space="preserve">most </w:t>
      </w:r>
      <w:r>
        <w:t xml:space="preserve">states, the gap in </w:t>
      </w:r>
      <w:r w:rsidR="005C6D83">
        <w:t xml:space="preserve">the </w:t>
      </w:r>
      <w:r>
        <w:t xml:space="preserve">predicted </w:t>
      </w:r>
      <w:r w:rsidR="001C78AC">
        <w:t>probability of employment</w:t>
      </w:r>
      <w:r>
        <w:t xml:space="preserve"> between CRA recipients and public housing residents is between 5.5 and 7 percentage points (figure</w:t>
      </w:r>
      <w:r w:rsidR="00F858B3">
        <w:t> </w:t>
      </w:r>
      <w:r w:rsidR="00A84146">
        <w:t>7</w:t>
      </w:r>
      <w:r>
        <w:t xml:space="preserve">). The exception is the ACT, where CRA recipients </w:t>
      </w:r>
      <w:r w:rsidR="00BD339C">
        <w:t xml:space="preserve">can be </w:t>
      </w:r>
      <w:r>
        <w:t xml:space="preserve">expected to have an employment rate that is 9.2 percentage points </w:t>
      </w:r>
      <w:r w:rsidR="005C6D83">
        <w:t xml:space="preserve">higher </w:t>
      </w:r>
      <w:r>
        <w:t>than ISP recipients living in public housing.</w:t>
      </w:r>
    </w:p>
    <w:p w14:paraId="3B15CCD9" w14:textId="3F35CB35" w:rsidR="00571749" w:rsidRPr="000A0387" w:rsidRDefault="00DC0AD9" w:rsidP="00571749">
      <w:pPr>
        <w:pStyle w:val="BodyText"/>
        <w:rPr>
          <w:spacing w:val="-2"/>
        </w:rPr>
      </w:pPr>
      <w:r w:rsidRPr="000A0387">
        <w:rPr>
          <w:spacing w:val="-2"/>
        </w:rPr>
        <w:t>The p</w:t>
      </w:r>
      <w:r w:rsidR="00571749" w:rsidRPr="000A0387">
        <w:rPr>
          <w:spacing w:val="-2"/>
        </w:rPr>
        <w:t xml:space="preserve">redicted </w:t>
      </w:r>
      <w:r w:rsidR="001C78AC" w:rsidRPr="000A0387">
        <w:rPr>
          <w:spacing w:val="-2"/>
        </w:rPr>
        <w:t>probabilit</w:t>
      </w:r>
      <w:r w:rsidRPr="000A0387">
        <w:rPr>
          <w:spacing w:val="-2"/>
        </w:rPr>
        <w:t>ies</w:t>
      </w:r>
      <w:r w:rsidR="001C78AC" w:rsidRPr="000A0387">
        <w:rPr>
          <w:spacing w:val="-2"/>
        </w:rPr>
        <w:t xml:space="preserve"> of employment</w:t>
      </w:r>
      <w:r w:rsidR="00571749" w:rsidRPr="000A0387">
        <w:rPr>
          <w:spacing w:val="-2"/>
        </w:rPr>
        <w:t xml:space="preserve"> for CRA recipients are similar to those of people who do not receive housing assistance in each of the states and territories, with the exception of the Northern Territory. While the </w:t>
      </w:r>
      <w:r w:rsidR="001C78AC" w:rsidRPr="000A0387">
        <w:rPr>
          <w:spacing w:val="-2"/>
        </w:rPr>
        <w:t xml:space="preserve">predicted probability of employment </w:t>
      </w:r>
      <w:r w:rsidR="00571749" w:rsidRPr="000A0387">
        <w:rPr>
          <w:spacing w:val="-2"/>
        </w:rPr>
        <w:t xml:space="preserve">of CRA recipients in the Northern Territory is comparable to </w:t>
      </w:r>
      <w:r w:rsidRPr="000A0387">
        <w:rPr>
          <w:spacing w:val="-2"/>
        </w:rPr>
        <w:t xml:space="preserve">that in </w:t>
      </w:r>
      <w:r w:rsidR="00571749" w:rsidRPr="000A0387">
        <w:rPr>
          <w:spacing w:val="-2"/>
        </w:rPr>
        <w:t>other states (</w:t>
      </w:r>
      <w:r w:rsidR="00CF45F9" w:rsidRPr="000A0387">
        <w:rPr>
          <w:spacing w:val="-2"/>
        </w:rPr>
        <w:t xml:space="preserve">about </w:t>
      </w:r>
      <w:r w:rsidR="00571749" w:rsidRPr="000A0387">
        <w:rPr>
          <w:spacing w:val="-2"/>
        </w:rPr>
        <w:t>18</w:t>
      </w:r>
      <w:r w:rsidR="000835FD" w:rsidRPr="000A0387">
        <w:rPr>
          <w:spacing w:val="-2"/>
        </w:rPr>
        <w:t> </w:t>
      </w:r>
      <w:r w:rsidR="00571749" w:rsidRPr="000A0387">
        <w:rPr>
          <w:spacing w:val="-2"/>
        </w:rPr>
        <w:t>per</w:t>
      </w:r>
      <w:r w:rsidR="00CF45F9" w:rsidRPr="000A0387">
        <w:rPr>
          <w:spacing w:val="-2"/>
        </w:rPr>
        <w:t> </w:t>
      </w:r>
      <w:r w:rsidR="00571749" w:rsidRPr="000A0387">
        <w:rPr>
          <w:spacing w:val="-2"/>
        </w:rPr>
        <w:t xml:space="preserve">cent), the predicted </w:t>
      </w:r>
      <w:r w:rsidR="00CD7249" w:rsidRPr="000A0387">
        <w:rPr>
          <w:spacing w:val="-2"/>
        </w:rPr>
        <w:t xml:space="preserve">probability of </w:t>
      </w:r>
      <w:r w:rsidR="00571749" w:rsidRPr="000A0387">
        <w:rPr>
          <w:spacing w:val="-2"/>
        </w:rPr>
        <w:t xml:space="preserve">employment </w:t>
      </w:r>
      <w:r w:rsidR="00CD7249" w:rsidRPr="000A0387">
        <w:rPr>
          <w:spacing w:val="-2"/>
        </w:rPr>
        <w:t xml:space="preserve">for </w:t>
      </w:r>
      <w:r w:rsidR="00571749" w:rsidRPr="000A0387">
        <w:rPr>
          <w:spacing w:val="-2"/>
        </w:rPr>
        <w:t xml:space="preserve">those who do not receive housing assistance is </w:t>
      </w:r>
      <w:r w:rsidR="00742372" w:rsidRPr="000A0387">
        <w:rPr>
          <w:spacing w:val="-2"/>
        </w:rPr>
        <w:t>lower than in other states and</w:t>
      </w:r>
      <w:r w:rsidR="00571749" w:rsidRPr="000A0387">
        <w:rPr>
          <w:spacing w:val="-2"/>
        </w:rPr>
        <w:t xml:space="preserve"> is almost the same as </w:t>
      </w:r>
      <w:r w:rsidRPr="000A0387">
        <w:rPr>
          <w:spacing w:val="-2"/>
        </w:rPr>
        <w:t xml:space="preserve">it is for </w:t>
      </w:r>
      <w:r w:rsidR="00571749" w:rsidRPr="000A0387">
        <w:rPr>
          <w:spacing w:val="-2"/>
        </w:rPr>
        <w:t xml:space="preserve">those living in public housing (12.3 and 12.1 per cent, respectively). </w:t>
      </w:r>
      <w:r w:rsidR="00742372" w:rsidRPr="000A0387">
        <w:rPr>
          <w:spacing w:val="-2"/>
        </w:rPr>
        <w:t xml:space="preserve">The </w:t>
      </w:r>
      <w:r w:rsidR="007C2785" w:rsidRPr="000A0387">
        <w:rPr>
          <w:spacing w:val="-2"/>
        </w:rPr>
        <w:t xml:space="preserve">relatively low employment rates </w:t>
      </w:r>
      <w:r w:rsidR="000835FD" w:rsidRPr="000A0387">
        <w:rPr>
          <w:spacing w:val="-2"/>
        </w:rPr>
        <w:t>among</w:t>
      </w:r>
      <w:r w:rsidR="007C2785" w:rsidRPr="000A0387">
        <w:rPr>
          <w:spacing w:val="-2"/>
        </w:rPr>
        <w:t xml:space="preserve"> people receiving no housing assistance</w:t>
      </w:r>
      <w:r w:rsidR="00742372" w:rsidRPr="000A0387">
        <w:rPr>
          <w:spacing w:val="-2"/>
        </w:rPr>
        <w:t xml:space="preserve"> in the Northern Territory can be </w:t>
      </w:r>
      <w:r w:rsidR="00571749" w:rsidRPr="000A0387">
        <w:rPr>
          <w:spacing w:val="-2"/>
        </w:rPr>
        <w:t xml:space="preserve">explained by the </w:t>
      </w:r>
      <w:r w:rsidR="00CD7249" w:rsidRPr="000A0387">
        <w:rPr>
          <w:spacing w:val="-2"/>
        </w:rPr>
        <w:t>high concentration of Indigenous people and the high proportion of people living in remote areas in the Northern Territory. Indigenous status and remoteness</w:t>
      </w:r>
      <w:r w:rsidR="00571749" w:rsidRPr="000A0387">
        <w:rPr>
          <w:spacing w:val="-2"/>
        </w:rPr>
        <w:t xml:space="preserve"> both have large, negative marginal effects on employment (around 5.7 and 3.2 percentage points, respectively).</w:t>
      </w:r>
    </w:p>
    <w:p w14:paraId="4E606DA2" w14:textId="438CA1A9" w:rsidR="00571749" w:rsidRPr="000A0387" w:rsidRDefault="00571749" w:rsidP="000A03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1749" w14:paraId="2BCB7DAE" w14:textId="77777777" w:rsidTr="004235A4">
        <w:tc>
          <w:tcPr>
            <w:tcW w:w="8771" w:type="dxa"/>
            <w:tcBorders>
              <w:top w:val="single" w:sz="6" w:space="0" w:color="78A22F"/>
              <w:left w:val="nil"/>
              <w:bottom w:val="nil"/>
              <w:right w:val="nil"/>
            </w:tcBorders>
            <w:shd w:val="clear" w:color="auto" w:fill="auto"/>
          </w:tcPr>
          <w:p w14:paraId="645AC0A8" w14:textId="3078C6FC" w:rsidR="00571749" w:rsidRDefault="00571749" w:rsidP="004235A4">
            <w:pPr>
              <w:pStyle w:val="FigureTitle"/>
            </w:pPr>
            <w:r w:rsidRPr="00784A05">
              <w:rPr>
                <w:b w:val="0"/>
              </w:rPr>
              <w:t xml:space="preserve">Figure </w:t>
            </w:r>
            <w:bookmarkStart w:id="9" w:name="OLE_LINK6"/>
            <w:r w:rsidR="00D8076D">
              <w:rPr>
                <w:b w:val="0"/>
                <w:noProof/>
              </w:rPr>
              <w:t>7</w:t>
            </w:r>
            <w:bookmarkEnd w:id="9"/>
            <w:r>
              <w:tab/>
              <w:t>Predicted probability of employment, by housing assistance type and state/territory</w:t>
            </w:r>
            <w:r w:rsidRPr="00BC33EB">
              <w:rPr>
                <w:rStyle w:val="NoteLabel"/>
                <w:b/>
              </w:rPr>
              <w:t>a</w:t>
            </w:r>
          </w:p>
          <w:p w14:paraId="089DE0F3" w14:textId="071F3D11" w:rsidR="00571749" w:rsidRPr="00176D3F" w:rsidRDefault="00571749" w:rsidP="00D64B4F">
            <w:pPr>
              <w:pStyle w:val="Subtitle"/>
            </w:pPr>
            <w:r>
              <w:t>Average predicted probability of employment</w:t>
            </w:r>
          </w:p>
        </w:tc>
      </w:tr>
      <w:tr w:rsidR="00571749" w14:paraId="1E2A5C85" w14:textId="77777777" w:rsidTr="004235A4">
        <w:tblPrEx>
          <w:tblCellMar>
            <w:left w:w="108" w:type="dxa"/>
            <w:right w:w="108" w:type="dxa"/>
          </w:tblCellMar>
        </w:tblPrEx>
        <w:tc>
          <w:tcPr>
            <w:tcW w:w="8771" w:type="dxa"/>
            <w:tcBorders>
              <w:top w:val="nil"/>
              <w:left w:val="nil"/>
              <w:bottom w:val="nil"/>
              <w:right w:val="nil"/>
            </w:tcBorders>
            <w:shd w:val="clear" w:color="auto" w:fill="auto"/>
          </w:tcPr>
          <w:p w14:paraId="38A146EA" w14:textId="305E9448" w:rsidR="00571749" w:rsidRDefault="00F70CE5" w:rsidP="004235A4">
            <w:pPr>
              <w:pStyle w:val="Figure"/>
            </w:pPr>
            <w:r>
              <w:rPr>
                <w:noProof/>
              </w:rPr>
              <w:drawing>
                <wp:inline distT="0" distB="0" distL="0" distR="0" wp14:anchorId="76768B1A" wp14:editId="12509278">
                  <wp:extent cx="5210175" cy="2152650"/>
                  <wp:effectExtent l="0" t="0" r="9525" b="0"/>
                  <wp:docPr id="11" name="Picture 11" descr="This figure shows predicted probabilities of employment derived from the cross-sectional logit employment model for people in each state and territory with people classified according to their housing assistance..  Residents of public housing have consistently lower predicted employment probability than ISP recipients who do not receive housing assistance or who receive CRA.&#10;" title="Figure 7: Predicted probability of employment, by housing assistance type and state/territo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10175" cy="2152650"/>
                          </a:xfrm>
                          <a:prstGeom prst="rect">
                            <a:avLst/>
                          </a:prstGeom>
                          <a:noFill/>
                          <a:ln>
                            <a:noFill/>
                          </a:ln>
                        </pic:spPr>
                      </pic:pic>
                    </a:graphicData>
                  </a:graphic>
                </wp:inline>
              </w:drawing>
            </w:r>
          </w:p>
        </w:tc>
      </w:tr>
      <w:tr w:rsidR="00571749" w:rsidRPr="00176D3F" w14:paraId="6B0DC8E5" w14:textId="77777777" w:rsidTr="004235A4">
        <w:tc>
          <w:tcPr>
            <w:tcW w:w="8771" w:type="dxa"/>
            <w:tcBorders>
              <w:top w:val="nil"/>
              <w:left w:val="nil"/>
              <w:bottom w:val="nil"/>
              <w:right w:val="nil"/>
            </w:tcBorders>
            <w:shd w:val="clear" w:color="auto" w:fill="auto"/>
          </w:tcPr>
          <w:p w14:paraId="5A2C282A" w14:textId="77777777" w:rsidR="00571749" w:rsidRPr="00176D3F" w:rsidRDefault="00571749" w:rsidP="00C075A6">
            <w:pPr>
              <w:pStyle w:val="Note"/>
            </w:pPr>
            <w:r>
              <w:rPr>
                <w:rStyle w:val="NoteLabel"/>
              </w:rPr>
              <w:t>a</w:t>
            </w:r>
            <w:r>
              <w:t xml:space="preserve"> ISP recipients aged </w:t>
            </w:r>
            <w:r w:rsidR="008705F6">
              <w:t>16–65</w:t>
            </w:r>
            <w:r w:rsidR="0029519D">
              <w:t>, between 2005 and 2013</w:t>
            </w:r>
            <w:r>
              <w:t xml:space="preserve">. Estimates are calculated using a </w:t>
            </w:r>
            <w:r w:rsidR="0029519D">
              <w:t xml:space="preserve">pooled </w:t>
            </w:r>
            <w:r>
              <w:t>cross</w:t>
            </w:r>
            <w:r w:rsidR="00F858B3">
              <w:noBreakHyphen/>
            </w:r>
            <w:r>
              <w:t>sectional logit model that includes interactions between housing assistance and ISP type. Odds ratios for all covariates are presented in annex A.</w:t>
            </w:r>
          </w:p>
        </w:tc>
      </w:tr>
      <w:tr w:rsidR="00571749" w:rsidRPr="00176D3F" w14:paraId="6F0F6003" w14:textId="77777777" w:rsidTr="004235A4">
        <w:tc>
          <w:tcPr>
            <w:tcW w:w="8771" w:type="dxa"/>
            <w:tcBorders>
              <w:top w:val="nil"/>
              <w:left w:val="nil"/>
              <w:bottom w:val="nil"/>
              <w:right w:val="nil"/>
            </w:tcBorders>
            <w:shd w:val="clear" w:color="auto" w:fill="auto"/>
          </w:tcPr>
          <w:p w14:paraId="0AE0D9C7" w14:textId="77777777" w:rsidR="00571749" w:rsidRPr="00176D3F" w:rsidRDefault="00F858B3" w:rsidP="005F4C6C">
            <w:pPr>
              <w:pStyle w:val="Source"/>
            </w:pPr>
            <w:r>
              <w:rPr>
                <w:i/>
              </w:rPr>
              <w:t>S</w:t>
            </w:r>
            <w:r w:rsidR="00571749">
              <w:rPr>
                <w:i/>
              </w:rPr>
              <w:t>ource</w:t>
            </w:r>
            <w:r w:rsidR="00571749">
              <w:t xml:space="preserve">: Author estimates, Research and Evaluation Database. </w:t>
            </w:r>
          </w:p>
        </w:tc>
      </w:tr>
      <w:tr w:rsidR="00571749" w14:paraId="182236E6" w14:textId="77777777" w:rsidTr="004235A4">
        <w:tc>
          <w:tcPr>
            <w:tcW w:w="8771" w:type="dxa"/>
            <w:tcBorders>
              <w:top w:val="nil"/>
              <w:left w:val="nil"/>
              <w:bottom w:val="single" w:sz="6" w:space="0" w:color="78A22F"/>
              <w:right w:val="nil"/>
            </w:tcBorders>
            <w:shd w:val="clear" w:color="auto" w:fill="auto"/>
          </w:tcPr>
          <w:p w14:paraId="3BE34030" w14:textId="77777777" w:rsidR="00571749" w:rsidRDefault="00571749" w:rsidP="004235A4">
            <w:pPr>
              <w:pStyle w:val="Figurespace"/>
            </w:pPr>
          </w:p>
        </w:tc>
      </w:tr>
      <w:tr w:rsidR="00571749" w:rsidRPr="000863A5" w14:paraId="7C7D905B" w14:textId="77777777" w:rsidTr="004235A4">
        <w:tc>
          <w:tcPr>
            <w:tcW w:w="8771" w:type="dxa"/>
            <w:tcBorders>
              <w:top w:val="single" w:sz="6" w:space="0" w:color="78A22F"/>
              <w:left w:val="nil"/>
              <w:bottom w:val="nil"/>
              <w:right w:val="nil"/>
            </w:tcBorders>
          </w:tcPr>
          <w:p w14:paraId="73A0D7A3" w14:textId="5747EBD2" w:rsidR="00571749" w:rsidRPr="00626D32" w:rsidRDefault="00571749" w:rsidP="004235A4">
            <w:pPr>
              <w:pStyle w:val="BoxSpaceBelow"/>
            </w:pPr>
          </w:p>
        </w:tc>
      </w:tr>
    </w:tbl>
    <w:p w14:paraId="7817F4E8" w14:textId="77777777" w:rsidR="00571749" w:rsidRDefault="00571749" w:rsidP="00571749">
      <w:pPr>
        <w:pStyle w:val="Heading4"/>
      </w:pPr>
      <w:r w:rsidRPr="00E41D8D">
        <w:t>Young people living with parents or guardians</w:t>
      </w:r>
    </w:p>
    <w:p w14:paraId="4A1B603E" w14:textId="77777777" w:rsidR="00571749" w:rsidRPr="00DD6D06" w:rsidRDefault="00571749" w:rsidP="00571749">
      <w:pPr>
        <w:pStyle w:val="BodyText"/>
      </w:pPr>
      <w:r w:rsidRPr="00DD6D06">
        <w:t xml:space="preserve">As with the broader population of ISP recipients, after taking into account the characteristics of </w:t>
      </w:r>
      <w:r>
        <w:t xml:space="preserve">young people living with </w:t>
      </w:r>
      <w:r w:rsidR="00E51391">
        <w:t>parents</w:t>
      </w:r>
      <w:r w:rsidRPr="00DD6D06">
        <w:t xml:space="preserve"> who receive an ISP, </w:t>
      </w:r>
      <w:r w:rsidR="00BD339C">
        <w:t>the model still indicates</w:t>
      </w:r>
      <w:r w:rsidRPr="00DD6D06">
        <w:t xml:space="preserve"> that </w:t>
      </w:r>
      <w:r w:rsidR="004A7B8F">
        <w:t>young ISP recipients</w:t>
      </w:r>
      <w:r w:rsidR="004A7B8F" w:rsidRPr="00DD6D06">
        <w:t xml:space="preserve"> </w:t>
      </w:r>
      <w:r w:rsidRPr="00DD6D06">
        <w:t xml:space="preserve">who reside </w:t>
      </w:r>
      <w:r w:rsidR="00152D17">
        <w:t xml:space="preserve">with their parents </w:t>
      </w:r>
      <w:r w:rsidRPr="00DD6D06">
        <w:t xml:space="preserve">in public housing are less likely </w:t>
      </w:r>
      <w:r w:rsidR="00FE07F5" w:rsidRPr="00DD6D06">
        <w:t xml:space="preserve">to be employed </w:t>
      </w:r>
      <w:r w:rsidRPr="00DD6D06">
        <w:t>than other ISP recipients.</w:t>
      </w:r>
    </w:p>
    <w:p w14:paraId="1747FD06" w14:textId="1F09398D" w:rsidR="00571749" w:rsidRDefault="00571749" w:rsidP="00571749">
      <w:pPr>
        <w:pStyle w:val="BodyText"/>
      </w:pPr>
      <w:r w:rsidRPr="00DD6D06">
        <w:t xml:space="preserve">However, differences in </w:t>
      </w:r>
      <w:r w:rsidR="00A96B2A">
        <w:t xml:space="preserve">the probability of </w:t>
      </w:r>
      <w:r w:rsidRPr="00DD6D06">
        <w:t xml:space="preserve">employment are reduced once </w:t>
      </w:r>
      <w:r w:rsidR="00152D17" w:rsidRPr="00DD6D06">
        <w:t>observ</w:t>
      </w:r>
      <w:r w:rsidR="00152D17">
        <w:t>ed</w:t>
      </w:r>
      <w:r w:rsidR="00152D17" w:rsidRPr="00DD6D06">
        <w:t xml:space="preserve"> </w:t>
      </w:r>
      <w:r w:rsidRPr="00DD6D06">
        <w:t>factors are taken into account</w:t>
      </w:r>
      <w:r w:rsidR="004D583C">
        <w:t>, although there remains considerable variation between different ISP types</w:t>
      </w:r>
      <w:r w:rsidRPr="00DD6D06">
        <w:t xml:space="preserve"> (figure</w:t>
      </w:r>
      <w:r w:rsidR="00F858B3">
        <w:t> </w:t>
      </w:r>
      <w:r w:rsidR="008705F6">
        <w:t>8</w:t>
      </w:r>
      <w:r w:rsidRPr="00DD6D06">
        <w:t xml:space="preserve">). </w:t>
      </w:r>
      <w:r>
        <w:t>Young people with parents in public housing have a predicted probability of employment, net of other factors, that is:</w:t>
      </w:r>
    </w:p>
    <w:p w14:paraId="3FC28222" w14:textId="77777777" w:rsidR="00571749" w:rsidRDefault="00571749" w:rsidP="00571749">
      <w:pPr>
        <w:pStyle w:val="ListBullet"/>
      </w:pPr>
      <w:r>
        <w:t>around 2.4</w:t>
      </w:r>
      <w:r w:rsidRPr="00E41D8D">
        <w:t xml:space="preserve"> p</w:t>
      </w:r>
      <w:r>
        <w:t>ercentage points lower than that of comparable children whose parents receive CRA</w:t>
      </w:r>
    </w:p>
    <w:p w14:paraId="2407199C" w14:textId="77777777" w:rsidR="00571749" w:rsidRPr="00A84146" w:rsidRDefault="00571749" w:rsidP="00A84146">
      <w:pPr>
        <w:pStyle w:val="ListBullet"/>
      </w:pPr>
      <w:r>
        <w:t xml:space="preserve">around </w:t>
      </w:r>
      <w:r w:rsidRPr="00E41D8D">
        <w:t>6.1</w:t>
      </w:r>
      <w:r>
        <w:t xml:space="preserve"> percentage points lower than that of comparable children whose parents do not receive any housing assistance.</w:t>
      </w:r>
    </w:p>
    <w:p w14:paraId="3F6E458C" w14:textId="7D2EAB94" w:rsidR="00571749" w:rsidRPr="000A0387" w:rsidRDefault="00571749" w:rsidP="000A038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1749" w:rsidRPr="005615AB" w14:paraId="37C67631" w14:textId="77777777" w:rsidTr="004235A4">
        <w:tc>
          <w:tcPr>
            <w:tcW w:w="8771" w:type="dxa"/>
            <w:tcBorders>
              <w:top w:val="single" w:sz="6" w:space="0" w:color="78A22F"/>
              <w:left w:val="nil"/>
              <w:bottom w:val="nil"/>
              <w:right w:val="nil"/>
            </w:tcBorders>
            <w:shd w:val="clear" w:color="auto" w:fill="auto"/>
          </w:tcPr>
          <w:p w14:paraId="046ED777" w14:textId="2AFD6E96" w:rsidR="00571749" w:rsidRPr="005615AB" w:rsidRDefault="00571749" w:rsidP="004235A4">
            <w:pPr>
              <w:pStyle w:val="FigureTitle"/>
            </w:pPr>
            <w:r w:rsidRPr="005615AB">
              <w:rPr>
                <w:b w:val="0"/>
              </w:rPr>
              <w:t xml:space="preserve">Figure </w:t>
            </w:r>
            <w:bookmarkStart w:id="10" w:name="OLE_LINK12"/>
            <w:r w:rsidR="00D8076D">
              <w:rPr>
                <w:b w:val="0"/>
                <w:noProof/>
              </w:rPr>
              <w:t>8</w:t>
            </w:r>
            <w:bookmarkEnd w:id="10"/>
            <w:r w:rsidRPr="005615AB">
              <w:tab/>
              <w:t>Predicted probability of employment of younger household members, by parental housing assistance status</w:t>
            </w:r>
            <w:r w:rsidRPr="005615AB">
              <w:rPr>
                <w:rStyle w:val="NoteLabel"/>
                <w:b/>
              </w:rPr>
              <w:t>a</w:t>
            </w:r>
            <w:r w:rsidR="00C62F32">
              <w:rPr>
                <w:rStyle w:val="NoteLabel"/>
                <w:b/>
              </w:rPr>
              <w:t>,b</w:t>
            </w:r>
          </w:p>
          <w:p w14:paraId="2B4CAE46" w14:textId="77777777" w:rsidR="00571749" w:rsidRPr="005615AB" w:rsidRDefault="00571749" w:rsidP="004235A4">
            <w:pPr>
              <w:pStyle w:val="Subtitle"/>
            </w:pPr>
            <w:r w:rsidRPr="005615AB">
              <w:t>Average predicted probability of employment</w:t>
            </w:r>
          </w:p>
        </w:tc>
      </w:tr>
      <w:tr w:rsidR="00571749" w14:paraId="49C902BA" w14:textId="77777777" w:rsidTr="00567170">
        <w:tblPrEx>
          <w:tblCellMar>
            <w:left w:w="108" w:type="dxa"/>
            <w:right w:w="108" w:type="dxa"/>
          </w:tblCellMar>
        </w:tblPrEx>
        <w:tc>
          <w:tcPr>
            <w:tcW w:w="8771" w:type="dxa"/>
            <w:tcBorders>
              <w:top w:val="nil"/>
              <w:left w:val="nil"/>
              <w:bottom w:val="nil"/>
              <w:right w:val="nil"/>
            </w:tcBorders>
            <w:shd w:val="clear" w:color="auto" w:fill="auto"/>
          </w:tcPr>
          <w:p w14:paraId="53B10992" w14:textId="1AC7963A" w:rsidR="00571749" w:rsidRDefault="00195E9E" w:rsidP="004235A4">
            <w:pPr>
              <w:pStyle w:val="Figure"/>
            </w:pPr>
            <w:r>
              <w:rPr>
                <w:noProof/>
              </w:rPr>
              <w:drawing>
                <wp:inline distT="0" distB="0" distL="0" distR="0" wp14:anchorId="5466011B" wp14:editId="770C8836">
                  <wp:extent cx="5210175" cy="2152650"/>
                  <wp:effectExtent l="0" t="0" r="9525" b="0"/>
                  <wp:docPr id="12" name="Picture 12" descr="This figure shows predicted probabilities of employment derived from the cross-sectional logit employment model for ISP recipients aged between 16 and 24, by the type of ISP they receive and their parent’s housing assistance status. Employment rates among public housing residents are lower than employment rates among other ISP recipients who receive Newstart, Parenting Payment (Single), and either Youth Allowance. However, for younger household members who received either Disability Support Pension, Parenting Payment (Partnered) or Carer Payment, housing assistance status appears to make little difference. &#10;" title="Figure 8: Predicted probability of employment of younger household members, by parental housing assistance stat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210175" cy="2152650"/>
                          </a:xfrm>
                          <a:prstGeom prst="rect">
                            <a:avLst/>
                          </a:prstGeom>
                          <a:noFill/>
                          <a:ln>
                            <a:noFill/>
                          </a:ln>
                        </pic:spPr>
                      </pic:pic>
                    </a:graphicData>
                  </a:graphic>
                </wp:inline>
              </w:drawing>
            </w:r>
          </w:p>
        </w:tc>
      </w:tr>
      <w:tr w:rsidR="00571749" w:rsidRPr="00176D3F" w14:paraId="55E14961" w14:textId="77777777" w:rsidTr="004235A4">
        <w:tc>
          <w:tcPr>
            <w:tcW w:w="8771" w:type="dxa"/>
            <w:tcBorders>
              <w:top w:val="nil"/>
              <w:left w:val="nil"/>
              <w:bottom w:val="nil"/>
              <w:right w:val="nil"/>
            </w:tcBorders>
            <w:shd w:val="clear" w:color="auto" w:fill="auto"/>
          </w:tcPr>
          <w:p w14:paraId="3F7A677F" w14:textId="77777777" w:rsidR="00571749" w:rsidRPr="00176D3F" w:rsidRDefault="00571749" w:rsidP="00E01CEC">
            <w:pPr>
              <w:pStyle w:val="Note"/>
            </w:pPr>
            <w:r>
              <w:rPr>
                <w:rStyle w:val="NoteLabel"/>
              </w:rPr>
              <w:t>a</w:t>
            </w:r>
            <w:r>
              <w:t xml:space="preserve"> </w:t>
            </w:r>
            <w:bookmarkStart w:id="11" w:name="OLE_LINK3"/>
            <w:r>
              <w:t>ISP recipients aged 16–24</w:t>
            </w:r>
            <w:bookmarkEnd w:id="11"/>
            <w:r w:rsidR="0029519D">
              <w:t>, between 2005 and 2013</w:t>
            </w:r>
            <w:r>
              <w:t xml:space="preserve">. Estimates are calculated using a </w:t>
            </w:r>
            <w:r w:rsidR="0029519D">
              <w:t xml:space="preserve">pooled </w:t>
            </w:r>
            <w:r>
              <w:t>cross</w:t>
            </w:r>
            <w:r w:rsidR="00F858B3">
              <w:noBreakHyphen/>
            </w:r>
            <w:r>
              <w:t xml:space="preserve">sectional logit model that includes interactions between housing assistance and ISP type, and housing assistance and state. </w:t>
            </w:r>
            <w:r>
              <w:rPr>
                <w:rStyle w:val="NoteLabel"/>
              </w:rPr>
              <w:t>b </w:t>
            </w:r>
            <w:r>
              <w:t xml:space="preserve">Other payments include a range of less common ISPs, including Bereavement Allowance, Wife’s Pension, Wife’s Disability Support Pension, Austudy, Partner Allowance, Sickness Allowance, Special Benefits, Widow Allowance and Abstudy. </w:t>
            </w:r>
          </w:p>
        </w:tc>
      </w:tr>
      <w:tr w:rsidR="00571749" w:rsidRPr="00176D3F" w14:paraId="3CE0B469" w14:textId="77777777" w:rsidTr="004235A4">
        <w:tc>
          <w:tcPr>
            <w:tcW w:w="8771" w:type="dxa"/>
            <w:tcBorders>
              <w:top w:val="nil"/>
              <w:left w:val="nil"/>
              <w:bottom w:val="nil"/>
              <w:right w:val="nil"/>
            </w:tcBorders>
            <w:shd w:val="clear" w:color="auto" w:fill="auto"/>
          </w:tcPr>
          <w:p w14:paraId="3EC8EAB3" w14:textId="77777777" w:rsidR="00571749" w:rsidRPr="00176D3F" w:rsidRDefault="00F858B3" w:rsidP="004235A4">
            <w:pPr>
              <w:pStyle w:val="Source"/>
            </w:pPr>
            <w:r>
              <w:rPr>
                <w:i/>
              </w:rPr>
              <w:t>S</w:t>
            </w:r>
            <w:r w:rsidR="00571749">
              <w:rPr>
                <w:i/>
              </w:rPr>
              <w:t>ource</w:t>
            </w:r>
            <w:r w:rsidR="00571749">
              <w:t xml:space="preserve">: </w:t>
            </w:r>
            <w:r w:rsidR="005F4C6C">
              <w:t xml:space="preserve">Author </w:t>
            </w:r>
            <w:r w:rsidR="00571749">
              <w:t>estimates, Research and Evaluation Database.</w:t>
            </w:r>
          </w:p>
        </w:tc>
      </w:tr>
      <w:tr w:rsidR="00571749" w14:paraId="31545B17" w14:textId="77777777" w:rsidTr="004235A4">
        <w:tc>
          <w:tcPr>
            <w:tcW w:w="8771" w:type="dxa"/>
            <w:tcBorders>
              <w:top w:val="nil"/>
              <w:left w:val="nil"/>
              <w:bottom w:val="single" w:sz="6" w:space="0" w:color="78A22F"/>
              <w:right w:val="nil"/>
            </w:tcBorders>
            <w:shd w:val="clear" w:color="auto" w:fill="auto"/>
          </w:tcPr>
          <w:p w14:paraId="137602C1" w14:textId="77777777" w:rsidR="00571749" w:rsidRDefault="00571749" w:rsidP="004235A4">
            <w:pPr>
              <w:pStyle w:val="Figurespace"/>
            </w:pPr>
          </w:p>
        </w:tc>
      </w:tr>
      <w:tr w:rsidR="00571749" w:rsidRPr="000863A5" w14:paraId="3F5CA53F" w14:textId="77777777" w:rsidTr="004235A4">
        <w:tc>
          <w:tcPr>
            <w:tcW w:w="8771" w:type="dxa"/>
            <w:tcBorders>
              <w:top w:val="single" w:sz="6" w:space="0" w:color="78A22F"/>
              <w:left w:val="nil"/>
              <w:bottom w:val="nil"/>
              <w:right w:val="nil"/>
            </w:tcBorders>
          </w:tcPr>
          <w:p w14:paraId="0C3744F2" w14:textId="589C4A3E" w:rsidR="00571749" w:rsidRPr="00626D32" w:rsidRDefault="00571749" w:rsidP="004235A4">
            <w:pPr>
              <w:pStyle w:val="BoxSpaceBelow"/>
            </w:pPr>
          </w:p>
        </w:tc>
      </w:tr>
    </w:tbl>
    <w:p w14:paraId="603C379A" w14:textId="77777777" w:rsidR="00571749" w:rsidRPr="00F858B3" w:rsidRDefault="00571749" w:rsidP="00571749">
      <w:pPr>
        <w:pStyle w:val="Heading3"/>
      </w:pPr>
      <w:r>
        <w:t xml:space="preserve">Accounting for observed and unobserved </w:t>
      </w:r>
      <w:r w:rsidR="00F91288">
        <w:t>characteristics</w:t>
      </w:r>
      <w:r>
        <w:t xml:space="preserve">: </w:t>
      </w:r>
      <w:r w:rsidRPr="00F858B3">
        <w:t>fixed effects estimates of the relationship between housing assistance and employment</w:t>
      </w:r>
    </w:p>
    <w:p w14:paraId="012E075C" w14:textId="77777777" w:rsidR="00297C4D" w:rsidRDefault="00571749" w:rsidP="00571749">
      <w:pPr>
        <w:pStyle w:val="BodyText"/>
      </w:pPr>
      <w:r>
        <w:t>T</w:t>
      </w:r>
      <w:r w:rsidRPr="00DD6D06">
        <w:t xml:space="preserve">he </w:t>
      </w:r>
      <w:r w:rsidR="003800D3">
        <w:t xml:space="preserve">pooled </w:t>
      </w:r>
      <w:r w:rsidRPr="00DD6D06">
        <w:t>cross</w:t>
      </w:r>
      <w:r w:rsidR="00F858B3">
        <w:noBreakHyphen/>
      </w:r>
      <w:r w:rsidRPr="00DD6D06">
        <w:t xml:space="preserve">sectional model </w:t>
      </w:r>
      <w:r>
        <w:t xml:space="preserve">shows </w:t>
      </w:r>
      <w:r w:rsidRPr="00DD6D06">
        <w:t xml:space="preserve">that residents of public housing have lower </w:t>
      </w:r>
      <w:r w:rsidR="0069236C">
        <w:t xml:space="preserve">predicted probabilities of </w:t>
      </w:r>
      <w:r w:rsidRPr="00DD6D06">
        <w:t>employment than other ISP recipients</w:t>
      </w:r>
      <w:r w:rsidR="00297C4D">
        <w:t xml:space="preserve">, after taking into account observed differences. CRA recipients have slightly lower </w:t>
      </w:r>
      <w:r w:rsidR="0069236C">
        <w:t xml:space="preserve">predicted probabilities of </w:t>
      </w:r>
      <w:r w:rsidR="0069236C" w:rsidRPr="00DD6D06">
        <w:t xml:space="preserve">employment </w:t>
      </w:r>
      <w:r w:rsidR="00297C4D">
        <w:t xml:space="preserve">than ISP recipients who do not receive housing assistance. </w:t>
      </w:r>
      <w:r w:rsidRPr="00DD6D06">
        <w:t xml:space="preserve">However, </w:t>
      </w:r>
      <w:r w:rsidR="00297C4D">
        <w:t xml:space="preserve">as discussed above, </w:t>
      </w:r>
      <w:r>
        <w:t>CRA recipients and residents of public housing may have unobserved characteristics</w:t>
      </w:r>
      <w:r w:rsidR="00F91288">
        <w:t xml:space="preserve"> </w:t>
      </w:r>
      <w:r w:rsidR="00BD339C">
        <w:t xml:space="preserve">that </w:t>
      </w:r>
      <w:r w:rsidRPr="00DD6D06">
        <w:t xml:space="preserve">relate both to the receipt of housing assistance and </w:t>
      </w:r>
      <w:r w:rsidR="00BD339C">
        <w:t>to the</w:t>
      </w:r>
      <w:r w:rsidRPr="00DD6D06">
        <w:t xml:space="preserve"> probability of finding employment</w:t>
      </w:r>
      <w:r w:rsidR="00DB661C">
        <w:t xml:space="preserve">. If those relationships do exist and the unobserved characteristics are not taken into account, </w:t>
      </w:r>
      <w:r w:rsidR="00297C4D">
        <w:t xml:space="preserve">estimates </w:t>
      </w:r>
      <w:r w:rsidR="00DB661C">
        <w:t>of</w:t>
      </w:r>
      <w:r w:rsidR="00297C4D">
        <w:t xml:space="preserve"> the effect of housing assistance on employment</w:t>
      </w:r>
      <w:r w:rsidR="00DE59FE">
        <w:t xml:space="preserve"> might be biased</w:t>
      </w:r>
      <w:r w:rsidR="00DB661C">
        <w:t>.</w:t>
      </w:r>
    </w:p>
    <w:p w14:paraId="5DDD03ED" w14:textId="67E2F233" w:rsidR="00571749" w:rsidRDefault="00AB3411" w:rsidP="00571749">
      <w:pPr>
        <w:pStyle w:val="BodyText"/>
      </w:pPr>
      <w:r>
        <w:t xml:space="preserve">This section presents results of fixed effects models of the relationship between housing assistance and employment that take into account the </w:t>
      </w:r>
      <w:r w:rsidR="00D64B4F">
        <w:t>time</w:t>
      </w:r>
      <w:r w:rsidR="00163447">
        <w:noBreakHyphen/>
      </w:r>
      <w:r w:rsidR="00D64B4F">
        <w:t xml:space="preserve">invariant unobserved </w:t>
      </w:r>
      <w:r>
        <w:t>characteristics of individuals.</w:t>
      </w:r>
      <w:r w:rsidR="00D11FDA">
        <w:t xml:space="preserve"> </w:t>
      </w:r>
      <w:r w:rsidR="00571749">
        <w:t>The</w:t>
      </w:r>
      <w:r w:rsidR="00F858B3">
        <w:t xml:space="preserve"> </w:t>
      </w:r>
      <w:r w:rsidR="00571749">
        <w:t xml:space="preserve">fixed effects estimates </w:t>
      </w:r>
      <w:r w:rsidR="0071236D">
        <w:t xml:space="preserve">in annex A </w:t>
      </w:r>
      <w:r w:rsidR="00571749">
        <w:t>are presented as odds ratios, which represent the strength of an association between employment and the characteristics that determine employment (box </w:t>
      </w:r>
      <w:r w:rsidR="00D11FDA">
        <w:t>3</w:t>
      </w:r>
      <w:r w:rsidR="00571749">
        <w:t>).</w:t>
      </w:r>
      <w:r w:rsidR="0071236D">
        <w:t xml:space="preserve"> As mentioned above, the odds ratios are used to generate expected differences in employment rates for recipients of different types of housing assistance.</w:t>
      </w:r>
    </w:p>
    <w:p w14:paraId="02EC7B16" w14:textId="71B8A2F8" w:rsidR="00571749" w:rsidRDefault="00571749" w:rsidP="00571749">
      <w:pPr>
        <w:pStyle w:val="BoxSpaceAbove"/>
        <w:ind w:left="108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1749" w14:paraId="7727448F" w14:textId="77777777" w:rsidTr="004235A4">
        <w:tc>
          <w:tcPr>
            <w:tcW w:w="8771" w:type="dxa"/>
            <w:tcBorders>
              <w:top w:val="single" w:sz="6" w:space="0" w:color="78A22F"/>
              <w:left w:val="nil"/>
              <w:bottom w:val="nil"/>
              <w:right w:val="nil"/>
            </w:tcBorders>
            <w:shd w:val="clear" w:color="auto" w:fill="F2F2F2"/>
          </w:tcPr>
          <w:p w14:paraId="453AADB8" w14:textId="5DDC1284" w:rsidR="00571749" w:rsidRDefault="00571749" w:rsidP="004235A4">
            <w:pPr>
              <w:pStyle w:val="BoxTitle"/>
            </w:pPr>
            <w:r>
              <w:rPr>
                <w:b w:val="0"/>
              </w:rPr>
              <w:t xml:space="preserve">Box </w:t>
            </w:r>
            <w:bookmarkStart w:id="12" w:name="OLE_LINK8"/>
            <w:r w:rsidR="00D8076D">
              <w:rPr>
                <w:b w:val="0"/>
                <w:noProof/>
              </w:rPr>
              <w:t>3</w:t>
            </w:r>
            <w:bookmarkEnd w:id="12"/>
            <w:r>
              <w:tab/>
              <w:t>Interpreting odds ratios</w:t>
            </w:r>
          </w:p>
        </w:tc>
      </w:tr>
      <w:tr w:rsidR="00571749" w14:paraId="0B52F71C" w14:textId="77777777" w:rsidTr="004235A4">
        <w:trPr>
          <w:cantSplit/>
        </w:trPr>
        <w:tc>
          <w:tcPr>
            <w:tcW w:w="8771" w:type="dxa"/>
            <w:tcBorders>
              <w:top w:val="nil"/>
              <w:left w:val="nil"/>
              <w:bottom w:val="nil"/>
              <w:right w:val="nil"/>
            </w:tcBorders>
            <w:shd w:val="clear" w:color="auto" w:fill="F2F2F2"/>
          </w:tcPr>
          <w:p w14:paraId="387E1531" w14:textId="77777777" w:rsidR="00571749" w:rsidRDefault="00571749" w:rsidP="004235A4">
            <w:pPr>
              <w:pStyle w:val="Box"/>
            </w:pPr>
            <w:r>
              <w:t xml:space="preserve">The crude ‘odds’ of an outcome is the number of times an event is expected to occur, relative to the number of times that event is expected </w:t>
            </w:r>
            <w:r w:rsidRPr="00ED75F0">
              <w:rPr>
                <w:i/>
              </w:rPr>
              <w:t>not</w:t>
            </w:r>
            <w:r>
              <w:t xml:space="preserve"> to occur. For example, when rolling a six</w:t>
            </w:r>
            <w:r w:rsidR="00F858B3">
              <w:noBreakHyphen/>
            </w:r>
            <w:r>
              <w:t xml:space="preserve">sided die, there is a 16.6 per cent chance of rolling a three — a person trying to roll a three </w:t>
            </w:r>
            <w:r w:rsidR="00F517C4">
              <w:t>can</w:t>
            </w:r>
            <w:r>
              <w:t xml:space="preserve"> expect to be successful in one of their first six attempts, and unsuccessful in the other five rolls. This means that the odds of rolling a three are 1/5, or </w:t>
            </w:r>
            <w:r w:rsidR="00363722">
              <w:t>20 per cent</w:t>
            </w:r>
            <w:r>
              <w:t xml:space="preserve">. </w:t>
            </w:r>
          </w:p>
          <w:p w14:paraId="57FFBA5D" w14:textId="2711F7F8" w:rsidR="00571749" w:rsidRDefault="00571749" w:rsidP="004235A4">
            <w:pPr>
              <w:pStyle w:val="Box"/>
            </w:pPr>
            <w:r>
              <w:t xml:space="preserve">A change in odds represents a change in the probability of </w:t>
            </w:r>
            <w:r w:rsidR="00093418">
              <w:t xml:space="preserve">the </w:t>
            </w:r>
            <w:r>
              <w:t>event occurring</w:t>
            </w:r>
            <w:r w:rsidR="00D64B4F">
              <w:t xml:space="preserve">. An </w:t>
            </w:r>
            <w:r>
              <w:t xml:space="preserve">increase in the odds of an event </w:t>
            </w:r>
            <w:r w:rsidR="00093418">
              <w:t xml:space="preserve">means that </w:t>
            </w:r>
            <w:r>
              <w:t>the event</w:t>
            </w:r>
            <w:r w:rsidR="00093418">
              <w:t xml:space="preserve"> is</w:t>
            </w:r>
            <w:r w:rsidR="0069236C">
              <w:t xml:space="preserve"> </w:t>
            </w:r>
            <w:r>
              <w:t xml:space="preserve">more likely to happen. An increase in the odds of </w:t>
            </w:r>
            <w:r w:rsidR="00093418">
              <w:t xml:space="preserve">someone </w:t>
            </w:r>
            <w:r>
              <w:t xml:space="preserve">finding employment from 0.25 to 0.5 means that their likelihood of finding employment has doubled. </w:t>
            </w:r>
          </w:p>
          <w:p w14:paraId="089D5928" w14:textId="15C7C9C1" w:rsidR="009D7BD0" w:rsidRDefault="00571749" w:rsidP="009D7BD0">
            <w:pPr>
              <w:pStyle w:val="Box"/>
            </w:pPr>
            <w:r>
              <w:t>Outputs from logit regressions are often presented as ‘odds ratios’ — a measure of association between an outcome (such as employment) and a characteristic expected to affect that outcome (such as housing assistance).</w:t>
            </w:r>
            <w:r w:rsidR="0069236C">
              <w:t xml:space="preserve"> </w:t>
            </w:r>
          </w:p>
          <w:p w14:paraId="1771FF11" w14:textId="2288169C" w:rsidR="00571749" w:rsidRDefault="00A84146" w:rsidP="00D64B4F">
            <w:pPr>
              <w:pStyle w:val="Box"/>
            </w:pPr>
            <w:r>
              <w:t>An odds ratio greater than one indicates that a person with the associated characteristic is more likely to be employed than a person without the characteristic. The converse applies for an odds ratio less than one. The greater the difference between the odds ratio and one, the larger the relative impact of a characteristic on the likelihood of employment.</w:t>
            </w:r>
            <w:r w:rsidR="0069236C">
              <w:t xml:space="preserve"> For example, the </w:t>
            </w:r>
            <w:r w:rsidR="00D51E8A">
              <w:t xml:space="preserve">pooled </w:t>
            </w:r>
            <w:r w:rsidR="000F5520">
              <w:t>cross</w:t>
            </w:r>
            <w:r w:rsidR="00056061">
              <w:noBreakHyphen/>
            </w:r>
            <w:r w:rsidR="000F5520">
              <w:t>section</w:t>
            </w:r>
            <w:r w:rsidR="00D51E8A">
              <w:t xml:space="preserve">al estimate of the </w:t>
            </w:r>
            <w:r w:rsidR="0069236C">
              <w:t xml:space="preserve">odds </w:t>
            </w:r>
            <w:r w:rsidR="00D51E8A">
              <w:t>ratio for those living in public housing is reported as 0.6</w:t>
            </w:r>
            <w:r w:rsidR="00D64B4F">
              <w:t>17</w:t>
            </w:r>
            <w:r w:rsidR="00C075A6">
              <w:t xml:space="preserve"> (table</w:t>
            </w:r>
            <w:r w:rsidR="00056061">
              <w:t> </w:t>
            </w:r>
            <w:r w:rsidR="00C075A6">
              <w:t>5)</w:t>
            </w:r>
            <w:r w:rsidR="00D51E8A">
              <w:t xml:space="preserve">. </w:t>
            </w:r>
            <w:r w:rsidR="00530611">
              <w:t xml:space="preserve">This means that the expected odds </w:t>
            </w:r>
            <w:r w:rsidR="00C075A6">
              <w:t xml:space="preserve">of employment </w:t>
            </w:r>
            <w:r w:rsidR="00530611">
              <w:t>— adjusted for all other control variables —</w:t>
            </w:r>
            <w:r w:rsidR="00232C43">
              <w:t xml:space="preserve"> </w:t>
            </w:r>
            <w:r w:rsidR="00530611">
              <w:t xml:space="preserve">among public housing residents </w:t>
            </w:r>
            <w:r w:rsidR="00232C43">
              <w:t xml:space="preserve">are </w:t>
            </w:r>
            <w:r w:rsidR="00530611">
              <w:t>around 0.6</w:t>
            </w:r>
            <w:r w:rsidR="00D64B4F">
              <w:t>17</w:t>
            </w:r>
            <w:r w:rsidR="00530611">
              <w:t xml:space="preserve"> times that of the expected odds of employment among ISP recipients who do not receive housing assistance.</w:t>
            </w:r>
          </w:p>
        </w:tc>
      </w:tr>
      <w:tr w:rsidR="00571749" w14:paraId="61EDB925" w14:textId="77777777" w:rsidTr="004235A4">
        <w:trPr>
          <w:cantSplit/>
        </w:trPr>
        <w:tc>
          <w:tcPr>
            <w:tcW w:w="8771" w:type="dxa"/>
            <w:tcBorders>
              <w:top w:val="nil"/>
              <w:left w:val="nil"/>
              <w:bottom w:val="single" w:sz="6" w:space="0" w:color="78A22F"/>
              <w:right w:val="nil"/>
            </w:tcBorders>
            <w:shd w:val="clear" w:color="auto" w:fill="F2F2F2"/>
          </w:tcPr>
          <w:p w14:paraId="08DEAF0A" w14:textId="77777777" w:rsidR="00571749" w:rsidRDefault="00571749" w:rsidP="004235A4">
            <w:pPr>
              <w:pStyle w:val="Box"/>
              <w:spacing w:before="0" w:line="120" w:lineRule="exact"/>
            </w:pPr>
          </w:p>
        </w:tc>
      </w:tr>
      <w:tr w:rsidR="00571749" w:rsidRPr="000863A5" w14:paraId="1A1635C7" w14:textId="77777777" w:rsidTr="004235A4">
        <w:tc>
          <w:tcPr>
            <w:tcW w:w="8771" w:type="dxa"/>
            <w:tcBorders>
              <w:top w:val="single" w:sz="6" w:space="0" w:color="78A22F"/>
              <w:left w:val="nil"/>
              <w:bottom w:val="nil"/>
              <w:right w:val="nil"/>
            </w:tcBorders>
          </w:tcPr>
          <w:p w14:paraId="77E4A837" w14:textId="30522114" w:rsidR="00571749" w:rsidRPr="00626D32" w:rsidRDefault="00571749" w:rsidP="004235A4">
            <w:pPr>
              <w:pStyle w:val="BoxSpaceBelow"/>
            </w:pPr>
          </w:p>
        </w:tc>
      </w:tr>
    </w:tbl>
    <w:p w14:paraId="6119C711" w14:textId="5D54A8B1" w:rsidR="00571749" w:rsidRDefault="00571749" w:rsidP="00571749">
      <w:pPr>
        <w:pStyle w:val="BodyText"/>
      </w:pPr>
      <w:r>
        <w:t>After both observed and unobserved factors are taken into account, the odds ratios associated with the housing assistance variables are found to be close to one (table</w:t>
      </w:r>
      <w:r w:rsidR="00F858B3">
        <w:t> </w:t>
      </w:r>
      <w:r w:rsidR="009808CE">
        <w:t>5</w:t>
      </w:r>
      <w:r>
        <w:t>)</w:t>
      </w:r>
      <w:r w:rsidR="00F91288">
        <w:t>. T</w:t>
      </w:r>
      <w:r>
        <w:t xml:space="preserve">hat is, </w:t>
      </w:r>
      <w:r w:rsidR="00232C43">
        <w:t xml:space="preserve">according to these results, </w:t>
      </w:r>
      <w:r>
        <w:t xml:space="preserve">housing assistance </w:t>
      </w:r>
      <w:r w:rsidR="00232C43">
        <w:t>has</w:t>
      </w:r>
      <w:r>
        <w:t xml:space="preserve"> little effect on the probability of employment.</w:t>
      </w:r>
      <w:r w:rsidR="003800D3">
        <w:t xml:space="preserve"> Odds ratios for all covariates </w:t>
      </w:r>
      <w:r w:rsidR="00B5445A">
        <w:t xml:space="preserve">in the </w:t>
      </w:r>
      <w:r w:rsidR="009A220F">
        <w:t xml:space="preserve">pooled </w:t>
      </w:r>
      <w:r w:rsidR="00B5445A">
        <w:t>cross</w:t>
      </w:r>
      <w:r w:rsidR="00F858B3">
        <w:noBreakHyphen/>
      </w:r>
      <w:r w:rsidR="00B5445A">
        <w:t xml:space="preserve">sectional and fixed effects models </w:t>
      </w:r>
      <w:r w:rsidR="003800D3">
        <w:t xml:space="preserve">are </w:t>
      </w:r>
      <w:r w:rsidR="009D7BD0">
        <w:t xml:space="preserve">presented </w:t>
      </w:r>
      <w:r w:rsidR="003800D3">
        <w:t>in annex</w:t>
      </w:r>
      <w:r w:rsidR="009D7BD0">
        <w:t xml:space="preserve"> A,</w:t>
      </w:r>
      <w:r w:rsidR="003800D3">
        <w:t xml:space="preserve"> table</w:t>
      </w:r>
      <w:r w:rsidR="00F858B3">
        <w:t> </w:t>
      </w:r>
      <w:r w:rsidR="003800D3">
        <w:t>1.</w:t>
      </w:r>
    </w:p>
    <w:p w14:paraId="34F6C4B9" w14:textId="0119D738" w:rsidR="00571749" w:rsidRDefault="00571749" w:rsidP="00571749">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571749" w14:paraId="12FC3602" w14:textId="77777777" w:rsidTr="004235A4">
        <w:tc>
          <w:tcPr>
            <w:tcW w:w="8771" w:type="dxa"/>
            <w:tcBorders>
              <w:top w:val="single" w:sz="6" w:space="0" w:color="78A22F"/>
              <w:left w:val="nil"/>
              <w:bottom w:val="nil"/>
              <w:right w:val="nil"/>
            </w:tcBorders>
            <w:shd w:val="clear" w:color="auto" w:fill="auto"/>
          </w:tcPr>
          <w:p w14:paraId="79E5B61C" w14:textId="1468A898" w:rsidR="00571749" w:rsidRDefault="00571749" w:rsidP="004235A4">
            <w:pPr>
              <w:pStyle w:val="FigureTitle"/>
            </w:pPr>
            <w:r>
              <w:rPr>
                <w:b w:val="0"/>
              </w:rPr>
              <w:t>Table</w:t>
            </w:r>
            <w:r w:rsidR="00F858B3">
              <w:rPr>
                <w:b w:val="0"/>
              </w:rPr>
              <w:t> </w:t>
            </w:r>
            <w:bookmarkStart w:id="13" w:name="OLE_LINK7"/>
            <w:r w:rsidR="00D8076D">
              <w:rPr>
                <w:b w:val="0"/>
                <w:noProof/>
              </w:rPr>
              <w:t>5</w:t>
            </w:r>
            <w:bookmarkEnd w:id="13"/>
            <w:r>
              <w:tab/>
            </w:r>
            <w:r w:rsidR="00255BAA">
              <w:t xml:space="preserve">Association between </w:t>
            </w:r>
            <w:r>
              <w:t>housing assistance and employment</w:t>
            </w:r>
          </w:p>
          <w:p w14:paraId="7C884641" w14:textId="77777777" w:rsidR="00571749" w:rsidRPr="00784A05" w:rsidRDefault="00571749" w:rsidP="004235A4">
            <w:pPr>
              <w:pStyle w:val="Subtitle"/>
            </w:pPr>
            <w:r w:rsidRPr="00834661">
              <w:t xml:space="preserve">Crude, </w:t>
            </w:r>
            <w:r w:rsidR="009A220F">
              <w:t xml:space="preserve">pooled </w:t>
            </w:r>
            <w:r w:rsidRPr="00834661">
              <w:t>cross</w:t>
            </w:r>
            <w:r w:rsidR="00F858B3">
              <w:noBreakHyphen/>
            </w:r>
            <w:r w:rsidRPr="00834661">
              <w:t>sectional and fixed effects odds ratios</w:t>
            </w:r>
          </w:p>
        </w:tc>
      </w:tr>
      <w:tr w:rsidR="00571749" w14:paraId="332D7E5D" w14:textId="77777777" w:rsidTr="004235A4">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21"/>
              <w:gridCol w:w="2122"/>
              <w:gridCol w:w="2122"/>
              <w:gridCol w:w="2122"/>
            </w:tblGrid>
            <w:tr w:rsidR="00571749" w14:paraId="538D37EB" w14:textId="77777777" w:rsidTr="00A84146">
              <w:tc>
                <w:tcPr>
                  <w:tcW w:w="1250" w:type="pct"/>
                  <w:tcBorders>
                    <w:top w:val="single" w:sz="6" w:space="0" w:color="BFBFBF"/>
                    <w:bottom w:val="single" w:sz="6" w:space="0" w:color="BFBFBF"/>
                  </w:tcBorders>
                  <w:shd w:val="clear" w:color="auto" w:fill="auto"/>
                  <w:tcMar>
                    <w:top w:w="28" w:type="dxa"/>
                  </w:tcMar>
                </w:tcPr>
                <w:p w14:paraId="70B0B115" w14:textId="77777777" w:rsidR="00571749" w:rsidRDefault="00571749" w:rsidP="004235A4">
                  <w:pPr>
                    <w:pStyle w:val="TableColumnHeading"/>
                    <w:jc w:val="left"/>
                  </w:pPr>
                  <w:r>
                    <w:t>Housing assistance</w:t>
                  </w:r>
                </w:p>
              </w:tc>
              <w:tc>
                <w:tcPr>
                  <w:tcW w:w="1250" w:type="pct"/>
                  <w:tcBorders>
                    <w:top w:val="single" w:sz="6" w:space="0" w:color="BFBFBF"/>
                    <w:bottom w:val="single" w:sz="6" w:space="0" w:color="BFBFBF"/>
                  </w:tcBorders>
                  <w:shd w:val="clear" w:color="auto" w:fill="auto"/>
                  <w:tcMar>
                    <w:top w:w="28" w:type="dxa"/>
                  </w:tcMar>
                </w:tcPr>
                <w:p w14:paraId="458661F9" w14:textId="77777777" w:rsidR="00571749" w:rsidRDefault="00571749" w:rsidP="00093418">
                  <w:pPr>
                    <w:pStyle w:val="TableColumnHeading"/>
                  </w:pPr>
                  <w:r>
                    <w:t xml:space="preserve">Crude </w:t>
                  </w:r>
                  <w:r w:rsidR="00093418">
                    <w:br/>
                  </w:r>
                  <w:r>
                    <w:t>odds ratio</w:t>
                  </w:r>
                  <w:r w:rsidRPr="00A84146">
                    <w:rPr>
                      <w:rStyle w:val="NoteLabel"/>
                      <w:i w:val="0"/>
                    </w:rPr>
                    <w:t>a,b</w:t>
                  </w:r>
                </w:p>
              </w:tc>
              <w:tc>
                <w:tcPr>
                  <w:tcW w:w="1250" w:type="pct"/>
                  <w:tcBorders>
                    <w:top w:val="single" w:sz="6" w:space="0" w:color="BFBFBF"/>
                    <w:bottom w:val="single" w:sz="6" w:space="0" w:color="BFBFBF"/>
                  </w:tcBorders>
                  <w:shd w:val="clear" w:color="auto" w:fill="auto"/>
                  <w:tcMar>
                    <w:top w:w="28" w:type="dxa"/>
                  </w:tcMar>
                </w:tcPr>
                <w:p w14:paraId="4F69644C" w14:textId="77777777" w:rsidR="00571749" w:rsidRDefault="00093418" w:rsidP="00A84146">
                  <w:pPr>
                    <w:pStyle w:val="TableColumnHeading"/>
                    <w:ind w:right="28"/>
                  </w:pPr>
                  <w:r>
                    <w:t>Pooled c</w:t>
                  </w:r>
                  <w:r w:rsidR="00571749">
                    <w:t>ross</w:t>
                  </w:r>
                  <w:r w:rsidR="00F858B3">
                    <w:noBreakHyphen/>
                  </w:r>
                  <w:r w:rsidR="00571749">
                    <w:t xml:space="preserve">sectional </w:t>
                  </w:r>
                  <w:r w:rsidR="00571749">
                    <w:br/>
                    <w:t>odds ratio</w:t>
                  </w:r>
                  <w:r w:rsidR="00571749" w:rsidRPr="00A84146">
                    <w:rPr>
                      <w:rStyle w:val="NoteLabel"/>
                      <w:i w:val="0"/>
                    </w:rPr>
                    <w:t>b</w:t>
                  </w:r>
                </w:p>
              </w:tc>
              <w:tc>
                <w:tcPr>
                  <w:tcW w:w="1250" w:type="pct"/>
                  <w:tcBorders>
                    <w:top w:val="single" w:sz="6" w:space="0" w:color="BFBFBF"/>
                    <w:bottom w:val="single" w:sz="6" w:space="0" w:color="BFBFBF"/>
                  </w:tcBorders>
                  <w:shd w:val="clear" w:color="auto" w:fill="auto"/>
                </w:tcPr>
                <w:p w14:paraId="1939A575" w14:textId="77777777" w:rsidR="00571749" w:rsidRDefault="00571749" w:rsidP="004235A4">
                  <w:pPr>
                    <w:pStyle w:val="TableColumnHeading"/>
                    <w:ind w:right="28"/>
                  </w:pPr>
                  <w:r>
                    <w:t xml:space="preserve">Fixed effects </w:t>
                  </w:r>
                  <w:r>
                    <w:br/>
                    <w:t>odds ratio</w:t>
                  </w:r>
                </w:p>
              </w:tc>
            </w:tr>
            <w:tr w:rsidR="00571749" w14:paraId="6A497FC1" w14:textId="77777777" w:rsidTr="00A84146">
              <w:tc>
                <w:tcPr>
                  <w:tcW w:w="1250" w:type="pct"/>
                  <w:tcBorders>
                    <w:top w:val="single" w:sz="6" w:space="0" w:color="BFBFBF"/>
                  </w:tcBorders>
                </w:tcPr>
                <w:p w14:paraId="6BA717F9" w14:textId="77777777" w:rsidR="00571749" w:rsidRDefault="00571749" w:rsidP="004235A4">
                  <w:pPr>
                    <w:pStyle w:val="TableUnitsRow"/>
                    <w:jc w:val="left"/>
                  </w:pPr>
                  <w:r>
                    <w:t>Commonwealth Rent Assistance</w:t>
                  </w:r>
                </w:p>
              </w:tc>
              <w:tc>
                <w:tcPr>
                  <w:tcW w:w="1250" w:type="pct"/>
                  <w:tcBorders>
                    <w:top w:val="single" w:sz="6" w:space="0" w:color="BFBFBF"/>
                  </w:tcBorders>
                </w:tcPr>
                <w:p w14:paraId="044F90FD" w14:textId="77777777" w:rsidR="00571749" w:rsidRDefault="00571749" w:rsidP="004235A4">
                  <w:pPr>
                    <w:pStyle w:val="TableUnitsRow"/>
                    <w:rPr>
                      <w:i/>
                    </w:rPr>
                  </w:pPr>
                  <w:r>
                    <w:t>1.167</w:t>
                  </w:r>
                </w:p>
              </w:tc>
              <w:tc>
                <w:tcPr>
                  <w:tcW w:w="1250" w:type="pct"/>
                  <w:tcBorders>
                    <w:top w:val="single" w:sz="6" w:space="0" w:color="BFBFBF"/>
                  </w:tcBorders>
                  <w:shd w:val="clear" w:color="auto" w:fill="auto"/>
                </w:tcPr>
                <w:p w14:paraId="7B79F22E" w14:textId="77777777" w:rsidR="00571749" w:rsidRDefault="00571749" w:rsidP="0029519D">
                  <w:pPr>
                    <w:pStyle w:val="TableUnitsRow"/>
                    <w:ind w:right="28"/>
                    <w:rPr>
                      <w:i/>
                    </w:rPr>
                  </w:pPr>
                  <w:r w:rsidRPr="00A86CF9">
                    <w:t>0.</w:t>
                  </w:r>
                  <w:r w:rsidR="0029519D">
                    <w:t>980</w:t>
                  </w:r>
                </w:p>
              </w:tc>
              <w:tc>
                <w:tcPr>
                  <w:tcW w:w="1250" w:type="pct"/>
                  <w:tcBorders>
                    <w:top w:val="single" w:sz="6" w:space="0" w:color="BFBFBF"/>
                  </w:tcBorders>
                  <w:shd w:val="clear" w:color="auto" w:fill="auto"/>
                </w:tcPr>
                <w:p w14:paraId="104CB85D" w14:textId="77777777" w:rsidR="00571749" w:rsidRDefault="00571749" w:rsidP="004235A4">
                  <w:pPr>
                    <w:pStyle w:val="TableUnitsRow"/>
                    <w:ind w:right="28"/>
                    <w:rPr>
                      <w:i/>
                    </w:rPr>
                  </w:pPr>
                  <w:r w:rsidRPr="00A86CF9">
                    <w:t>1.0</w:t>
                  </w:r>
                  <w:r w:rsidR="00F22BAF">
                    <w:t>80</w:t>
                  </w:r>
                </w:p>
              </w:tc>
            </w:tr>
            <w:tr w:rsidR="00571749" w14:paraId="7C69F46A" w14:textId="77777777" w:rsidTr="00A84146">
              <w:tc>
                <w:tcPr>
                  <w:tcW w:w="1250" w:type="pct"/>
                  <w:tcBorders>
                    <w:bottom w:val="single" w:sz="6" w:space="0" w:color="BFBFBF"/>
                  </w:tcBorders>
                </w:tcPr>
                <w:p w14:paraId="20B70341" w14:textId="77777777" w:rsidR="00571749" w:rsidRDefault="00571749" w:rsidP="004235A4">
                  <w:pPr>
                    <w:pStyle w:val="TableBodyText"/>
                    <w:jc w:val="left"/>
                  </w:pPr>
                  <w:r>
                    <w:t>Public housing</w:t>
                  </w:r>
                </w:p>
              </w:tc>
              <w:tc>
                <w:tcPr>
                  <w:tcW w:w="1250" w:type="pct"/>
                  <w:tcBorders>
                    <w:bottom w:val="single" w:sz="6" w:space="0" w:color="BFBFBF"/>
                  </w:tcBorders>
                </w:tcPr>
                <w:p w14:paraId="28049CEC" w14:textId="77777777" w:rsidR="00571749" w:rsidRDefault="00571749" w:rsidP="004235A4">
                  <w:pPr>
                    <w:pStyle w:val="TableBodyText"/>
                    <w:rPr>
                      <w:i/>
                    </w:rPr>
                  </w:pPr>
                  <w:r>
                    <w:t>0.547</w:t>
                  </w:r>
                </w:p>
              </w:tc>
              <w:tc>
                <w:tcPr>
                  <w:tcW w:w="1250" w:type="pct"/>
                  <w:tcBorders>
                    <w:bottom w:val="single" w:sz="6" w:space="0" w:color="BFBFBF"/>
                  </w:tcBorders>
                  <w:shd w:val="clear" w:color="auto" w:fill="auto"/>
                </w:tcPr>
                <w:p w14:paraId="5404C813" w14:textId="77777777" w:rsidR="00571749" w:rsidRDefault="00571749" w:rsidP="0029519D">
                  <w:pPr>
                    <w:pStyle w:val="TableBodyText"/>
                    <w:ind w:right="28"/>
                    <w:rPr>
                      <w:i/>
                    </w:rPr>
                  </w:pPr>
                  <w:r w:rsidRPr="004C78D3">
                    <w:t>0.</w:t>
                  </w:r>
                  <w:r w:rsidR="0029519D">
                    <w:t>617</w:t>
                  </w:r>
                </w:p>
              </w:tc>
              <w:tc>
                <w:tcPr>
                  <w:tcW w:w="1250" w:type="pct"/>
                  <w:tcBorders>
                    <w:bottom w:val="single" w:sz="6" w:space="0" w:color="BFBFBF"/>
                  </w:tcBorders>
                  <w:shd w:val="clear" w:color="auto" w:fill="auto"/>
                </w:tcPr>
                <w:p w14:paraId="567C5F89" w14:textId="77777777" w:rsidR="00571749" w:rsidRDefault="00F22BAF" w:rsidP="004235A4">
                  <w:pPr>
                    <w:pStyle w:val="TableBodyText"/>
                    <w:ind w:right="28"/>
                    <w:rPr>
                      <w:i/>
                    </w:rPr>
                  </w:pPr>
                  <w:r>
                    <w:t>1.015</w:t>
                  </w:r>
                  <w:r w:rsidR="00571749" w:rsidRPr="00FF5C1F">
                    <w:rPr>
                      <w:rStyle w:val="NoteLabel"/>
                    </w:rPr>
                    <w:t>c</w:t>
                  </w:r>
                </w:p>
              </w:tc>
            </w:tr>
          </w:tbl>
          <w:p w14:paraId="07D28B0F" w14:textId="77777777" w:rsidR="00571749" w:rsidRDefault="00571749" w:rsidP="004235A4">
            <w:pPr>
              <w:pStyle w:val="Box"/>
            </w:pPr>
          </w:p>
        </w:tc>
      </w:tr>
      <w:tr w:rsidR="00571749" w14:paraId="341AA2CF" w14:textId="77777777" w:rsidTr="004235A4">
        <w:trPr>
          <w:cantSplit/>
        </w:trPr>
        <w:tc>
          <w:tcPr>
            <w:tcW w:w="8771" w:type="dxa"/>
            <w:tcBorders>
              <w:top w:val="nil"/>
              <w:left w:val="nil"/>
              <w:bottom w:val="nil"/>
              <w:right w:val="nil"/>
            </w:tcBorders>
            <w:shd w:val="clear" w:color="auto" w:fill="auto"/>
          </w:tcPr>
          <w:p w14:paraId="73558D4C" w14:textId="68CB7A83" w:rsidR="00571749" w:rsidRPr="00930BB8" w:rsidRDefault="00571749" w:rsidP="00D64B4F">
            <w:pPr>
              <w:pStyle w:val="Note"/>
              <w:rPr>
                <w:i/>
              </w:rPr>
            </w:pPr>
            <w:r>
              <w:rPr>
                <w:rStyle w:val="NoteLabel"/>
              </w:rPr>
              <w:t>a</w:t>
            </w:r>
            <w:r>
              <w:t xml:space="preserve"> The crude odds ratio represents the odds of employment among recipients of housing assistance, relative to the odds of employment among ISP recipients who receive no housing assistance. </w:t>
            </w:r>
            <w:r>
              <w:rPr>
                <w:rStyle w:val="NoteLabel"/>
              </w:rPr>
              <w:t>b</w:t>
            </w:r>
            <w:r>
              <w:t xml:space="preserve"> Both the crude and cross</w:t>
            </w:r>
            <w:r w:rsidR="00F858B3">
              <w:noBreakHyphen/>
            </w:r>
            <w:r>
              <w:t xml:space="preserve">sectional odds ratios are calculated on a pooled sample of observations from 2005 to 2013. The fixed effects odds ratios are the result of the panel model estimated over the period 2005 to 2013. </w:t>
            </w:r>
            <w:r>
              <w:rPr>
                <w:rStyle w:val="NoteLabel"/>
              </w:rPr>
              <w:t xml:space="preserve">c </w:t>
            </w:r>
            <w:r w:rsidRPr="00930BB8">
              <w:t>With the e</w:t>
            </w:r>
            <w:r>
              <w:t xml:space="preserve">xception of the fixed effects odds ratio for public housing, all results are significantly different from </w:t>
            </w:r>
            <w:r w:rsidR="00D64B4F">
              <w:t xml:space="preserve">one </w:t>
            </w:r>
            <w:r>
              <w:t xml:space="preserve">at the </w:t>
            </w:r>
            <w:r w:rsidR="00D64B4F">
              <w:t>one</w:t>
            </w:r>
            <w:r>
              <w:t xml:space="preserve"> per cent level.</w:t>
            </w:r>
          </w:p>
        </w:tc>
      </w:tr>
      <w:tr w:rsidR="00571749" w14:paraId="69B3334F" w14:textId="77777777" w:rsidTr="004235A4">
        <w:trPr>
          <w:cantSplit/>
        </w:trPr>
        <w:tc>
          <w:tcPr>
            <w:tcW w:w="8771" w:type="dxa"/>
            <w:tcBorders>
              <w:top w:val="nil"/>
              <w:left w:val="nil"/>
              <w:bottom w:val="nil"/>
              <w:right w:val="nil"/>
            </w:tcBorders>
            <w:shd w:val="clear" w:color="auto" w:fill="auto"/>
          </w:tcPr>
          <w:p w14:paraId="7CE49EF6" w14:textId="77777777" w:rsidR="00571749" w:rsidRDefault="00571749" w:rsidP="004235A4">
            <w:pPr>
              <w:pStyle w:val="Source"/>
            </w:pPr>
            <w:r>
              <w:rPr>
                <w:i/>
              </w:rPr>
              <w:t>Source</w:t>
            </w:r>
            <w:r w:rsidRPr="00167F06">
              <w:t xml:space="preserve">: </w:t>
            </w:r>
            <w:r w:rsidR="005F4C6C">
              <w:t xml:space="preserve">Author </w:t>
            </w:r>
            <w:r>
              <w:t>estimates using Research and Evaluation Database.</w:t>
            </w:r>
          </w:p>
        </w:tc>
      </w:tr>
      <w:tr w:rsidR="00571749" w14:paraId="76BB61F9" w14:textId="77777777" w:rsidTr="004235A4">
        <w:trPr>
          <w:cantSplit/>
        </w:trPr>
        <w:tc>
          <w:tcPr>
            <w:tcW w:w="8771" w:type="dxa"/>
            <w:tcBorders>
              <w:top w:val="nil"/>
              <w:left w:val="nil"/>
              <w:bottom w:val="single" w:sz="6" w:space="0" w:color="78A22F"/>
              <w:right w:val="nil"/>
            </w:tcBorders>
            <w:shd w:val="clear" w:color="auto" w:fill="auto"/>
          </w:tcPr>
          <w:p w14:paraId="1AC445ED" w14:textId="77777777" w:rsidR="00571749" w:rsidRDefault="00571749" w:rsidP="004235A4">
            <w:pPr>
              <w:pStyle w:val="Box"/>
              <w:spacing w:before="0" w:line="120" w:lineRule="exact"/>
            </w:pPr>
          </w:p>
        </w:tc>
      </w:tr>
      <w:tr w:rsidR="00571749" w:rsidRPr="000863A5" w14:paraId="5F60484D" w14:textId="77777777" w:rsidTr="004235A4">
        <w:tc>
          <w:tcPr>
            <w:tcW w:w="8771" w:type="dxa"/>
            <w:tcBorders>
              <w:top w:val="single" w:sz="6" w:space="0" w:color="78A22F"/>
              <w:left w:val="nil"/>
              <w:bottom w:val="nil"/>
              <w:right w:val="nil"/>
            </w:tcBorders>
          </w:tcPr>
          <w:p w14:paraId="0DAA753C" w14:textId="62736C97" w:rsidR="00571749" w:rsidRPr="00626D32" w:rsidRDefault="00571749" w:rsidP="004235A4">
            <w:pPr>
              <w:pStyle w:val="BoxSpaceBelow"/>
            </w:pPr>
          </w:p>
        </w:tc>
      </w:tr>
    </w:tbl>
    <w:p w14:paraId="0BC29315" w14:textId="055004B2" w:rsidR="005F487D" w:rsidRDefault="005F487D" w:rsidP="005F487D">
      <w:pPr>
        <w:pStyle w:val="BodyText"/>
      </w:pPr>
      <w:r>
        <w:t>Further, the difference in the odds of employment among ISP recipients living in public housing and those receiving no housing assistance is not statistically significant at the one</w:t>
      </w:r>
      <w:r w:rsidR="00D64B4F">
        <w:t> </w:t>
      </w:r>
      <w:r>
        <w:t xml:space="preserve">per cent level. This is despite the very large dataset used, which leads to many other parameter estimates to be significantly different from </w:t>
      </w:r>
      <w:r w:rsidR="00D64B4F">
        <w:t>one</w:t>
      </w:r>
      <w:r>
        <w:t xml:space="preserve"> at the </w:t>
      </w:r>
      <w:r w:rsidR="00D64B4F">
        <w:t>one</w:t>
      </w:r>
      <w:r>
        <w:t xml:space="preserve"> per cent level. The odds of employment among recipients of CRA are slightly higher than the odds for those receiving no housing assistance. While the difference is statistically significant, the effect is small and is</w:t>
      </w:r>
      <w:r w:rsidR="007F1611">
        <w:t>,</w:t>
      </w:r>
      <w:r>
        <w:t xml:space="preserve"> therefore</w:t>
      </w:r>
      <w:r w:rsidR="007F1611">
        <w:t>,</w:t>
      </w:r>
      <w:r>
        <w:t xml:space="preserve"> of limited relevance from a policy perspective.</w:t>
      </w:r>
      <w:r w:rsidR="00792288">
        <w:t xml:space="preserve"> </w:t>
      </w:r>
    </w:p>
    <w:p w14:paraId="42914FB1" w14:textId="77777777" w:rsidR="00571749" w:rsidRDefault="00571749" w:rsidP="00571749">
      <w:pPr>
        <w:pStyle w:val="BodyText"/>
      </w:pPr>
      <w:r>
        <w:t>These results are consistent with the observation that the allocation of public housing is targeted at persons in greatest need and that some of the characteristics associated with that level of need are likely to be associated with lower employment</w:t>
      </w:r>
      <w:r w:rsidR="00D00EFE">
        <w:t xml:space="preserve"> rates</w:t>
      </w:r>
      <w:r>
        <w:t xml:space="preserve">. In other words, </w:t>
      </w:r>
      <w:r w:rsidR="008637AC">
        <w:t xml:space="preserve">the </w:t>
      </w:r>
      <w:r w:rsidR="00B0725E">
        <w:t xml:space="preserve">relatively </w:t>
      </w:r>
      <w:r w:rsidR="008637AC">
        <w:t xml:space="preserve">low probability of employment among </w:t>
      </w:r>
      <w:r>
        <w:t>ISP recipient</w:t>
      </w:r>
      <w:r w:rsidR="00A3769F">
        <w:t>s</w:t>
      </w:r>
      <w:r>
        <w:t xml:space="preserve"> living in public housing</w:t>
      </w:r>
      <w:r w:rsidR="00F91288">
        <w:t xml:space="preserve"> is </w:t>
      </w:r>
      <w:r w:rsidR="00477B1C">
        <w:t xml:space="preserve">related to </w:t>
      </w:r>
      <w:r w:rsidR="008637AC">
        <w:t xml:space="preserve">their </w:t>
      </w:r>
      <w:r w:rsidR="00477B1C">
        <w:t xml:space="preserve">individual </w:t>
      </w:r>
      <w:r w:rsidR="00807A70">
        <w:t xml:space="preserve">characteristics </w:t>
      </w:r>
      <w:r w:rsidR="00477B1C">
        <w:t>rather than</w:t>
      </w:r>
      <w:r w:rsidR="008637AC">
        <w:t xml:space="preserve"> their receipt of </w:t>
      </w:r>
      <w:r w:rsidR="00477B1C">
        <w:t>housing assistance.</w:t>
      </w:r>
      <w:r w:rsidR="008637AC">
        <w:t xml:space="preserve"> </w:t>
      </w:r>
    </w:p>
    <w:p w14:paraId="5BAB0294" w14:textId="77777777" w:rsidR="00C429AE" w:rsidRDefault="00C429AE" w:rsidP="00C429AE">
      <w:pPr>
        <w:pStyle w:val="Heading4"/>
      </w:pPr>
      <w:r>
        <w:t>Income support payment type and state of residence</w:t>
      </w:r>
    </w:p>
    <w:p w14:paraId="4A8EDA55" w14:textId="3CEA51DE" w:rsidR="00571749" w:rsidRDefault="00571749" w:rsidP="00571749">
      <w:pPr>
        <w:pStyle w:val="BodyText"/>
      </w:pPr>
      <w:r>
        <w:t xml:space="preserve">While the effect of housing assistance on employment is small in aggregate, it could have a larger effect on some groups. </w:t>
      </w:r>
      <w:r w:rsidR="00DF5382">
        <w:t>T</w:t>
      </w:r>
      <w:r>
        <w:t>his section</w:t>
      </w:r>
      <w:r w:rsidR="00DF5382">
        <w:t xml:space="preserve"> considers the possible effect</w:t>
      </w:r>
      <w:r>
        <w:t xml:space="preserve"> for recipients of different ISPs and across states.</w:t>
      </w:r>
      <w:r w:rsidR="000901CA">
        <w:t xml:space="preserve"> </w:t>
      </w:r>
      <w:r w:rsidR="007F1611">
        <w:t>As described above, o</w:t>
      </w:r>
      <w:r>
        <w:t>dds ratios are combined with a ‘baseline’ probability of employment to produce estimates of an effect of housing assistance on employment</w:t>
      </w:r>
      <w:r w:rsidR="007F1611">
        <w:t>. This is</w:t>
      </w:r>
      <w:r w:rsidR="00FC3D5A">
        <w:t xml:space="preserve"> presented </w:t>
      </w:r>
      <w:r>
        <w:t xml:space="preserve">as a </w:t>
      </w:r>
      <w:r w:rsidR="00807A70">
        <w:t xml:space="preserve">percentage point </w:t>
      </w:r>
      <w:r>
        <w:t>difference relative to the baseline. T</w:t>
      </w:r>
      <w:r w:rsidR="00FC3D5A">
        <w:t xml:space="preserve">he odds ratios are presented in annex A, and the </w:t>
      </w:r>
      <w:r>
        <w:t>baseline probability is the probability of employment for a person in the relevant default category, as described in the notes for figures</w:t>
      </w:r>
      <w:r w:rsidR="00F858B3">
        <w:t> </w:t>
      </w:r>
      <w:r w:rsidR="00BE6D0D">
        <w:t>9</w:t>
      </w:r>
      <w:r>
        <w:t xml:space="preserve"> and </w:t>
      </w:r>
      <w:r w:rsidR="00BE6D0D">
        <w:t>10</w:t>
      </w:r>
      <w:r>
        <w:t xml:space="preserve">. </w:t>
      </w:r>
    </w:p>
    <w:p w14:paraId="655ABE4D" w14:textId="7EA395D8" w:rsidR="00571749" w:rsidRDefault="00571749" w:rsidP="00571749">
      <w:pPr>
        <w:pStyle w:val="BodyText"/>
      </w:pPr>
      <w:r>
        <w:t>The expected effect of housing assistance on employment is relatively small for most ISP types and states (figure</w:t>
      </w:r>
      <w:r w:rsidR="00F858B3">
        <w:t> </w:t>
      </w:r>
      <w:bookmarkStart w:id="14" w:name="OLE_LINK18"/>
      <w:r w:rsidR="0011131D">
        <w:t>9</w:t>
      </w:r>
      <w:bookmarkEnd w:id="14"/>
      <w:r>
        <w:t xml:space="preserve">). </w:t>
      </w:r>
    </w:p>
    <w:p w14:paraId="65437E7D" w14:textId="1D39C70E" w:rsidR="00571749" w:rsidRDefault="00571749" w:rsidP="00571749">
      <w:pPr>
        <w:pStyle w:val="ListBullet"/>
      </w:pPr>
      <w:r>
        <w:t xml:space="preserve">Public housing has a small positive effect on employment amongst recipients of Newstart Allowance and Parenting Payment (Partnered) of </w:t>
      </w:r>
      <w:r w:rsidR="00D64B4F">
        <w:t xml:space="preserve">about </w:t>
      </w:r>
      <w:r>
        <w:t>2 and 4 percentage points, respectively. There is little difference in the expected employment probabilities</w:t>
      </w:r>
      <w:r w:rsidR="00FC3D5A">
        <w:t xml:space="preserve">, relative to those not in public housing, </w:t>
      </w:r>
      <w:r>
        <w:t>for other ISP recipients.</w:t>
      </w:r>
    </w:p>
    <w:p w14:paraId="69587E8A" w14:textId="38545B7B" w:rsidR="00571749" w:rsidRDefault="00571749" w:rsidP="00571749">
      <w:pPr>
        <w:pStyle w:val="ListBullet"/>
      </w:pPr>
      <w:r>
        <w:t>Public housing is associated with a decrease in employment probability of around 0.8</w:t>
      </w:r>
      <w:r w:rsidR="00D64B4F">
        <w:t> </w:t>
      </w:r>
      <w:r>
        <w:t>percentage points in New South Wales</w:t>
      </w:r>
      <w:r w:rsidR="00A3769F">
        <w:t xml:space="preserve"> and</w:t>
      </w:r>
      <w:r>
        <w:t xml:space="preserve"> an increase of around 2 percentage points in the ACT. The effect of public housing on employment in all other states lies between </w:t>
      </w:r>
      <w:r w:rsidR="00A3769F">
        <w:noBreakHyphen/>
      </w:r>
      <w:r>
        <w:t>0.3 and 0.9 percentage points.</w:t>
      </w:r>
    </w:p>
    <w:p w14:paraId="02FB5B03" w14:textId="19DBFD4B" w:rsidR="00571749" w:rsidRPr="00930BB8" w:rsidRDefault="00571749" w:rsidP="00FA53B8">
      <w:pPr>
        <w:pStyle w:val="BodyText"/>
      </w:pPr>
      <w:r>
        <w:t xml:space="preserve">The </w:t>
      </w:r>
      <w:r w:rsidR="00E25572">
        <w:t xml:space="preserve">differences in </w:t>
      </w:r>
      <w:r>
        <w:t xml:space="preserve">expected employment effects </w:t>
      </w:r>
      <w:r w:rsidR="00E25572">
        <w:t xml:space="preserve">between </w:t>
      </w:r>
      <w:r>
        <w:t xml:space="preserve">public housing </w:t>
      </w:r>
      <w:r w:rsidR="00E25572">
        <w:t xml:space="preserve">and </w:t>
      </w:r>
      <w:r>
        <w:t>receipt of CRA are also small</w:t>
      </w:r>
      <w:r w:rsidR="00705117">
        <w:t>.</w:t>
      </w:r>
      <w:r w:rsidR="00585218">
        <w:t xml:space="preserve"> </w:t>
      </w:r>
      <w:r w:rsidR="00705117">
        <w:t>A</w:t>
      </w:r>
      <w:r w:rsidR="00585218">
        <w:t xml:space="preserve"> move from public housing to CRA would be expected to increase </w:t>
      </w:r>
      <w:r w:rsidR="00705117">
        <w:t xml:space="preserve">the probability of </w:t>
      </w:r>
      <w:r w:rsidR="00585218">
        <w:t xml:space="preserve">employment </w:t>
      </w:r>
      <w:r w:rsidR="00705117">
        <w:t>by less than one percentage point, although the effect varies slightly across ISP</w:t>
      </w:r>
      <w:r w:rsidR="00F67350">
        <w:t>s</w:t>
      </w:r>
      <w:r w:rsidR="00705117">
        <w:t xml:space="preserve">. </w:t>
      </w:r>
      <w:r w:rsidR="000901CA">
        <w:t xml:space="preserve">A move from </w:t>
      </w:r>
      <w:r>
        <w:t xml:space="preserve">public housing to CRA </w:t>
      </w:r>
      <w:r w:rsidR="000901CA">
        <w:t xml:space="preserve">could </w:t>
      </w:r>
      <w:r>
        <w:t xml:space="preserve">be expected to increase employment </w:t>
      </w:r>
      <w:r w:rsidR="006723CB">
        <w:t xml:space="preserve">by </w:t>
      </w:r>
      <w:r w:rsidR="00D64B4F">
        <w:t xml:space="preserve">about </w:t>
      </w:r>
      <w:r w:rsidR="006723CB">
        <w:t xml:space="preserve">1.8 percentage points for </w:t>
      </w:r>
      <w:r>
        <w:t xml:space="preserve">recipients of DSP, and </w:t>
      </w:r>
      <w:r w:rsidR="006723CB">
        <w:t xml:space="preserve">by 1.7 percentage points for recipients of </w:t>
      </w:r>
      <w:r>
        <w:t>Parenting Payment (Single)</w:t>
      </w:r>
      <w:r w:rsidR="006723CB">
        <w:t xml:space="preserve"> payments</w:t>
      </w:r>
      <w:r w:rsidR="000901CA">
        <w:t>. T</w:t>
      </w:r>
      <w:r>
        <w:t>he expected effects for all other ISPs are less than 1.2 percentage points (figure </w:t>
      </w:r>
      <w:bookmarkStart w:id="15" w:name="OLE_LINK13"/>
      <w:r w:rsidR="00BE6D0D">
        <w:t>10</w:t>
      </w:r>
      <w:bookmarkEnd w:id="15"/>
      <w:r>
        <w:t>)</w:t>
      </w:r>
      <w:r w:rsidR="00FA53B8">
        <w:t xml:space="preserve">. </w:t>
      </w:r>
    </w:p>
    <w:p w14:paraId="7FDF449F" w14:textId="57622435" w:rsidR="00571749" w:rsidRDefault="00571749" w:rsidP="0057174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1749" w14:paraId="4443007C" w14:textId="77777777" w:rsidTr="004235A4">
        <w:tc>
          <w:tcPr>
            <w:tcW w:w="8771" w:type="dxa"/>
            <w:tcBorders>
              <w:top w:val="single" w:sz="6" w:space="0" w:color="78A22F"/>
              <w:left w:val="nil"/>
              <w:bottom w:val="nil"/>
              <w:right w:val="nil"/>
            </w:tcBorders>
            <w:shd w:val="clear" w:color="auto" w:fill="auto"/>
          </w:tcPr>
          <w:p w14:paraId="3358935B" w14:textId="6B6926DC" w:rsidR="00571749" w:rsidRDefault="00571749" w:rsidP="004235A4">
            <w:pPr>
              <w:pStyle w:val="FigureTitle"/>
            </w:pPr>
            <w:r w:rsidRPr="00784A05">
              <w:rPr>
                <w:b w:val="0"/>
              </w:rPr>
              <w:t xml:space="preserve">Figure </w:t>
            </w:r>
            <w:bookmarkStart w:id="16" w:name="OLE_LINK9"/>
            <w:r w:rsidR="00D8076D">
              <w:rPr>
                <w:b w:val="0"/>
                <w:noProof/>
              </w:rPr>
              <w:t>9</w:t>
            </w:r>
            <w:bookmarkEnd w:id="16"/>
            <w:r>
              <w:tab/>
              <w:t>Expected effect of housing assistance on employment by ISP type</w:t>
            </w:r>
            <w:r w:rsidR="005F487D">
              <w:t xml:space="preserve"> and state</w:t>
            </w:r>
            <w:r w:rsidR="00FA53B8">
              <w:t>, 2005–2013</w:t>
            </w:r>
            <w:r w:rsidRPr="006E01A5">
              <w:rPr>
                <w:rStyle w:val="NoteLabel"/>
                <w:b/>
              </w:rPr>
              <w:t>a</w:t>
            </w:r>
            <w:r w:rsidR="00E16C67">
              <w:rPr>
                <w:rStyle w:val="NoteLabel"/>
                <w:b/>
              </w:rPr>
              <w:t>,b</w:t>
            </w:r>
          </w:p>
          <w:p w14:paraId="6819E3BF" w14:textId="77777777" w:rsidR="00571749" w:rsidRPr="00176D3F" w:rsidRDefault="00571749" w:rsidP="004235A4">
            <w:pPr>
              <w:pStyle w:val="Subtitle"/>
            </w:pPr>
            <w:r>
              <w:t>Percentage point difference relative to no housing assistance</w:t>
            </w:r>
          </w:p>
        </w:tc>
      </w:tr>
      <w:tr w:rsidR="00571749" w14:paraId="3FB62A54" w14:textId="77777777" w:rsidTr="004235A4">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571749" w14:paraId="30B3BEB0" w14:textId="77777777" w:rsidTr="005F487D">
              <w:trPr>
                <w:trHeight w:val="89"/>
                <w:jc w:val="center"/>
              </w:trPr>
              <w:tc>
                <w:tcPr>
                  <w:tcW w:w="8504" w:type="dxa"/>
                  <w:tcBorders>
                    <w:top w:val="nil"/>
                    <w:bottom w:val="nil"/>
                  </w:tcBorders>
                </w:tcPr>
                <w:p w14:paraId="597676AD" w14:textId="77777777" w:rsidR="00571749" w:rsidRPr="005F487D" w:rsidRDefault="005F487D" w:rsidP="005F487D">
                  <w:pPr>
                    <w:pStyle w:val="TableColumnHeading"/>
                    <w:jc w:val="center"/>
                    <w:rPr>
                      <w:b/>
                      <w:i w:val="0"/>
                    </w:rPr>
                  </w:pPr>
                  <w:r w:rsidRPr="005F487D">
                    <w:rPr>
                      <w:b/>
                      <w:i w:val="0"/>
                      <w:noProof/>
                    </w:rPr>
                    <w:t>Income support payment type</w:t>
                  </w:r>
                  <w:r w:rsidR="00571749" w:rsidRPr="005F487D">
                    <w:rPr>
                      <w:b/>
                      <w:i w:val="0"/>
                      <w:noProof/>
                    </w:rPr>
                    <w:t xml:space="preserve"> </w:t>
                  </w:r>
                </w:p>
              </w:tc>
            </w:tr>
            <w:tr w:rsidR="005F487D" w14:paraId="7C38531E" w14:textId="77777777" w:rsidTr="005F487D">
              <w:trPr>
                <w:trHeight w:val="88"/>
                <w:jc w:val="center"/>
              </w:trPr>
              <w:tc>
                <w:tcPr>
                  <w:tcW w:w="8504" w:type="dxa"/>
                  <w:tcBorders>
                    <w:top w:val="nil"/>
                    <w:bottom w:val="nil"/>
                  </w:tcBorders>
                </w:tcPr>
                <w:p w14:paraId="7AA738BB" w14:textId="3FEB2EDF" w:rsidR="005F487D" w:rsidRDefault="00195E9E" w:rsidP="004235A4">
                  <w:pPr>
                    <w:pStyle w:val="Figure"/>
                    <w:spacing w:before="60" w:after="60"/>
                    <w:rPr>
                      <w:noProof/>
                    </w:rPr>
                  </w:pPr>
                  <w:r>
                    <w:rPr>
                      <w:noProof/>
                    </w:rPr>
                    <w:drawing>
                      <wp:inline distT="0" distB="0" distL="0" distR="0" wp14:anchorId="02ADC660" wp14:editId="600AEC90">
                        <wp:extent cx="5210175" cy="2000250"/>
                        <wp:effectExtent l="0" t="0" r="9525" b="0"/>
                        <wp:docPr id="13" name="Picture 13" descr="This figure shows the expected effect of housing assistance on employment — in terms of percentage points — for recipients of different ISP types and residents of different states. These expected effects are derived from the fixed effects logit model, and take into account both observed and unobserved characteristics of ISP recipients. Unlike previous figures, the expected effect is relatively small for all housing assistance types across ISP types and states.&#10;" title="Figure 9: Expected effect of housing assistance on employment by ISP type and state, 2005–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210175" cy="2000250"/>
                                </a:xfrm>
                                <a:prstGeom prst="rect">
                                  <a:avLst/>
                                </a:prstGeom>
                                <a:noFill/>
                                <a:ln>
                                  <a:noFill/>
                                </a:ln>
                              </pic:spPr>
                            </pic:pic>
                          </a:graphicData>
                        </a:graphic>
                      </wp:inline>
                    </w:drawing>
                  </w:r>
                </w:p>
              </w:tc>
            </w:tr>
            <w:tr w:rsidR="005F487D" w14:paraId="14447F81" w14:textId="77777777" w:rsidTr="005F487D">
              <w:trPr>
                <w:trHeight w:val="88"/>
                <w:jc w:val="center"/>
              </w:trPr>
              <w:tc>
                <w:tcPr>
                  <w:tcW w:w="8504" w:type="dxa"/>
                  <w:tcBorders>
                    <w:top w:val="nil"/>
                    <w:bottom w:val="nil"/>
                  </w:tcBorders>
                </w:tcPr>
                <w:p w14:paraId="17D9A966" w14:textId="77777777" w:rsidR="005F487D" w:rsidRPr="005F487D" w:rsidRDefault="005F487D" w:rsidP="005F487D">
                  <w:pPr>
                    <w:pStyle w:val="TableColumnHeading"/>
                    <w:jc w:val="center"/>
                    <w:rPr>
                      <w:b/>
                      <w:i w:val="0"/>
                      <w:noProof/>
                    </w:rPr>
                  </w:pPr>
                  <w:r w:rsidRPr="005F487D">
                    <w:rPr>
                      <w:b/>
                      <w:i w:val="0"/>
                      <w:noProof/>
                    </w:rPr>
                    <w:t>State</w:t>
                  </w:r>
                </w:p>
              </w:tc>
            </w:tr>
            <w:tr w:rsidR="005F487D" w14:paraId="7603FCEB" w14:textId="77777777" w:rsidTr="005F487D">
              <w:trPr>
                <w:trHeight w:val="88"/>
                <w:jc w:val="center"/>
              </w:trPr>
              <w:tc>
                <w:tcPr>
                  <w:tcW w:w="8504" w:type="dxa"/>
                  <w:tcBorders>
                    <w:top w:val="nil"/>
                    <w:bottom w:val="nil"/>
                  </w:tcBorders>
                </w:tcPr>
                <w:p w14:paraId="22DC3C5A" w14:textId="79CD03CD" w:rsidR="005F487D" w:rsidRDefault="00195E9E" w:rsidP="004235A4">
                  <w:pPr>
                    <w:pStyle w:val="Figure"/>
                    <w:spacing w:before="60" w:after="60"/>
                    <w:rPr>
                      <w:noProof/>
                    </w:rPr>
                  </w:pPr>
                  <w:r>
                    <w:rPr>
                      <w:noProof/>
                    </w:rPr>
                    <w:drawing>
                      <wp:inline distT="0" distB="0" distL="0" distR="0" wp14:anchorId="38ABE103" wp14:editId="12AEEA48">
                        <wp:extent cx="5210175" cy="2152650"/>
                        <wp:effectExtent l="0" t="0" r="9525" b="0"/>
                        <wp:docPr id="14" name="Picture 14" descr="This is the second panel for figure 9, and is discussed above." title="Figure 9, panel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210175" cy="2152650"/>
                                </a:xfrm>
                                <a:prstGeom prst="rect">
                                  <a:avLst/>
                                </a:prstGeom>
                                <a:noFill/>
                                <a:ln>
                                  <a:noFill/>
                                </a:ln>
                              </pic:spPr>
                            </pic:pic>
                          </a:graphicData>
                        </a:graphic>
                      </wp:inline>
                    </w:drawing>
                  </w:r>
                </w:p>
              </w:tc>
            </w:tr>
          </w:tbl>
          <w:p w14:paraId="120AB45E" w14:textId="77777777" w:rsidR="00571749" w:rsidRDefault="00571749" w:rsidP="004235A4">
            <w:pPr>
              <w:pStyle w:val="Figure"/>
            </w:pPr>
          </w:p>
        </w:tc>
      </w:tr>
      <w:tr w:rsidR="00571749" w:rsidRPr="00176D3F" w14:paraId="11D34C50" w14:textId="77777777" w:rsidTr="004235A4">
        <w:tc>
          <w:tcPr>
            <w:tcW w:w="8771" w:type="dxa"/>
            <w:tcBorders>
              <w:top w:val="nil"/>
              <w:left w:val="nil"/>
              <w:bottom w:val="nil"/>
              <w:right w:val="nil"/>
            </w:tcBorders>
            <w:shd w:val="clear" w:color="auto" w:fill="auto"/>
          </w:tcPr>
          <w:p w14:paraId="4A82AA7D" w14:textId="77777777" w:rsidR="00E16C67" w:rsidRPr="00E16C67" w:rsidRDefault="00571749" w:rsidP="00281B82">
            <w:pPr>
              <w:pStyle w:val="Note"/>
            </w:pPr>
            <w:r>
              <w:rPr>
                <w:rStyle w:val="NoteLabel"/>
              </w:rPr>
              <w:t>a</w:t>
            </w:r>
            <w:r>
              <w:t xml:space="preserve"> The employment effect of housing assistance is calculated using odds ratios from a fixed effects logit model that includes interaction terms between housing assistance type and ISP, and takes into account </w:t>
            </w:r>
            <w:r w:rsidR="005F487D">
              <w:t>unobserved characteristics of ISP recipients</w:t>
            </w:r>
            <w:r>
              <w:t>. As the odds ratio is a relative measure, the expected effect</w:t>
            </w:r>
            <w:r w:rsidR="00281B82">
              <w:t>s</w:t>
            </w:r>
            <w:r>
              <w:t xml:space="preserve"> </w:t>
            </w:r>
            <w:r w:rsidR="00281B82">
              <w:t xml:space="preserve">are </w:t>
            </w:r>
            <w:r>
              <w:t xml:space="preserve">calculated on the basis that 12.2 per cent of Carers Payment recipients who do not receive any housing assistance </w:t>
            </w:r>
            <w:r w:rsidR="00281B82">
              <w:t>and that 18.3 per cent of ISP recipients in NSW who do not receive any housing assistance are employed.</w:t>
            </w:r>
            <w:r w:rsidR="00E16C67">
              <w:t xml:space="preserve"> </w:t>
            </w:r>
            <w:r w:rsidR="00E16C67">
              <w:rPr>
                <w:rStyle w:val="NoteLabel"/>
              </w:rPr>
              <w:t>b </w:t>
            </w:r>
            <w:r w:rsidR="00E16C67">
              <w:t>Other payments include a range of less common ISPs, including Bereavement Allowance, Wife’s Pension, Wife’s Disability Support Pension, Austudy, Partner Allowance, Sickness Allowance, Special Benefits, Widow Allowance and Abstudy.</w:t>
            </w:r>
          </w:p>
        </w:tc>
      </w:tr>
      <w:tr w:rsidR="00571749" w:rsidRPr="00176D3F" w14:paraId="50C5EA16" w14:textId="77777777" w:rsidTr="004235A4">
        <w:tc>
          <w:tcPr>
            <w:tcW w:w="8771" w:type="dxa"/>
            <w:tcBorders>
              <w:top w:val="nil"/>
              <w:left w:val="nil"/>
              <w:bottom w:val="nil"/>
              <w:right w:val="nil"/>
            </w:tcBorders>
            <w:shd w:val="clear" w:color="auto" w:fill="auto"/>
          </w:tcPr>
          <w:p w14:paraId="722356CD" w14:textId="77777777" w:rsidR="00571749" w:rsidRPr="00176D3F" w:rsidRDefault="00F858B3" w:rsidP="004235A4">
            <w:pPr>
              <w:pStyle w:val="Source"/>
            </w:pPr>
            <w:r>
              <w:rPr>
                <w:i/>
              </w:rPr>
              <w:t>S</w:t>
            </w:r>
            <w:r w:rsidR="00571749" w:rsidRPr="00784A05">
              <w:rPr>
                <w:i/>
              </w:rPr>
              <w:t>ource</w:t>
            </w:r>
            <w:r w:rsidR="00571749" w:rsidRPr="00176D3F">
              <w:t xml:space="preserve">: </w:t>
            </w:r>
            <w:r w:rsidR="005F4C6C">
              <w:t xml:space="preserve">Author </w:t>
            </w:r>
            <w:r w:rsidR="00571749">
              <w:t>estimates, Research and Evaluation Database.</w:t>
            </w:r>
          </w:p>
        </w:tc>
      </w:tr>
      <w:tr w:rsidR="00571749" w14:paraId="764155F1" w14:textId="77777777" w:rsidTr="004235A4">
        <w:tc>
          <w:tcPr>
            <w:tcW w:w="8771" w:type="dxa"/>
            <w:tcBorders>
              <w:top w:val="nil"/>
              <w:left w:val="nil"/>
              <w:bottom w:val="single" w:sz="6" w:space="0" w:color="78A22F"/>
              <w:right w:val="nil"/>
            </w:tcBorders>
            <w:shd w:val="clear" w:color="auto" w:fill="auto"/>
          </w:tcPr>
          <w:p w14:paraId="53B23252" w14:textId="77777777" w:rsidR="00571749" w:rsidRDefault="00571749" w:rsidP="004235A4">
            <w:pPr>
              <w:pStyle w:val="Figurespace"/>
            </w:pPr>
          </w:p>
        </w:tc>
      </w:tr>
      <w:tr w:rsidR="00571749" w:rsidRPr="000863A5" w14:paraId="46114739" w14:textId="77777777" w:rsidTr="004235A4">
        <w:tc>
          <w:tcPr>
            <w:tcW w:w="8771" w:type="dxa"/>
            <w:tcBorders>
              <w:top w:val="single" w:sz="6" w:space="0" w:color="78A22F"/>
              <w:left w:val="nil"/>
              <w:bottom w:val="nil"/>
              <w:right w:val="nil"/>
            </w:tcBorders>
          </w:tcPr>
          <w:p w14:paraId="438AFCCE" w14:textId="7E537B85" w:rsidR="00571749" w:rsidRPr="00626D32" w:rsidRDefault="00571749" w:rsidP="004235A4">
            <w:pPr>
              <w:pStyle w:val="BoxSpaceBelow"/>
            </w:pPr>
          </w:p>
        </w:tc>
      </w:tr>
    </w:tbl>
    <w:p w14:paraId="1FE62E20" w14:textId="63B6920E" w:rsidR="00571749" w:rsidRDefault="00571749" w:rsidP="00571749">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71749" w14:paraId="4C8B957B" w14:textId="77777777" w:rsidTr="004235A4">
        <w:tc>
          <w:tcPr>
            <w:tcW w:w="8771" w:type="dxa"/>
            <w:tcBorders>
              <w:top w:val="single" w:sz="6" w:space="0" w:color="78A22F"/>
              <w:left w:val="nil"/>
              <w:bottom w:val="nil"/>
              <w:right w:val="nil"/>
            </w:tcBorders>
            <w:shd w:val="clear" w:color="auto" w:fill="auto"/>
          </w:tcPr>
          <w:p w14:paraId="5C8441FD" w14:textId="1E9AABA9" w:rsidR="00571749" w:rsidRDefault="00571749" w:rsidP="004235A4">
            <w:pPr>
              <w:pStyle w:val="FigureTitle"/>
            </w:pPr>
            <w:r w:rsidRPr="00784A05">
              <w:rPr>
                <w:b w:val="0"/>
              </w:rPr>
              <w:t xml:space="preserve">Figure </w:t>
            </w:r>
            <w:bookmarkStart w:id="17" w:name="OLE_LINK16"/>
            <w:r w:rsidR="00D8076D">
              <w:rPr>
                <w:b w:val="0"/>
                <w:noProof/>
              </w:rPr>
              <w:t>10</w:t>
            </w:r>
            <w:bookmarkEnd w:id="17"/>
            <w:r>
              <w:tab/>
              <w:t xml:space="preserve">Expected employment effect of </w:t>
            </w:r>
            <w:r w:rsidR="00D9374D">
              <w:t xml:space="preserve">receipt of CRA, relative to </w:t>
            </w:r>
            <w:r>
              <w:t>public housing by ISP type</w:t>
            </w:r>
            <w:r w:rsidR="00FA53B8">
              <w:rPr>
                <w:rStyle w:val="NoteLabel"/>
              </w:rPr>
              <w:t xml:space="preserve">, </w:t>
            </w:r>
            <w:r w:rsidR="00FA53B8">
              <w:t>2005–2013</w:t>
            </w:r>
            <w:r w:rsidRPr="006E01A5">
              <w:rPr>
                <w:rStyle w:val="NoteLabel"/>
                <w:b/>
              </w:rPr>
              <w:t>a</w:t>
            </w:r>
            <w:r w:rsidR="00E16C67">
              <w:rPr>
                <w:rStyle w:val="NoteLabel"/>
                <w:b/>
              </w:rPr>
              <w:t>,b</w:t>
            </w:r>
          </w:p>
          <w:p w14:paraId="58E461DF" w14:textId="77777777" w:rsidR="00571749" w:rsidRPr="00176D3F" w:rsidRDefault="00571749" w:rsidP="004235A4">
            <w:pPr>
              <w:pStyle w:val="Subtitle"/>
            </w:pPr>
            <w:r>
              <w:t>Percentage point difference</w:t>
            </w:r>
          </w:p>
        </w:tc>
      </w:tr>
      <w:tr w:rsidR="00571749" w14:paraId="20547281" w14:textId="77777777" w:rsidTr="004235A4">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571749" w14:paraId="6DF1D264" w14:textId="77777777" w:rsidTr="004235A4">
              <w:trPr>
                <w:jc w:val="center"/>
              </w:trPr>
              <w:tc>
                <w:tcPr>
                  <w:tcW w:w="8504" w:type="dxa"/>
                  <w:tcBorders>
                    <w:top w:val="nil"/>
                    <w:bottom w:val="nil"/>
                  </w:tcBorders>
                </w:tcPr>
                <w:p w14:paraId="21F277FC" w14:textId="2E856349" w:rsidR="00571749" w:rsidRDefault="00571749" w:rsidP="004235A4">
                  <w:pPr>
                    <w:pStyle w:val="Figure"/>
                    <w:spacing w:before="60" w:after="60"/>
                  </w:pPr>
                  <w:r>
                    <w:rPr>
                      <w:noProof/>
                    </w:rPr>
                    <w:t xml:space="preserve"> </w:t>
                  </w:r>
                  <w:r w:rsidR="00042C24">
                    <w:rPr>
                      <w:noProof/>
                    </w:rPr>
                    <w:drawing>
                      <wp:inline distT="0" distB="0" distL="0" distR="0" wp14:anchorId="620F99D7" wp14:editId="18141916">
                        <wp:extent cx="5210175" cy="2152650"/>
                        <wp:effectExtent l="0" t="0" r="9525" b="0"/>
                        <wp:docPr id="15" name="Picture 15" descr="This figure shows the expected effect on employment — in percentage points — of receiving CRA, relative to the expected effect of public housing residency. These expected effects are derived from the fixed effects logit model, and take into account both observed and unobserved characteristics of ISP recipients. The figure shows that the expected effect is relatively small, irrespective of what ISP an individual receives. &#10;" title="Figure 10: Expected employment effect of receipt of CRA, relative to public housing by ISP type, 2005–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210175" cy="2152650"/>
                                </a:xfrm>
                                <a:prstGeom prst="rect">
                                  <a:avLst/>
                                </a:prstGeom>
                                <a:noFill/>
                                <a:ln>
                                  <a:noFill/>
                                </a:ln>
                              </pic:spPr>
                            </pic:pic>
                          </a:graphicData>
                        </a:graphic>
                      </wp:inline>
                    </w:drawing>
                  </w:r>
                </w:p>
              </w:tc>
            </w:tr>
          </w:tbl>
          <w:p w14:paraId="712129FB" w14:textId="77777777" w:rsidR="00571749" w:rsidRDefault="00571749" w:rsidP="004235A4">
            <w:pPr>
              <w:pStyle w:val="Figure"/>
            </w:pPr>
          </w:p>
        </w:tc>
      </w:tr>
      <w:tr w:rsidR="00571749" w:rsidRPr="00176D3F" w14:paraId="010232A9" w14:textId="77777777" w:rsidTr="004235A4">
        <w:tc>
          <w:tcPr>
            <w:tcW w:w="8771" w:type="dxa"/>
            <w:tcBorders>
              <w:top w:val="nil"/>
              <w:left w:val="nil"/>
              <w:bottom w:val="nil"/>
              <w:right w:val="nil"/>
            </w:tcBorders>
            <w:shd w:val="clear" w:color="auto" w:fill="auto"/>
          </w:tcPr>
          <w:p w14:paraId="62B97D20" w14:textId="77777777" w:rsidR="00571749" w:rsidRPr="00176D3F" w:rsidRDefault="00571749" w:rsidP="004235A4">
            <w:pPr>
              <w:pStyle w:val="Note"/>
            </w:pPr>
            <w:r>
              <w:rPr>
                <w:rStyle w:val="NoteLabel"/>
              </w:rPr>
              <w:t>a</w:t>
            </w:r>
            <w:r>
              <w:t xml:space="preserve"> The employment effect of housing assistance is calculated using odds ratios from a fixed effects logit model that includes interaction terms between housing assistance type and ISP, and takes into account </w:t>
            </w:r>
            <w:r w:rsidR="005F487D">
              <w:t>unobserved characteristics of ISP recipients</w:t>
            </w:r>
            <w:r>
              <w:t>. As the odds ratio effect is a relative measure, the expected effect is calculated on the basis that 12.2 per cent of Carers Payment recipients who do not receive any housing assistance are employed.</w:t>
            </w:r>
            <w:r w:rsidR="00E16C67">
              <w:rPr>
                <w:rStyle w:val="NoteLabel"/>
              </w:rPr>
              <w:t xml:space="preserve"> b </w:t>
            </w:r>
            <w:r w:rsidR="00E16C67">
              <w:t>Other payments include a range of less common ISPs, including Bereavement Allowance, Wife’s Pension, Wife’s Disability Support Pension, Austudy, Partner Allowance, Sickness Allowance, Special Benefits, Widow Allowance and Abstudy.</w:t>
            </w:r>
          </w:p>
        </w:tc>
      </w:tr>
      <w:tr w:rsidR="00571749" w:rsidRPr="00176D3F" w14:paraId="51C28C80" w14:textId="77777777" w:rsidTr="004235A4">
        <w:tc>
          <w:tcPr>
            <w:tcW w:w="8771" w:type="dxa"/>
            <w:tcBorders>
              <w:top w:val="nil"/>
              <w:left w:val="nil"/>
              <w:bottom w:val="nil"/>
              <w:right w:val="nil"/>
            </w:tcBorders>
            <w:shd w:val="clear" w:color="auto" w:fill="auto"/>
          </w:tcPr>
          <w:p w14:paraId="4C5E1E70" w14:textId="77777777" w:rsidR="00571749" w:rsidRPr="00176D3F" w:rsidRDefault="00F858B3" w:rsidP="004235A4">
            <w:pPr>
              <w:pStyle w:val="Source"/>
            </w:pPr>
            <w:r>
              <w:rPr>
                <w:i/>
              </w:rPr>
              <w:t>S</w:t>
            </w:r>
            <w:r w:rsidR="00571749" w:rsidRPr="00784A05">
              <w:rPr>
                <w:i/>
              </w:rPr>
              <w:t>ource</w:t>
            </w:r>
            <w:r w:rsidR="00571749" w:rsidRPr="00176D3F">
              <w:t xml:space="preserve">: </w:t>
            </w:r>
            <w:r w:rsidR="005F4C6C">
              <w:t xml:space="preserve">Author </w:t>
            </w:r>
            <w:r w:rsidR="00571749">
              <w:t>estimates, Research and Evaluation Database.</w:t>
            </w:r>
          </w:p>
        </w:tc>
      </w:tr>
      <w:tr w:rsidR="00571749" w14:paraId="7C622249" w14:textId="77777777" w:rsidTr="004235A4">
        <w:tc>
          <w:tcPr>
            <w:tcW w:w="8771" w:type="dxa"/>
            <w:tcBorders>
              <w:top w:val="nil"/>
              <w:left w:val="nil"/>
              <w:bottom w:val="single" w:sz="6" w:space="0" w:color="78A22F"/>
              <w:right w:val="nil"/>
            </w:tcBorders>
            <w:shd w:val="clear" w:color="auto" w:fill="auto"/>
          </w:tcPr>
          <w:p w14:paraId="2F94D953" w14:textId="77777777" w:rsidR="00571749" w:rsidRDefault="00571749" w:rsidP="004235A4">
            <w:pPr>
              <w:pStyle w:val="Figurespace"/>
            </w:pPr>
          </w:p>
        </w:tc>
      </w:tr>
      <w:tr w:rsidR="00571749" w:rsidRPr="000863A5" w14:paraId="795C9BA4" w14:textId="77777777" w:rsidTr="004235A4">
        <w:tc>
          <w:tcPr>
            <w:tcW w:w="8771" w:type="dxa"/>
            <w:tcBorders>
              <w:top w:val="single" w:sz="6" w:space="0" w:color="78A22F"/>
              <w:left w:val="nil"/>
              <w:bottom w:val="nil"/>
              <w:right w:val="nil"/>
            </w:tcBorders>
          </w:tcPr>
          <w:p w14:paraId="5BCA4241" w14:textId="6E0DFCC6" w:rsidR="00571749" w:rsidRPr="00626D32" w:rsidRDefault="00571749" w:rsidP="004235A4">
            <w:pPr>
              <w:pStyle w:val="BoxSpaceBelow"/>
            </w:pPr>
          </w:p>
        </w:tc>
      </w:tr>
    </w:tbl>
    <w:p w14:paraId="70CBCF39" w14:textId="77777777" w:rsidR="002A2B46" w:rsidRDefault="002A2B46" w:rsidP="00CB635D">
      <w:pPr>
        <w:pStyle w:val="Heading4"/>
      </w:pPr>
      <w:r>
        <w:t xml:space="preserve">Stability of residence </w:t>
      </w:r>
    </w:p>
    <w:p w14:paraId="55D9A63B" w14:textId="77777777" w:rsidR="00946B18" w:rsidRDefault="005910B9" w:rsidP="00CB635D">
      <w:pPr>
        <w:pStyle w:val="BodyText"/>
      </w:pPr>
      <w:r>
        <w:t>T</w:t>
      </w:r>
      <w:r w:rsidRPr="00DE611F">
        <w:t>he stability afforded by secure</w:t>
      </w:r>
      <w:r>
        <w:t>,</w:t>
      </w:r>
      <w:r w:rsidRPr="00DE611F">
        <w:t xml:space="preserve"> ongoing public tenancies may </w:t>
      </w:r>
      <w:r>
        <w:t xml:space="preserve">provide public housing residents with better opportunities to find and maintain employment than would otherwise be the case. </w:t>
      </w:r>
      <w:r w:rsidR="00EE637B">
        <w:t>In the results presented in this paper, s</w:t>
      </w:r>
      <w:r w:rsidR="00946B18">
        <w:t xml:space="preserve">tability of residence is indicated by the number of times an individual has moved </w:t>
      </w:r>
      <w:r w:rsidR="007F5190">
        <w:t xml:space="preserve">postcode </w:t>
      </w:r>
      <w:r w:rsidR="00946B18">
        <w:t xml:space="preserve">in the preceding 12 months. </w:t>
      </w:r>
    </w:p>
    <w:p w14:paraId="19CB0E43" w14:textId="481FF982" w:rsidR="002A2B46" w:rsidRDefault="006723CB" w:rsidP="00CB635D">
      <w:pPr>
        <w:pStyle w:val="BodyText"/>
      </w:pPr>
      <w:r>
        <w:t>T</w:t>
      </w:r>
      <w:r w:rsidR="005910B9">
        <w:t xml:space="preserve">he fixed effects estimates provided evidence that stability is positively </w:t>
      </w:r>
      <w:r w:rsidR="00946B18">
        <w:t xml:space="preserve">related to employment. </w:t>
      </w:r>
      <w:r>
        <w:t>Even a single move seems to be associated with sufficient disruption to reduce the probability of employment (figure</w:t>
      </w:r>
      <w:r w:rsidR="00056061">
        <w:t> </w:t>
      </w:r>
      <w:r w:rsidR="009808CE">
        <w:t>11</w:t>
      </w:r>
      <w:r>
        <w:t>). Beyond that, p</w:t>
      </w:r>
      <w:r w:rsidR="005910B9">
        <w:t xml:space="preserve">eople who had relocated twice in the previous year </w:t>
      </w:r>
      <w:r w:rsidR="00946B18">
        <w:t>were 4.6</w:t>
      </w:r>
      <w:r w:rsidR="002A2B46" w:rsidRPr="00983700">
        <w:t xml:space="preserve"> percentage points less likely to be employed than ISP recipients who had not moved in that time, and those </w:t>
      </w:r>
      <w:r w:rsidR="00EE637B">
        <w:t>who</w:t>
      </w:r>
      <w:r w:rsidR="00EE637B" w:rsidRPr="00983700">
        <w:t xml:space="preserve"> </w:t>
      </w:r>
      <w:r w:rsidR="002A2B46" w:rsidRPr="00983700">
        <w:t>had</w:t>
      </w:r>
      <w:r w:rsidR="002A2B46">
        <w:t xml:space="preserve"> </w:t>
      </w:r>
      <w:r w:rsidR="002A2B46" w:rsidRPr="00983700">
        <w:t xml:space="preserve">moved </w:t>
      </w:r>
      <w:r w:rsidR="00D64B4F">
        <w:t>three</w:t>
      </w:r>
      <w:r w:rsidR="00D64B4F" w:rsidRPr="00983700">
        <w:t xml:space="preserve"> </w:t>
      </w:r>
      <w:r w:rsidR="002A2B46" w:rsidRPr="00983700">
        <w:t xml:space="preserve">or more times were </w:t>
      </w:r>
      <w:r w:rsidR="00946B18">
        <w:t>6.4</w:t>
      </w:r>
      <w:r w:rsidR="002A2B46" w:rsidRPr="00983700">
        <w:t xml:space="preserve"> percentage poi</w:t>
      </w:r>
      <w:r w:rsidR="005910B9">
        <w:t>nts less likely to be employed.</w:t>
      </w:r>
    </w:p>
    <w:p w14:paraId="1DEED83D" w14:textId="29A72208" w:rsidR="005910B9" w:rsidRDefault="005910B9" w:rsidP="008F505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910B9" w14:paraId="252C22A6" w14:textId="77777777" w:rsidTr="008F5056">
        <w:tc>
          <w:tcPr>
            <w:tcW w:w="8771" w:type="dxa"/>
            <w:tcBorders>
              <w:top w:val="single" w:sz="6" w:space="0" w:color="78A22F"/>
              <w:left w:val="nil"/>
              <w:bottom w:val="nil"/>
              <w:right w:val="nil"/>
            </w:tcBorders>
            <w:shd w:val="clear" w:color="auto" w:fill="auto"/>
          </w:tcPr>
          <w:p w14:paraId="6EEA62F7" w14:textId="066232DE" w:rsidR="005910B9" w:rsidRDefault="005910B9" w:rsidP="008F5056">
            <w:pPr>
              <w:pStyle w:val="FigureTitle"/>
            </w:pPr>
            <w:r w:rsidRPr="00784A05">
              <w:rPr>
                <w:b w:val="0"/>
              </w:rPr>
              <w:t xml:space="preserve">Figure </w:t>
            </w:r>
            <w:bookmarkStart w:id="18" w:name="OLE_LINK20"/>
            <w:r w:rsidR="00D8076D">
              <w:rPr>
                <w:b w:val="0"/>
                <w:noProof/>
              </w:rPr>
              <w:t>11</w:t>
            </w:r>
            <w:bookmarkEnd w:id="18"/>
            <w:r>
              <w:tab/>
            </w:r>
            <w:r w:rsidR="00946B18">
              <w:t>Expected employment effects of moving house</w:t>
            </w:r>
          </w:p>
          <w:p w14:paraId="30E39086" w14:textId="77777777" w:rsidR="005910B9" w:rsidRPr="00176D3F" w:rsidRDefault="00946B18" w:rsidP="008F5056">
            <w:pPr>
              <w:pStyle w:val="Subtitle"/>
            </w:pPr>
            <w:r>
              <w:t>Percentage point difference</w:t>
            </w:r>
          </w:p>
        </w:tc>
      </w:tr>
      <w:tr w:rsidR="005910B9" w14:paraId="3001E704" w14:textId="77777777" w:rsidTr="008F5056">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5910B9" w14:paraId="2FA2F4F9" w14:textId="77777777" w:rsidTr="00946B18">
              <w:trPr>
                <w:jc w:val="center"/>
              </w:trPr>
              <w:tc>
                <w:tcPr>
                  <w:tcW w:w="8504" w:type="dxa"/>
                  <w:tcBorders>
                    <w:top w:val="nil"/>
                    <w:bottom w:val="nil"/>
                  </w:tcBorders>
                </w:tcPr>
                <w:p w14:paraId="2939F619" w14:textId="6C15CB74" w:rsidR="005910B9" w:rsidRDefault="00042C24" w:rsidP="008F5056">
                  <w:pPr>
                    <w:pStyle w:val="Figure"/>
                    <w:spacing w:before="60" w:after="60"/>
                  </w:pPr>
                  <w:r>
                    <w:rPr>
                      <w:noProof/>
                    </w:rPr>
                    <w:drawing>
                      <wp:inline distT="0" distB="0" distL="0" distR="0" wp14:anchorId="7700C6E6" wp14:editId="431B36F7">
                        <wp:extent cx="5210175" cy="2114550"/>
                        <wp:effectExtent l="0" t="0" r="9525" b="0"/>
                        <wp:docPr id="17" name="Picture 17" descr="This figure shows the expected effect on employment — in percentage points — of moving house. It shows that moving house once in the previous 12 months reduces expected employment probability by around 3 percentage points, moving twice is associated with a 4.6 percentage point reduction, and moving three or more times is associated with a 6.4 percentage point reduction. These expected effects are derived from the fixed effects logit model, and take into account both observed and unobserved characteristics of ISP recipients.&#10;" title="Figure 11: Expected employment effects of moving h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210175" cy="2114550"/>
                                </a:xfrm>
                                <a:prstGeom prst="rect">
                                  <a:avLst/>
                                </a:prstGeom>
                                <a:noFill/>
                                <a:ln>
                                  <a:noFill/>
                                </a:ln>
                              </pic:spPr>
                            </pic:pic>
                          </a:graphicData>
                        </a:graphic>
                      </wp:inline>
                    </w:drawing>
                  </w:r>
                </w:p>
              </w:tc>
            </w:tr>
          </w:tbl>
          <w:p w14:paraId="199CD0C5" w14:textId="77777777" w:rsidR="005910B9" w:rsidRDefault="005910B9" w:rsidP="008F5056">
            <w:pPr>
              <w:pStyle w:val="Figure"/>
            </w:pPr>
          </w:p>
        </w:tc>
      </w:tr>
      <w:tr w:rsidR="005910B9" w:rsidRPr="00176D3F" w14:paraId="5CE2F9C6" w14:textId="77777777" w:rsidTr="008F5056">
        <w:tc>
          <w:tcPr>
            <w:tcW w:w="8771" w:type="dxa"/>
            <w:tcBorders>
              <w:top w:val="nil"/>
              <w:left w:val="nil"/>
              <w:bottom w:val="nil"/>
              <w:right w:val="nil"/>
            </w:tcBorders>
            <w:shd w:val="clear" w:color="auto" w:fill="auto"/>
          </w:tcPr>
          <w:p w14:paraId="540848F0" w14:textId="77777777" w:rsidR="005910B9" w:rsidRPr="00176D3F" w:rsidRDefault="00946B18" w:rsidP="008F5056">
            <w:pPr>
              <w:pStyle w:val="Note"/>
            </w:pPr>
            <w:r>
              <w:rPr>
                <w:rStyle w:val="NoteLabel"/>
              </w:rPr>
              <w:t>a</w:t>
            </w:r>
            <w:r>
              <w:t xml:space="preserve"> The employment effect of housing assistance is calculated using odds ratios from a fixed effects logit model that includes interaction terms between housing assistance type and state, and takes into account </w:t>
            </w:r>
            <w:r w:rsidR="005F487D">
              <w:t>unobserved characteristics of ISP recipients</w:t>
            </w:r>
            <w:r>
              <w:t>. As the odds ratio is a relative measure, the expected effect is based on the fact that 20.</w:t>
            </w:r>
            <w:r w:rsidR="001035C8">
              <w:t>8 per cent of ISP recipients who did not move in the preceding year were employed.</w:t>
            </w:r>
          </w:p>
        </w:tc>
      </w:tr>
      <w:tr w:rsidR="005910B9" w:rsidRPr="00176D3F" w14:paraId="13DD6148" w14:textId="77777777" w:rsidTr="008F5056">
        <w:tc>
          <w:tcPr>
            <w:tcW w:w="8771" w:type="dxa"/>
            <w:tcBorders>
              <w:top w:val="nil"/>
              <w:left w:val="nil"/>
              <w:bottom w:val="nil"/>
              <w:right w:val="nil"/>
            </w:tcBorders>
            <w:shd w:val="clear" w:color="auto" w:fill="auto"/>
          </w:tcPr>
          <w:p w14:paraId="0A9511ED" w14:textId="77777777" w:rsidR="005910B9" w:rsidRPr="00176D3F" w:rsidRDefault="005910B9" w:rsidP="008F5056">
            <w:pPr>
              <w:pStyle w:val="Source"/>
            </w:pPr>
            <w:r>
              <w:rPr>
                <w:i/>
              </w:rPr>
              <w:t>S</w:t>
            </w:r>
            <w:r w:rsidRPr="00784A05">
              <w:rPr>
                <w:i/>
              </w:rPr>
              <w:t>ource</w:t>
            </w:r>
            <w:r w:rsidRPr="00176D3F">
              <w:t xml:space="preserve">: </w:t>
            </w:r>
            <w:r>
              <w:t>Author estimates, Research and Evaluation Database.</w:t>
            </w:r>
          </w:p>
        </w:tc>
      </w:tr>
      <w:tr w:rsidR="005910B9" w14:paraId="567BD81A" w14:textId="77777777" w:rsidTr="008F5056">
        <w:tc>
          <w:tcPr>
            <w:tcW w:w="8771" w:type="dxa"/>
            <w:tcBorders>
              <w:top w:val="nil"/>
              <w:left w:val="nil"/>
              <w:bottom w:val="single" w:sz="6" w:space="0" w:color="78A22F"/>
              <w:right w:val="nil"/>
            </w:tcBorders>
            <w:shd w:val="clear" w:color="auto" w:fill="auto"/>
          </w:tcPr>
          <w:p w14:paraId="2EE9B2C4" w14:textId="77777777" w:rsidR="005910B9" w:rsidRDefault="005910B9" w:rsidP="008F5056">
            <w:pPr>
              <w:pStyle w:val="Figurespace"/>
            </w:pPr>
          </w:p>
        </w:tc>
      </w:tr>
      <w:tr w:rsidR="005910B9" w:rsidRPr="000863A5" w14:paraId="6BC58B79" w14:textId="77777777" w:rsidTr="008F5056">
        <w:tc>
          <w:tcPr>
            <w:tcW w:w="8771" w:type="dxa"/>
            <w:tcBorders>
              <w:top w:val="single" w:sz="6" w:space="0" w:color="78A22F"/>
              <w:left w:val="nil"/>
              <w:bottom w:val="nil"/>
              <w:right w:val="nil"/>
            </w:tcBorders>
          </w:tcPr>
          <w:p w14:paraId="681E418C" w14:textId="0BD1482E" w:rsidR="005910B9" w:rsidRPr="00626D32" w:rsidRDefault="005910B9" w:rsidP="008F5056">
            <w:pPr>
              <w:pStyle w:val="BoxSpaceBelow"/>
            </w:pPr>
          </w:p>
        </w:tc>
      </w:tr>
    </w:tbl>
    <w:p w14:paraId="14848537" w14:textId="77777777" w:rsidR="00571749" w:rsidRDefault="00571749" w:rsidP="005A452C">
      <w:pPr>
        <w:pStyle w:val="Heading4"/>
      </w:pPr>
      <w:r>
        <w:t>Neighbourhood disadvantage and employment</w:t>
      </w:r>
    </w:p>
    <w:p w14:paraId="3AF743F5" w14:textId="77777777" w:rsidR="008B3166" w:rsidRDefault="008B3166" w:rsidP="00571749">
      <w:pPr>
        <w:pStyle w:val="BodyText"/>
      </w:pPr>
      <w:r>
        <w:t>The fixed effect model is used to obtain some information about the likely effects of neighbourhood disadvantage on employment.</w:t>
      </w:r>
      <w:r>
        <w:rPr>
          <w:rStyle w:val="FootnoteReference"/>
        </w:rPr>
        <w:footnoteReference w:id="24"/>
      </w:r>
      <w:r>
        <w:t xml:space="preserve"> </w:t>
      </w:r>
    </w:p>
    <w:p w14:paraId="3AF6D197" w14:textId="69ABEFF6" w:rsidR="00571749" w:rsidRPr="00436A13" w:rsidRDefault="00571749" w:rsidP="00571749">
      <w:pPr>
        <w:pStyle w:val="BodyText"/>
      </w:pPr>
      <w:r>
        <w:t xml:space="preserve">It makes intuitive sense that neighbourhood disadvantage </w:t>
      </w:r>
      <w:r w:rsidR="008B3166">
        <w:t>can be associated with</w:t>
      </w:r>
      <w:r>
        <w:t xml:space="preserve"> poor education, employment and health outcomes. Growing up and living in a poor neighbourhood may limit an individual’s opportunities to access quality services, expose them to negative socialisation and criminal behaviours, and lead to a disconnection from mainstream society and job finding networks </w:t>
      </w:r>
      <w:r w:rsidRPr="001736BC">
        <w:rPr>
          <w:szCs w:val="24"/>
        </w:rPr>
        <w:t xml:space="preserve">(Manley and </w:t>
      </w:r>
      <w:r w:rsidR="00D64B4F">
        <w:rPr>
          <w:szCs w:val="24"/>
        </w:rPr>
        <w:t>v</w:t>
      </w:r>
      <w:r w:rsidRPr="001736BC">
        <w:rPr>
          <w:szCs w:val="24"/>
        </w:rPr>
        <w:t>an Ham 2012)</w:t>
      </w:r>
      <w:r>
        <w:t xml:space="preserve">. </w:t>
      </w:r>
    </w:p>
    <w:p w14:paraId="29D3618D" w14:textId="77777777" w:rsidR="00571749" w:rsidRDefault="00571749" w:rsidP="00571749">
      <w:pPr>
        <w:pStyle w:val="BodyText"/>
      </w:pPr>
      <w:r>
        <w:t>However, it is difficult to demonstrate a causal link between neighbourhood disadvantage and poor employment and educational outcomes:</w:t>
      </w:r>
    </w:p>
    <w:p w14:paraId="2D5233F1" w14:textId="2E627D0C" w:rsidR="00571749" w:rsidRDefault="00571749" w:rsidP="00571749">
      <w:pPr>
        <w:pStyle w:val="Quote"/>
      </w:pPr>
      <w:r>
        <w:t xml:space="preserve">There is no doubt that neighbourhood poverty and individual disadvantage are strongly correlated, but it is much less certain that there is a causal relationship between the two. </w:t>
      </w:r>
      <w:r w:rsidRPr="001736BC">
        <w:rPr>
          <w:szCs w:val="24"/>
        </w:rPr>
        <w:t xml:space="preserve">(Manley and </w:t>
      </w:r>
      <w:r w:rsidR="00D64B4F">
        <w:rPr>
          <w:szCs w:val="24"/>
        </w:rPr>
        <w:t>v</w:t>
      </w:r>
      <w:r w:rsidRPr="001736BC">
        <w:rPr>
          <w:szCs w:val="24"/>
        </w:rPr>
        <w:t>an Ham 2012, p. 148)</w:t>
      </w:r>
    </w:p>
    <w:p w14:paraId="459F7699" w14:textId="77777777" w:rsidR="00571749" w:rsidRDefault="00571749" w:rsidP="00571749">
      <w:pPr>
        <w:pStyle w:val="BodyText"/>
      </w:pPr>
      <w:r>
        <w:t>In particular, demonstrating a causal link between neigh</w:t>
      </w:r>
      <w:r w:rsidR="009C6017">
        <w:t>b</w:t>
      </w:r>
      <w:r>
        <w:t xml:space="preserve">ourhood disadvantage and individual employment </w:t>
      </w:r>
      <w:r w:rsidR="00D00EFE">
        <w:t xml:space="preserve">status </w:t>
      </w:r>
      <w:r>
        <w:t>is hampered by the problem of selection bias — the neighbourhood in which an individual lives is unlikely to be independent from their employment prospects. That is</w:t>
      </w:r>
      <w:r w:rsidR="009C6017">
        <w:t>,</w:t>
      </w:r>
      <w:r>
        <w:t xml:space="preserve"> people with a lower probability of employment may be more likely to live in neighbourhoods with lower housing costs and greater disadvantage. </w:t>
      </w:r>
      <w:r w:rsidRPr="00436A13">
        <w:t xml:space="preserve">The relationship between neighbourhood disadvantage and employment may, therefore, not be </w:t>
      </w:r>
      <w:r w:rsidR="00E50062">
        <w:t>causal</w:t>
      </w:r>
      <w:r w:rsidRPr="00436A13">
        <w:t>, but simply reflect people’s limited choices when choosing a neighbourhood in which to live.</w:t>
      </w:r>
    </w:p>
    <w:p w14:paraId="1195A174" w14:textId="703351CE" w:rsidR="00571749" w:rsidRDefault="00C7682E" w:rsidP="00571749">
      <w:pPr>
        <w:pStyle w:val="BodyText"/>
      </w:pPr>
      <w:r>
        <w:t>That said</w:t>
      </w:r>
      <w:r w:rsidR="00571749">
        <w:t xml:space="preserve">, the process by which people end up living in different neighbourhoods allows insight into the </w:t>
      </w:r>
      <w:r w:rsidR="008B3166">
        <w:t xml:space="preserve">possible </w:t>
      </w:r>
      <w:r w:rsidR="00571749">
        <w:t>effect</w:t>
      </w:r>
      <w:r w:rsidR="008B3166">
        <w:t>s</w:t>
      </w:r>
      <w:r w:rsidR="00571749">
        <w:t xml:space="preserve"> of neighbourhood disadvantage on employment </w:t>
      </w:r>
      <w:r w:rsidR="00571749" w:rsidRPr="00387A63">
        <w:rPr>
          <w:szCs w:val="24"/>
        </w:rPr>
        <w:t>(Hedman and van Ham 2012)</w:t>
      </w:r>
      <w:r w:rsidR="00571749">
        <w:t xml:space="preserve">. Private renters who receive CRA have some ability to choose the neighbourhood in which they live — subject to budgetary constraints and the availability of affordable housing. In contrast, public housing residents have </w:t>
      </w:r>
      <w:r w:rsidR="00195962">
        <w:t>little</w:t>
      </w:r>
      <w:r w:rsidR="00A67B7C">
        <w:t>, if any,</w:t>
      </w:r>
      <w:r w:rsidR="00571749">
        <w:t xml:space="preserve"> choice over </w:t>
      </w:r>
      <w:r w:rsidR="00195962">
        <w:t xml:space="preserve">where </w:t>
      </w:r>
      <w:r w:rsidR="00571749">
        <w:t xml:space="preserve">they live — they are </w:t>
      </w:r>
      <w:r w:rsidR="00571749" w:rsidRPr="00E41D8D">
        <w:rPr>
          <w:i/>
        </w:rPr>
        <w:t>assigned</w:t>
      </w:r>
      <w:r w:rsidR="00571749">
        <w:t xml:space="preserve"> housing by the respective State Housing Authorities.</w:t>
      </w:r>
    </w:p>
    <w:p w14:paraId="345F98C3" w14:textId="4CC22799" w:rsidR="00571749" w:rsidRDefault="00571749" w:rsidP="00571749">
      <w:pPr>
        <w:pStyle w:val="BodyText"/>
      </w:pPr>
      <w:r>
        <w:t>The limited ability of public housing residents to choose their neighbourhood minimises the problem of selection bias in estimating neighbourhood effects among that sub</w:t>
      </w:r>
      <w:r w:rsidR="00F858B3">
        <w:noBreakHyphen/>
      </w:r>
      <w:r>
        <w:t xml:space="preserve">population </w:t>
      </w:r>
      <w:r w:rsidRPr="00E2731A">
        <w:rPr>
          <w:szCs w:val="24"/>
        </w:rPr>
        <w:t xml:space="preserve">(Manley and </w:t>
      </w:r>
      <w:r w:rsidR="00D64B4F">
        <w:rPr>
          <w:szCs w:val="24"/>
        </w:rPr>
        <w:t>v</w:t>
      </w:r>
      <w:r w:rsidRPr="00E2731A">
        <w:rPr>
          <w:szCs w:val="24"/>
        </w:rPr>
        <w:t>an Ham 2012)</w:t>
      </w:r>
      <w:r>
        <w:t xml:space="preserve">. </w:t>
      </w:r>
    </w:p>
    <w:p w14:paraId="52743E77" w14:textId="486DC447" w:rsidR="001F59BE" w:rsidRDefault="00907E5F" w:rsidP="00907E5F">
      <w:pPr>
        <w:pStyle w:val="BodyText"/>
      </w:pPr>
      <w:r>
        <w:t xml:space="preserve">In order to gauge the relationship between neighbourhood disadvantage and employment, the employment model was run for </w:t>
      </w:r>
      <w:r w:rsidR="00571749">
        <w:t xml:space="preserve">public housing residents </w:t>
      </w:r>
      <w:r w:rsidR="001F59BE">
        <w:t>only</w:t>
      </w:r>
      <w:r>
        <w:t>.</w:t>
      </w:r>
      <w:r w:rsidR="001F59BE">
        <w:t xml:space="preserve"> </w:t>
      </w:r>
      <w:r w:rsidR="00195962">
        <w:t xml:space="preserve">The results </w:t>
      </w:r>
      <w:r w:rsidR="00571749">
        <w:t xml:space="preserve">provide some indication that </w:t>
      </w:r>
      <w:r w:rsidR="00571749" w:rsidRPr="00436A13">
        <w:t>living in a highly disadvantaged area is associated with lower levels of employment, but th</w:t>
      </w:r>
      <w:r w:rsidR="00571749">
        <w:t xml:space="preserve">is effect is </w:t>
      </w:r>
      <w:r w:rsidR="00DC3854">
        <w:t xml:space="preserve">less important than other variables in explaining differences in employment probabilities. </w:t>
      </w:r>
      <w:r w:rsidR="009807AF">
        <w:t xml:space="preserve">The </w:t>
      </w:r>
      <w:r w:rsidR="006363C6">
        <w:t xml:space="preserve">ratio of </w:t>
      </w:r>
      <w:r w:rsidR="009807AF">
        <w:t>odds of employment among p</w:t>
      </w:r>
      <w:r w:rsidR="001F59BE">
        <w:t xml:space="preserve">ublic housing residents living in areas in the bottom </w:t>
      </w:r>
      <w:r w:rsidR="009807AF">
        <w:t xml:space="preserve">two </w:t>
      </w:r>
      <w:r w:rsidR="001F59BE">
        <w:t>quintile</w:t>
      </w:r>
      <w:r w:rsidR="009807AF">
        <w:t>s</w:t>
      </w:r>
      <w:r w:rsidR="001F59BE">
        <w:t xml:space="preserve"> of the Index of Relative Socioeconomic Disadvantage</w:t>
      </w:r>
      <w:r w:rsidR="00E1299F">
        <w:t xml:space="preserve"> to </w:t>
      </w:r>
      <w:r w:rsidR="009807AF">
        <w:t xml:space="preserve">the odds of employment of those </w:t>
      </w:r>
      <w:r w:rsidR="001F59BE">
        <w:t xml:space="preserve">living in the top three quintiles, </w:t>
      </w:r>
      <w:r w:rsidR="006363C6">
        <w:t>was 0.93</w:t>
      </w:r>
      <w:r w:rsidR="001F59BE">
        <w:t>.</w:t>
      </w:r>
      <w:r w:rsidR="00E51CCB">
        <w:rPr>
          <w:rStyle w:val="FootnoteReference"/>
        </w:rPr>
        <w:footnoteReference w:id="25"/>
      </w:r>
      <w:r w:rsidR="001F59BE">
        <w:t xml:space="preserve"> </w:t>
      </w:r>
      <w:r w:rsidR="009807AF">
        <w:t xml:space="preserve">As the employment rate of public housing residents is about 12.2 per cent over the panel as a whole, this is equivalent to </w:t>
      </w:r>
      <w:r w:rsidR="00757E22">
        <w:t xml:space="preserve">about </w:t>
      </w:r>
      <w:r w:rsidR="009807AF">
        <w:t>0.7 percentage points.</w:t>
      </w:r>
    </w:p>
    <w:p w14:paraId="508D3BF6" w14:textId="65F112BC" w:rsidR="00571749" w:rsidRDefault="00D8076D" w:rsidP="00571749">
      <w:pPr>
        <w:pStyle w:val="Heading2"/>
      </w:pPr>
      <w:r>
        <w:rPr>
          <w:noProof/>
        </w:rPr>
        <w:t>5</w:t>
      </w:r>
      <w:r w:rsidR="00571749">
        <w:tab/>
        <w:t>Conclusions</w:t>
      </w:r>
    </w:p>
    <w:p w14:paraId="55423950" w14:textId="360FA86B" w:rsidR="00160904" w:rsidRPr="00906FD0" w:rsidRDefault="00160904" w:rsidP="00160904">
      <w:pPr>
        <w:pStyle w:val="BodyText"/>
      </w:pPr>
      <w:r w:rsidRPr="00906FD0">
        <w:t xml:space="preserve">This </w:t>
      </w:r>
      <w:r>
        <w:t xml:space="preserve">background </w:t>
      </w:r>
      <w:r w:rsidRPr="00906FD0">
        <w:t xml:space="preserve">paper </w:t>
      </w:r>
      <w:r>
        <w:t>examine</w:t>
      </w:r>
      <w:r w:rsidR="0017525E">
        <w:t>d</w:t>
      </w:r>
      <w:r>
        <w:t xml:space="preserve"> whether</w:t>
      </w:r>
      <w:r w:rsidRPr="00906FD0">
        <w:t xml:space="preserve"> housing assistance </w:t>
      </w:r>
      <w:r w:rsidR="00E925A8">
        <w:t>reduces the</w:t>
      </w:r>
      <w:r w:rsidR="0017525E" w:rsidRPr="00906FD0">
        <w:t xml:space="preserve"> employment of housing assistance recipients</w:t>
      </w:r>
      <w:r w:rsidRPr="00906FD0">
        <w:t xml:space="preserve">. The hypothesis was tested using a longitudinal dataset drawn from </w:t>
      </w:r>
      <w:r w:rsidR="0017525E">
        <w:t>the Research and Evaluation Database (RED</w:t>
      </w:r>
      <w:r w:rsidR="001258ED">
        <w:t>) — </w:t>
      </w:r>
      <w:r w:rsidR="0017525E">
        <w:t xml:space="preserve">a </w:t>
      </w:r>
      <w:r w:rsidRPr="00906FD0">
        <w:t>comprehensive administrative data</w:t>
      </w:r>
      <w:r w:rsidR="0017525E">
        <w:t>base</w:t>
      </w:r>
      <w:r w:rsidRPr="00906FD0">
        <w:t xml:space="preserve"> </w:t>
      </w:r>
      <w:r w:rsidR="0017525E">
        <w:t>covering</w:t>
      </w:r>
      <w:r w:rsidRPr="00906FD0">
        <w:t xml:space="preserve"> </w:t>
      </w:r>
      <w:r w:rsidR="0017525E">
        <w:t xml:space="preserve">Australian </w:t>
      </w:r>
      <w:r w:rsidRPr="00906FD0">
        <w:t xml:space="preserve">income support recipients, </w:t>
      </w:r>
      <w:r w:rsidR="00FD3BC6">
        <w:t>many</w:t>
      </w:r>
      <w:r w:rsidR="00FD3BC6" w:rsidRPr="00906FD0">
        <w:t xml:space="preserve"> </w:t>
      </w:r>
      <w:r w:rsidRPr="00906FD0">
        <w:t xml:space="preserve">of whom </w:t>
      </w:r>
      <w:r w:rsidR="0017525E">
        <w:t>either live in public housing or receive Commonwealth Rent Assistance</w:t>
      </w:r>
      <w:r w:rsidR="00757E22">
        <w:t xml:space="preserve"> (CRA)</w:t>
      </w:r>
      <w:r w:rsidRPr="00906FD0">
        <w:t xml:space="preserve">. </w:t>
      </w:r>
      <w:r w:rsidR="0017525E">
        <w:t>Access to RED</w:t>
      </w:r>
      <w:r w:rsidRPr="00906FD0">
        <w:t xml:space="preserve"> provided a</w:t>
      </w:r>
      <w:r w:rsidR="007E719E">
        <w:t xml:space="preserve"> valuable</w:t>
      </w:r>
      <w:r w:rsidRPr="00906FD0">
        <w:t xml:space="preserve"> opportunity to advance </w:t>
      </w:r>
      <w:r w:rsidR="007E719E">
        <w:t xml:space="preserve">the available </w:t>
      </w:r>
      <w:r w:rsidRPr="00906FD0">
        <w:t xml:space="preserve">knowledge about </w:t>
      </w:r>
      <w:r w:rsidR="007E719E">
        <w:t xml:space="preserve">the </w:t>
      </w:r>
      <w:r w:rsidRPr="00906FD0">
        <w:t>employment effects of housing assistance</w:t>
      </w:r>
      <w:r>
        <w:t>.</w:t>
      </w:r>
      <w:r w:rsidRPr="00906FD0">
        <w:t xml:space="preserve"> </w:t>
      </w:r>
      <w:r>
        <w:t xml:space="preserve">Previous research had largely </w:t>
      </w:r>
      <w:r w:rsidR="007E719E">
        <w:t>relied</w:t>
      </w:r>
      <w:r>
        <w:t xml:space="preserve"> on survey data </w:t>
      </w:r>
      <w:r w:rsidRPr="00906FD0">
        <w:t xml:space="preserve">that included </w:t>
      </w:r>
      <w:r w:rsidR="00D2193B">
        <w:t xml:space="preserve">small </w:t>
      </w:r>
      <w:r w:rsidR="0017525E">
        <w:t>numbers of public housing residents</w:t>
      </w:r>
      <w:r w:rsidR="007E719E">
        <w:t xml:space="preserve"> and </w:t>
      </w:r>
      <w:r w:rsidR="0029519D">
        <w:t>imprecise identification of CRA recipients.</w:t>
      </w:r>
    </w:p>
    <w:p w14:paraId="689D8FF2" w14:textId="2C1D6BE0" w:rsidR="00160904" w:rsidRPr="00906FD0" w:rsidRDefault="00A83C82" w:rsidP="00160904">
      <w:pPr>
        <w:pStyle w:val="BodyText"/>
      </w:pPr>
      <w:r>
        <w:t xml:space="preserve">Consistent with previous </w:t>
      </w:r>
      <w:r w:rsidR="00296B36">
        <w:t xml:space="preserve">research </w:t>
      </w:r>
      <w:r w:rsidR="00296B36" w:rsidRPr="00F858B3">
        <w:t>(Groenhart and Burke 2014; Wood, Ong and Dockery 2009)</w:t>
      </w:r>
      <w:r w:rsidR="00296B36">
        <w:t>,</w:t>
      </w:r>
      <w:r w:rsidR="00160904" w:rsidRPr="00906FD0">
        <w:t xml:space="preserve"> residents of public housing </w:t>
      </w:r>
      <w:r>
        <w:t xml:space="preserve">in RED </w:t>
      </w:r>
      <w:r w:rsidR="00160904" w:rsidRPr="00906FD0">
        <w:t>have markedly lower employment rates than other ISP recipients</w:t>
      </w:r>
      <w:r w:rsidR="00772A42">
        <w:t>, even</w:t>
      </w:r>
      <w:r w:rsidR="00296B36">
        <w:t xml:space="preserve"> after observed differences </w:t>
      </w:r>
      <w:r>
        <w:t xml:space="preserve">are </w:t>
      </w:r>
      <w:r w:rsidR="00296B36">
        <w:t>taken into account</w:t>
      </w:r>
      <w:r w:rsidR="00160904">
        <w:t>.</w:t>
      </w:r>
      <w:r w:rsidR="00160904" w:rsidRPr="00906FD0">
        <w:t xml:space="preserve"> </w:t>
      </w:r>
      <w:r w:rsidR="00296B36">
        <w:t>That said, t</w:t>
      </w:r>
      <w:r w:rsidR="007019EA">
        <w:t>here</w:t>
      </w:r>
      <w:r w:rsidR="00160904" w:rsidRPr="00906FD0">
        <w:t xml:space="preserve"> </w:t>
      </w:r>
      <w:r>
        <w:t>is</w:t>
      </w:r>
      <w:r w:rsidRPr="00906FD0">
        <w:t xml:space="preserve"> </w:t>
      </w:r>
      <w:r w:rsidR="00160904" w:rsidRPr="00906FD0">
        <w:t xml:space="preserve">little difference between the employment rates of CRA recipients and ISP recipients who do not receive any housing assistance. </w:t>
      </w:r>
    </w:p>
    <w:p w14:paraId="7FA8279A" w14:textId="11BCD56F" w:rsidR="00160904" w:rsidRPr="00906FD0" w:rsidRDefault="00160904" w:rsidP="00160904">
      <w:pPr>
        <w:pStyle w:val="BodyText"/>
      </w:pPr>
      <w:r w:rsidRPr="00906FD0">
        <w:t xml:space="preserve">However, the lower rates of employment among public housing residents cannot be attributed to the receipt of housing assistance. Public housing residents </w:t>
      </w:r>
      <w:r w:rsidR="00FD70D4">
        <w:t xml:space="preserve">are more likely to </w:t>
      </w:r>
      <w:r w:rsidRPr="00906FD0">
        <w:t xml:space="preserve">have </w:t>
      </w:r>
      <w:r w:rsidR="00FD70D4">
        <w:t xml:space="preserve">a number of </w:t>
      </w:r>
      <w:r>
        <w:t xml:space="preserve">observed </w:t>
      </w:r>
      <w:r w:rsidRPr="00906FD0">
        <w:t xml:space="preserve">characteristics </w:t>
      </w:r>
      <w:r w:rsidR="00FD70D4">
        <w:t xml:space="preserve">that </w:t>
      </w:r>
      <w:r w:rsidR="00757E22">
        <w:t xml:space="preserve">are </w:t>
      </w:r>
      <w:r w:rsidRPr="00906FD0">
        <w:t xml:space="preserve">typically associated </w:t>
      </w:r>
      <w:r w:rsidR="0017525E">
        <w:t>with lower levels of employment. F</w:t>
      </w:r>
      <w:r w:rsidRPr="00906FD0">
        <w:t xml:space="preserve">or example, </w:t>
      </w:r>
      <w:r w:rsidR="008D1942">
        <w:t xml:space="preserve">ISP recipients who live in </w:t>
      </w:r>
      <w:r w:rsidRPr="00906FD0">
        <w:t xml:space="preserve">public housing are more likely to receive the DSP, suffer a medical condition that impairs their ability to work, live in a disadvantaged area and </w:t>
      </w:r>
      <w:r w:rsidR="00E53871">
        <w:t xml:space="preserve">are </w:t>
      </w:r>
      <w:r w:rsidRPr="00906FD0">
        <w:t>more likely to be Indigenous</w:t>
      </w:r>
      <w:r w:rsidR="0017525E">
        <w:t xml:space="preserve">, </w:t>
      </w:r>
      <w:r w:rsidR="008D1942">
        <w:t xml:space="preserve">than </w:t>
      </w:r>
      <w:r w:rsidR="0017525E">
        <w:t>other ISP recipients</w:t>
      </w:r>
      <w:r w:rsidRPr="00906FD0">
        <w:t>.</w:t>
      </w:r>
    </w:p>
    <w:p w14:paraId="71044657" w14:textId="483817D6" w:rsidR="00160904" w:rsidRPr="00906FD0" w:rsidRDefault="00296B36" w:rsidP="00160904">
      <w:pPr>
        <w:pStyle w:val="BodyText"/>
      </w:pPr>
      <w:r>
        <w:t>O</w:t>
      </w:r>
      <w:r w:rsidR="00160904" w:rsidRPr="00906FD0">
        <w:t xml:space="preserve">ther characteristics that are not directly observed </w:t>
      </w:r>
      <w:r w:rsidR="0017525E">
        <w:t>i</w:t>
      </w:r>
      <w:r w:rsidR="00160904" w:rsidRPr="00906FD0">
        <w:t xml:space="preserve">n the data are </w:t>
      </w:r>
      <w:r>
        <w:t xml:space="preserve">also </w:t>
      </w:r>
      <w:r w:rsidR="00160904" w:rsidRPr="00906FD0">
        <w:t xml:space="preserve">likely to affect employment. </w:t>
      </w:r>
      <w:r w:rsidR="00E925A8">
        <w:t xml:space="preserve">These </w:t>
      </w:r>
      <w:r w:rsidR="00D2193B">
        <w:t xml:space="preserve">may be unobserved </w:t>
      </w:r>
      <w:r w:rsidR="0017525E">
        <w:t xml:space="preserve">because they </w:t>
      </w:r>
      <w:r w:rsidR="00E925A8">
        <w:t xml:space="preserve">could </w:t>
      </w:r>
      <w:r w:rsidR="0017525E">
        <w:t>not</w:t>
      </w:r>
      <w:r w:rsidR="007019EA">
        <w:t xml:space="preserve"> </w:t>
      </w:r>
      <w:r w:rsidR="0017525E">
        <w:t xml:space="preserve">be measured </w:t>
      </w:r>
      <w:r w:rsidR="007D16BD">
        <w:t>with sufficient accuracy for empirical analysis</w:t>
      </w:r>
      <w:r w:rsidR="0017525E">
        <w:t xml:space="preserve">, or </w:t>
      </w:r>
      <w:r>
        <w:t xml:space="preserve">because they </w:t>
      </w:r>
      <w:r w:rsidR="00E925A8">
        <w:t xml:space="preserve">were </w:t>
      </w:r>
      <w:r w:rsidR="0017525E">
        <w:t>not required for the purposes of administering income support</w:t>
      </w:r>
      <w:r w:rsidR="007E719E">
        <w:t xml:space="preserve"> and so </w:t>
      </w:r>
      <w:r>
        <w:t xml:space="preserve">were </w:t>
      </w:r>
      <w:r w:rsidR="007E719E">
        <w:t>not recorded</w:t>
      </w:r>
      <w:r w:rsidR="0017525E">
        <w:t xml:space="preserve">. </w:t>
      </w:r>
      <w:r>
        <w:t xml:space="preserve">For example, characteristics </w:t>
      </w:r>
      <w:r w:rsidR="00160904" w:rsidRPr="00906FD0">
        <w:t xml:space="preserve">like risk of poor mental health, motivation and education are not captured in the administrative data used in this study. </w:t>
      </w:r>
      <w:r w:rsidR="00E925A8">
        <w:t>A</w:t>
      </w:r>
      <w:r w:rsidR="00160904" w:rsidRPr="00906FD0">
        <w:t xml:space="preserve"> fixed effects </w:t>
      </w:r>
      <w:r w:rsidR="007E719E">
        <w:t xml:space="preserve">logit </w:t>
      </w:r>
      <w:r w:rsidR="00160904" w:rsidRPr="00906FD0">
        <w:t xml:space="preserve">model </w:t>
      </w:r>
      <w:r w:rsidR="00E925A8">
        <w:t xml:space="preserve">was used to </w:t>
      </w:r>
      <w:r w:rsidR="00160904" w:rsidRPr="00906FD0">
        <w:t>isolat</w:t>
      </w:r>
      <w:r w:rsidR="00E925A8">
        <w:t>e</w:t>
      </w:r>
      <w:r w:rsidR="007019EA">
        <w:t xml:space="preserve"> </w:t>
      </w:r>
      <w:r w:rsidR="00160904" w:rsidRPr="00906FD0">
        <w:t xml:space="preserve">the effects of housing assistance on employment from the effects of </w:t>
      </w:r>
      <w:r w:rsidR="00955EA8">
        <w:t>time</w:t>
      </w:r>
      <w:r w:rsidR="00056061">
        <w:noBreakHyphen/>
      </w:r>
      <w:r w:rsidR="00955EA8">
        <w:t xml:space="preserve">invariant </w:t>
      </w:r>
      <w:r w:rsidR="00160904" w:rsidRPr="00906FD0">
        <w:t>unobserved factors</w:t>
      </w:r>
      <w:r w:rsidR="00160904">
        <w:t>.</w:t>
      </w:r>
    </w:p>
    <w:p w14:paraId="4C0B5A23" w14:textId="77777777" w:rsidR="00160904" w:rsidRDefault="00160904" w:rsidP="00160904">
      <w:pPr>
        <w:pStyle w:val="BodyText"/>
      </w:pPr>
      <w:r w:rsidRPr="00906FD0">
        <w:t xml:space="preserve">When both observed and unobserved characteristics are taken into account, differences in expected rates of employment between public housing tenants and other ISP recipients are shown to be very small. </w:t>
      </w:r>
      <w:r>
        <w:t xml:space="preserve">Similarly, there is little difference in the employment rates of ISP recipients who receive CRA and those who do not. </w:t>
      </w:r>
      <w:r w:rsidRPr="00906FD0">
        <w:t xml:space="preserve">In other words, it is the characteristics of the individual ISP recipients rather than their housing assistance status </w:t>
      </w:r>
      <w:r w:rsidR="00296B36">
        <w:t>that explain the differences in employment rates between public housing tenants, CRA recipients and other ISP recipients.</w:t>
      </w:r>
    </w:p>
    <w:p w14:paraId="6A8DC528" w14:textId="77777777" w:rsidR="00160904" w:rsidRDefault="000D4FEF" w:rsidP="00160904">
      <w:pPr>
        <w:pStyle w:val="BodyText"/>
      </w:pPr>
      <w:r>
        <w:t>T</w:t>
      </w:r>
      <w:r w:rsidR="00FD70D4">
        <w:t>hree</w:t>
      </w:r>
      <w:r w:rsidR="00160904">
        <w:t xml:space="preserve"> other </w:t>
      </w:r>
      <w:r>
        <w:t xml:space="preserve">issues were </w:t>
      </w:r>
      <w:r w:rsidR="00160904">
        <w:t xml:space="preserve">briefly considered in this background paper. First, the effect of parental receipt of housing assistance on the employment of </w:t>
      </w:r>
      <w:r w:rsidR="00FD70D4">
        <w:t xml:space="preserve">young ISP recipients </w:t>
      </w:r>
      <w:r w:rsidR="00160904">
        <w:t xml:space="preserve">living with parents or guardians was </w:t>
      </w:r>
      <w:r>
        <w:t>examined</w:t>
      </w:r>
      <w:r w:rsidR="00160904">
        <w:t xml:space="preserve">. While differences in observed characteristics explain some of the difference in </w:t>
      </w:r>
      <w:r w:rsidR="00CA190F">
        <w:t xml:space="preserve">the </w:t>
      </w:r>
      <w:r w:rsidR="00160904">
        <w:t>employment rates</w:t>
      </w:r>
      <w:r w:rsidR="00CA190F">
        <w:t xml:space="preserve"> of youths</w:t>
      </w:r>
      <w:r w:rsidR="00160904">
        <w:t xml:space="preserve">, </w:t>
      </w:r>
      <w:r w:rsidR="00400523">
        <w:t xml:space="preserve">the </w:t>
      </w:r>
      <w:r w:rsidR="00160904">
        <w:t xml:space="preserve">predicted </w:t>
      </w:r>
      <w:r w:rsidR="00400523">
        <w:t xml:space="preserve">probability of </w:t>
      </w:r>
      <w:r w:rsidR="00160904">
        <w:t xml:space="preserve">employment among young people whose parents live in public housing is still substantially lower than </w:t>
      </w:r>
      <w:r w:rsidR="00CA190F">
        <w:t xml:space="preserve">for </w:t>
      </w:r>
      <w:r w:rsidR="00160904">
        <w:t>those with parents not receiving any housing assistance. It was not appropriate to apply the fixed effects model to this cohort, given the assumption about unobserved characteristics (that includes educat</w:t>
      </w:r>
      <w:r w:rsidR="00400523">
        <w:t xml:space="preserve">ion) remaining fixed over time. As a result, </w:t>
      </w:r>
      <w:r w:rsidR="007E719E">
        <w:t xml:space="preserve">it is not possible to conclude </w:t>
      </w:r>
      <w:r w:rsidR="00FD70D4">
        <w:t xml:space="preserve">whether </w:t>
      </w:r>
      <w:r w:rsidR="007E719E">
        <w:t xml:space="preserve">the difference in predicted employment rates is attributable to </w:t>
      </w:r>
      <w:r w:rsidR="00395A78">
        <w:t xml:space="preserve">housing assistance or </w:t>
      </w:r>
      <w:r w:rsidR="00FD70D4">
        <w:t xml:space="preserve">unobserved </w:t>
      </w:r>
      <w:r w:rsidR="00395A78">
        <w:t>individual characteristics.</w:t>
      </w:r>
    </w:p>
    <w:p w14:paraId="5BD18491" w14:textId="4AF0948E" w:rsidR="008E3ED5" w:rsidRDefault="008E3ED5" w:rsidP="008E3ED5">
      <w:pPr>
        <w:pStyle w:val="BodyText"/>
      </w:pPr>
      <w:r>
        <w:t xml:space="preserve">Second, </w:t>
      </w:r>
      <w:r w:rsidR="0011131D">
        <w:t>m</w:t>
      </w:r>
      <w:r>
        <w:t xml:space="preserve">oving between different postcodes was found to </w:t>
      </w:r>
      <w:r w:rsidR="0011131D">
        <w:t xml:space="preserve">reduce the probability of employment. </w:t>
      </w:r>
      <w:r>
        <w:t>T</w:t>
      </w:r>
      <w:r w:rsidR="0011131D">
        <w:t xml:space="preserve">his suggests that </w:t>
      </w:r>
      <w:r w:rsidR="00467F1A">
        <w:t xml:space="preserve">housing </w:t>
      </w:r>
      <w:r w:rsidRPr="00DE611F">
        <w:t xml:space="preserve">stability may </w:t>
      </w:r>
      <w:r>
        <w:t xml:space="preserve">provide </w:t>
      </w:r>
      <w:r w:rsidR="00467F1A">
        <w:t>ISP recipients</w:t>
      </w:r>
      <w:r>
        <w:t xml:space="preserve"> with opportunities to find and maintain employment.</w:t>
      </w:r>
    </w:p>
    <w:p w14:paraId="0FD7A43E" w14:textId="698CC89F" w:rsidR="006E3E8A" w:rsidRDefault="00FD70D4" w:rsidP="007019EA">
      <w:pPr>
        <w:pStyle w:val="BodyText"/>
        <w:rPr>
          <w:rFonts w:ascii="Arial" w:hAnsi="Arial"/>
          <w:b/>
          <w:sz w:val="32"/>
        </w:rPr>
      </w:pPr>
      <w:r>
        <w:t xml:space="preserve">Third, </w:t>
      </w:r>
      <w:r w:rsidR="00160904">
        <w:t xml:space="preserve">the effect of neighbourhood disadvantage on employment among public housing residents was </w:t>
      </w:r>
      <w:r w:rsidR="008E3ED5">
        <w:t>also considered</w:t>
      </w:r>
      <w:r w:rsidR="00160904">
        <w:t xml:space="preserve">. The </w:t>
      </w:r>
      <w:r w:rsidR="00D54AB7">
        <w:t xml:space="preserve">fixed effects </w:t>
      </w:r>
      <w:r w:rsidR="00160904">
        <w:t xml:space="preserve">employment model was </w:t>
      </w:r>
      <w:r w:rsidR="00C665AD">
        <w:t>re</w:t>
      </w:r>
      <w:r w:rsidR="00056061">
        <w:noBreakHyphen/>
      </w:r>
      <w:r w:rsidR="00C665AD">
        <w:t xml:space="preserve">estimated using </w:t>
      </w:r>
      <w:r w:rsidR="00A83C82">
        <w:t>only</w:t>
      </w:r>
      <w:r w:rsidR="00160904">
        <w:t xml:space="preserve"> public housing residents so as to minimise problems of selection bias</w:t>
      </w:r>
      <w:r w:rsidR="00063BC3">
        <w:t>.</w:t>
      </w:r>
      <w:r w:rsidR="00160904">
        <w:t xml:space="preserve"> </w:t>
      </w:r>
      <w:r w:rsidR="00063BC3">
        <w:t>L</w:t>
      </w:r>
      <w:r w:rsidR="00160904" w:rsidRPr="00436A13">
        <w:t>iving in a highly disadvantaged area</w:t>
      </w:r>
      <w:r w:rsidR="00063BC3">
        <w:t xml:space="preserve"> is associated with lower levels</w:t>
      </w:r>
      <w:r w:rsidR="00160904" w:rsidRPr="00436A13">
        <w:t xml:space="preserve"> of employment, </w:t>
      </w:r>
      <w:r w:rsidR="00063BC3">
        <w:t xml:space="preserve">even after </w:t>
      </w:r>
      <w:r w:rsidR="00CA190F">
        <w:t xml:space="preserve">accounting for </w:t>
      </w:r>
      <w:r w:rsidR="00395A78">
        <w:t xml:space="preserve">observed and unobserved </w:t>
      </w:r>
      <w:r>
        <w:t>characteristics</w:t>
      </w:r>
      <w:r w:rsidR="00063BC3">
        <w:t xml:space="preserve">, </w:t>
      </w:r>
      <w:r w:rsidR="00160904" w:rsidRPr="00436A13">
        <w:t>but th</w:t>
      </w:r>
      <w:r w:rsidR="00160904">
        <w:t xml:space="preserve">is effect </w:t>
      </w:r>
      <w:r w:rsidR="00063BC3">
        <w:t xml:space="preserve">appears </w:t>
      </w:r>
      <w:r w:rsidR="00160904">
        <w:t xml:space="preserve">relatively small when compared </w:t>
      </w:r>
      <w:r w:rsidR="00CA190F">
        <w:t xml:space="preserve">with </w:t>
      </w:r>
      <w:r w:rsidR="00160904">
        <w:t>other determinants of employment. Further work in this area could</w:t>
      </w:r>
      <w:r w:rsidR="007019EA">
        <w:t xml:space="preserve"> </w:t>
      </w:r>
      <w:r w:rsidR="00160904">
        <w:t xml:space="preserve">explore the question of neighbourhood effects </w:t>
      </w:r>
      <w:r w:rsidR="00C665AD">
        <w:t xml:space="preserve">by </w:t>
      </w:r>
      <w:r w:rsidR="00160904">
        <w:t xml:space="preserve">make greater use of the rich administrative data included in the </w:t>
      </w:r>
      <w:r w:rsidR="00C665AD">
        <w:t>RED</w:t>
      </w:r>
      <w:r w:rsidR="00160904">
        <w:t xml:space="preserve">. In particular, the data provide </w:t>
      </w:r>
      <w:r w:rsidR="007E719E">
        <w:t xml:space="preserve">an </w:t>
      </w:r>
      <w:r w:rsidR="00160904">
        <w:t xml:space="preserve">opportunity to </w:t>
      </w:r>
      <w:r w:rsidR="007E719E">
        <w:t>examine</w:t>
      </w:r>
      <w:r w:rsidR="00160904">
        <w:t xml:space="preserve"> the effects of location on employment </w:t>
      </w:r>
      <w:r w:rsidR="00D00EFE">
        <w:t xml:space="preserve">status </w:t>
      </w:r>
      <w:r w:rsidR="00160904">
        <w:t>using spatial regression and analysis techniques</w:t>
      </w:r>
      <w:r w:rsidR="00F00A18">
        <w:t xml:space="preserve">, which could not be applied in the </w:t>
      </w:r>
      <w:r w:rsidR="000D4FEF">
        <w:t xml:space="preserve">timeframe </w:t>
      </w:r>
      <w:r w:rsidR="00F00A18">
        <w:t>of this project</w:t>
      </w:r>
      <w:r w:rsidR="00160904">
        <w:t>.</w:t>
      </w:r>
      <w:r w:rsidR="007019EA">
        <w:t xml:space="preserve"> </w:t>
      </w:r>
      <w:r w:rsidR="006E3E8A">
        <w:br w:type="page"/>
      </w:r>
    </w:p>
    <w:p w14:paraId="5EC491C6" w14:textId="77777777" w:rsidR="00571749" w:rsidRPr="003C2217" w:rsidRDefault="00571749" w:rsidP="009351A9">
      <w:pPr>
        <w:pStyle w:val="Heading2"/>
        <w:spacing w:after="360"/>
      </w:pPr>
      <w:r w:rsidRPr="00F331D1">
        <w:t>References</w:t>
      </w:r>
    </w:p>
    <w:p w14:paraId="5ACF2E08" w14:textId="1477BA05" w:rsidR="00497AB1" w:rsidRPr="00497AB1" w:rsidRDefault="00497AB1" w:rsidP="000D5A00">
      <w:pPr>
        <w:pStyle w:val="Reference"/>
      </w:pPr>
      <w:r w:rsidRPr="00497AB1">
        <w:t xml:space="preserve">ABS (Australian Bureau of Statistics) 2010, </w:t>
      </w:r>
      <w:r w:rsidRPr="006722F2">
        <w:rPr>
          <w:i/>
        </w:rPr>
        <w:t>Australian Statistical Geography Standard (ASGS): Volume 1 - Main Structure and Greater Capital City Statistical Areas,</w:t>
      </w:r>
      <w:r w:rsidRPr="00497AB1">
        <w:t xml:space="preserve"> July 2011, Cat. no. 1270.0.55.001, Canberra.</w:t>
      </w:r>
    </w:p>
    <w:p w14:paraId="5925DA32" w14:textId="2A5E725F" w:rsidR="00497AB1" w:rsidRPr="00497AB1" w:rsidRDefault="00497AB1" w:rsidP="000D5A00">
      <w:pPr>
        <w:pStyle w:val="Reference"/>
      </w:pPr>
      <w:r w:rsidRPr="00497AB1">
        <w:t>——</w:t>
      </w:r>
      <w:r w:rsidR="008B2227">
        <w:t xml:space="preserve"> </w:t>
      </w:r>
      <w:r w:rsidRPr="00497AB1">
        <w:t xml:space="preserve">2013, </w:t>
      </w:r>
      <w:r w:rsidRPr="006722F2">
        <w:rPr>
          <w:i/>
        </w:rPr>
        <w:t>Census of Population and Housing: Socio-Economic Indexes for Areas (SEIFA), Australia, 2011,</w:t>
      </w:r>
      <w:r w:rsidR="006722F2">
        <w:t xml:space="preserve"> Cat. no.</w:t>
      </w:r>
      <w:r w:rsidRPr="00497AB1">
        <w:t xml:space="preserve"> 2033.0.55.001</w:t>
      </w:r>
      <w:r w:rsidR="006722F2">
        <w:t>, Canberra</w:t>
      </w:r>
      <w:r w:rsidRPr="00497AB1">
        <w:t>.</w:t>
      </w:r>
    </w:p>
    <w:p w14:paraId="1C30A295" w14:textId="77777777" w:rsidR="00497AB1" w:rsidRPr="00497AB1" w:rsidRDefault="00497AB1" w:rsidP="000D5A00">
      <w:pPr>
        <w:pStyle w:val="Reference"/>
      </w:pPr>
      <w:r w:rsidRPr="00497AB1">
        <w:t xml:space="preserve">Chamberlain, G. 1980, ‘Analysis of covariance with qualitative data’, </w:t>
      </w:r>
      <w:r w:rsidRPr="006722F2">
        <w:rPr>
          <w:i/>
        </w:rPr>
        <w:t>Review of Economic Studies,</w:t>
      </w:r>
      <w:r w:rsidRPr="00497AB1">
        <w:t xml:space="preserve"> vol. 47, pp. 225–238.</w:t>
      </w:r>
    </w:p>
    <w:p w14:paraId="10D9EF9F" w14:textId="77777777" w:rsidR="00497AB1" w:rsidRPr="00497AB1" w:rsidRDefault="00497AB1" w:rsidP="000D5A00">
      <w:pPr>
        <w:pStyle w:val="Reference"/>
      </w:pPr>
      <w:r w:rsidRPr="00497AB1">
        <w:t xml:space="preserve">DHS (Department of Human Services) 2015, </w:t>
      </w:r>
      <w:r w:rsidRPr="006722F2">
        <w:rPr>
          <w:i/>
        </w:rPr>
        <w:t>Income test for pensions</w:t>
      </w:r>
      <w:r w:rsidRPr="006722F2">
        <w:t>,</w:t>
      </w:r>
      <w:r w:rsidRPr="00497AB1">
        <w:t xml:space="preserve"> http://www.humanservices.gov.au/customer/enablers/income-test-pensions (accessed 22 April 2015).</w:t>
      </w:r>
    </w:p>
    <w:p w14:paraId="13CA50CD" w14:textId="3379BE02" w:rsidR="00497AB1" w:rsidRPr="00497AB1" w:rsidRDefault="00497AB1" w:rsidP="000D5A00">
      <w:pPr>
        <w:pStyle w:val="Reference"/>
      </w:pPr>
      <w:r w:rsidRPr="00497AB1">
        <w:t xml:space="preserve">Dockery, A.M., Feeny, S., Hulse, K., Ong, R., Saugeres, L., Spong, H., Whelan, S. and Wood, G. 2008, </w:t>
      </w:r>
      <w:r w:rsidR="006722F2">
        <w:rPr>
          <w:i/>
        </w:rPr>
        <w:t>Housing a</w:t>
      </w:r>
      <w:r w:rsidRPr="006722F2">
        <w:rPr>
          <w:i/>
        </w:rPr>
        <w:t xml:space="preserve">ssistance </w:t>
      </w:r>
      <w:r w:rsidR="006722F2">
        <w:rPr>
          <w:i/>
        </w:rPr>
        <w:t>and economic p</w:t>
      </w:r>
      <w:r w:rsidRPr="006722F2">
        <w:rPr>
          <w:i/>
        </w:rPr>
        <w:t>articipation</w:t>
      </w:r>
      <w:r w:rsidR="006722F2">
        <w:t>,</w:t>
      </w:r>
      <w:r w:rsidRPr="00497AB1">
        <w:t xml:space="preserve"> </w:t>
      </w:r>
      <w:r w:rsidR="006722F2">
        <w:t>Research Paper, Australian Housing and Urban Research Institute.</w:t>
      </w:r>
    </w:p>
    <w:p w14:paraId="538A7820" w14:textId="77777777" w:rsidR="00497AB1" w:rsidRPr="00497AB1" w:rsidRDefault="00497AB1" w:rsidP="000D5A00">
      <w:pPr>
        <w:pStyle w:val="Reference"/>
      </w:pPr>
      <w:r w:rsidRPr="00497AB1">
        <w:t xml:space="preserve">Dockery, A.M., Ong, R. and Wood, G. 2008, </w:t>
      </w:r>
      <w:r w:rsidRPr="000D5A00">
        <w:rPr>
          <w:i/>
        </w:rPr>
        <w:t>Welfare traps in Australia: Do they bite?</w:t>
      </w:r>
      <w:r w:rsidRPr="00497AB1">
        <w:t>, The Centre for Labour Market Research, Discussion Paper Series 08.</w:t>
      </w:r>
    </w:p>
    <w:p w14:paraId="022F518D" w14:textId="77777777" w:rsidR="00497AB1" w:rsidRPr="00497AB1" w:rsidRDefault="00497AB1" w:rsidP="000D5A00">
      <w:pPr>
        <w:pStyle w:val="Reference"/>
      </w:pPr>
      <w:r w:rsidRPr="00497AB1">
        <w:t xml:space="preserve">DVA (Department of Veterans’ Affairs) 2014, </w:t>
      </w:r>
      <w:r w:rsidRPr="000D5A00">
        <w:rPr>
          <w:i/>
        </w:rPr>
        <w:t xml:space="preserve">DVA pensioner summary: Pensions paid under the Veteran’s </w:t>
      </w:r>
      <w:r w:rsidRPr="00D30CFF">
        <w:t>Entitlements Act 1986</w:t>
      </w:r>
      <w:r w:rsidRPr="00497AB1">
        <w:t>, December.</w:t>
      </w:r>
    </w:p>
    <w:p w14:paraId="6C582D3E" w14:textId="77777777" w:rsidR="00497AB1" w:rsidRPr="00497AB1" w:rsidRDefault="00497AB1" w:rsidP="000D5A00">
      <w:pPr>
        <w:pStyle w:val="Reference"/>
      </w:pPr>
      <w:r w:rsidRPr="00497AB1">
        <w:t xml:space="preserve">Greene, W.H. 2008, </w:t>
      </w:r>
      <w:r w:rsidRPr="00D03F33">
        <w:rPr>
          <w:i/>
        </w:rPr>
        <w:t>Econometric Analysis</w:t>
      </w:r>
      <w:r w:rsidRPr="00497AB1">
        <w:t>, 6th edition, Pearson Prentice Hall, New Jersey.</w:t>
      </w:r>
    </w:p>
    <w:p w14:paraId="0DCC8503" w14:textId="77777777" w:rsidR="00497AB1" w:rsidRPr="00497AB1" w:rsidRDefault="00497AB1" w:rsidP="000D5A00">
      <w:pPr>
        <w:pStyle w:val="Reference"/>
      </w:pPr>
      <w:r w:rsidRPr="00497AB1">
        <w:t xml:space="preserve">Groenhart, L. and Burke, T. 2014, ‘What has happened to Australia’s public housing? Thirty years of policy and outcomes, 1981 to 2011’, </w:t>
      </w:r>
      <w:r w:rsidRPr="00D30CFF">
        <w:rPr>
          <w:i/>
        </w:rPr>
        <w:t>Australian Journal of Social Issues</w:t>
      </w:r>
      <w:r w:rsidRPr="00497AB1">
        <w:t>, no. 2, p. 127.</w:t>
      </w:r>
    </w:p>
    <w:p w14:paraId="7A177444" w14:textId="77777777" w:rsidR="00497AB1" w:rsidRPr="00497AB1" w:rsidRDefault="00497AB1" w:rsidP="000D5A00">
      <w:pPr>
        <w:pStyle w:val="Reference"/>
      </w:pPr>
      <w:r w:rsidRPr="00497AB1">
        <w:t>Hedman, L. and van Ham, M. 2012, ‘Understanding neighbourhood effects: Selection bias and residential mobility’, Neighbourhood effects research: New perspectives, Springer, pp. 79–99, http://link.springer.com/chapter/10.1007/978-94-007-2309-2_4 (accessed 20 March 2015).</w:t>
      </w:r>
    </w:p>
    <w:p w14:paraId="70D44D09" w14:textId="77777777" w:rsidR="00497AB1" w:rsidRPr="00497AB1" w:rsidRDefault="00497AB1" w:rsidP="000D5A00">
      <w:pPr>
        <w:pStyle w:val="Reference"/>
      </w:pPr>
      <w:r w:rsidRPr="00497AB1">
        <w:t xml:space="preserve">Hulse, K. and Randolph, B. 2005, ‘Workforce disincentive effects of housing allowances and public housing for low income households in Australia’, </w:t>
      </w:r>
      <w:r w:rsidRPr="00D30CFF">
        <w:rPr>
          <w:i/>
        </w:rPr>
        <w:t>European Journal of Housing Policy</w:t>
      </w:r>
      <w:r w:rsidRPr="00497AB1">
        <w:t>, vol. 5, no. 2, pp. 147–165.</w:t>
      </w:r>
    </w:p>
    <w:p w14:paraId="1B9C4789" w14:textId="3BFECF58" w:rsidR="00497AB1" w:rsidRPr="00497AB1" w:rsidRDefault="00497AB1" w:rsidP="000D5A00">
      <w:pPr>
        <w:pStyle w:val="Reference"/>
      </w:pPr>
      <w:r w:rsidRPr="00497AB1">
        <w:t>——, ——, Toohey, M., Beer, G. and Lee, R. 2003, Understanding the Roles of Housing Costs and Housing Assistance in Creating Employment Disincentives, Positioning Paper, No. 63, Australian Housing and Urban Research Institute.</w:t>
      </w:r>
    </w:p>
    <w:p w14:paraId="55711096" w14:textId="77777777" w:rsidR="00497AB1" w:rsidRPr="00497AB1" w:rsidRDefault="00497AB1" w:rsidP="000D5A00">
      <w:pPr>
        <w:pStyle w:val="Reference"/>
      </w:pPr>
      <w:r w:rsidRPr="00497AB1">
        <w:t xml:space="preserve">Manley, D. and Van Ham, M. 2012, </w:t>
      </w:r>
      <w:r w:rsidRPr="00D30CFF">
        <w:rPr>
          <w:i/>
        </w:rPr>
        <w:t>‘Neighbourhood effects, housing tenure and individual employment outcomes’</w:t>
      </w:r>
      <w:r w:rsidRPr="00497AB1">
        <w:t>, Neighbourhood effects research: New perspectives, Springer, pp. 79–99.</w:t>
      </w:r>
    </w:p>
    <w:p w14:paraId="6D961EB6" w14:textId="77777777" w:rsidR="00497AB1" w:rsidRPr="00497AB1" w:rsidRDefault="00497AB1" w:rsidP="000D5A00">
      <w:pPr>
        <w:pStyle w:val="Reference"/>
      </w:pPr>
      <w:r w:rsidRPr="00497AB1">
        <w:t>Whelan, S. 2004, An Analysis of the Determinants of the Labour Market Activities of Housing Assistance Recipients, AHURI.</w:t>
      </w:r>
    </w:p>
    <w:p w14:paraId="33250C40" w14:textId="38BF6203" w:rsidR="00497AB1" w:rsidRPr="00497AB1" w:rsidRDefault="00497AB1" w:rsidP="000D5A00">
      <w:pPr>
        <w:pStyle w:val="Reference"/>
      </w:pPr>
      <w:r w:rsidRPr="00497AB1">
        <w:t xml:space="preserve">Whelan, S. and Ong, R. 2008, </w:t>
      </w:r>
      <w:r w:rsidRPr="00D30CFF">
        <w:rPr>
          <w:i/>
        </w:rPr>
        <w:t xml:space="preserve">Econometric Modelling of Housing Assistance and Labour Market Participation, </w:t>
      </w:r>
      <w:r w:rsidRPr="00497AB1">
        <w:t>Research Report No.</w:t>
      </w:r>
      <w:r w:rsidR="004D3BBE">
        <w:t xml:space="preserve"> </w:t>
      </w:r>
      <w:r w:rsidRPr="00497AB1">
        <w:t>6, National Research Venture 1: Housing assistance and economic participation.</w:t>
      </w:r>
    </w:p>
    <w:p w14:paraId="2F53CEE3" w14:textId="5BB5CFB4" w:rsidR="00497AB1" w:rsidRPr="00497AB1" w:rsidRDefault="00497AB1" w:rsidP="000D5A00">
      <w:pPr>
        <w:pStyle w:val="Reference"/>
      </w:pPr>
      <w:r w:rsidRPr="00497AB1">
        <w:t>Whiteford, P. and Angenent, G. 2002, ‘The Australian system of social protection–an overview’, FaHCSIA Occasional Paper, no. 6, http://papers.ssrn.com/sol3/papers.cfm?</w:t>
      </w:r>
      <w:r w:rsidR="000D5A00">
        <w:br/>
      </w:r>
      <w:r w:rsidRPr="00497AB1">
        <w:t>abstract_id=1729044 (accessed 6 February 2015).</w:t>
      </w:r>
    </w:p>
    <w:p w14:paraId="3D34B9ED" w14:textId="77777777" w:rsidR="00497AB1" w:rsidRPr="00497AB1" w:rsidRDefault="00497AB1" w:rsidP="000D5A00">
      <w:pPr>
        <w:pStyle w:val="Reference"/>
      </w:pPr>
      <w:r w:rsidRPr="00497AB1">
        <w:t>Wilkins, R. 2003, Labour Market Outcomes and Welfare Dependence of Persons with Disabilities in Australia, Melbourne Institute Working Paper Series, Melbourne Institute of Applied Economic and Social Research, The University of Melbourne.</w:t>
      </w:r>
    </w:p>
    <w:p w14:paraId="2ACD7C4F" w14:textId="77777777" w:rsidR="00497AB1" w:rsidRPr="00497AB1" w:rsidRDefault="00497AB1" w:rsidP="000D5A00">
      <w:pPr>
        <w:pStyle w:val="Reference"/>
      </w:pPr>
      <w:r w:rsidRPr="00497AB1">
        <w:t xml:space="preserve">Wood, G., Ong, R. and Dockery, A.M. 2009, ‘The long-run decline in employment participation for Australian public housing tenants: an investigation’, </w:t>
      </w:r>
      <w:r w:rsidRPr="00D30CFF">
        <w:rPr>
          <w:i/>
        </w:rPr>
        <w:t>Housing Studies</w:t>
      </w:r>
      <w:r w:rsidRPr="00497AB1">
        <w:t>, vol. 24, no. 1, pp. 103–126.</w:t>
      </w:r>
    </w:p>
    <w:p w14:paraId="3270D1B4" w14:textId="40429C4E" w:rsidR="004235A4" w:rsidRPr="00571749" w:rsidRDefault="00497AB1" w:rsidP="000D5A00">
      <w:pPr>
        <w:pStyle w:val="Reference"/>
      </w:pPr>
      <w:r w:rsidRPr="00497AB1">
        <w:t xml:space="preserve">Wooldridge, J. 2002, </w:t>
      </w:r>
      <w:r w:rsidRPr="00D03F33">
        <w:rPr>
          <w:i/>
        </w:rPr>
        <w:t>Econometric analysis of cross section and panel data,</w:t>
      </w:r>
      <w:r w:rsidRPr="00497AB1">
        <w:t xml:space="preserve"> The MIT Press, Cambridge, Massachusetts.</w:t>
      </w:r>
    </w:p>
    <w:sectPr w:rsidR="004235A4" w:rsidRPr="00571749" w:rsidSect="00A966A2">
      <w:headerReference w:type="even" r:id="rId31"/>
      <w:headerReference w:type="default" r:id="rId32"/>
      <w:footerReference w:type="even" r:id="rId33"/>
      <w:footerReference w:type="default" r:id="rId34"/>
      <w:pgSz w:w="11907" w:h="16840" w:code="9"/>
      <w:pgMar w:top="1985" w:right="1304" w:bottom="1134" w:left="1814" w:header="1701" w:footer="397" w:gutter="0"/>
      <w:pgNumType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381B86" w14:textId="77777777" w:rsidR="00E84663" w:rsidRDefault="00E84663">
      <w:r>
        <w:separator/>
      </w:r>
    </w:p>
  </w:endnote>
  <w:endnote w:type="continuationSeparator" w:id="0">
    <w:p w14:paraId="22F74E09" w14:textId="77777777" w:rsidR="00E84663" w:rsidRDefault="00E84663">
      <w:r>
        <w:continuationSeparator/>
      </w:r>
    </w:p>
  </w:endnote>
  <w:endnote w:type="continuationNotice" w:id="1">
    <w:p w14:paraId="40D67F29" w14:textId="77777777" w:rsidR="00E84663" w:rsidRDefault="00E846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84663" w14:paraId="2A31E01C" w14:textId="77777777" w:rsidTr="005F48ED">
      <w:trPr>
        <w:trHeight w:hRule="exact" w:val="567"/>
      </w:trPr>
      <w:tc>
        <w:tcPr>
          <w:tcW w:w="510" w:type="dxa"/>
        </w:tcPr>
        <w:p w14:paraId="78B68EA7" w14:textId="77777777" w:rsidR="00E84663" w:rsidRPr="00A24443" w:rsidRDefault="00E84663"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5223C">
            <w:rPr>
              <w:rStyle w:val="PageNumber"/>
              <w:caps w:val="0"/>
              <w:noProof/>
            </w:rPr>
            <w:t>192</w:t>
          </w:r>
          <w:r w:rsidRPr="00A24443">
            <w:rPr>
              <w:rStyle w:val="PageNumber"/>
              <w:caps w:val="0"/>
            </w:rPr>
            <w:fldChar w:fldCharType="end"/>
          </w:r>
        </w:p>
      </w:tc>
      <w:tc>
        <w:tcPr>
          <w:tcW w:w="7767" w:type="dxa"/>
        </w:tcPr>
        <w:p w14:paraId="0E8B9109" w14:textId="23C6B67E" w:rsidR="00E84663" w:rsidRPr="0013739A" w:rsidRDefault="00E84663" w:rsidP="0013739A">
          <w:pPr>
            <w:pStyle w:val="Footer"/>
            <w:rPr>
              <w:rFonts w:cs="Arial"/>
            </w:rPr>
          </w:pPr>
          <w:r w:rsidRPr="00A966A2">
            <w:rPr>
              <w:rFonts w:cs="Arial"/>
            </w:rPr>
            <w:t>HOUSING ASSISTANCE AND EMPLOYMENT IN AUSTRALIA</w:t>
          </w:r>
        </w:p>
      </w:tc>
      <w:tc>
        <w:tcPr>
          <w:tcW w:w="510" w:type="dxa"/>
        </w:tcPr>
        <w:p w14:paraId="1B47BD32" w14:textId="77777777" w:rsidR="00E84663" w:rsidRDefault="00E84663" w:rsidP="0019293B">
          <w:pPr>
            <w:pStyle w:val="Footer"/>
          </w:pPr>
        </w:p>
      </w:tc>
    </w:tr>
  </w:tbl>
  <w:p w14:paraId="566F6DCF" w14:textId="77777777" w:rsidR="00E84663" w:rsidRDefault="00E84663" w:rsidP="0019293B">
    <w:pPr>
      <w:pStyle w:val="FooterEnd"/>
    </w:pPr>
  </w:p>
  <w:p w14:paraId="0BD47DA9" w14:textId="77777777" w:rsidR="00E84663" w:rsidRDefault="00E84663">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84663" w14:paraId="2FF80866" w14:textId="77777777" w:rsidTr="005F48ED">
      <w:trPr>
        <w:trHeight w:hRule="exact" w:val="567"/>
      </w:trPr>
      <w:tc>
        <w:tcPr>
          <w:tcW w:w="510" w:type="dxa"/>
        </w:tcPr>
        <w:p w14:paraId="0C5D3487" w14:textId="77777777" w:rsidR="00E84663" w:rsidRDefault="00E84663">
          <w:pPr>
            <w:pStyle w:val="Footer"/>
            <w:ind w:right="360" w:firstLine="360"/>
          </w:pPr>
        </w:p>
      </w:tc>
      <w:tc>
        <w:tcPr>
          <w:tcW w:w="7767" w:type="dxa"/>
        </w:tcPr>
        <w:p w14:paraId="6EB4E300" w14:textId="1F56F0EA" w:rsidR="00E84663" w:rsidRPr="00BA5B14" w:rsidRDefault="00E84663" w:rsidP="0013739A">
          <w:pPr>
            <w:pStyle w:val="Footer"/>
            <w:jc w:val="right"/>
            <w:rPr>
              <w:rFonts w:cs="Arial"/>
            </w:rPr>
          </w:pPr>
          <w:r>
            <w:t>Links between housing assistance and employment</w:t>
          </w:r>
        </w:p>
      </w:tc>
      <w:tc>
        <w:tcPr>
          <w:tcW w:w="510" w:type="dxa"/>
        </w:tcPr>
        <w:p w14:paraId="2C756D8A" w14:textId="77777777" w:rsidR="00E84663" w:rsidRPr="00A24443" w:rsidRDefault="00E84663">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B5223C">
            <w:rPr>
              <w:rStyle w:val="PageNumber"/>
              <w:caps w:val="0"/>
              <w:noProof/>
            </w:rPr>
            <w:t>183</w:t>
          </w:r>
          <w:r w:rsidRPr="00A24443">
            <w:rPr>
              <w:rStyle w:val="PageNumber"/>
              <w:caps w:val="0"/>
            </w:rPr>
            <w:fldChar w:fldCharType="end"/>
          </w:r>
        </w:p>
      </w:tc>
    </w:tr>
  </w:tbl>
  <w:p w14:paraId="5966EC8C" w14:textId="77777777" w:rsidR="00E84663" w:rsidRDefault="00E84663">
    <w:pPr>
      <w:pStyle w:val="FooterEnd"/>
    </w:pPr>
  </w:p>
  <w:p w14:paraId="5C8D993D" w14:textId="77777777" w:rsidR="00E84663" w:rsidRDefault="00E84663">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42B55" w14:textId="77777777" w:rsidR="00E84663" w:rsidRDefault="00E84663">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14:paraId="12AF4A54" w14:textId="77777777" w:rsidR="00E84663" w:rsidRDefault="00E84663">
    <w:pPr>
      <w:pStyle w:val="FooterEnd"/>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A5246" w14:textId="77777777" w:rsidR="00E84663" w:rsidRDefault="00E84663">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E52F9B">
      <w:rPr>
        <w:rStyle w:val="PageNumber"/>
        <w:noProof/>
      </w:rPr>
      <w:t>193</w:t>
    </w:r>
    <w:r>
      <w:rPr>
        <w:rStyle w:val="PageNumber"/>
      </w:rPr>
      <w:fldChar w:fldCharType="end"/>
    </w:r>
  </w:p>
  <w:p w14:paraId="07332FF5" w14:textId="77777777" w:rsidR="00E84663" w:rsidRDefault="00E84663">
    <w:pPr>
      <w:pStyle w:val="Footer"/>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84663" w14:paraId="3E40FBE1" w14:textId="77777777" w:rsidTr="005F48ED">
      <w:trPr>
        <w:trHeight w:hRule="exact" w:val="567"/>
      </w:trPr>
      <w:tc>
        <w:tcPr>
          <w:tcW w:w="510" w:type="dxa"/>
        </w:tcPr>
        <w:p w14:paraId="64E8AEBC" w14:textId="77777777" w:rsidR="00E84663" w:rsidRPr="00A24443" w:rsidRDefault="00E84663"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52F9B">
            <w:rPr>
              <w:rStyle w:val="PageNumber"/>
              <w:caps w:val="0"/>
              <w:noProof/>
            </w:rPr>
            <w:t>220</w:t>
          </w:r>
          <w:r w:rsidRPr="00A24443">
            <w:rPr>
              <w:rStyle w:val="PageNumber"/>
              <w:caps w:val="0"/>
            </w:rPr>
            <w:fldChar w:fldCharType="end"/>
          </w:r>
        </w:p>
      </w:tc>
      <w:tc>
        <w:tcPr>
          <w:tcW w:w="7767" w:type="dxa"/>
        </w:tcPr>
        <w:p w14:paraId="4D844D98" w14:textId="1C871E69" w:rsidR="00E84663" w:rsidRPr="0013739A" w:rsidRDefault="00E84663" w:rsidP="000D5A00">
          <w:pPr>
            <w:pStyle w:val="Footer"/>
            <w:rPr>
              <w:rFonts w:cs="Arial"/>
            </w:rPr>
          </w:pPr>
          <w:bookmarkStart w:id="19" w:name="DraftReportEven"/>
          <w:bookmarkEnd w:id="19"/>
          <w:r>
            <w:rPr>
              <w:rFonts w:cs="Arial"/>
            </w:rPr>
            <w:t>Housing assistance and employment in australia</w:t>
          </w:r>
        </w:p>
      </w:tc>
      <w:tc>
        <w:tcPr>
          <w:tcW w:w="510" w:type="dxa"/>
        </w:tcPr>
        <w:p w14:paraId="67A19E40" w14:textId="77777777" w:rsidR="00E84663" w:rsidRDefault="00E84663" w:rsidP="0019293B">
          <w:pPr>
            <w:pStyle w:val="Footer"/>
          </w:pPr>
        </w:p>
      </w:tc>
    </w:tr>
  </w:tbl>
  <w:p w14:paraId="5E0BBF87" w14:textId="77777777" w:rsidR="00E84663" w:rsidRDefault="00E84663" w:rsidP="0019293B">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E84663" w14:paraId="12AA4555" w14:textId="77777777" w:rsidTr="005F48ED">
      <w:trPr>
        <w:trHeight w:hRule="exact" w:val="567"/>
      </w:trPr>
      <w:tc>
        <w:tcPr>
          <w:tcW w:w="510" w:type="dxa"/>
        </w:tcPr>
        <w:p w14:paraId="64CE3A9B" w14:textId="77777777" w:rsidR="00E84663" w:rsidRDefault="00E84663">
          <w:pPr>
            <w:pStyle w:val="Footer"/>
            <w:ind w:right="360" w:firstLine="360"/>
          </w:pPr>
        </w:p>
      </w:tc>
      <w:tc>
        <w:tcPr>
          <w:tcW w:w="7767" w:type="dxa"/>
        </w:tcPr>
        <w:p w14:paraId="56AB3BA7" w14:textId="2FBA916E" w:rsidR="00E84663" w:rsidRPr="00BA5B14" w:rsidRDefault="00E84663" w:rsidP="0013739A">
          <w:pPr>
            <w:pStyle w:val="Footer"/>
            <w:jc w:val="right"/>
            <w:rPr>
              <w:rFonts w:cs="Arial"/>
            </w:rPr>
          </w:pPr>
          <w:bookmarkStart w:id="20" w:name="DraftReportOdd"/>
          <w:bookmarkEnd w:id="20"/>
          <w:r>
            <w:t>Links between housing assistance and employment</w:t>
          </w:r>
        </w:p>
      </w:tc>
      <w:tc>
        <w:tcPr>
          <w:tcW w:w="510" w:type="dxa"/>
        </w:tcPr>
        <w:p w14:paraId="021C4C5D" w14:textId="77777777" w:rsidR="00E84663" w:rsidRPr="00A24443" w:rsidRDefault="00E84663">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52F9B">
            <w:rPr>
              <w:rStyle w:val="PageNumber"/>
              <w:caps w:val="0"/>
              <w:noProof/>
            </w:rPr>
            <w:t>215</w:t>
          </w:r>
          <w:r w:rsidRPr="00A24443">
            <w:rPr>
              <w:rStyle w:val="PageNumber"/>
              <w:caps w:val="0"/>
            </w:rPr>
            <w:fldChar w:fldCharType="end"/>
          </w:r>
        </w:p>
      </w:tc>
    </w:tr>
  </w:tbl>
  <w:p w14:paraId="2932948A" w14:textId="77777777" w:rsidR="00E84663" w:rsidRDefault="00E84663">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6D3321" w14:textId="4DBB46D6" w:rsidR="00E84663" w:rsidRDefault="00E84663">
      <w:r>
        <w:separator/>
      </w:r>
    </w:p>
  </w:footnote>
  <w:footnote w:type="continuationSeparator" w:id="0">
    <w:p w14:paraId="1E2BE98A" w14:textId="4834D325" w:rsidR="00E84663" w:rsidRDefault="00E84663">
      <w:r>
        <w:continuationSeparator/>
      </w:r>
    </w:p>
  </w:footnote>
  <w:footnote w:type="continuationNotice" w:id="1">
    <w:p w14:paraId="61878E09" w14:textId="77777777" w:rsidR="00E84663" w:rsidRPr="002D613D" w:rsidRDefault="00E84663" w:rsidP="002D613D">
      <w:pPr>
        <w:pStyle w:val="Footer"/>
        <w:spacing w:before="0"/>
        <w:rPr>
          <w:sz w:val="4"/>
          <w:szCs w:val="4"/>
        </w:rPr>
      </w:pPr>
    </w:p>
  </w:footnote>
  <w:footnote w:id="2">
    <w:p w14:paraId="05FB0AB9" w14:textId="77777777" w:rsidR="00E84663" w:rsidRDefault="00E84663" w:rsidP="007221EE">
      <w:pPr>
        <w:pStyle w:val="FootnoteText"/>
      </w:pPr>
      <w:r>
        <w:rPr>
          <w:rStyle w:val="FootnoteReference"/>
        </w:rPr>
        <w:footnoteRef/>
      </w:r>
      <w:r>
        <w:t xml:space="preserve"> </w:t>
      </w:r>
      <w:r>
        <w:tab/>
        <w:t xml:space="preserve">States and territories are referred to throughout the paper as states.  </w:t>
      </w:r>
    </w:p>
  </w:footnote>
  <w:footnote w:id="3">
    <w:p w14:paraId="0AD713B5" w14:textId="77777777" w:rsidR="00E84663" w:rsidRDefault="00E84663" w:rsidP="007221EE">
      <w:pPr>
        <w:pStyle w:val="FootnoteText"/>
      </w:pPr>
      <w:r>
        <w:rPr>
          <w:rStyle w:val="FootnoteReference"/>
        </w:rPr>
        <w:footnoteRef/>
      </w:r>
      <w:r>
        <w:tab/>
        <w:t>The administrative data used in modelling the relationship between housing assistance and employment do not identify community housing</w:t>
      </w:r>
      <w:r w:rsidRPr="008E5A61">
        <w:t xml:space="preserve"> </w:t>
      </w:r>
      <w:r>
        <w:t>residents, who are likely to receive CRA. B</w:t>
      </w:r>
      <w:r w:rsidRPr="00CC31E4">
        <w:t>ecause community housing is a relatively uncommon</w:t>
      </w:r>
      <w:r>
        <w:t xml:space="preserve"> form of</w:t>
      </w:r>
      <w:r w:rsidRPr="00CC31E4">
        <w:t xml:space="preserve"> ten</w:t>
      </w:r>
      <w:r>
        <w:t>ure</w:t>
      </w:r>
      <w:r w:rsidRPr="00CC31E4">
        <w:t>, results for CRA recipients are interpreted as if all recipients are renting privately.</w:t>
      </w:r>
    </w:p>
  </w:footnote>
  <w:footnote w:id="4">
    <w:p w14:paraId="781BB894" w14:textId="77777777" w:rsidR="00E84663" w:rsidRDefault="00E84663">
      <w:pPr>
        <w:pStyle w:val="FootnoteText"/>
      </w:pPr>
      <w:r>
        <w:rPr>
          <w:rStyle w:val="FootnoteReference"/>
        </w:rPr>
        <w:footnoteRef/>
      </w:r>
      <w:r>
        <w:tab/>
        <w:t>This background paper (BP) is one of six produced as part of a research project examining the links between housing assistance and employment.</w:t>
      </w:r>
    </w:p>
  </w:footnote>
  <w:footnote w:id="5">
    <w:p w14:paraId="5A84FDF3" w14:textId="104D4B5A" w:rsidR="00E84663" w:rsidRDefault="00E84663" w:rsidP="002812F6">
      <w:pPr>
        <w:pStyle w:val="FootnoteText"/>
      </w:pPr>
      <w:r>
        <w:rPr>
          <w:rStyle w:val="FootnoteReference"/>
        </w:rPr>
        <w:footnoteRef/>
      </w:r>
      <w:r>
        <w:t xml:space="preserve"> </w:t>
      </w:r>
      <w:r>
        <w:tab/>
        <w:t>Employment of housing assistance recipients is affected by their willingness and ability to work and employer demand for their labour. Where employers use housing assistance status to ‘screen’ possible employees, housing assistance could affect labour demand. However, as employer attitudes towards housing assistance recipients have not been previously identified in quantitative research as an impediment to the employment of housing assistance recipients, this analysis focuses on how housing assistance might affect labour supply.</w:t>
      </w:r>
    </w:p>
  </w:footnote>
  <w:footnote w:id="6">
    <w:p w14:paraId="3B0F3A9B" w14:textId="606289D2" w:rsidR="00E84663" w:rsidRDefault="00E84663">
      <w:pPr>
        <w:pStyle w:val="FootnoteText"/>
      </w:pPr>
      <w:r>
        <w:rPr>
          <w:rStyle w:val="FootnoteReference"/>
        </w:rPr>
        <w:footnoteRef/>
      </w:r>
      <w:r>
        <w:tab/>
        <w:t xml:space="preserve">The DSP withdrawal rate and threshold were current as of 19 March 2015 </w:t>
      </w:r>
      <w:r w:rsidRPr="00773607">
        <w:rPr>
          <w:szCs w:val="24"/>
        </w:rPr>
        <w:t>(DHS 2015)</w:t>
      </w:r>
      <w:r>
        <w:t>.</w:t>
      </w:r>
    </w:p>
  </w:footnote>
  <w:footnote w:id="7">
    <w:p w14:paraId="5248124A" w14:textId="77777777" w:rsidR="00E84663" w:rsidRDefault="00E84663" w:rsidP="00571749">
      <w:pPr>
        <w:pStyle w:val="FootnoteText"/>
      </w:pPr>
      <w:r>
        <w:rPr>
          <w:rStyle w:val="FootnoteReference"/>
        </w:rPr>
        <w:footnoteRef/>
      </w:r>
      <w:r>
        <w:tab/>
        <w:t>Private renters who receive Family Tax Benefit part A (with or without receiving an ISP) receive CRA as part of that payment (provided they are paying rent above a minimum threshold). In their case, CRA is withdrawn alongside other elements of the Family Tax Benefit.</w:t>
      </w:r>
    </w:p>
  </w:footnote>
  <w:footnote w:id="8">
    <w:p w14:paraId="31F293C0" w14:textId="18392379" w:rsidR="00E84663" w:rsidRPr="008E2F0B" w:rsidRDefault="00E84663" w:rsidP="00571749">
      <w:pPr>
        <w:pStyle w:val="FootnoteText"/>
        <w:rPr>
          <w:lang w:val="en-US"/>
        </w:rPr>
      </w:pPr>
      <w:r>
        <w:rPr>
          <w:rStyle w:val="FootnoteReference"/>
        </w:rPr>
        <w:footnoteRef/>
      </w:r>
      <w:r>
        <w:t xml:space="preserve"> </w:t>
      </w:r>
      <w:r>
        <w:rPr>
          <w:lang w:val="en-US"/>
        </w:rPr>
        <w:tab/>
        <w:t>Assessable income includes gross market income (except in Tasmania, where the calculation is based on net market income) and most major transfer payments (the pension supplement, for example, is not included). As market income increases, withdrawal of transfer payments means that assessable income increases by less than a dollar when market income increases by a dollar. Public housing rent increases by 25 per cent of assessable income, or a smaller percentage of the additional dollar of market income. Over the market income range that transfer payments are withdrawn, the effective marginal tax rates associated with public housing rents are less than 25 per cent (BP 2).</w:t>
      </w:r>
    </w:p>
  </w:footnote>
  <w:footnote w:id="9">
    <w:p w14:paraId="421AF1AF" w14:textId="1BE1F5CC" w:rsidR="00E84663" w:rsidRDefault="00E84663">
      <w:pPr>
        <w:pStyle w:val="FootnoteText"/>
      </w:pPr>
      <w:r>
        <w:rPr>
          <w:rStyle w:val="FootnoteReference"/>
        </w:rPr>
        <w:footnoteRef/>
      </w:r>
      <w:r>
        <w:tab/>
        <w:t xml:space="preserve">While HILDA is a longitudinal survey, the studies mentioned use cross-sectional models. For example, Dockery et al. </w:t>
      </w:r>
      <w:r w:rsidRPr="00870F42">
        <w:t>(2008)</w:t>
      </w:r>
      <w:r>
        <w:t xml:space="preserve"> estimate an employment model using a pooled cross-section of the first three waves of HILDA.</w:t>
      </w:r>
    </w:p>
  </w:footnote>
  <w:footnote w:id="10">
    <w:p w14:paraId="1EB6A49D" w14:textId="77777777" w:rsidR="00E84663" w:rsidRDefault="00E84663">
      <w:pPr>
        <w:pStyle w:val="FootnoteText"/>
      </w:pPr>
      <w:r>
        <w:rPr>
          <w:rStyle w:val="FootnoteReference"/>
        </w:rPr>
        <w:footnoteRef/>
      </w:r>
      <w:r>
        <w:tab/>
        <w:t>Employment status is inferred from earnings information in RED.</w:t>
      </w:r>
    </w:p>
  </w:footnote>
  <w:footnote w:id="11">
    <w:p w14:paraId="5FD5CCF0" w14:textId="77777777" w:rsidR="00E84663" w:rsidRDefault="00E84663">
      <w:pPr>
        <w:pStyle w:val="FootnoteText"/>
      </w:pPr>
      <w:r>
        <w:rPr>
          <w:rStyle w:val="FootnoteReference"/>
        </w:rPr>
        <w:footnoteRef/>
      </w:r>
      <w:r>
        <w:tab/>
        <w:t>The term ‘parents’ is used to refer to both parents and guardians.</w:t>
      </w:r>
    </w:p>
  </w:footnote>
  <w:footnote w:id="12">
    <w:p w14:paraId="2823EBFB" w14:textId="257FE17D" w:rsidR="00E84663" w:rsidRDefault="00E84663" w:rsidP="00571749">
      <w:pPr>
        <w:pStyle w:val="FootnoteText"/>
      </w:pPr>
      <w:r>
        <w:rPr>
          <w:rStyle w:val="FootnoteReference"/>
        </w:rPr>
        <w:footnoteRef/>
      </w:r>
      <w:r>
        <w:tab/>
      </w:r>
      <w:r w:rsidRPr="007656A5">
        <w:t>There are around 54 000 SA1s across Australia, with each area inc</w:t>
      </w:r>
      <w:r>
        <w:t>luding an average of around 400 </w:t>
      </w:r>
      <w:r w:rsidRPr="007656A5">
        <w:t>people</w:t>
      </w:r>
      <w:r>
        <w:t xml:space="preserve"> </w:t>
      </w:r>
      <w:r w:rsidRPr="00D35267">
        <w:rPr>
          <w:szCs w:val="24"/>
        </w:rPr>
        <w:t>(ABS 2010)</w:t>
      </w:r>
      <w:r w:rsidRPr="007656A5">
        <w:t>.</w:t>
      </w:r>
    </w:p>
  </w:footnote>
  <w:footnote w:id="13">
    <w:p w14:paraId="0520B907" w14:textId="77777777" w:rsidR="00E84663" w:rsidRDefault="00E84663" w:rsidP="00092F29">
      <w:pPr>
        <w:pStyle w:val="FootnoteText"/>
      </w:pPr>
      <w:r>
        <w:rPr>
          <w:rStyle w:val="FootnoteReference"/>
        </w:rPr>
        <w:footnoteRef/>
      </w:r>
      <w:r>
        <w:tab/>
        <w:t xml:space="preserve">The latent variable approach is a way of relating independent variables to a binary dependent variable. The latent variable </w:t>
      </w:r>
      <m:oMath>
        <m:sSubSup>
          <m:sSubSupPr>
            <m:ctrlPr>
              <w:rPr>
                <w:rFonts w:ascii="Cambria Math" w:hAnsi="Cambria Math"/>
                <w:i/>
              </w:rPr>
            </m:ctrlPr>
          </m:sSubSupPr>
          <m:e>
            <m:r>
              <w:rPr>
                <w:rFonts w:ascii="Cambria Math" w:hAnsi="Cambria Math"/>
              </w:rPr>
              <m:t>E</m:t>
            </m:r>
          </m:e>
          <m:sub>
            <m:r>
              <w:rPr>
                <w:rFonts w:ascii="Cambria Math" w:hAnsi="Cambria Math"/>
              </w:rPr>
              <m:t>i,t</m:t>
            </m:r>
          </m:sub>
          <m:sup>
            <m:r>
              <w:rPr>
                <w:rFonts w:ascii="Cambria Math" w:hAnsi="Cambria Math"/>
              </w:rPr>
              <m:t>*</m:t>
            </m:r>
          </m:sup>
        </m:sSubSup>
      </m:oMath>
      <w:r>
        <w:t xml:space="preserve"> can be thought of as a continuous variable indicating a person’s underlying propensity for employment, as inferred from equation [1]. Where this propensity for employment is positive (</w:t>
      </w:r>
      <m:oMath>
        <m:sSubSup>
          <m:sSubSupPr>
            <m:ctrlPr>
              <w:rPr>
                <w:rFonts w:ascii="Cambria Math" w:hAnsi="Cambria Math"/>
                <w:i/>
              </w:rPr>
            </m:ctrlPr>
          </m:sSubSupPr>
          <m:e>
            <m:r>
              <w:rPr>
                <w:rFonts w:ascii="Cambria Math" w:hAnsi="Cambria Math"/>
              </w:rPr>
              <m:t>E</m:t>
            </m:r>
          </m:e>
          <m:sub>
            <m:r>
              <w:rPr>
                <w:rFonts w:ascii="Cambria Math" w:hAnsi="Cambria Math"/>
              </w:rPr>
              <m:t>i,t</m:t>
            </m:r>
          </m:sub>
          <m:sup>
            <m:r>
              <w:rPr>
                <w:rFonts w:ascii="Cambria Math" w:hAnsi="Cambria Math"/>
              </w:rPr>
              <m:t>*</m:t>
            </m:r>
          </m:sup>
        </m:sSubSup>
        <m:r>
          <w:rPr>
            <w:rFonts w:ascii="Cambria Math" w:hAnsi="Cambria Math"/>
          </w:rPr>
          <m:t>&gt;0</m:t>
        </m:r>
      </m:oMath>
      <w:r>
        <w:t>) an individual is predicted to be employed (</w:t>
      </w:r>
      <m:oMath>
        <m:sSub>
          <m:sSubPr>
            <m:ctrlPr>
              <w:rPr>
                <w:rFonts w:ascii="Cambria Math" w:hAnsi="Cambria Math"/>
                <w:i/>
              </w:rPr>
            </m:ctrlPr>
          </m:sSubPr>
          <m:e>
            <m:r>
              <w:rPr>
                <w:rFonts w:ascii="Cambria Math" w:hAnsi="Cambria Math"/>
              </w:rPr>
              <m:t>E</m:t>
            </m:r>
          </m:e>
          <m:sub>
            <m:r>
              <w:rPr>
                <w:rFonts w:ascii="Cambria Math" w:hAnsi="Cambria Math"/>
              </w:rPr>
              <m:t>i,t</m:t>
            </m:r>
          </m:sub>
        </m:sSub>
        <m:r>
          <w:rPr>
            <w:rFonts w:ascii="Cambria Math" w:hAnsi="Cambria Math"/>
          </w:rPr>
          <m:t xml:space="preserve">=1). </m:t>
        </m:r>
      </m:oMath>
      <w:r>
        <w:t>Likewise, where an individual’s propensity for employment is equal to or less than zero (</w:t>
      </w:r>
      <m:oMath>
        <m:sSubSup>
          <m:sSubSupPr>
            <m:ctrlPr>
              <w:rPr>
                <w:rFonts w:ascii="Cambria Math" w:hAnsi="Cambria Math"/>
                <w:i/>
              </w:rPr>
            </m:ctrlPr>
          </m:sSubSupPr>
          <m:e>
            <m:r>
              <w:rPr>
                <w:rFonts w:ascii="Cambria Math" w:hAnsi="Cambria Math"/>
              </w:rPr>
              <m:t>E</m:t>
            </m:r>
          </m:e>
          <m:sub>
            <m:r>
              <w:rPr>
                <w:rFonts w:ascii="Cambria Math" w:hAnsi="Cambria Math"/>
              </w:rPr>
              <m:t>i,t</m:t>
            </m:r>
          </m:sub>
          <m:sup>
            <m:r>
              <w:rPr>
                <w:rFonts w:ascii="Cambria Math" w:hAnsi="Cambria Math"/>
              </w:rPr>
              <m:t>*</m:t>
            </m:r>
          </m:sup>
        </m:sSubSup>
        <m:r>
          <w:rPr>
            <w:rFonts w:ascii="Cambria Math" w:hAnsi="Cambria Math"/>
          </w:rPr>
          <m:t>≤0</m:t>
        </m:r>
      </m:oMath>
      <w:r>
        <w:t>), they are not predicted to be in employment (</w:t>
      </w:r>
      <m:oMath>
        <m:sSub>
          <m:sSubPr>
            <m:ctrlPr>
              <w:rPr>
                <w:rFonts w:ascii="Cambria Math" w:hAnsi="Cambria Math"/>
                <w:i/>
              </w:rPr>
            </m:ctrlPr>
          </m:sSubPr>
          <m:e>
            <m:r>
              <w:rPr>
                <w:rFonts w:ascii="Cambria Math" w:hAnsi="Cambria Math"/>
              </w:rPr>
              <m:t>E</m:t>
            </m:r>
          </m:e>
          <m:sub>
            <m:r>
              <w:rPr>
                <w:rFonts w:ascii="Cambria Math" w:hAnsi="Cambria Math"/>
              </w:rPr>
              <m:t>i,t</m:t>
            </m:r>
          </m:sub>
        </m:sSub>
        <m:r>
          <w:rPr>
            <w:rFonts w:ascii="Cambria Math" w:hAnsi="Cambria Math"/>
          </w:rPr>
          <m:t>=0).</m:t>
        </m:r>
      </m:oMath>
      <w:r>
        <w:t xml:space="preserve"> See Wooldridge (2002) for a technical explanation of latent variable models.</w:t>
      </w:r>
    </w:p>
  </w:footnote>
  <w:footnote w:id="14">
    <w:p w14:paraId="536707E6" w14:textId="5C6D6FD3" w:rsidR="00E84663" w:rsidRDefault="00E84663">
      <w:pPr>
        <w:pStyle w:val="FootnoteText"/>
      </w:pPr>
      <w:r>
        <w:rPr>
          <w:rStyle w:val="FootnoteReference"/>
        </w:rPr>
        <w:footnoteRef/>
      </w:r>
      <w:r>
        <w:tab/>
        <w:t>The choice of logit or probit model makes little difference to the results reported here. When calculated with a probit model (using pooled cross-sectional data), the marginal effect of public housing on employment is 6.0 per cent. In comparison the same marginal effect using a logit model is 6.3 per cent.</w:t>
      </w:r>
    </w:p>
  </w:footnote>
  <w:footnote w:id="15">
    <w:p w14:paraId="32A6F1E6" w14:textId="77777777" w:rsidR="00E84663" w:rsidRDefault="00E84663" w:rsidP="004A213E">
      <w:pPr>
        <w:pStyle w:val="FootnoteText"/>
      </w:pPr>
      <w:r>
        <w:rPr>
          <w:rStyle w:val="FootnoteReference"/>
        </w:rPr>
        <w:footnoteRef/>
      </w:r>
      <w:r>
        <w:tab/>
        <w:t>An indicator of whether a partner also received an ISP was examined, but was found to be highly collinear with marital status.</w:t>
      </w:r>
    </w:p>
  </w:footnote>
  <w:footnote w:id="16">
    <w:p w14:paraId="499ADB3F" w14:textId="779D5ED9" w:rsidR="00E84663" w:rsidRDefault="00E84663" w:rsidP="00571749">
      <w:pPr>
        <w:pStyle w:val="FootnoteText"/>
      </w:pPr>
      <w:r>
        <w:rPr>
          <w:rStyle w:val="FootnoteReference"/>
        </w:rPr>
        <w:footnoteRef/>
      </w:r>
      <w:r>
        <w:tab/>
        <w:t xml:space="preserve">Endogeneity refers to correlation between a dependent variable and the error term, that results in a biased coefficient. It is necessary to account for possible endogeneity to ensure that the coefficient associated with a particular variable is unbiased. </w:t>
      </w:r>
    </w:p>
  </w:footnote>
  <w:footnote w:id="17">
    <w:p w14:paraId="54D9DFCB" w14:textId="77777777" w:rsidR="00E84663" w:rsidRDefault="00E84663" w:rsidP="0068627E">
      <w:pPr>
        <w:pStyle w:val="FootnoteText"/>
      </w:pPr>
      <w:r>
        <w:rPr>
          <w:rStyle w:val="FootnoteReference"/>
        </w:rPr>
        <w:footnoteRef/>
      </w:r>
      <w:r>
        <w:tab/>
        <w:t>Shorter lag periods were examined using monthly panels of data, but involved insufficient variation to obtain meaningful results.</w:t>
      </w:r>
    </w:p>
  </w:footnote>
  <w:footnote w:id="18">
    <w:p w14:paraId="456B5BC4" w14:textId="2DE08406" w:rsidR="00E84663" w:rsidRDefault="00E84663" w:rsidP="00571749">
      <w:pPr>
        <w:pStyle w:val="FootnoteText"/>
      </w:pPr>
      <w:r>
        <w:rPr>
          <w:rStyle w:val="FootnoteReference"/>
        </w:rPr>
        <w:footnoteRef/>
      </w:r>
      <w:r>
        <w:tab/>
        <w:t>Unobserved factors are all factors that are not included in the available dataset. In comparison, unobservable factors are all factors that are unmeasurable and can therefore never be observed. Omission of unobserved (and unobservable) factors will bias the coefficients on the observed factors where they are correlated with the observed factors. If uncorrelated, then the absence of factors that do matter for the outcomes from the model increases the standard error.</w:t>
      </w:r>
    </w:p>
  </w:footnote>
  <w:footnote w:id="19">
    <w:p w14:paraId="42AC530F" w14:textId="77777777" w:rsidR="00E84663" w:rsidRDefault="00E84663">
      <w:pPr>
        <w:pStyle w:val="FootnoteText"/>
      </w:pPr>
      <w:r>
        <w:rPr>
          <w:rStyle w:val="FootnoteReference"/>
        </w:rPr>
        <w:footnoteRef/>
      </w:r>
      <w:r>
        <w:tab/>
      </w:r>
      <w:r w:rsidRPr="005E2B66">
        <w:t xml:space="preserve">In other words, random effects models assume that each person’s individual-specific and time-invariant value for </w:t>
      </w:r>
      <m:oMath>
        <m:sSub>
          <m:sSubPr>
            <m:ctrlPr>
              <w:rPr>
                <w:rFonts w:ascii="Cambria Math" w:hAnsi="Cambria Math"/>
                <w:i/>
              </w:rPr>
            </m:ctrlPr>
          </m:sSubPr>
          <m:e>
            <m:r>
              <w:rPr>
                <w:rFonts w:ascii="Cambria Math" w:hAnsi="Cambria Math"/>
              </w:rPr>
              <m:t>c</m:t>
            </m:r>
          </m:e>
          <m:sub>
            <m:r>
              <w:rPr>
                <w:rFonts w:ascii="Cambria Math" w:hAnsi="Cambria Math"/>
              </w:rPr>
              <m:t>i</m:t>
            </m:r>
          </m:sub>
        </m:sSub>
      </m:oMath>
      <w:r w:rsidRPr="005E2B66">
        <w:t xml:space="preserve"> — that represents their unobserved characteristics — is randomly distributed around zero, meaning that the value for </w:t>
      </w:r>
      <m:oMath>
        <m:sSub>
          <m:sSubPr>
            <m:ctrlPr>
              <w:rPr>
                <w:rFonts w:ascii="Cambria Math" w:hAnsi="Cambria Math"/>
                <w:i/>
              </w:rPr>
            </m:ctrlPr>
          </m:sSubPr>
          <m:e>
            <m:r>
              <w:rPr>
                <w:rFonts w:ascii="Cambria Math" w:hAnsi="Cambria Math"/>
              </w:rPr>
              <m:t>c</m:t>
            </m:r>
          </m:e>
          <m:sub>
            <m:r>
              <w:rPr>
                <w:rFonts w:ascii="Cambria Math" w:hAnsi="Cambria Math"/>
              </w:rPr>
              <m:t>i</m:t>
            </m:r>
          </m:sub>
        </m:sSub>
      </m:oMath>
      <w:r w:rsidRPr="005E2B66">
        <w:t xml:space="preserve"> is zero for the average person.</w:t>
      </w:r>
    </w:p>
  </w:footnote>
  <w:footnote w:id="20">
    <w:p w14:paraId="67FB2CA8" w14:textId="4DFE99C1" w:rsidR="00E84663" w:rsidRPr="000A0387" w:rsidRDefault="00E84663" w:rsidP="00571749">
      <w:pPr>
        <w:pStyle w:val="FootnoteText"/>
        <w:rPr>
          <w:spacing w:val="-2"/>
        </w:rPr>
      </w:pPr>
      <w:r w:rsidRPr="000A0387">
        <w:rPr>
          <w:rStyle w:val="FootnoteReference"/>
          <w:spacing w:val="-2"/>
        </w:rPr>
        <w:footnoteRef/>
      </w:r>
      <w:r w:rsidRPr="000A0387">
        <w:rPr>
          <w:spacing w:val="-2"/>
        </w:rPr>
        <w:tab/>
        <w:t>Both random and fixed effects models were considered. As per Greene (2008), a Hausman test showed that the data are not consistent with the random effects assumption. A linear model did not fit the data well; nonparametric classification models were not considered within this project because of time constraints.</w:t>
      </w:r>
    </w:p>
  </w:footnote>
  <w:footnote w:id="21">
    <w:p w14:paraId="29ED0A71" w14:textId="338D2CA7" w:rsidR="00E84663" w:rsidRDefault="00E84663" w:rsidP="001743D3">
      <w:pPr>
        <w:pStyle w:val="FootnoteText"/>
      </w:pPr>
      <w:r>
        <w:rPr>
          <w:rStyle w:val="FootnoteReference"/>
        </w:rPr>
        <w:footnoteRef/>
      </w:r>
      <w:r>
        <w:tab/>
        <w:t xml:space="preserve">For example, </w:t>
      </w:r>
      <w:r w:rsidRPr="00D231B1">
        <w:t>New South Wales has offered fixed term leases to new tenants</w:t>
      </w:r>
      <w:r>
        <w:t xml:space="preserve"> since 2006, whereas public housing residents in Victoria have ongoing tenure. Differences in public housing arrangements across states are discussed in section 4 of BP 1.</w:t>
      </w:r>
    </w:p>
  </w:footnote>
  <w:footnote w:id="22">
    <w:p w14:paraId="05B649A0" w14:textId="77777777" w:rsidR="00E84663" w:rsidRDefault="00E84663" w:rsidP="00BD339C">
      <w:pPr>
        <w:pStyle w:val="FootnoteText"/>
      </w:pPr>
      <w:r>
        <w:rPr>
          <w:rStyle w:val="FootnoteReference"/>
        </w:rPr>
        <w:footnoteRef/>
      </w:r>
      <w:r>
        <w:tab/>
        <w:t xml:space="preserve">While it may be reasonable to assume that the education levels of adult ISP recipients remain unchanged over time, this assumption is unlikely to be realistic for many young people. </w:t>
      </w:r>
    </w:p>
  </w:footnote>
  <w:footnote w:id="23">
    <w:p w14:paraId="3D3337EC" w14:textId="77777777" w:rsidR="00E84663" w:rsidRDefault="00E84663" w:rsidP="00571749">
      <w:pPr>
        <w:pStyle w:val="FootnoteText"/>
      </w:pPr>
      <w:r>
        <w:rPr>
          <w:rStyle w:val="FootnoteReference"/>
        </w:rPr>
        <w:footnoteRef/>
      </w:r>
      <w:r>
        <w:tab/>
        <w:t>This is achieved by interacting housing assistance with both the state/territory variables and the ISP variables. Odds ratios for the interaction terms are presented in annex A.</w:t>
      </w:r>
    </w:p>
  </w:footnote>
  <w:footnote w:id="24">
    <w:p w14:paraId="70F5266F" w14:textId="3FD1A4C4" w:rsidR="00E84663" w:rsidRDefault="00E84663">
      <w:pPr>
        <w:pStyle w:val="FootnoteText"/>
      </w:pPr>
      <w:r>
        <w:rPr>
          <w:rStyle w:val="FootnoteReference"/>
        </w:rPr>
        <w:footnoteRef/>
      </w:r>
      <w:r>
        <w:tab/>
        <w:t>Neighbourhood disadvantage was controlled for in the pooled cross-sectional models, but the effect was not analysed in view of the unobserved variable bias problem in those models.</w:t>
      </w:r>
    </w:p>
  </w:footnote>
  <w:footnote w:id="25">
    <w:p w14:paraId="07D05807" w14:textId="77777777" w:rsidR="00E84663" w:rsidRDefault="00E84663">
      <w:pPr>
        <w:pStyle w:val="FootnoteText"/>
      </w:pPr>
      <w:r>
        <w:rPr>
          <w:rStyle w:val="FootnoteReference"/>
        </w:rPr>
        <w:footnoteRef/>
      </w:r>
      <w:r>
        <w:tab/>
        <w:t>Results for the fixed effects logit model that was applied only to residents of public housing are included in annex A. In contrast to the other model specifications shown in this paper, a categorical variable describing neighbourhood disadvantage was used in this specification. This was to allow for the possibility that disadvantage may only have an employment effect beyond a particular threshold.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84663" w14:paraId="47D2AF39" w14:textId="77777777">
      <w:tc>
        <w:tcPr>
          <w:tcW w:w="2155" w:type="dxa"/>
          <w:tcBorders>
            <w:top w:val="single" w:sz="24" w:space="0" w:color="auto"/>
          </w:tcBorders>
        </w:tcPr>
        <w:p w14:paraId="488B33FC" w14:textId="77777777" w:rsidR="00E84663" w:rsidRDefault="00E84663">
          <w:pPr>
            <w:pStyle w:val="HeaderEven"/>
          </w:pPr>
        </w:p>
      </w:tc>
      <w:tc>
        <w:tcPr>
          <w:tcW w:w="6634" w:type="dxa"/>
          <w:tcBorders>
            <w:top w:val="single" w:sz="6" w:space="0" w:color="auto"/>
          </w:tcBorders>
        </w:tcPr>
        <w:p w14:paraId="1F562B95" w14:textId="77777777" w:rsidR="00E84663" w:rsidRDefault="00E84663">
          <w:pPr>
            <w:pStyle w:val="HeaderEven"/>
          </w:pPr>
        </w:p>
      </w:tc>
    </w:tr>
  </w:tbl>
  <w:p w14:paraId="7898EB1B" w14:textId="77777777" w:rsidR="00E84663" w:rsidRDefault="00E84663">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84663" w14:paraId="2C0414BE" w14:textId="77777777">
      <w:tc>
        <w:tcPr>
          <w:tcW w:w="6634" w:type="dxa"/>
          <w:tcBorders>
            <w:top w:val="single" w:sz="6" w:space="0" w:color="auto"/>
          </w:tcBorders>
        </w:tcPr>
        <w:p w14:paraId="607C9BF2" w14:textId="77777777" w:rsidR="00E84663" w:rsidRDefault="00E84663">
          <w:pPr>
            <w:pStyle w:val="HeaderOdd"/>
          </w:pPr>
        </w:p>
      </w:tc>
      <w:tc>
        <w:tcPr>
          <w:tcW w:w="2155" w:type="dxa"/>
          <w:tcBorders>
            <w:top w:val="single" w:sz="24" w:space="0" w:color="auto"/>
          </w:tcBorders>
        </w:tcPr>
        <w:p w14:paraId="27776FAD" w14:textId="77777777" w:rsidR="00E84663" w:rsidRDefault="00E84663">
          <w:pPr>
            <w:pStyle w:val="HeaderOdd"/>
          </w:pPr>
        </w:p>
      </w:tc>
    </w:tr>
  </w:tbl>
  <w:p w14:paraId="339C8F25" w14:textId="77777777" w:rsidR="00E84663" w:rsidRDefault="00E84663">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B777F5" w14:textId="77777777" w:rsidR="00E84663" w:rsidRDefault="00E84663">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F5DE6" w14:textId="77777777" w:rsidR="00E84663" w:rsidRDefault="00E84663">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E84663" w14:paraId="6D066F8E" w14:textId="77777777">
      <w:tc>
        <w:tcPr>
          <w:tcW w:w="2155" w:type="dxa"/>
          <w:tcBorders>
            <w:top w:val="single" w:sz="24" w:space="0" w:color="auto"/>
          </w:tcBorders>
        </w:tcPr>
        <w:p w14:paraId="55F08F7D" w14:textId="77777777" w:rsidR="00E84663" w:rsidRDefault="00E84663" w:rsidP="0019293B">
          <w:pPr>
            <w:pStyle w:val="HeaderEven"/>
          </w:pPr>
        </w:p>
      </w:tc>
      <w:tc>
        <w:tcPr>
          <w:tcW w:w="6634" w:type="dxa"/>
          <w:tcBorders>
            <w:top w:val="single" w:sz="6" w:space="0" w:color="auto"/>
          </w:tcBorders>
        </w:tcPr>
        <w:p w14:paraId="08BD9B96" w14:textId="77777777" w:rsidR="00E84663" w:rsidRDefault="00E84663" w:rsidP="0019293B">
          <w:pPr>
            <w:pStyle w:val="HeaderEven"/>
          </w:pPr>
        </w:p>
      </w:tc>
    </w:tr>
  </w:tbl>
  <w:p w14:paraId="2AF27EEB" w14:textId="77777777" w:rsidR="00E84663" w:rsidRDefault="00E84663" w:rsidP="0019293B">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E84663" w14:paraId="5C7F4E8C" w14:textId="77777777">
      <w:tc>
        <w:tcPr>
          <w:tcW w:w="6634" w:type="dxa"/>
          <w:tcBorders>
            <w:top w:val="single" w:sz="6" w:space="0" w:color="auto"/>
          </w:tcBorders>
        </w:tcPr>
        <w:p w14:paraId="5AFE3805" w14:textId="77777777" w:rsidR="00E84663" w:rsidRDefault="00E84663" w:rsidP="00E669E2">
          <w:pPr>
            <w:pStyle w:val="HeaderOdd"/>
          </w:pPr>
        </w:p>
      </w:tc>
      <w:tc>
        <w:tcPr>
          <w:tcW w:w="2155" w:type="dxa"/>
          <w:tcBorders>
            <w:top w:val="single" w:sz="24" w:space="0" w:color="auto"/>
          </w:tcBorders>
        </w:tcPr>
        <w:p w14:paraId="65B7F001" w14:textId="77777777" w:rsidR="00E84663" w:rsidRDefault="00E84663" w:rsidP="00E669E2">
          <w:pPr>
            <w:pStyle w:val="HeaderOdd"/>
          </w:pPr>
        </w:p>
      </w:tc>
    </w:tr>
  </w:tbl>
  <w:p w14:paraId="1AF53830" w14:textId="77777777" w:rsidR="00E84663" w:rsidRDefault="00E84663"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A72A6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0F84F6C"/>
    <w:lvl w:ilvl="0">
      <w:start w:val="1"/>
      <w:numFmt w:val="decimal"/>
      <w:lvlText w:val="%1."/>
      <w:lvlJc w:val="left"/>
      <w:pPr>
        <w:tabs>
          <w:tab w:val="num" w:pos="1492"/>
        </w:tabs>
        <w:ind w:left="1492" w:hanging="360"/>
      </w:pPr>
    </w:lvl>
  </w:abstractNum>
  <w:abstractNum w:abstractNumId="2">
    <w:nsid w:val="FFFFFF7D"/>
    <w:multiLevelType w:val="singleLevel"/>
    <w:tmpl w:val="FCC81412"/>
    <w:lvl w:ilvl="0">
      <w:start w:val="1"/>
      <w:numFmt w:val="decimal"/>
      <w:lvlText w:val="%1."/>
      <w:lvlJc w:val="left"/>
      <w:pPr>
        <w:tabs>
          <w:tab w:val="num" w:pos="1209"/>
        </w:tabs>
        <w:ind w:left="1209" w:hanging="360"/>
      </w:pPr>
    </w:lvl>
  </w:abstractNum>
  <w:abstractNum w:abstractNumId="3">
    <w:nsid w:val="FFFFFF80"/>
    <w:multiLevelType w:val="singleLevel"/>
    <w:tmpl w:val="9D8A47D8"/>
    <w:lvl w:ilvl="0">
      <w:start w:val="1"/>
      <w:numFmt w:val="bullet"/>
      <w:lvlText w:val=""/>
      <w:lvlJc w:val="left"/>
      <w:pPr>
        <w:tabs>
          <w:tab w:val="num" w:pos="1492"/>
        </w:tabs>
        <w:ind w:left="1492" w:hanging="360"/>
      </w:pPr>
      <w:rPr>
        <w:rFonts w:ascii="Symbol" w:hAnsi="Symbol" w:hint="default"/>
      </w:rPr>
    </w:lvl>
  </w:abstractNum>
  <w:abstractNum w:abstractNumId="4">
    <w:nsid w:val="FFFFFF81"/>
    <w:multiLevelType w:val="singleLevel"/>
    <w:tmpl w:val="38DA541A"/>
    <w:lvl w:ilvl="0">
      <w:start w:val="1"/>
      <w:numFmt w:val="bullet"/>
      <w:lvlText w:val=""/>
      <w:lvlJc w:val="left"/>
      <w:pPr>
        <w:tabs>
          <w:tab w:val="num" w:pos="1209"/>
        </w:tabs>
        <w:ind w:left="1209" w:hanging="360"/>
      </w:pPr>
      <w:rPr>
        <w:rFonts w:ascii="Symbol" w:hAnsi="Symbol" w:hint="default"/>
      </w:rPr>
    </w:lvl>
  </w:abstractNum>
  <w:abstractNum w:abstractNumId="5">
    <w:nsid w:val="FFFFFF82"/>
    <w:multiLevelType w:val="singleLevel"/>
    <w:tmpl w:val="3A3A2F08"/>
    <w:lvl w:ilvl="0">
      <w:start w:val="1"/>
      <w:numFmt w:val="bullet"/>
      <w:lvlText w:val=""/>
      <w:lvlJc w:val="left"/>
      <w:pPr>
        <w:tabs>
          <w:tab w:val="num" w:pos="926"/>
        </w:tabs>
        <w:ind w:left="926" w:hanging="360"/>
      </w:pPr>
      <w:rPr>
        <w:rFonts w:ascii="Symbol" w:hAnsi="Symbol" w:hint="default"/>
      </w:rPr>
    </w:lvl>
  </w:abstractNum>
  <w:abstractNum w:abstractNumId="6">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7">
    <w:nsid w:val="FFFFFFFE"/>
    <w:multiLevelType w:val="singleLevel"/>
    <w:tmpl w:val="FFFFFFFF"/>
    <w:lvl w:ilvl="0">
      <w:numFmt w:val="decimal"/>
      <w:lvlText w:val="*"/>
      <w:lvlJc w:val="left"/>
    </w:lvl>
  </w:abstractNum>
  <w:abstractNum w:abstractNumId="8">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5082942"/>
    <w:multiLevelType w:val="hybridMultilevel"/>
    <w:tmpl w:val="1E18C354"/>
    <w:lvl w:ilvl="0" w:tplc="4CE8E732">
      <w:start w:val="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2">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5">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19D36613"/>
    <w:multiLevelType w:val="hybridMultilevel"/>
    <w:tmpl w:val="72FED57E"/>
    <w:lvl w:ilvl="0" w:tplc="0C090001">
      <w:start w:val="1"/>
      <w:numFmt w:val="bullet"/>
      <w:lvlText w:val=""/>
      <w:lvlJc w:val="left"/>
      <w:pPr>
        <w:ind w:left="781" w:hanging="360"/>
      </w:pPr>
      <w:rPr>
        <w:rFonts w:ascii="Symbol" w:hAnsi="Symbol" w:hint="default"/>
      </w:rPr>
    </w:lvl>
    <w:lvl w:ilvl="1" w:tplc="0C090003" w:tentative="1">
      <w:start w:val="1"/>
      <w:numFmt w:val="bullet"/>
      <w:lvlText w:val="o"/>
      <w:lvlJc w:val="left"/>
      <w:pPr>
        <w:ind w:left="1501" w:hanging="360"/>
      </w:pPr>
      <w:rPr>
        <w:rFonts w:ascii="Courier New" w:hAnsi="Courier New" w:cs="Courier New" w:hint="default"/>
      </w:rPr>
    </w:lvl>
    <w:lvl w:ilvl="2" w:tplc="0C090005" w:tentative="1">
      <w:start w:val="1"/>
      <w:numFmt w:val="bullet"/>
      <w:lvlText w:val=""/>
      <w:lvlJc w:val="left"/>
      <w:pPr>
        <w:ind w:left="2221" w:hanging="360"/>
      </w:pPr>
      <w:rPr>
        <w:rFonts w:ascii="Wingdings" w:hAnsi="Wingdings" w:hint="default"/>
      </w:rPr>
    </w:lvl>
    <w:lvl w:ilvl="3" w:tplc="0C090001" w:tentative="1">
      <w:start w:val="1"/>
      <w:numFmt w:val="bullet"/>
      <w:lvlText w:val=""/>
      <w:lvlJc w:val="left"/>
      <w:pPr>
        <w:ind w:left="2941" w:hanging="360"/>
      </w:pPr>
      <w:rPr>
        <w:rFonts w:ascii="Symbol" w:hAnsi="Symbol" w:hint="default"/>
      </w:rPr>
    </w:lvl>
    <w:lvl w:ilvl="4" w:tplc="0C090003" w:tentative="1">
      <w:start w:val="1"/>
      <w:numFmt w:val="bullet"/>
      <w:lvlText w:val="o"/>
      <w:lvlJc w:val="left"/>
      <w:pPr>
        <w:ind w:left="3661" w:hanging="360"/>
      </w:pPr>
      <w:rPr>
        <w:rFonts w:ascii="Courier New" w:hAnsi="Courier New" w:cs="Courier New" w:hint="default"/>
      </w:rPr>
    </w:lvl>
    <w:lvl w:ilvl="5" w:tplc="0C090005" w:tentative="1">
      <w:start w:val="1"/>
      <w:numFmt w:val="bullet"/>
      <w:lvlText w:val=""/>
      <w:lvlJc w:val="left"/>
      <w:pPr>
        <w:ind w:left="4381" w:hanging="360"/>
      </w:pPr>
      <w:rPr>
        <w:rFonts w:ascii="Wingdings" w:hAnsi="Wingdings" w:hint="default"/>
      </w:rPr>
    </w:lvl>
    <w:lvl w:ilvl="6" w:tplc="0C090001" w:tentative="1">
      <w:start w:val="1"/>
      <w:numFmt w:val="bullet"/>
      <w:lvlText w:val=""/>
      <w:lvlJc w:val="left"/>
      <w:pPr>
        <w:ind w:left="5101" w:hanging="360"/>
      </w:pPr>
      <w:rPr>
        <w:rFonts w:ascii="Symbol" w:hAnsi="Symbol" w:hint="default"/>
      </w:rPr>
    </w:lvl>
    <w:lvl w:ilvl="7" w:tplc="0C090003" w:tentative="1">
      <w:start w:val="1"/>
      <w:numFmt w:val="bullet"/>
      <w:lvlText w:val="o"/>
      <w:lvlJc w:val="left"/>
      <w:pPr>
        <w:ind w:left="5821" w:hanging="360"/>
      </w:pPr>
      <w:rPr>
        <w:rFonts w:ascii="Courier New" w:hAnsi="Courier New" w:cs="Courier New" w:hint="default"/>
      </w:rPr>
    </w:lvl>
    <w:lvl w:ilvl="8" w:tplc="0C090005" w:tentative="1">
      <w:start w:val="1"/>
      <w:numFmt w:val="bullet"/>
      <w:lvlText w:val=""/>
      <w:lvlJc w:val="left"/>
      <w:pPr>
        <w:ind w:left="6541" w:hanging="360"/>
      </w:pPr>
      <w:rPr>
        <w:rFonts w:ascii="Wingdings" w:hAnsi="Wingdings" w:hint="default"/>
      </w:rPr>
    </w:lvl>
  </w:abstractNum>
  <w:abstractNum w:abstractNumId="17">
    <w:nsid w:val="20DF5278"/>
    <w:multiLevelType w:val="hybridMultilevel"/>
    <w:tmpl w:val="70AE523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9">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nsid w:val="2DF426B6"/>
    <w:multiLevelType w:val="hybridMultilevel"/>
    <w:tmpl w:val="91B08506"/>
    <w:lvl w:ilvl="0" w:tplc="78002C58">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22">
    <w:nsid w:val="370867C1"/>
    <w:multiLevelType w:val="hybridMultilevel"/>
    <w:tmpl w:val="F8B62B7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3EB85744"/>
    <w:multiLevelType w:val="hybridMultilevel"/>
    <w:tmpl w:val="4008D96A"/>
    <w:lvl w:ilvl="0" w:tplc="84B46B50">
      <w:start w:val="1"/>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411F7CEF"/>
    <w:multiLevelType w:val="hybridMultilevel"/>
    <w:tmpl w:val="CB16A01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30">
    <w:nsid w:val="5C852BBC"/>
    <w:multiLevelType w:val="hybridMultilevel"/>
    <w:tmpl w:val="6DC835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63BC7EAA"/>
    <w:multiLevelType w:val="hybridMultilevel"/>
    <w:tmpl w:val="3322F00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34">
    <w:nsid w:val="64682FEE"/>
    <w:multiLevelType w:val="hybridMultilevel"/>
    <w:tmpl w:val="43A44EB4"/>
    <w:lvl w:ilvl="0" w:tplc="8AECF178">
      <w:start w:val="1"/>
      <w:numFmt w:val="decimal"/>
      <w:lvlText w:val="%1."/>
      <w:lvlJc w:val="left"/>
      <w:pPr>
        <w:ind w:left="700" w:hanging="36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35">
    <w:nsid w:val="6E52119E"/>
    <w:multiLevelType w:val="hybridMultilevel"/>
    <w:tmpl w:val="03DA32AA"/>
    <w:lvl w:ilvl="0" w:tplc="EC24C758">
      <w:start w:val="4"/>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nsid w:val="726446CE"/>
    <w:multiLevelType w:val="hybridMultilevel"/>
    <w:tmpl w:val="188065B2"/>
    <w:lvl w:ilvl="0" w:tplc="2C6C85A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7">
    <w:nsid w:val="741E6FDE"/>
    <w:multiLevelType w:val="hybridMultilevel"/>
    <w:tmpl w:val="CF626798"/>
    <w:lvl w:ilvl="0" w:tplc="5E125972">
      <w:start w:val="3"/>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3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21"/>
  </w:num>
  <w:num w:numId="2">
    <w:abstractNumId w:val="8"/>
  </w:num>
  <w:num w:numId="3">
    <w:abstractNumId w:val="26"/>
  </w:num>
  <w:num w:numId="4">
    <w:abstractNumId w:val="9"/>
  </w:num>
  <w:num w:numId="5">
    <w:abstractNumId w:val="33"/>
  </w:num>
  <w:num w:numId="6">
    <w:abstractNumId w:val="28"/>
  </w:num>
  <w:num w:numId="7">
    <w:abstractNumId w:val="14"/>
  </w:num>
  <w:num w:numId="8">
    <w:abstractNumId w:val="27"/>
  </w:num>
  <w:num w:numId="9">
    <w:abstractNumId w:val="13"/>
  </w:num>
  <w:num w:numId="10">
    <w:abstractNumId w:val="12"/>
  </w:num>
  <w:num w:numId="11">
    <w:abstractNumId w:val="18"/>
  </w:num>
  <w:num w:numId="12">
    <w:abstractNumId w:val="19"/>
  </w:num>
  <w:num w:numId="13">
    <w:abstractNumId w:val="11"/>
  </w:num>
  <w:num w:numId="14">
    <w:abstractNumId w:val="29"/>
  </w:num>
  <w:num w:numId="15">
    <w:abstractNumId w:val="38"/>
  </w:num>
  <w:num w:numId="16">
    <w:abstractNumId w:val="25"/>
  </w:num>
  <w:num w:numId="17">
    <w:abstractNumId w:val="39"/>
  </w:num>
  <w:num w:numId="18">
    <w:abstractNumId w:val="6"/>
  </w:num>
  <w:num w:numId="19">
    <w:abstractNumId w:val="7"/>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31"/>
  </w:num>
  <w:num w:numId="21">
    <w:abstractNumId w:val="15"/>
  </w:num>
  <w:num w:numId="22">
    <w:abstractNumId w:val="24"/>
  </w:num>
  <w:num w:numId="23">
    <w:abstractNumId w:val="36"/>
  </w:num>
  <w:num w:numId="24">
    <w:abstractNumId w:val="22"/>
  </w:num>
  <w:num w:numId="25">
    <w:abstractNumId w:val="35"/>
  </w:num>
  <w:num w:numId="26">
    <w:abstractNumId w:val="10"/>
  </w:num>
  <w:num w:numId="27">
    <w:abstractNumId w:val="5"/>
  </w:num>
  <w:num w:numId="28">
    <w:abstractNumId w:val="37"/>
  </w:num>
  <w:num w:numId="29">
    <w:abstractNumId w:val="17"/>
  </w:num>
  <w:num w:numId="30">
    <w:abstractNumId w:val="30"/>
  </w:num>
  <w:num w:numId="31">
    <w:abstractNumId w:val="23"/>
  </w:num>
  <w:num w:numId="32">
    <w:abstractNumId w:val="34"/>
  </w:num>
  <w:num w:numId="33">
    <w:abstractNumId w:val="20"/>
  </w:num>
  <w:num w:numId="34">
    <w:abstractNumId w:val="4"/>
  </w:num>
  <w:num w:numId="35">
    <w:abstractNumId w:val="3"/>
  </w:num>
  <w:num w:numId="36">
    <w:abstractNumId w:val="2"/>
  </w:num>
  <w:num w:numId="37">
    <w:abstractNumId w:val="1"/>
  </w:num>
  <w:num w:numId="38">
    <w:abstractNumId w:val="0"/>
  </w:num>
  <w:num w:numId="39">
    <w:abstractNumId w:val="16"/>
  </w:num>
  <w:num w:numId="40">
    <w:abstractNumId w:val="3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Housing assistance and employment"/>
    <w:docVar w:name="ShortReportTitle" w:val="Background Paper No. 5"/>
  </w:docVars>
  <w:rsids>
    <w:rsidRoot w:val="00571749"/>
    <w:rsid w:val="0000071F"/>
    <w:rsid w:val="00001021"/>
    <w:rsid w:val="000010F9"/>
    <w:rsid w:val="000109AD"/>
    <w:rsid w:val="00017503"/>
    <w:rsid w:val="000227D5"/>
    <w:rsid w:val="000235FD"/>
    <w:rsid w:val="000245AA"/>
    <w:rsid w:val="0003664B"/>
    <w:rsid w:val="0003690B"/>
    <w:rsid w:val="0004072E"/>
    <w:rsid w:val="00040AD8"/>
    <w:rsid w:val="0004111F"/>
    <w:rsid w:val="00042C24"/>
    <w:rsid w:val="00050DAA"/>
    <w:rsid w:val="00050EEF"/>
    <w:rsid w:val="00055077"/>
    <w:rsid w:val="00056061"/>
    <w:rsid w:val="000565B3"/>
    <w:rsid w:val="00056F22"/>
    <w:rsid w:val="00063BC3"/>
    <w:rsid w:val="00071165"/>
    <w:rsid w:val="0007150B"/>
    <w:rsid w:val="000835FD"/>
    <w:rsid w:val="00086A65"/>
    <w:rsid w:val="000901CA"/>
    <w:rsid w:val="000909B0"/>
    <w:rsid w:val="00090F08"/>
    <w:rsid w:val="000916E2"/>
    <w:rsid w:val="00092F29"/>
    <w:rsid w:val="00093418"/>
    <w:rsid w:val="000938F5"/>
    <w:rsid w:val="00095663"/>
    <w:rsid w:val="00096E55"/>
    <w:rsid w:val="0009783E"/>
    <w:rsid w:val="000A0387"/>
    <w:rsid w:val="000A2BB1"/>
    <w:rsid w:val="000A4069"/>
    <w:rsid w:val="000A5BE1"/>
    <w:rsid w:val="000B1022"/>
    <w:rsid w:val="000B4772"/>
    <w:rsid w:val="000B601B"/>
    <w:rsid w:val="000C1B92"/>
    <w:rsid w:val="000C207E"/>
    <w:rsid w:val="000D0C74"/>
    <w:rsid w:val="000D25EF"/>
    <w:rsid w:val="000D41E9"/>
    <w:rsid w:val="000D4FEF"/>
    <w:rsid w:val="000D58C9"/>
    <w:rsid w:val="000D5A00"/>
    <w:rsid w:val="000D68F4"/>
    <w:rsid w:val="000E2809"/>
    <w:rsid w:val="000E4747"/>
    <w:rsid w:val="000F0035"/>
    <w:rsid w:val="000F04E7"/>
    <w:rsid w:val="000F060A"/>
    <w:rsid w:val="000F420B"/>
    <w:rsid w:val="000F5520"/>
    <w:rsid w:val="000F59B8"/>
    <w:rsid w:val="000F7FFA"/>
    <w:rsid w:val="001001BA"/>
    <w:rsid w:val="001035C8"/>
    <w:rsid w:val="0010696F"/>
    <w:rsid w:val="00106998"/>
    <w:rsid w:val="00110116"/>
    <w:rsid w:val="0011131D"/>
    <w:rsid w:val="00112176"/>
    <w:rsid w:val="00120072"/>
    <w:rsid w:val="001258ED"/>
    <w:rsid w:val="0012694E"/>
    <w:rsid w:val="00126EB8"/>
    <w:rsid w:val="001274D4"/>
    <w:rsid w:val="001363AA"/>
    <w:rsid w:val="0013739A"/>
    <w:rsid w:val="0014063D"/>
    <w:rsid w:val="00142165"/>
    <w:rsid w:val="00152D17"/>
    <w:rsid w:val="00160904"/>
    <w:rsid w:val="00160F97"/>
    <w:rsid w:val="00162434"/>
    <w:rsid w:val="00163277"/>
    <w:rsid w:val="00163447"/>
    <w:rsid w:val="00165564"/>
    <w:rsid w:val="00166EA7"/>
    <w:rsid w:val="001677B5"/>
    <w:rsid w:val="001743D3"/>
    <w:rsid w:val="0017525E"/>
    <w:rsid w:val="001816DA"/>
    <w:rsid w:val="00183E82"/>
    <w:rsid w:val="001878BB"/>
    <w:rsid w:val="00191A45"/>
    <w:rsid w:val="00191AE0"/>
    <w:rsid w:val="001928BC"/>
    <w:rsid w:val="00192922"/>
    <w:rsid w:val="0019293B"/>
    <w:rsid w:val="0019426B"/>
    <w:rsid w:val="00195962"/>
    <w:rsid w:val="00195E9E"/>
    <w:rsid w:val="00196141"/>
    <w:rsid w:val="00196C2A"/>
    <w:rsid w:val="001A12BD"/>
    <w:rsid w:val="001A35C8"/>
    <w:rsid w:val="001A6A4B"/>
    <w:rsid w:val="001B35F0"/>
    <w:rsid w:val="001B79EC"/>
    <w:rsid w:val="001C0865"/>
    <w:rsid w:val="001C0AED"/>
    <w:rsid w:val="001C1C78"/>
    <w:rsid w:val="001C2420"/>
    <w:rsid w:val="001C3ABA"/>
    <w:rsid w:val="001C5111"/>
    <w:rsid w:val="001C75FC"/>
    <w:rsid w:val="001C78AC"/>
    <w:rsid w:val="001D017E"/>
    <w:rsid w:val="001D513F"/>
    <w:rsid w:val="001E078E"/>
    <w:rsid w:val="001E55A6"/>
    <w:rsid w:val="001E7BE8"/>
    <w:rsid w:val="001E7EC9"/>
    <w:rsid w:val="001F0248"/>
    <w:rsid w:val="001F0AC5"/>
    <w:rsid w:val="001F3EB3"/>
    <w:rsid w:val="001F49E1"/>
    <w:rsid w:val="001F4F86"/>
    <w:rsid w:val="001F59BE"/>
    <w:rsid w:val="00200A21"/>
    <w:rsid w:val="00202872"/>
    <w:rsid w:val="00202C2C"/>
    <w:rsid w:val="00203050"/>
    <w:rsid w:val="00203C37"/>
    <w:rsid w:val="00207863"/>
    <w:rsid w:val="002113C0"/>
    <w:rsid w:val="002135AB"/>
    <w:rsid w:val="002144BE"/>
    <w:rsid w:val="00217796"/>
    <w:rsid w:val="0022120E"/>
    <w:rsid w:val="00232C43"/>
    <w:rsid w:val="002344E3"/>
    <w:rsid w:val="002352CC"/>
    <w:rsid w:val="002378B9"/>
    <w:rsid w:val="00242279"/>
    <w:rsid w:val="002438A3"/>
    <w:rsid w:val="00243997"/>
    <w:rsid w:val="0024516C"/>
    <w:rsid w:val="00245C82"/>
    <w:rsid w:val="00255BAA"/>
    <w:rsid w:val="00261F48"/>
    <w:rsid w:val="00264F68"/>
    <w:rsid w:val="0027006E"/>
    <w:rsid w:val="00271A47"/>
    <w:rsid w:val="0027234B"/>
    <w:rsid w:val="002724BA"/>
    <w:rsid w:val="002759B8"/>
    <w:rsid w:val="002812F6"/>
    <w:rsid w:val="00281B82"/>
    <w:rsid w:val="002915E4"/>
    <w:rsid w:val="00291B40"/>
    <w:rsid w:val="0029519D"/>
    <w:rsid w:val="00296331"/>
    <w:rsid w:val="00296B36"/>
    <w:rsid w:val="00297C4D"/>
    <w:rsid w:val="002A0518"/>
    <w:rsid w:val="002A2B46"/>
    <w:rsid w:val="002B4008"/>
    <w:rsid w:val="002C2FFB"/>
    <w:rsid w:val="002C439F"/>
    <w:rsid w:val="002C7DE8"/>
    <w:rsid w:val="002D0C42"/>
    <w:rsid w:val="002D0E8E"/>
    <w:rsid w:val="002D613D"/>
    <w:rsid w:val="002E5194"/>
    <w:rsid w:val="0030093A"/>
    <w:rsid w:val="00300E3E"/>
    <w:rsid w:val="00301189"/>
    <w:rsid w:val="00301E4A"/>
    <w:rsid w:val="00310620"/>
    <w:rsid w:val="003121F4"/>
    <w:rsid w:val="00313296"/>
    <w:rsid w:val="003154E2"/>
    <w:rsid w:val="003168B8"/>
    <w:rsid w:val="00322D64"/>
    <w:rsid w:val="00323E09"/>
    <w:rsid w:val="003250E0"/>
    <w:rsid w:val="00325583"/>
    <w:rsid w:val="00333932"/>
    <w:rsid w:val="00336D10"/>
    <w:rsid w:val="00336FFB"/>
    <w:rsid w:val="00342FB9"/>
    <w:rsid w:val="003518AA"/>
    <w:rsid w:val="0035212D"/>
    <w:rsid w:val="00352165"/>
    <w:rsid w:val="00353182"/>
    <w:rsid w:val="00356320"/>
    <w:rsid w:val="003565D9"/>
    <w:rsid w:val="00356F5D"/>
    <w:rsid w:val="003602E1"/>
    <w:rsid w:val="00362E56"/>
    <w:rsid w:val="003633A0"/>
    <w:rsid w:val="00363722"/>
    <w:rsid w:val="00364BBB"/>
    <w:rsid w:val="00365445"/>
    <w:rsid w:val="003656F9"/>
    <w:rsid w:val="0037026F"/>
    <w:rsid w:val="00371240"/>
    <w:rsid w:val="003732DD"/>
    <w:rsid w:val="00374731"/>
    <w:rsid w:val="00376E59"/>
    <w:rsid w:val="00377EC1"/>
    <w:rsid w:val="003800D3"/>
    <w:rsid w:val="00380340"/>
    <w:rsid w:val="00386371"/>
    <w:rsid w:val="003919F9"/>
    <w:rsid w:val="003920CF"/>
    <w:rsid w:val="00395A78"/>
    <w:rsid w:val="003B23C2"/>
    <w:rsid w:val="003B77B9"/>
    <w:rsid w:val="003C0B91"/>
    <w:rsid w:val="003C2217"/>
    <w:rsid w:val="003C38B5"/>
    <w:rsid w:val="003C5D99"/>
    <w:rsid w:val="003D1087"/>
    <w:rsid w:val="003D344F"/>
    <w:rsid w:val="003D5F5F"/>
    <w:rsid w:val="003E0F78"/>
    <w:rsid w:val="003E19C2"/>
    <w:rsid w:val="003E27B4"/>
    <w:rsid w:val="003E2F59"/>
    <w:rsid w:val="003E33FB"/>
    <w:rsid w:val="003E377C"/>
    <w:rsid w:val="003E42AD"/>
    <w:rsid w:val="003E4D80"/>
    <w:rsid w:val="003E746B"/>
    <w:rsid w:val="003F0789"/>
    <w:rsid w:val="003F0DD1"/>
    <w:rsid w:val="00400523"/>
    <w:rsid w:val="00401882"/>
    <w:rsid w:val="004032A8"/>
    <w:rsid w:val="004100C8"/>
    <w:rsid w:val="00411DBD"/>
    <w:rsid w:val="00412ACE"/>
    <w:rsid w:val="004134CA"/>
    <w:rsid w:val="004138EC"/>
    <w:rsid w:val="004145D2"/>
    <w:rsid w:val="004235A4"/>
    <w:rsid w:val="0042365C"/>
    <w:rsid w:val="004257F7"/>
    <w:rsid w:val="00426C47"/>
    <w:rsid w:val="00426CB4"/>
    <w:rsid w:val="00431249"/>
    <w:rsid w:val="00434C19"/>
    <w:rsid w:val="0043640F"/>
    <w:rsid w:val="00436D84"/>
    <w:rsid w:val="004414D1"/>
    <w:rsid w:val="00441E3B"/>
    <w:rsid w:val="00445FCD"/>
    <w:rsid w:val="00450810"/>
    <w:rsid w:val="00453E9E"/>
    <w:rsid w:val="00455C27"/>
    <w:rsid w:val="00462C59"/>
    <w:rsid w:val="00467F1A"/>
    <w:rsid w:val="00470737"/>
    <w:rsid w:val="00474BB8"/>
    <w:rsid w:val="00477144"/>
    <w:rsid w:val="00477B1C"/>
    <w:rsid w:val="004849B1"/>
    <w:rsid w:val="00487B0F"/>
    <w:rsid w:val="00491380"/>
    <w:rsid w:val="0049459F"/>
    <w:rsid w:val="00497AB1"/>
    <w:rsid w:val="004A213E"/>
    <w:rsid w:val="004A38DD"/>
    <w:rsid w:val="004A7B8F"/>
    <w:rsid w:val="004B0D91"/>
    <w:rsid w:val="004B1340"/>
    <w:rsid w:val="004B3006"/>
    <w:rsid w:val="004B4329"/>
    <w:rsid w:val="004B43AE"/>
    <w:rsid w:val="004C0C7F"/>
    <w:rsid w:val="004C30ED"/>
    <w:rsid w:val="004C6403"/>
    <w:rsid w:val="004D3BBE"/>
    <w:rsid w:val="004D4977"/>
    <w:rsid w:val="004D5675"/>
    <w:rsid w:val="004D583C"/>
    <w:rsid w:val="004D6BF8"/>
    <w:rsid w:val="004D7BC9"/>
    <w:rsid w:val="004D7CF6"/>
    <w:rsid w:val="004E2038"/>
    <w:rsid w:val="004E4754"/>
    <w:rsid w:val="004E5A92"/>
    <w:rsid w:val="004E6769"/>
    <w:rsid w:val="004E6A79"/>
    <w:rsid w:val="004F099E"/>
    <w:rsid w:val="004F305D"/>
    <w:rsid w:val="004F7527"/>
    <w:rsid w:val="00502C5A"/>
    <w:rsid w:val="00502D1C"/>
    <w:rsid w:val="00504562"/>
    <w:rsid w:val="00506E8D"/>
    <w:rsid w:val="00510DC0"/>
    <w:rsid w:val="0051440C"/>
    <w:rsid w:val="00515AC0"/>
    <w:rsid w:val="00517795"/>
    <w:rsid w:val="00522CE1"/>
    <w:rsid w:val="00523639"/>
    <w:rsid w:val="00525669"/>
    <w:rsid w:val="00530611"/>
    <w:rsid w:val="00531BBF"/>
    <w:rsid w:val="00531FE5"/>
    <w:rsid w:val="005402FA"/>
    <w:rsid w:val="00543AF5"/>
    <w:rsid w:val="00547D7C"/>
    <w:rsid w:val="0055661A"/>
    <w:rsid w:val="00561483"/>
    <w:rsid w:val="00561535"/>
    <w:rsid w:val="005615AB"/>
    <w:rsid w:val="00567170"/>
    <w:rsid w:val="00571749"/>
    <w:rsid w:val="005729BD"/>
    <w:rsid w:val="00572A79"/>
    <w:rsid w:val="00575CA6"/>
    <w:rsid w:val="00576C3A"/>
    <w:rsid w:val="005774C0"/>
    <w:rsid w:val="00580154"/>
    <w:rsid w:val="00583C39"/>
    <w:rsid w:val="00585172"/>
    <w:rsid w:val="00585218"/>
    <w:rsid w:val="00586A90"/>
    <w:rsid w:val="00587F28"/>
    <w:rsid w:val="005909CF"/>
    <w:rsid w:val="005910B9"/>
    <w:rsid w:val="00591E71"/>
    <w:rsid w:val="00592899"/>
    <w:rsid w:val="005972E1"/>
    <w:rsid w:val="005A0B51"/>
    <w:rsid w:val="005A0D41"/>
    <w:rsid w:val="005A131D"/>
    <w:rsid w:val="005A1EB6"/>
    <w:rsid w:val="005A3A2E"/>
    <w:rsid w:val="005A3EC8"/>
    <w:rsid w:val="005A451A"/>
    <w:rsid w:val="005A452C"/>
    <w:rsid w:val="005A4561"/>
    <w:rsid w:val="005A6BD8"/>
    <w:rsid w:val="005B4121"/>
    <w:rsid w:val="005B4797"/>
    <w:rsid w:val="005C5C65"/>
    <w:rsid w:val="005C6D83"/>
    <w:rsid w:val="005D095B"/>
    <w:rsid w:val="005D329F"/>
    <w:rsid w:val="005D67AD"/>
    <w:rsid w:val="005E02FC"/>
    <w:rsid w:val="005E2B66"/>
    <w:rsid w:val="005E373E"/>
    <w:rsid w:val="005F22D3"/>
    <w:rsid w:val="005F42D3"/>
    <w:rsid w:val="005F487D"/>
    <w:rsid w:val="005F48ED"/>
    <w:rsid w:val="005F4C6C"/>
    <w:rsid w:val="005F5F84"/>
    <w:rsid w:val="00606E78"/>
    <w:rsid w:val="00607BF1"/>
    <w:rsid w:val="006205BA"/>
    <w:rsid w:val="006209FB"/>
    <w:rsid w:val="006210A0"/>
    <w:rsid w:val="00630D4D"/>
    <w:rsid w:val="00632A74"/>
    <w:rsid w:val="00632ACC"/>
    <w:rsid w:val="006363C6"/>
    <w:rsid w:val="00651111"/>
    <w:rsid w:val="00652440"/>
    <w:rsid w:val="00654D42"/>
    <w:rsid w:val="00656DB8"/>
    <w:rsid w:val="00666E02"/>
    <w:rsid w:val="00670090"/>
    <w:rsid w:val="006700E5"/>
    <w:rsid w:val="0067204C"/>
    <w:rsid w:val="006722F2"/>
    <w:rsid w:val="006723CB"/>
    <w:rsid w:val="00685BEF"/>
    <w:rsid w:val="0068627E"/>
    <w:rsid w:val="0069236C"/>
    <w:rsid w:val="00693751"/>
    <w:rsid w:val="00697CF3"/>
    <w:rsid w:val="006A2A5D"/>
    <w:rsid w:val="006A4655"/>
    <w:rsid w:val="006B0DFE"/>
    <w:rsid w:val="006B1CA2"/>
    <w:rsid w:val="006B2B3C"/>
    <w:rsid w:val="006B5E2A"/>
    <w:rsid w:val="006B62AA"/>
    <w:rsid w:val="006C1D81"/>
    <w:rsid w:val="006C5079"/>
    <w:rsid w:val="006C6556"/>
    <w:rsid w:val="006C7038"/>
    <w:rsid w:val="006D0478"/>
    <w:rsid w:val="006D1C44"/>
    <w:rsid w:val="006D4FE7"/>
    <w:rsid w:val="006D7BB4"/>
    <w:rsid w:val="006E3E8A"/>
    <w:rsid w:val="006E73EF"/>
    <w:rsid w:val="006F33A7"/>
    <w:rsid w:val="006F41EB"/>
    <w:rsid w:val="007019EA"/>
    <w:rsid w:val="00701AEA"/>
    <w:rsid w:val="0070267B"/>
    <w:rsid w:val="00705117"/>
    <w:rsid w:val="007079C9"/>
    <w:rsid w:val="0071236D"/>
    <w:rsid w:val="00714D4D"/>
    <w:rsid w:val="007221EE"/>
    <w:rsid w:val="007234B8"/>
    <w:rsid w:val="007266D3"/>
    <w:rsid w:val="007266FE"/>
    <w:rsid w:val="0073049D"/>
    <w:rsid w:val="00732029"/>
    <w:rsid w:val="00732818"/>
    <w:rsid w:val="00733867"/>
    <w:rsid w:val="00734859"/>
    <w:rsid w:val="00736AC8"/>
    <w:rsid w:val="00742372"/>
    <w:rsid w:val="00744C6E"/>
    <w:rsid w:val="007526A7"/>
    <w:rsid w:val="00756024"/>
    <w:rsid w:val="00757E22"/>
    <w:rsid w:val="007604BB"/>
    <w:rsid w:val="007656A5"/>
    <w:rsid w:val="00766A0E"/>
    <w:rsid w:val="00772310"/>
    <w:rsid w:val="00772909"/>
    <w:rsid w:val="00772A42"/>
    <w:rsid w:val="00773607"/>
    <w:rsid w:val="00780916"/>
    <w:rsid w:val="00780F89"/>
    <w:rsid w:val="00782E4E"/>
    <w:rsid w:val="00785232"/>
    <w:rsid w:val="00792288"/>
    <w:rsid w:val="00793974"/>
    <w:rsid w:val="00793FFB"/>
    <w:rsid w:val="0079701E"/>
    <w:rsid w:val="007A0717"/>
    <w:rsid w:val="007A07E6"/>
    <w:rsid w:val="007A21EB"/>
    <w:rsid w:val="007A6FAB"/>
    <w:rsid w:val="007B1A93"/>
    <w:rsid w:val="007B71E8"/>
    <w:rsid w:val="007C2785"/>
    <w:rsid w:val="007C36C9"/>
    <w:rsid w:val="007C47B5"/>
    <w:rsid w:val="007C5952"/>
    <w:rsid w:val="007C5F81"/>
    <w:rsid w:val="007D0C32"/>
    <w:rsid w:val="007D16BD"/>
    <w:rsid w:val="007D208D"/>
    <w:rsid w:val="007D6401"/>
    <w:rsid w:val="007E01E4"/>
    <w:rsid w:val="007E3AB2"/>
    <w:rsid w:val="007E4221"/>
    <w:rsid w:val="007E719E"/>
    <w:rsid w:val="007E7A12"/>
    <w:rsid w:val="007F1611"/>
    <w:rsid w:val="007F5190"/>
    <w:rsid w:val="007F7107"/>
    <w:rsid w:val="00800D4C"/>
    <w:rsid w:val="008042F1"/>
    <w:rsid w:val="0080715B"/>
    <w:rsid w:val="00807A70"/>
    <w:rsid w:val="0081030F"/>
    <w:rsid w:val="00811473"/>
    <w:rsid w:val="00812F4A"/>
    <w:rsid w:val="00814DB7"/>
    <w:rsid w:val="0082087D"/>
    <w:rsid w:val="008257A2"/>
    <w:rsid w:val="0082746B"/>
    <w:rsid w:val="00835771"/>
    <w:rsid w:val="00835E06"/>
    <w:rsid w:val="00842933"/>
    <w:rsid w:val="008467CB"/>
    <w:rsid w:val="00851D51"/>
    <w:rsid w:val="0085371B"/>
    <w:rsid w:val="0086082C"/>
    <w:rsid w:val="00860843"/>
    <w:rsid w:val="00860BEC"/>
    <w:rsid w:val="0086188D"/>
    <w:rsid w:val="008637AC"/>
    <w:rsid w:val="00864ADC"/>
    <w:rsid w:val="008705F6"/>
    <w:rsid w:val="00870F42"/>
    <w:rsid w:val="00871A99"/>
    <w:rsid w:val="008720BB"/>
    <w:rsid w:val="00877876"/>
    <w:rsid w:val="00880153"/>
    <w:rsid w:val="00880F97"/>
    <w:rsid w:val="0088133A"/>
    <w:rsid w:val="0088329E"/>
    <w:rsid w:val="00885A96"/>
    <w:rsid w:val="0088765F"/>
    <w:rsid w:val="008923E6"/>
    <w:rsid w:val="0089285E"/>
    <w:rsid w:val="0089436C"/>
    <w:rsid w:val="00894D39"/>
    <w:rsid w:val="008A4E73"/>
    <w:rsid w:val="008B2227"/>
    <w:rsid w:val="008B3166"/>
    <w:rsid w:val="008B395B"/>
    <w:rsid w:val="008C079E"/>
    <w:rsid w:val="008C2519"/>
    <w:rsid w:val="008C6AB8"/>
    <w:rsid w:val="008C79C1"/>
    <w:rsid w:val="008D0736"/>
    <w:rsid w:val="008D142C"/>
    <w:rsid w:val="008D1942"/>
    <w:rsid w:val="008D1F60"/>
    <w:rsid w:val="008D365C"/>
    <w:rsid w:val="008D6818"/>
    <w:rsid w:val="008D7622"/>
    <w:rsid w:val="008E3ED5"/>
    <w:rsid w:val="008E5A61"/>
    <w:rsid w:val="008F0370"/>
    <w:rsid w:val="008F4320"/>
    <w:rsid w:val="008F4F61"/>
    <w:rsid w:val="008F5056"/>
    <w:rsid w:val="00901E70"/>
    <w:rsid w:val="009021A6"/>
    <w:rsid w:val="009030BF"/>
    <w:rsid w:val="00903B52"/>
    <w:rsid w:val="00907E5F"/>
    <w:rsid w:val="0091032F"/>
    <w:rsid w:val="0091119D"/>
    <w:rsid w:val="009114C1"/>
    <w:rsid w:val="00911FAD"/>
    <w:rsid w:val="00912726"/>
    <w:rsid w:val="00912FA8"/>
    <w:rsid w:val="00914368"/>
    <w:rsid w:val="0091635E"/>
    <w:rsid w:val="0092742C"/>
    <w:rsid w:val="00931076"/>
    <w:rsid w:val="009345D9"/>
    <w:rsid w:val="00934B15"/>
    <w:rsid w:val="009351A9"/>
    <w:rsid w:val="00940209"/>
    <w:rsid w:val="0094072F"/>
    <w:rsid w:val="00940C87"/>
    <w:rsid w:val="009426AC"/>
    <w:rsid w:val="00942984"/>
    <w:rsid w:val="00942B62"/>
    <w:rsid w:val="00944414"/>
    <w:rsid w:val="00946B18"/>
    <w:rsid w:val="0095323B"/>
    <w:rsid w:val="00955EA8"/>
    <w:rsid w:val="00956A0C"/>
    <w:rsid w:val="00956BD9"/>
    <w:rsid w:val="00956D37"/>
    <w:rsid w:val="00957628"/>
    <w:rsid w:val="00957BDD"/>
    <w:rsid w:val="00962489"/>
    <w:rsid w:val="009632EB"/>
    <w:rsid w:val="00964246"/>
    <w:rsid w:val="00967CD3"/>
    <w:rsid w:val="00975FBF"/>
    <w:rsid w:val="00976FE6"/>
    <w:rsid w:val="009807AF"/>
    <w:rsid w:val="009808CE"/>
    <w:rsid w:val="0098156C"/>
    <w:rsid w:val="009851D7"/>
    <w:rsid w:val="0098531F"/>
    <w:rsid w:val="00990C2C"/>
    <w:rsid w:val="00995E91"/>
    <w:rsid w:val="00997571"/>
    <w:rsid w:val="009A1660"/>
    <w:rsid w:val="009A220F"/>
    <w:rsid w:val="009A5171"/>
    <w:rsid w:val="009B1F82"/>
    <w:rsid w:val="009C1447"/>
    <w:rsid w:val="009C1FB7"/>
    <w:rsid w:val="009C6017"/>
    <w:rsid w:val="009C6277"/>
    <w:rsid w:val="009C7434"/>
    <w:rsid w:val="009D1A2D"/>
    <w:rsid w:val="009D1E8E"/>
    <w:rsid w:val="009D7BD0"/>
    <w:rsid w:val="009E158B"/>
    <w:rsid w:val="009E1844"/>
    <w:rsid w:val="009F0D1B"/>
    <w:rsid w:val="009F5BBD"/>
    <w:rsid w:val="009F696D"/>
    <w:rsid w:val="009F6BC6"/>
    <w:rsid w:val="009F74EF"/>
    <w:rsid w:val="00A0069D"/>
    <w:rsid w:val="00A0077C"/>
    <w:rsid w:val="00A014B5"/>
    <w:rsid w:val="00A02826"/>
    <w:rsid w:val="00A071EF"/>
    <w:rsid w:val="00A0781E"/>
    <w:rsid w:val="00A1250C"/>
    <w:rsid w:val="00A13521"/>
    <w:rsid w:val="00A15279"/>
    <w:rsid w:val="00A15D5A"/>
    <w:rsid w:val="00A17328"/>
    <w:rsid w:val="00A23A20"/>
    <w:rsid w:val="00A24443"/>
    <w:rsid w:val="00A268B9"/>
    <w:rsid w:val="00A26CEA"/>
    <w:rsid w:val="00A2703A"/>
    <w:rsid w:val="00A30A1E"/>
    <w:rsid w:val="00A33DFF"/>
    <w:rsid w:val="00A3442A"/>
    <w:rsid w:val="00A35115"/>
    <w:rsid w:val="00A36D9A"/>
    <w:rsid w:val="00A3769F"/>
    <w:rsid w:val="00A44359"/>
    <w:rsid w:val="00A447BE"/>
    <w:rsid w:val="00A451DC"/>
    <w:rsid w:val="00A554AB"/>
    <w:rsid w:val="00A57062"/>
    <w:rsid w:val="00A61FC5"/>
    <w:rsid w:val="00A63527"/>
    <w:rsid w:val="00A63EB2"/>
    <w:rsid w:val="00A67781"/>
    <w:rsid w:val="00A67B7C"/>
    <w:rsid w:val="00A71ABC"/>
    <w:rsid w:val="00A71B88"/>
    <w:rsid w:val="00A75543"/>
    <w:rsid w:val="00A761F9"/>
    <w:rsid w:val="00A77672"/>
    <w:rsid w:val="00A77DAE"/>
    <w:rsid w:val="00A80A45"/>
    <w:rsid w:val="00A83C82"/>
    <w:rsid w:val="00A84063"/>
    <w:rsid w:val="00A84146"/>
    <w:rsid w:val="00A87022"/>
    <w:rsid w:val="00A872DC"/>
    <w:rsid w:val="00A875D7"/>
    <w:rsid w:val="00A87A78"/>
    <w:rsid w:val="00A92B53"/>
    <w:rsid w:val="00A94FA6"/>
    <w:rsid w:val="00A95FA8"/>
    <w:rsid w:val="00A966A2"/>
    <w:rsid w:val="00A96B2A"/>
    <w:rsid w:val="00AA2B72"/>
    <w:rsid w:val="00AA49A0"/>
    <w:rsid w:val="00AA6710"/>
    <w:rsid w:val="00AB0681"/>
    <w:rsid w:val="00AB1171"/>
    <w:rsid w:val="00AB3411"/>
    <w:rsid w:val="00AC3A15"/>
    <w:rsid w:val="00AD0284"/>
    <w:rsid w:val="00AD1087"/>
    <w:rsid w:val="00AD520B"/>
    <w:rsid w:val="00AD6F96"/>
    <w:rsid w:val="00AE16D4"/>
    <w:rsid w:val="00AE1C91"/>
    <w:rsid w:val="00AE3BCC"/>
    <w:rsid w:val="00AE4CAE"/>
    <w:rsid w:val="00AF281B"/>
    <w:rsid w:val="00AF2AE7"/>
    <w:rsid w:val="00AF64AF"/>
    <w:rsid w:val="00B065A0"/>
    <w:rsid w:val="00B0725E"/>
    <w:rsid w:val="00B1595A"/>
    <w:rsid w:val="00B175C3"/>
    <w:rsid w:val="00B2004E"/>
    <w:rsid w:val="00B218CA"/>
    <w:rsid w:val="00B26C6B"/>
    <w:rsid w:val="00B30834"/>
    <w:rsid w:val="00B33D6B"/>
    <w:rsid w:val="00B425C3"/>
    <w:rsid w:val="00B42D51"/>
    <w:rsid w:val="00B440AD"/>
    <w:rsid w:val="00B479BB"/>
    <w:rsid w:val="00B47F81"/>
    <w:rsid w:val="00B5223C"/>
    <w:rsid w:val="00B53E7E"/>
    <w:rsid w:val="00B5445A"/>
    <w:rsid w:val="00B6194D"/>
    <w:rsid w:val="00B62AF3"/>
    <w:rsid w:val="00B6342E"/>
    <w:rsid w:val="00B70AA2"/>
    <w:rsid w:val="00B71022"/>
    <w:rsid w:val="00B7113F"/>
    <w:rsid w:val="00B740A8"/>
    <w:rsid w:val="00B76CF1"/>
    <w:rsid w:val="00B7719A"/>
    <w:rsid w:val="00B86B84"/>
    <w:rsid w:val="00B9101D"/>
    <w:rsid w:val="00B923C7"/>
    <w:rsid w:val="00B96DA8"/>
    <w:rsid w:val="00BA2BCF"/>
    <w:rsid w:val="00BA3E67"/>
    <w:rsid w:val="00BA5B14"/>
    <w:rsid w:val="00BA62CB"/>
    <w:rsid w:val="00BA73B6"/>
    <w:rsid w:val="00BA7E27"/>
    <w:rsid w:val="00BB2603"/>
    <w:rsid w:val="00BB3EB8"/>
    <w:rsid w:val="00BB439F"/>
    <w:rsid w:val="00BB4FCD"/>
    <w:rsid w:val="00BB6471"/>
    <w:rsid w:val="00BC04E9"/>
    <w:rsid w:val="00BC4D3C"/>
    <w:rsid w:val="00BC54B1"/>
    <w:rsid w:val="00BD13EA"/>
    <w:rsid w:val="00BD339C"/>
    <w:rsid w:val="00BD5ED7"/>
    <w:rsid w:val="00BE2BE3"/>
    <w:rsid w:val="00BE3808"/>
    <w:rsid w:val="00BE6D06"/>
    <w:rsid w:val="00BE6D0D"/>
    <w:rsid w:val="00BF7ED7"/>
    <w:rsid w:val="00C03AF0"/>
    <w:rsid w:val="00C03B88"/>
    <w:rsid w:val="00C05C09"/>
    <w:rsid w:val="00C062E9"/>
    <w:rsid w:val="00C075A6"/>
    <w:rsid w:val="00C07B64"/>
    <w:rsid w:val="00C11D5B"/>
    <w:rsid w:val="00C13721"/>
    <w:rsid w:val="00C14FE4"/>
    <w:rsid w:val="00C17F92"/>
    <w:rsid w:val="00C23D69"/>
    <w:rsid w:val="00C23DDC"/>
    <w:rsid w:val="00C24F40"/>
    <w:rsid w:val="00C3066D"/>
    <w:rsid w:val="00C33561"/>
    <w:rsid w:val="00C3436E"/>
    <w:rsid w:val="00C34AD7"/>
    <w:rsid w:val="00C35E63"/>
    <w:rsid w:val="00C400EF"/>
    <w:rsid w:val="00C429AE"/>
    <w:rsid w:val="00C4369E"/>
    <w:rsid w:val="00C462EB"/>
    <w:rsid w:val="00C506C2"/>
    <w:rsid w:val="00C52416"/>
    <w:rsid w:val="00C537DB"/>
    <w:rsid w:val="00C53959"/>
    <w:rsid w:val="00C543F4"/>
    <w:rsid w:val="00C60485"/>
    <w:rsid w:val="00C616AD"/>
    <w:rsid w:val="00C6291C"/>
    <w:rsid w:val="00C62F32"/>
    <w:rsid w:val="00C633CB"/>
    <w:rsid w:val="00C664CD"/>
    <w:rsid w:val="00C665AD"/>
    <w:rsid w:val="00C70D01"/>
    <w:rsid w:val="00C715DE"/>
    <w:rsid w:val="00C717BD"/>
    <w:rsid w:val="00C736B7"/>
    <w:rsid w:val="00C74882"/>
    <w:rsid w:val="00C7682E"/>
    <w:rsid w:val="00C76D86"/>
    <w:rsid w:val="00C81B95"/>
    <w:rsid w:val="00C81D4A"/>
    <w:rsid w:val="00C85734"/>
    <w:rsid w:val="00C87262"/>
    <w:rsid w:val="00C8762C"/>
    <w:rsid w:val="00C930D4"/>
    <w:rsid w:val="00C97934"/>
    <w:rsid w:val="00CA00F9"/>
    <w:rsid w:val="00CA190F"/>
    <w:rsid w:val="00CA2961"/>
    <w:rsid w:val="00CA3DFE"/>
    <w:rsid w:val="00CA5330"/>
    <w:rsid w:val="00CB044C"/>
    <w:rsid w:val="00CB50D7"/>
    <w:rsid w:val="00CB635D"/>
    <w:rsid w:val="00CB7177"/>
    <w:rsid w:val="00CB7CED"/>
    <w:rsid w:val="00CC070F"/>
    <w:rsid w:val="00CC1998"/>
    <w:rsid w:val="00CC4946"/>
    <w:rsid w:val="00CC64A1"/>
    <w:rsid w:val="00CD3505"/>
    <w:rsid w:val="00CD7249"/>
    <w:rsid w:val="00CD7CFC"/>
    <w:rsid w:val="00CE05C0"/>
    <w:rsid w:val="00CE7E5B"/>
    <w:rsid w:val="00CF2A87"/>
    <w:rsid w:val="00CF3B11"/>
    <w:rsid w:val="00CF45F9"/>
    <w:rsid w:val="00D00EFE"/>
    <w:rsid w:val="00D029A8"/>
    <w:rsid w:val="00D03A80"/>
    <w:rsid w:val="00D03F33"/>
    <w:rsid w:val="00D1161E"/>
    <w:rsid w:val="00D11FDA"/>
    <w:rsid w:val="00D2193B"/>
    <w:rsid w:val="00D22FD4"/>
    <w:rsid w:val="00D231B1"/>
    <w:rsid w:val="00D23CF2"/>
    <w:rsid w:val="00D26168"/>
    <w:rsid w:val="00D26B6A"/>
    <w:rsid w:val="00D270A4"/>
    <w:rsid w:val="00D30CFF"/>
    <w:rsid w:val="00D31FE9"/>
    <w:rsid w:val="00D34E1B"/>
    <w:rsid w:val="00D35267"/>
    <w:rsid w:val="00D376BA"/>
    <w:rsid w:val="00D40275"/>
    <w:rsid w:val="00D434A0"/>
    <w:rsid w:val="00D45634"/>
    <w:rsid w:val="00D47A82"/>
    <w:rsid w:val="00D47E94"/>
    <w:rsid w:val="00D50F29"/>
    <w:rsid w:val="00D51E8A"/>
    <w:rsid w:val="00D54AB7"/>
    <w:rsid w:val="00D5548F"/>
    <w:rsid w:val="00D5568A"/>
    <w:rsid w:val="00D60B11"/>
    <w:rsid w:val="00D611CA"/>
    <w:rsid w:val="00D624AC"/>
    <w:rsid w:val="00D63D73"/>
    <w:rsid w:val="00D64452"/>
    <w:rsid w:val="00D64B4F"/>
    <w:rsid w:val="00D66E1E"/>
    <w:rsid w:val="00D67614"/>
    <w:rsid w:val="00D70696"/>
    <w:rsid w:val="00D75722"/>
    <w:rsid w:val="00D8076D"/>
    <w:rsid w:val="00D80CF5"/>
    <w:rsid w:val="00D8143F"/>
    <w:rsid w:val="00D84133"/>
    <w:rsid w:val="00D9333B"/>
    <w:rsid w:val="00D9374D"/>
    <w:rsid w:val="00D940BB"/>
    <w:rsid w:val="00D946C5"/>
    <w:rsid w:val="00DA01BA"/>
    <w:rsid w:val="00DA219C"/>
    <w:rsid w:val="00DA5BBA"/>
    <w:rsid w:val="00DA75D0"/>
    <w:rsid w:val="00DB26D2"/>
    <w:rsid w:val="00DB328B"/>
    <w:rsid w:val="00DB56D9"/>
    <w:rsid w:val="00DB661C"/>
    <w:rsid w:val="00DB67C9"/>
    <w:rsid w:val="00DB6CB9"/>
    <w:rsid w:val="00DC0AD9"/>
    <w:rsid w:val="00DC0C95"/>
    <w:rsid w:val="00DC3854"/>
    <w:rsid w:val="00DC4F0B"/>
    <w:rsid w:val="00DC5F49"/>
    <w:rsid w:val="00DC7476"/>
    <w:rsid w:val="00DD1293"/>
    <w:rsid w:val="00DD6580"/>
    <w:rsid w:val="00DE17F1"/>
    <w:rsid w:val="00DE561D"/>
    <w:rsid w:val="00DE59FE"/>
    <w:rsid w:val="00DF15F2"/>
    <w:rsid w:val="00DF5382"/>
    <w:rsid w:val="00DF5CF5"/>
    <w:rsid w:val="00E01CEC"/>
    <w:rsid w:val="00E01D7F"/>
    <w:rsid w:val="00E03164"/>
    <w:rsid w:val="00E03500"/>
    <w:rsid w:val="00E05C03"/>
    <w:rsid w:val="00E1299F"/>
    <w:rsid w:val="00E1334B"/>
    <w:rsid w:val="00E16C67"/>
    <w:rsid w:val="00E17C72"/>
    <w:rsid w:val="00E21FC6"/>
    <w:rsid w:val="00E25572"/>
    <w:rsid w:val="00E26B14"/>
    <w:rsid w:val="00E31437"/>
    <w:rsid w:val="00E431A9"/>
    <w:rsid w:val="00E50062"/>
    <w:rsid w:val="00E51391"/>
    <w:rsid w:val="00E51CCB"/>
    <w:rsid w:val="00E52F9B"/>
    <w:rsid w:val="00E5329A"/>
    <w:rsid w:val="00E53871"/>
    <w:rsid w:val="00E53947"/>
    <w:rsid w:val="00E53EDC"/>
    <w:rsid w:val="00E6115C"/>
    <w:rsid w:val="00E669E2"/>
    <w:rsid w:val="00E76135"/>
    <w:rsid w:val="00E76F03"/>
    <w:rsid w:val="00E82F4F"/>
    <w:rsid w:val="00E84663"/>
    <w:rsid w:val="00E864DF"/>
    <w:rsid w:val="00E925A8"/>
    <w:rsid w:val="00E95CFE"/>
    <w:rsid w:val="00EA3DEC"/>
    <w:rsid w:val="00EB2CC3"/>
    <w:rsid w:val="00EB3945"/>
    <w:rsid w:val="00EB3F4A"/>
    <w:rsid w:val="00EB480A"/>
    <w:rsid w:val="00EC2844"/>
    <w:rsid w:val="00EC5500"/>
    <w:rsid w:val="00ED18F8"/>
    <w:rsid w:val="00EE0B0E"/>
    <w:rsid w:val="00EE1ADC"/>
    <w:rsid w:val="00EE4790"/>
    <w:rsid w:val="00EE637B"/>
    <w:rsid w:val="00EE6EDA"/>
    <w:rsid w:val="00EE778E"/>
    <w:rsid w:val="00EF37F7"/>
    <w:rsid w:val="00EF6719"/>
    <w:rsid w:val="00EF6C6C"/>
    <w:rsid w:val="00F00A18"/>
    <w:rsid w:val="00F032C5"/>
    <w:rsid w:val="00F056FC"/>
    <w:rsid w:val="00F0632F"/>
    <w:rsid w:val="00F069AE"/>
    <w:rsid w:val="00F079E0"/>
    <w:rsid w:val="00F10389"/>
    <w:rsid w:val="00F10476"/>
    <w:rsid w:val="00F11A41"/>
    <w:rsid w:val="00F135D8"/>
    <w:rsid w:val="00F14107"/>
    <w:rsid w:val="00F14E37"/>
    <w:rsid w:val="00F156BE"/>
    <w:rsid w:val="00F166DF"/>
    <w:rsid w:val="00F200FA"/>
    <w:rsid w:val="00F22BAF"/>
    <w:rsid w:val="00F30077"/>
    <w:rsid w:val="00F311B0"/>
    <w:rsid w:val="00F31299"/>
    <w:rsid w:val="00F32063"/>
    <w:rsid w:val="00F331D1"/>
    <w:rsid w:val="00F35312"/>
    <w:rsid w:val="00F3534A"/>
    <w:rsid w:val="00F35BFB"/>
    <w:rsid w:val="00F36ACC"/>
    <w:rsid w:val="00F37DD7"/>
    <w:rsid w:val="00F43DC7"/>
    <w:rsid w:val="00F45297"/>
    <w:rsid w:val="00F47E5B"/>
    <w:rsid w:val="00F51609"/>
    <w:rsid w:val="00F517C4"/>
    <w:rsid w:val="00F51B23"/>
    <w:rsid w:val="00F55C25"/>
    <w:rsid w:val="00F60146"/>
    <w:rsid w:val="00F67350"/>
    <w:rsid w:val="00F70CE5"/>
    <w:rsid w:val="00F73727"/>
    <w:rsid w:val="00F746CB"/>
    <w:rsid w:val="00F766A7"/>
    <w:rsid w:val="00F80D10"/>
    <w:rsid w:val="00F81006"/>
    <w:rsid w:val="00F83BAA"/>
    <w:rsid w:val="00F83E0D"/>
    <w:rsid w:val="00F85325"/>
    <w:rsid w:val="00F858B3"/>
    <w:rsid w:val="00F877E4"/>
    <w:rsid w:val="00F91288"/>
    <w:rsid w:val="00FA53B8"/>
    <w:rsid w:val="00FA5A3D"/>
    <w:rsid w:val="00FB1545"/>
    <w:rsid w:val="00FB5AC1"/>
    <w:rsid w:val="00FB6CE7"/>
    <w:rsid w:val="00FC1799"/>
    <w:rsid w:val="00FC38C1"/>
    <w:rsid w:val="00FC3D5A"/>
    <w:rsid w:val="00FC4B96"/>
    <w:rsid w:val="00FC6827"/>
    <w:rsid w:val="00FD01C2"/>
    <w:rsid w:val="00FD22B1"/>
    <w:rsid w:val="00FD33F1"/>
    <w:rsid w:val="00FD3566"/>
    <w:rsid w:val="00FD3BC6"/>
    <w:rsid w:val="00FD4503"/>
    <w:rsid w:val="00FD70D4"/>
    <w:rsid w:val="00FE07F5"/>
    <w:rsid w:val="00FE0ABE"/>
    <w:rsid w:val="00FE0D89"/>
    <w:rsid w:val="00FE2AEF"/>
    <w:rsid w:val="00FE5397"/>
    <w:rsid w:val="00FF302A"/>
    <w:rsid w:val="00FF3F88"/>
    <w:rsid w:val="00FF6C9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54433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71749"/>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CommentTextChar">
    <w:name w:val="Comment Text Char"/>
    <w:basedOn w:val="DefaultParagraphFont"/>
    <w:link w:val="CommentText"/>
    <w:semiHidden/>
    <w:rsid w:val="00571749"/>
    <w:rPr>
      <w:szCs w:val="24"/>
    </w:rPr>
  </w:style>
  <w:style w:type="paragraph" w:styleId="Bibliography">
    <w:name w:val="Bibliography"/>
    <w:basedOn w:val="Normal"/>
    <w:next w:val="Normal"/>
    <w:uiPriority w:val="37"/>
    <w:unhideWhenUsed/>
    <w:rsid w:val="00571749"/>
    <w:pPr>
      <w:spacing w:after="240"/>
      <w:ind w:left="720" w:hanging="720"/>
    </w:pPr>
  </w:style>
  <w:style w:type="character" w:styleId="PlaceholderText">
    <w:name w:val="Placeholder Text"/>
    <w:basedOn w:val="DefaultParagraphFont"/>
    <w:uiPriority w:val="99"/>
    <w:semiHidden/>
    <w:rsid w:val="00571749"/>
    <w:rPr>
      <w:color w:val="808080"/>
    </w:rPr>
  </w:style>
  <w:style w:type="paragraph" w:styleId="DocumentMap">
    <w:name w:val="Document Map"/>
    <w:basedOn w:val="Normal"/>
    <w:link w:val="DocumentMapChar"/>
    <w:rsid w:val="00571749"/>
    <w:rPr>
      <w:rFonts w:ascii="Lucida Grande" w:hAnsi="Lucida Grande" w:cs="Lucida Grande"/>
    </w:rPr>
  </w:style>
  <w:style w:type="character" w:customStyle="1" w:styleId="DocumentMapChar">
    <w:name w:val="Document Map Char"/>
    <w:basedOn w:val="DefaultParagraphFont"/>
    <w:link w:val="DocumentMap"/>
    <w:rsid w:val="00571749"/>
    <w:rPr>
      <w:rFonts w:ascii="Lucida Grande" w:hAnsi="Lucida Grande" w:cs="Lucida Grande"/>
      <w:sz w:val="24"/>
      <w:szCs w:val="24"/>
    </w:rPr>
  </w:style>
  <w:style w:type="paragraph" w:styleId="CommentSubject">
    <w:name w:val="annotation subject"/>
    <w:basedOn w:val="CommentText"/>
    <w:next w:val="CommentText"/>
    <w:link w:val="CommentSubjectChar"/>
    <w:rsid w:val="00571749"/>
    <w:pPr>
      <w:spacing w:before="0" w:line="240" w:lineRule="auto"/>
      <w:ind w:left="0" w:firstLine="0"/>
    </w:pPr>
    <w:rPr>
      <w:b/>
      <w:bCs/>
      <w:szCs w:val="20"/>
    </w:rPr>
  </w:style>
  <w:style w:type="character" w:customStyle="1" w:styleId="CommentSubjectChar">
    <w:name w:val="Comment Subject Char"/>
    <w:basedOn w:val="CommentTextChar"/>
    <w:link w:val="CommentSubject"/>
    <w:rsid w:val="00571749"/>
    <w:rPr>
      <w:b/>
      <w:bCs/>
      <w:szCs w:val="24"/>
    </w:rPr>
  </w:style>
  <w:style w:type="paragraph" w:styleId="Revision">
    <w:name w:val="Revision"/>
    <w:hidden/>
    <w:uiPriority w:val="99"/>
    <w:semiHidden/>
    <w:rsid w:val="00571749"/>
    <w:rPr>
      <w:sz w:val="24"/>
      <w:szCs w:val="24"/>
    </w:rPr>
  </w:style>
  <w:style w:type="paragraph" w:styleId="Title">
    <w:name w:val="Title"/>
    <w:basedOn w:val="Normal"/>
    <w:next w:val="Normal"/>
    <w:link w:val="TitleChar"/>
    <w:rsid w:val="00571749"/>
    <w:pPr>
      <w:pBdr>
        <w:bottom w:val="single" w:sz="8" w:space="4" w:color="78A22F" w:themeColor="accent1"/>
      </w:pBdr>
      <w:spacing w:after="300"/>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rsid w:val="00571749"/>
    <w:rPr>
      <w:rFonts w:asciiTheme="majorHAnsi" w:eastAsiaTheme="majorEastAsia" w:hAnsiTheme="majorHAnsi" w:cstheme="majorBidi"/>
      <w:color w:val="000000" w:themeColor="text2" w:themeShade="BF"/>
      <w:spacing w:val="5"/>
      <w:kern w:val="28"/>
      <w:sz w:val="52"/>
      <w:szCs w:val="52"/>
    </w:rPr>
  </w:style>
  <w:style w:type="paragraph" w:customStyle="1" w:styleId="Default">
    <w:name w:val="Default"/>
    <w:rsid w:val="00F200FA"/>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rsid w:val="006862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Default Paragraph Font" w:uiPriority="1"/>
    <w:lsdException w:name="Body Text" w:qFormat="1"/>
    <w:lsdException w:name="Subtitle"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571749"/>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CommentTextChar">
    <w:name w:val="Comment Text Char"/>
    <w:basedOn w:val="DefaultParagraphFont"/>
    <w:link w:val="CommentText"/>
    <w:semiHidden/>
    <w:rsid w:val="00571749"/>
    <w:rPr>
      <w:szCs w:val="24"/>
    </w:rPr>
  </w:style>
  <w:style w:type="paragraph" w:styleId="Bibliography">
    <w:name w:val="Bibliography"/>
    <w:basedOn w:val="Normal"/>
    <w:next w:val="Normal"/>
    <w:uiPriority w:val="37"/>
    <w:unhideWhenUsed/>
    <w:rsid w:val="00571749"/>
    <w:pPr>
      <w:spacing w:after="240"/>
      <w:ind w:left="720" w:hanging="720"/>
    </w:pPr>
  </w:style>
  <w:style w:type="character" w:styleId="PlaceholderText">
    <w:name w:val="Placeholder Text"/>
    <w:basedOn w:val="DefaultParagraphFont"/>
    <w:uiPriority w:val="99"/>
    <w:semiHidden/>
    <w:rsid w:val="00571749"/>
    <w:rPr>
      <w:color w:val="808080"/>
    </w:rPr>
  </w:style>
  <w:style w:type="paragraph" w:styleId="DocumentMap">
    <w:name w:val="Document Map"/>
    <w:basedOn w:val="Normal"/>
    <w:link w:val="DocumentMapChar"/>
    <w:rsid w:val="00571749"/>
    <w:rPr>
      <w:rFonts w:ascii="Lucida Grande" w:hAnsi="Lucida Grande" w:cs="Lucida Grande"/>
    </w:rPr>
  </w:style>
  <w:style w:type="character" w:customStyle="1" w:styleId="DocumentMapChar">
    <w:name w:val="Document Map Char"/>
    <w:basedOn w:val="DefaultParagraphFont"/>
    <w:link w:val="DocumentMap"/>
    <w:rsid w:val="00571749"/>
    <w:rPr>
      <w:rFonts w:ascii="Lucida Grande" w:hAnsi="Lucida Grande" w:cs="Lucida Grande"/>
      <w:sz w:val="24"/>
      <w:szCs w:val="24"/>
    </w:rPr>
  </w:style>
  <w:style w:type="paragraph" w:styleId="CommentSubject">
    <w:name w:val="annotation subject"/>
    <w:basedOn w:val="CommentText"/>
    <w:next w:val="CommentText"/>
    <w:link w:val="CommentSubjectChar"/>
    <w:rsid w:val="00571749"/>
    <w:pPr>
      <w:spacing w:before="0" w:line="240" w:lineRule="auto"/>
      <w:ind w:left="0" w:firstLine="0"/>
    </w:pPr>
    <w:rPr>
      <w:b/>
      <w:bCs/>
      <w:szCs w:val="20"/>
    </w:rPr>
  </w:style>
  <w:style w:type="character" w:customStyle="1" w:styleId="CommentSubjectChar">
    <w:name w:val="Comment Subject Char"/>
    <w:basedOn w:val="CommentTextChar"/>
    <w:link w:val="CommentSubject"/>
    <w:rsid w:val="00571749"/>
    <w:rPr>
      <w:b/>
      <w:bCs/>
      <w:szCs w:val="24"/>
    </w:rPr>
  </w:style>
  <w:style w:type="paragraph" w:styleId="Revision">
    <w:name w:val="Revision"/>
    <w:hidden/>
    <w:uiPriority w:val="99"/>
    <w:semiHidden/>
    <w:rsid w:val="00571749"/>
    <w:rPr>
      <w:sz w:val="24"/>
      <w:szCs w:val="24"/>
    </w:rPr>
  </w:style>
  <w:style w:type="paragraph" w:styleId="Title">
    <w:name w:val="Title"/>
    <w:basedOn w:val="Normal"/>
    <w:next w:val="Normal"/>
    <w:link w:val="TitleChar"/>
    <w:rsid w:val="00571749"/>
    <w:pPr>
      <w:pBdr>
        <w:bottom w:val="single" w:sz="8" w:space="4" w:color="78A22F" w:themeColor="accent1"/>
      </w:pBdr>
      <w:spacing w:after="300"/>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rsid w:val="00571749"/>
    <w:rPr>
      <w:rFonts w:asciiTheme="majorHAnsi" w:eastAsiaTheme="majorEastAsia" w:hAnsiTheme="majorHAnsi" w:cstheme="majorBidi"/>
      <w:color w:val="000000" w:themeColor="text2" w:themeShade="BF"/>
      <w:spacing w:val="5"/>
      <w:kern w:val="28"/>
      <w:sz w:val="52"/>
      <w:szCs w:val="52"/>
    </w:rPr>
  </w:style>
  <w:style w:type="paragraph" w:customStyle="1" w:styleId="Default">
    <w:name w:val="Default"/>
    <w:rsid w:val="00F200FA"/>
    <w:pPr>
      <w:autoSpaceDE w:val="0"/>
      <w:autoSpaceDN w:val="0"/>
      <w:adjustRightInd w:val="0"/>
    </w:pPr>
    <w:rPr>
      <w:rFonts w:ascii="Arial" w:hAnsi="Arial" w:cs="Arial"/>
      <w:color w:val="000000"/>
      <w:sz w:val="24"/>
      <w:szCs w:val="24"/>
    </w:rPr>
  </w:style>
  <w:style w:type="character" w:customStyle="1" w:styleId="FootnoteTextChar">
    <w:name w:val="Footnote Text Char"/>
    <w:basedOn w:val="DefaultParagraphFont"/>
    <w:link w:val="FootnoteText"/>
    <w:rsid w:val="006862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1980644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image" Target="media/image3.emf"/><Relationship Id="rId34"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3.xml"/><Relationship Id="rId25" Type="http://schemas.openxmlformats.org/officeDocument/2006/relationships/image" Target="media/image7.emf"/><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image" Target="media/image11.emf"/><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image" Target="media/image1.emf"/><Relationship Id="rId24" Type="http://schemas.openxmlformats.org/officeDocument/2006/relationships/image" Target="media/image6.emf"/><Relationship Id="rId32" Type="http://schemas.openxmlformats.org/officeDocument/2006/relationships/header" Target="header6.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image" Target="media/image5.emf"/><Relationship Id="rId28" Type="http://schemas.openxmlformats.org/officeDocument/2006/relationships/image" Target="media/image10.emf"/><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4.emf"/><Relationship Id="rId27" Type="http://schemas.openxmlformats.org/officeDocument/2006/relationships/image" Target="media/image9.emf"/><Relationship Id="rId30" Type="http://schemas.openxmlformats.org/officeDocument/2006/relationships/image" Target="media/image12.emf"/><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B1DEC-6B37-47E3-B42F-2A2871CA94CC}">
  <ds:schemaRefs>
    <ds:schemaRef ds:uri="http://schemas.openxmlformats.org/officeDocument/2006/bibliography"/>
  </ds:schemaRefs>
</ds:datastoreItem>
</file>

<file path=customXml/itemProps2.xml><?xml version="1.0" encoding="utf-8"?>
<ds:datastoreItem xmlns:ds="http://schemas.openxmlformats.org/officeDocument/2006/customXml" ds:itemID="{7472EFD8-D9DA-4972-855E-7108AF9A0027}">
  <ds:schemaRefs>
    <ds:schemaRef ds:uri="http://schemas.openxmlformats.org/officeDocument/2006/bibliography"/>
  </ds:schemaRefs>
</ds:datastoreItem>
</file>

<file path=customXml/itemProps3.xml><?xml version="1.0" encoding="utf-8"?>
<ds:datastoreItem xmlns:ds="http://schemas.openxmlformats.org/officeDocument/2006/customXml" ds:itemID="{050C3CA7-106E-417B-8515-9F8D97312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0</TotalTime>
  <Pages>11</Pages>
  <Words>12805</Words>
  <Characters>70303</Characters>
  <Application>Microsoft Office Word</Application>
  <DocSecurity>0</DocSecurity>
  <Lines>1952</Lines>
  <Paragraphs>1013</Paragraphs>
  <ScaleCrop>false</ScaleCrop>
  <HeadingPairs>
    <vt:vector size="2" baseType="variant">
      <vt:variant>
        <vt:lpstr>Title</vt:lpstr>
      </vt:variant>
      <vt:variant>
        <vt:i4>1</vt:i4>
      </vt:variant>
    </vt:vector>
  </HeadingPairs>
  <TitlesOfParts>
    <vt:vector size="1" baseType="lpstr">
      <vt:lpstr>Housing assistance and employment</vt:lpstr>
    </vt:vector>
  </TitlesOfParts>
  <Company>Productivity Commission</Company>
  <LinksUpToDate>false</LinksUpToDate>
  <CharactersWithSpaces>82095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Housing assistance and employment</dc:title>
  <dc:subject>Background Paper No. 5</dc:subject>
  <dc:creator>Productivity Commission</dc:creator>
  <dc:description>1.</dc:description>
  <cp:lastModifiedBy>Productivity Commission</cp:lastModifiedBy>
  <cp:revision>2</cp:revision>
  <cp:lastPrinted>2015-04-27T00:36:00Z</cp:lastPrinted>
  <dcterms:created xsi:type="dcterms:W3CDTF">2015-06-10T02:38:00Z</dcterms:created>
  <dcterms:modified xsi:type="dcterms:W3CDTF">2015-06-10T02:38:00Z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id="KHmbJWJL"/&gt;&lt;style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