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BDEC41" w14:textId="77777777" w:rsidR="001E73E8" w:rsidRPr="001E73E8" w:rsidRDefault="001E73E8" w:rsidP="001E73E8">
      <w:pPr>
        <w:pStyle w:val="Heading1"/>
        <w:spacing w:after="0"/>
        <w:rPr>
          <w:color w:val="FFFFFF" w:themeColor="background1"/>
          <w:sz w:val="16"/>
          <w:szCs w:val="16"/>
        </w:rPr>
      </w:pPr>
      <w:r w:rsidRPr="001E73E8">
        <w:rPr>
          <w:color w:val="FFFFFF" w:themeColor="background1"/>
          <w:sz w:val="16"/>
          <w:szCs w:val="16"/>
        </w:rPr>
        <w:t>International Education Services</w:t>
      </w:r>
    </w:p>
    <w:p w14:paraId="6AF8D156" w14:textId="013AB20A" w:rsidR="00B04D19" w:rsidRDefault="001E73E8" w:rsidP="00CD5E6B">
      <w:pPr>
        <w:pStyle w:val="BodyText"/>
        <w:rPr>
          <w:b/>
          <w:szCs w:val="26"/>
        </w:rPr>
      </w:pPr>
      <w:r w:rsidRPr="001E73E8">
        <w:rPr>
          <w:color w:val="FFFFFF" w:themeColor="background1"/>
          <w:sz w:val="16"/>
          <w:szCs w:val="16"/>
        </w:rPr>
        <w:t>Productivity Commission Research Paper, April</w:t>
      </w:r>
      <w:r w:rsidRPr="001E73E8">
        <w:rPr>
          <w:noProof/>
          <w:color w:val="FFFFFF" w:themeColor="background1"/>
          <w:sz w:val="16"/>
          <w:szCs w:val="16"/>
        </w:rPr>
        <w:drawing>
          <wp:anchor distT="0" distB="0" distL="114300" distR="114300" simplePos="0" relativeHeight="251658240" behindDoc="0" locked="0" layoutInCell="1" allowOverlap="1" wp14:anchorId="314CFCEF" wp14:editId="1F4132DA">
            <wp:simplePos x="828040" y="1423035"/>
            <wp:positionH relativeFrom="page">
              <wp:align>center</wp:align>
            </wp:positionH>
            <wp:positionV relativeFrom="page">
              <wp:align>center</wp:align>
            </wp:positionV>
            <wp:extent cx="7576840" cy="10764000"/>
            <wp:effectExtent l="0" t="0" r="5080" b="0"/>
            <wp:wrapNone/>
            <wp:docPr id="1" name="Picture 1" descr="Cover for: International Education Services, Productivity Commmission Reserach Paper, April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paper-international-education-cover-web.png"/>
                    <pic:cNvPicPr/>
                  </pic:nvPicPr>
                  <pic:blipFill>
                    <a:blip r:embed="rId14">
                      <a:extLst>
                        <a:ext uri="{28A0092B-C50C-407E-A947-70E740481C1C}">
                          <a14:useLocalDpi xmlns:a14="http://schemas.microsoft.com/office/drawing/2010/main" val="0"/>
                        </a:ext>
                      </a:extLst>
                    </a:blip>
                    <a:stretch>
                      <a:fillRect/>
                    </a:stretch>
                  </pic:blipFill>
                  <pic:spPr>
                    <a:xfrm>
                      <a:off x="0" y="0"/>
                      <a:ext cx="7576840" cy="10764000"/>
                    </a:xfrm>
                    <a:prstGeom prst="rect">
                      <a:avLst/>
                    </a:prstGeom>
                  </pic:spPr>
                </pic:pic>
              </a:graphicData>
            </a:graphic>
            <wp14:sizeRelH relativeFrom="margin">
              <wp14:pctWidth>0</wp14:pctWidth>
            </wp14:sizeRelH>
            <wp14:sizeRelV relativeFrom="margin">
              <wp14:pctHeight>0</wp14:pctHeight>
            </wp14:sizeRelV>
          </wp:anchor>
        </w:drawing>
      </w:r>
      <w:r w:rsidRPr="001E73E8">
        <w:rPr>
          <w:color w:val="FFFFFF" w:themeColor="background1"/>
          <w:sz w:val="16"/>
          <w:szCs w:val="16"/>
        </w:rPr>
        <w:t xml:space="preserve"> 2015</w:t>
      </w:r>
      <w:r w:rsidR="00B04D19" w:rsidRPr="001E73E8">
        <w:rPr>
          <w:color w:val="FFFFFF" w:themeColor="background1"/>
          <w:sz w:val="16"/>
          <w:szCs w:val="16"/>
        </w:rPr>
        <w:br w:type="page"/>
      </w:r>
      <w:bookmarkStart w:id="0" w:name="_GoBack"/>
      <w:bookmarkEnd w:id="0"/>
    </w:p>
    <w:p w14:paraId="6683B9F7"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66821DF5" w14:textId="428CAEFD" w:rsidR="00153DCF" w:rsidRPr="007809B8" w:rsidRDefault="00153DCF">
      <w:pPr>
        <w:pStyle w:val="BodyText"/>
        <w:tabs>
          <w:tab w:val="left" w:pos="851"/>
        </w:tabs>
        <w:spacing w:before="200" w:after="120"/>
        <w:jc w:val="left"/>
        <w:rPr>
          <w:b/>
        </w:rPr>
      </w:pPr>
      <w:bookmarkStart w:id="1" w:name="ISSN"/>
      <w:bookmarkEnd w:id="1"/>
      <w:r>
        <w:rPr>
          <w:b/>
        </w:rPr>
        <w:t>ISBN</w:t>
      </w:r>
      <w:r>
        <w:rPr>
          <w:b/>
        </w:rPr>
        <w:tab/>
      </w:r>
      <w:r w:rsidR="00C1571B">
        <w:rPr>
          <w:b/>
        </w:rPr>
        <w:t>978-1-74037-546-7</w:t>
      </w:r>
      <w:r>
        <w:rPr>
          <w:b/>
        </w:rPr>
        <w:t xml:space="preserve"> (PDF)</w:t>
      </w:r>
      <w:r>
        <w:rPr>
          <w:b/>
        </w:rPr>
        <w:br/>
        <w:t>ISBN</w:t>
      </w:r>
      <w:r>
        <w:rPr>
          <w:b/>
        </w:rPr>
        <w:tab/>
      </w:r>
      <w:r w:rsidR="00C1571B">
        <w:rPr>
          <w:b/>
        </w:rPr>
        <w:t>978-1-74037-547-4</w:t>
      </w:r>
      <w:r>
        <w:rPr>
          <w:b/>
        </w:rPr>
        <w:t xml:space="preserve"> (Print)</w:t>
      </w:r>
    </w:p>
    <w:p w14:paraId="28C4290E" w14:textId="77777777" w:rsidR="008A3857" w:rsidRDefault="008A3857" w:rsidP="008E242D">
      <w:pPr>
        <w:pStyle w:val="BodyText"/>
        <w:spacing w:after="120"/>
      </w:pPr>
      <w:r w:rsidRPr="00862D8F">
        <w:rPr>
          <w:noProof/>
          <w:sz w:val="22"/>
          <w:szCs w:val="22"/>
        </w:rPr>
        <w:drawing>
          <wp:inline distT="0" distB="0" distL="0" distR="0" wp14:anchorId="175AE340" wp14:editId="14CCBA50">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0867CAE4" w14:textId="2A0453D5"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w:t>
      </w:r>
      <w:proofErr w:type="spellStart"/>
      <w:r w:rsidRPr="00805FD7">
        <w:t>creativecommons.org</w:t>
      </w:r>
      <w:proofErr w:type="spellEnd"/>
      <w:r w:rsidRPr="00805FD7">
        <w:t>/licenses/by/3.0/au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10DF4747" w14:textId="77777777" w:rsidR="008A3857" w:rsidRPr="008A3857" w:rsidRDefault="008A3857" w:rsidP="008A3857">
      <w:pPr>
        <w:pStyle w:val="Copyrightsubtitle"/>
      </w:pPr>
      <w:r w:rsidRPr="008A3857">
        <w:t>Use of the Commonwealth Coat of Arms</w:t>
      </w:r>
    </w:p>
    <w:p w14:paraId="60BE15FB" w14:textId="2DDA0DFD"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t>
      </w:r>
      <w:proofErr w:type="spellStart"/>
      <w:r w:rsidR="00BA0B81" w:rsidRPr="00805FD7">
        <w:t>www.itsanhonour.gov.au</w:t>
      </w:r>
      <w:proofErr w:type="spellEnd"/>
    </w:p>
    <w:p w14:paraId="775E17F2" w14:textId="77777777" w:rsidR="008A3857" w:rsidRPr="008A3857" w:rsidRDefault="008A3857" w:rsidP="008A3857">
      <w:pPr>
        <w:pStyle w:val="Copyrightsubtitle"/>
      </w:pPr>
      <w:r w:rsidRPr="008A3857">
        <w:t>Third party copyright</w:t>
      </w:r>
    </w:p>
    <w:p w14:paraId="6FC98FFA"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22A56DC5" w14:textId="77777777" w:rsidR="008A3857" w:rsidRPr="008A3857" w:rsidRDefault="008A3857" w:rsidP="008A3857">
      <w:pPr>
        <w:pStyle w:val="Copyrightsubtitle"/>
      </w:pPr>
      <w:r w:rsidRPr="008A3857">
        <w:t>Attribution</w:t>
      </w:r>
    </w:p>
    <w:p w14:paraId="3F70F376" w14:textId="77777777"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153DCF">
        <w:rPr>
          <w:i/>
        </w:rPr>
        <w:t>International Education Services</w:t>
      </w:r>
      <w:r w:rsidRPr="008A3857">
        <w:t>.</w:t>
      </w:r>
    </w:p>
    <w:p w14:paraId="6B38C7FC" w14:textId="77777777"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153DCF">
        <w:rPr>
          <w:i/>
        </w:rPr>
        <w:t>International Education Services</w:t>
      </w:r>
      <w:r w:rsidRPr="008A3857">
        <w:t>.</w:t>
      </w:r>
    </w:p>
    <w:p w14:paraId="7C5D11BE"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197EA854" w14:textId="77777777" w:rsidR="008A3857" w:rsidRPr="00153DCF" w:rsidRDefault="00153DCF" w:rsidP="008A3857">
      <w:pPr>
        <w:pStyle w:val="Copyrightbodytext"/>
      </w:pPr>
      <w:r>
        <w:t xml:space="preserve">Productivity Commission 2015, </w:t>
      </w:r>
      <w:r>
        <w:rPr>
          <w:i/>
        </w:rPr>
        <w:t>International Education Services</w:t>
      </w:r>
      <w:r>
        <w:t>, Commission Research Paper, Canberra.</w:t>
      </w:r>
    </w:p>
    <w:p w14:paraId="2B0C4D33" w14:textId="77777777" w:rsidR="008A3857" w:rsidRPr="008A3857" w:rsidRDefault="008A3857" w:rsidP="008A3857">
      <w:pPr>
        <w:pStyle w:val="Copyrightsubtitle"/>
      </w:pPr>
      <w:bookmarkStart w:id="2" w:name="JEL"/>
      <w:bookmarkEnd w:id="2"/>
      <w:r w:rsidRPr="008A3857">
        <w:t>Publications enquiries</w:t>
      </w:r>
    </w:p>
    <w:p w14:paraId="11FA573A"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14:paraId="4BF0FA4D"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20EA9974" w14:textId="77777777" w:rsidTr="002D5890">
        <w:tc>
          <w:tcPr>
            <w:tcW w:w="8771" w:type="dxa"/>
            <w:tcBorders>
              <w:top w:val="single" w:sz="6" w:space="0" w:color="78A22F"/>
              <w:left w:val="nil"/>
              <w:bottom w:val="nil"/>
              <w:right w:val="nil"/>
            </w:tcBorders>
            <w:shd w:val="clear" w:color="auto" w:fill="F2F2F2" w:themeFill="background1" w:themeFillShade="F2"/>
          </w:tcPr>
          <w:p w14:paraId="76BF3895" w14:textId="77777777" w:rsidR="008A3857" w:rsidRPr="008A3857" w:rsidRDefault="008A3857" w:rsidP="002D5890">
            <w:pPr>
              <w:pStyle w:val="BoxTitle"/>
              <w:rPr>
                <w:sz w:val="22"/>
                <w:szCs w:val="22"/>
              </w:rPr>
            </w:pPr>
            <w:r w:rsidRPr="008A3857">
              <w:rPr>
                <w:sz w:val="22"/>
                <w:szCs w:val="22"/>
              </w:rPr>
              <w:t>The Productivity Commission</w:t>
            </w:r>
          </w:p>
        </w:tc>
      </w:tr>
      <w:tr w:rsidR="008A3857" w14:paraId="15598250" w14:textId="77777777" w:rsidTr="002D5890">
        <w:trPr>
          <w:cantSplit/>
        </w:trPr>
        <w:tc>
          <w:tcPr>
            <w:tcW w:w="8771" w:type="dxa"/>
            <w:tcBorders>
              <w:top w:val="nil"/>
              <w:left w:val="nil"/>
              <w:bottom w:val="nil"/>
              <w:right w:val="nil"/>
            </w:tcBorders>
            <w:shd w:val="clear" w:color="auto" w:fill="F2F2F2" w:themeFill="background1" w:themeFillShade="F2"/>
          </w:tcPr>
          <w:p w14:paraId="630DAB37" w14:textId="77777777"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1E6E400A" w14:textId="77777777"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14:paraId="069B780F" w14:textId="2EA0F99B"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14:paraId="72E50887" w14:textId="77777777" w:rsidTr="002D5890">
        <w:trPr>
          <w:cantSplit/>
        </w:trPr>
        <w:tc>
          <w:tcPr>
            <w:tcW w:w="8771" w:type="dxa"/>
            <w:tcBorders>
              <w:top w:val="nil"/>
              <w:left w:val="nil"/>
              <w:bottom w:val="single" w:sz="6" w:space="0" w:color="78A22F"/>
              <w:right w:val="nil"/>
            </w:tcBorders>
            <w:shd w:val="clear" w:color="auto" w:fill="F2F2F2" w:themeFill="background1" w:themeFillShade="F2"/>
          </w:tcPr>
          <w:p w14:paraId="25E8E6A5" w14:textId="77777777" w:rsidR="008A3857" w:rsidRDefault="008A3857" w:rsidP="002D5890">
            <w:pPr>
              <w:pStyle w:val="Box"/>
              <w:spacing w:before="0" w:line="120" w:lineRule="exact"/>
            </w:pPr>
          </w:p>
        </w:tc>
      </w:tr>
    </w:tbl>
    <w:p w14:paraId="578512E9" w14:textId="77777777"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bookmarkStart w:id="3" w:name="cov"/>
      <w:bookmarkEnd w:id="3"/>
    </w:p>
    <w:p w14:paraId="6723662F" w14:textId="43597D1C" w:rsidR="00FC041E" w:rsidRDefault="00735FEA" w:rsidP="008206EE">
      <w:pPr>
        <w:pStyle w:val="Heading1NotTOC"/>
        <w:rPr>
          <w:noProof/>
        </w:rPr>
      </w:pPr>
      <w:bookmarkStart w:id="4" w:name="Contents"/>
      <w:bookmarkEnd w:id="4"/>
      <w:r w:rsidRPr="00B153C3">
        <w:lastRenderedPageBreak/>
        <w:t>Contents</w:t>
      </w:r>
      <w:bookmarkStart w:id="5" w:name="InsertContents"/>
      <w:bookmarkEnd w:id="5"/>
    </w:p>
    <w:p w14:paraId="54140545" w14:textId="00B9E8B4" w:rsidR="00FC041E" w:rsidRDefault="00FC041E">
      <w:pPr>
        <w:pStyle w:val="TOC1"/>
        <w:rPr>
          <w:rFonts w:asciiTheme="minorHAnsi" w:eastAsiaTheme="minorEastAsia" w:hAnsiTheme="minorHAnsi" w:cstheme="minorBidi"/>
          <w:b w:val="0"/>
          <w:noProof/>
          <w:sz w:val="22"/>
          <w:szCs w:val="22"/>
          <w:lang w:eastAsia="en-AU"/>
        </w:rPr>
      </w:pPr>
      <w:r>
        <w:rPr>
          <w:noProof/>
        </w:rPr>
        <w:t>Acknowledgments</w:t>
      </w:r>
      <w:r>
        <w:rPr>
          <w:noProof/>
        </w:rPr>
        <w:tab/>
        <w:t>v</w:t>
      </w:r>
    </w:p>
    <w:p w14:paraId="1F1B0CFF" w14:textId="77777777" w:rsidR="00FC041E" w:rsidRDefault="00FC041E">
      <w:pPr>
        <w:pStyle w:val="TOC1"/>
        <w:rPr>
          <w:noProof/>
        </w:rPr>
      </w:pPr>
      <w:r>
        <w:rPr>
          <w:noProof/>
        </w:rPr>
        <w:t>Overview</w:t>
      </w:r>
      <w:r>
        <w:rPr>
          <w:noProof/>
        </w:rPr>
        <w:tab/>
        <w:t>1</w:t>
      </w:r>
    </w:p>
    <w:p w14:paraId="421C6F64" w14:textId="61426547" w:rsidR="00F04659" w:rsidRDefault="00F04659" w:rsidP="00F04659">
      <w:pPr>
        <w:pStyle w:val="TOC2"/>
      </w:pPr>
      <w:r>
        <w:t>International education services are important to the economy</w:t>
      </w:r>
      <w:r>
        <w:tab/>
        <w:t>3</w:t>
      </w:r>
    </w:p>
    <w:p w14:paraId="65574D6E" w14:textId="670F1249" w:rsidR="00F04659" w:rsidRDefault="00F04659" w:rsidP="00F04659">
      <w:pPr>
        <w:pStyle w:val="TOC2"/>
        <w:rPr>
          <w:rFonts w:eastAsiaTheme="minorEastAsia"/>
        </w:rPr>
      </w:pPr>
      <w:r w:rsidRPr="00F04659">
        <w:rPr>
          <w:rFonts w:eastAsiaTheme="minorEastAsia"/>
        </w:rPr>
        <w:t>Government involvement in international education</w:t>
      </w:r>
      <w:r>
        <w:rPr>
          <w:rFonts w:eastAsiaTheme="minorEastAsia"/>
        </w:rPr>
        <w:tab/>
        <w:t>6</w:t>
      </w:r>
    </w:p>
    <w:p w14:paraId="07E13DDE" w14:textId="0759603C" w:rsidR="00F04659" w:rsidRDefault="00F04659" w:rsidP="00F04659">
      <w:pPr>
        <w:pStyle w:val="TOC2"/>
      </w:pPr>
      <w:r>
        <w:t>Swings in visa policy settings</w:t>
      </w:r>
      <w:r>
        <w:tab/>
        <w:t>9</w:t>
      </w:r>
    </w:p>
    <w:p w14:paraId="6D9BA6C2" w14:textId="354387F2" w:rsidR="00F04659" w:rsidRDefault="00F04659" w:rsidP="00F04659">
      <w:pPr>
        <w:pStyle w:val="TOC2"/>
      </w:pPr>
      <w:r>
        <w:t>Quality regulation is a ‘</w:t>
      </w:r>
      <w:r w:rsidRPr="00A30195">
        <w:t>work in progress</w:t>
      </w:r>
      <w:r>
        <w:t>’</w:t>
      </w:r>
      <w:r>
        <w:tab/>
        <w:t>13</w:t>
      </w:r>
    </w:p>
    <w:p w14:paraId="2C1ED0F8" w14:textId="2D1DE214" w:rsidR="00F04659" w:rsidRDefault="00F04659" w:rsidP="00F04659">
      <w:pPr>
        <w:pStyle w:val="TOC2"/>
      </w:pPr>
      <w:r>
        <w:t>Alternative</w:t>
      </w:r>
      <w:r w:rsidRPr="00A30195">
        <w:t xml:space="preserve"> framework</w:t>
      </w:r>
      <w:r>
        <w:t>s for student visa processing</w:t>
      </w:r>
      <w:r>
        <w:tab/>
        <w:t>16</w:t>
      </w:r>
    </w:p>
    <w:p w14:paraId="375E0621" w14:textId="210B14EE" w:rsidR="00F04659" w:rsidRPr="00F04659" w:rsidRDefault="00F04659" w:rsidP="00F04659">
      <w:pPr>
        <w:pStyle w:val="TOC2"/>
        <w:rPr>
          <w:rFonts w:eastAsiaTheme="minorEastAsia"/>
        </w:rPr>
      </w:pPr>
      <w:r>
        <w:t xml:space="preserve">The use of education agents is </w:t>
      </w:r>
      <w:r w:rsidRPr="00A30195">
        <w:t>extensive and risky</w:t>
      </w:r>
      <w:r>
        <w:tab/>
        <w:t>19</w:t>
      </w:r>
    </w:p>
    <w:p w14:paraId="673E8BD9" w14:textId="77777777" w:rsidR="00FC041E" w:rsidRDefault="00FC041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Introduction</w:t>
      </w:r>
      <w:r>
        <w:rPr>
          <w:noProof/>
        </w:rPr>
        <w:tab/>
        <w:t>21</w:t>
      </w:r>
    </w:p>
    <w:p w14:paraId="6587E337"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international education sector’s contribution to the economy</w:t>
      </w:r>
      <w:r>
        <w:rPr>
          <w:noProof/>
        </w:rPr>
        <w:tab/>
        <w:t>21</w:t>
      </w:r>
    </w:p>
    <w:p w14:paraId="29249796"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Snapshot of the international education services sector</w:t>
      </w:r>
      <w:r>
        <w:rPr>
          <w:noProof/>
        </w:rPr>
        <w:tab/>
        <w:t>24</w:t>
      </w:r>
    </w:p>
    <w:p w14:paraId="7BD830D4"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International education policy levers</w:t>
      </w:r>
      <w:r>
        <w:rPr>
          <w:noProof/>
        </w:rPr>
        <w:tab/>
        <w:t>28</w:t>
      </w:r>
    </w:p>
    <w:p w14:paraId="2FD61EF7"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The Commission’s approach</w:t>
      </w:r>
      <w:r>
        <w:rPr>
          <w:noProof/>
        </w:rPr>
        <w:tab/>
        <w:t>33</w:t>
      </w:r>
    </w:p>
    <w:p w14:paraId="446EBD6D" w14:textId="77777777" w:rsidR="00FC041E" w:rsidRDefault="00FC041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Trends in international education services</w:t>
      </w:r>
      <w:r>
        <w:rPr>
          <w:noProof/>
        </w:rPr>
        <w:tab/>
        <w:t>35</w:t>
      </w:r>
    </w:p>
    <w:p w14:paraId="6765D450"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Global trends in international education services</w:t>
      </w:r>
      <w:r>
        <w:rPr>
          <w:noProof/>
        </w:rPr>
        <w:tab/>
        <w:t>36</w:t>
      </w:r>
    </w:p>
    <w:p w14:paraId="488EF979"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Trends in Australian international education services</w:t>
      </w:r>
      <w:r>
        <w:rPr>
          <w:noProof/>
        </w:rPr>
        <w:tab/>
        <w:t>47</w:t>
      </w:r>
    </w:p>
    <w:p w14:paraId="30056CD3" w14:textId="77777777" w:rsidR="00FC041E" w:rsidRDefault="00FC041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Student visa policy settings</w:t>
      </w:r>
      <w:r>
        <w:rPr>
          <w:noProof/>
        </w:rPr>
        <w:tab/>
        <w:t>63</w:t>
      </w:r>
    </w:p>
    <w:p w14:paraId="5B2CBAA2"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student visa program</w:t>
      </w:r>
      <w:r>
        <w:rPr>
          <w:noProof/>
        </w:rPr>
        <w:tab/>
        <w:t>64</w:t>
      </w:r>
    </w:p>
    <w:p w14:paraId="5E00CCD7"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Implications of Streamlined Visa Processing</w:t>
      </w:r>
      <w:r>
        <w:rPr>
          <w:noProof/>
        </w:rPr>
        <w:tab/>
        <w:t>75</w:t>
      </w:r>
    </w:p>
    <w:p w14:paraId="5FBF34D6"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Post</w:t>
      </w:r>
      <w:r>
        <w:rPr>
          <w:noProof/>
        </w:rPr>
        <w:noBreakHyphen/>
        <w:t>study work rights</w:t>
      </w:r>
      <w:r>
        <w:rPr>
          <w:noProof/>
        </w:rPr>
        <w:tab/>
        <w:t>90</w:t>
      </w:r>
    </w:p>
    <w:p w14:paraId="455AE2B0" w14:textId="77777777" w:rsidR="00FC041E" w:rsidRDefault="00FC041E">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Quality regulation of international education services</w:t>
      </w:r>
      <w:r>
        <w:rPr>
          <w:noProof/>
        </w:rPr>
        <w:tab/>
        <w:t>99</w:t>
      </w:r>
    </w:p>
    <w:p w14:paraId="4AB757D3"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Regulatory framework for quality assurance</w:t>
      </w:r>
      <w:r>
        <w:rPr>
          <w:noProof/>
        </w:rPr>
        <w:tab/>
        <w:t>100</w:t>
      </w:r>
    </w:p>
    <w:p w14:paraId="76B103FA"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Risks to quality and how they are being addressed</w:t>
      </w:r>
      <w:r>
        <w:rPr>
          <w:noProof/>
        </w:rPr>
        <w:tab/>
        <w:t>109</w:t>
      </w:r>
    </w:p>
    <w:p w14:paraId="7FF29536"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Transnational education services</w:t>
      </w:r>
      <w:r>
        <w:rPr>
          <w:noProof/>
        </w:rPr>
        <w:tab/>
        <w:t>121</w:t>
      </w:r>
    </w:p>
    <w:p w14:paraId="18534184"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Measuring the quality of international education services</w:t>
      </w:r>
      <w:r>
        <w:rPr>
          <w:noProof/>
        </w:rPr>
        <w:tab/>
        <w:t>123</w:t>
      </w:r>
    </w:p>
    <w:p w14:paraId="4D051309" w14:textId="77777777" w:rsidR="00FC041E" w:rsidRDefault="00FC041E">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Student visa processing alternatives</w:t>
      </w:r>
      <w:r>
        <w:rPr>
          <w:noProof/>
        </w:rPr>
        <w:tab/>
        <w:t>125</w:t>
      </w:r>
    </w:p>
    <w:p w14:paraId="56B80EF1"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Summary of the current problems</w:t>
      </w:r>
      <w:r>
        <w:rPr>
          <w:noProof/>
        </w:rPr>
        <w:tab/>
        <w:t>126</w:t>
      </w:r>
    </w:p>
    <w:p w14:paraId="6E22291C"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DIBP’s proposed model</w:t>
      </w:r>
      <w:r>
        <w:rPr>
          <w:noProof/>
        </w:rPr>
        <w:tab/>
        <w:t>127</w:t>
      </w:r>
    </w:p>
    <w:p w14:paraId="2F901727"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Alternative approaches</w:t>
      </w:r>
      <w:r>
        <w:rPr>
          <w:noProof/>
        </w:rPr>
        <w:tab/>
        <w:t>130</w:t>
      </w:r>
    </w:p>
    <w:p w14:paraId="45D4EFEF" w14:textId="4221E341" w:rsidR="00FC041E" w:rsidRDefault="00FC041E">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Education agents</w:t>
      </w:r>
      <w:r>
        <w:rPr>
          <w:noProof/>
        </w:rPr>
        <w:tab/>
        <w:t>133</w:t>
      </w:r>
    </w:p>
    <w:p w14:paraId="15058994"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Education agents in international student recruitment</w:t>
      </w:r>
      <w:r>
        <w:rPr>
          <w:noProof/>
        </w:rPr>
        <w:tab/>
        <w:t>133</w:t>
      </w:r>
    </w:p>
    <w:p w14:paraId="107BBFDF"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Institutional arrangements around agents</w:t>
      </w:r>
      <w:r>
        <w:rPr>
          <w:noProof/>
        </w:rPr>
        <w:tab/>
        <w:t>136</w:t>
      </w:r>
    </w:p>
    <w:p w14:paraId="767C7DF6"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Concerns with agent behaviour</w:t>
      </w:r>
      <w:r>
        <w:rPr>
          <w:noProof/>
        </w:rPr>
        <w:tab/>
        <w:t>138</w:t>
      </w:r>
    </w:p>
    <w:p w14:paraId="20F9502A"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Risks arise from the incentives faced by agents and providers</w:t>
      </w:r>
      <w:r>
        <w:rPr>
          <w:noProof/>
        </w:rPr>
        <w:tab/>
        <w:t>141</w:t>
      </w:r>
    </w:p>
    <w:p w14:paraId="1785103C" w14:textId="77777777" w:rsidR="00FC041E" w:rsidRDefault="00FC041E">
      <w:pPr>
        <w:pStyle w:val="TOC2"/>
        <w:tabs>
          <w:tab w:val="left" w:pos="1190"/>
        </w:tabs>
        <w:rPr>
          <w:rFonts w:asciiTheme="minorHAnsi" w:eastAsiaTheme="minorEastAsia" w:hAnsiTheme="minorHAnsi" w:cstheme="minorBidi"/>
          <w:noProof/>
          <w:sz w:val="22"/>
          <w:szCs w:val="22"/>
          <w:lang w:eastAsia="en-AU"/>
        </w:rPr>
      </w:pPr>
      <w:r>
        <w:rPr>
          <w:noProof/>
        </w:rPr>
        <w:t>6.5</w:t>
      </w:r>
      <w:r>
        <w:rPr>
          <w:rFonts w:asciiTheme="minorHAnsi" w:eastAsiaTheme="minorEastAsia" w:hAnsiTheme="minorHAnsi" w:cstheme="minorBidi"/>
          <w:noProof/>
          <w:sz w:val="22"/>
          <w:szCs w:val="22"/>
          <w:lang w:eastAsia="en-AU"/>
        </w:rPr>
        <w:tab/>
      </w:r>
      <w:r>
        <w:rPr>
          <w:noProof/>
        </w:rPr>
        <w:t>Mitigating agent risk</w:t>
      </w:r>
      <w:r>
        <w:rPr>
          <w:noProof/>
        </w:rPr>
        <w:tab/>
        <w:t>143</w:t>
      </w:r>
    </w:p>
    <w:p w14:paraId="66CC9161" w14:textId="77777777" w:rsidR="00FC041E" w:rsidRDefault="00FC041E">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Conduct of the project</w:t>
      </w:r>
      <w:r>
        <w:rPr>
          <w:noProof/>
        </w:rPr>
        <w:tab/>
        <w:t>149</w:t>
      </w:r>
    </w:p>
    <w:p w14:paraId="50F2304C" w14:textId="643B7265" w:rsidR="00FC041E" w:rsidRDefault="00FC041E">
      <w:pPr>
        <w:pStyle w:val="TOC1"/>
        <w:rPr>
          <w:rFonts w:asciiTheme="minorHAnsi" w:eastAsiaTheme="minorEastAsia" w:hAnsiTheme="minorHAnsi" w:cstheme="minorBidi"/>
          <w:b w:val="0"/>
          <w:noProof/>
          <w:sz w:val="22"/>
          <w:szCs w:val="22"/>
          <w:lang w:eastAsia="en-AU"/>
        </w:rPr>
      </w:pPr>
      <w:r>
        <w:rPr>
          <w:noProof/>
        </w:rPr>
        <w:t>References</w:t>
      </w:r>
      <w:r>
        <w:rPr>
          <w:noProof/>
        </w:rPr>
        <w:tab/>
        <w:t>15</w:t>
      </w:r>
      <w:r w:rsidR="00F35BEB">
        <w:rPr>
          <w:noProof/>
        </w:rPr>
        <w:t>1</w:t>
      </w:r>
    </w:p>
    <w:p w14:paraId="7770700B" w14:textId="77777777" w:rsidR="00C058AB" w:rsidRDefault="00C058AB">
      <w:pPr>
        <w:pStyle w:val="BodyText"/>
      </w:pPr>
    </w:p>
    <w:p w14:paraId="2F874185" w14:textId="77777777" w:rsidR="004D3F58" w:rsidRDefault="004D3F58">
      <w:pPr>
        <w:pStyle w:val="BodyText"/>
        <w:sectPr w:rsidR="004D3F58" w:rsidSect="007448F7">
          <w:headerReference w:type="even" r:id="rId16"/>
          <w:headerReference w:type="default" r:id="rId17"/>
          <w:footerReference w:type="even" r:id="rId18"/>
          <w:footerReference w:type="default" r:id="rId19"/>
          <w:type w:val="oddPage"/>
          <w:pgSz w:w="11907" w:h="16840" w:code="9"/>
          <w:pgMar w:top="1985" w:right="1304" w:bottom="1247" w:left="1814" w:header="1701" w:footer="397" w:gutter="0"/>
          <w:pgNumType w:fmt="lowerRoman"/>
          <w:cols w:space="720"/>
        </w:sectPr>
      </w:pPr>
    </w:p>
    <w:p w14:paraId="72E957F7" w14:textId="77777777" w:rsidR="00153DCF" w:rsidRDefault="00153DCF">
      <w:pPr>
        <w:pStyle w:val="Heading1"/>
      </w:pPr>
      <w:bookmarkStart w:id="6" w:name="Abbreviations"/>
      <w:bookmarkStart w:id="7" w:name="RDnote"/>
      <w:bookmarkStart w:id="8" w:name="_Toc417394626"/>
      <w:bookmarkStart w:id="9" w:name="_Toc417460121"/>
      <w:bookmarkEnd w:id="6"/>
      <w:bookmarkEnd w:id="7"/>
      <w:r>
        <w:lastRenderedPageBreak/>
        <w:t>Acknowledgments</w:t>
      </w:r>
      <w:bookmarkEnd w:id="8"/>
      <w:bookmarkEnd w:id="9"/>
    </w:p>
    <w:p w14:paraId="7CE097F6" w14:textId="432A27CC" w:rsidR="00153DCF" w:rsidRDefault="00153DCF" w:rsidP="00153DCF">
      <w:pPr>
        <w:pStyle w:val="BodyText"/>
        <w:rPr>
          <w:lang w:eastAsia="en-US"/>
        </w:rPr>
      </w:pPr>
      <w:r>
        <w:rPr>
          <w:lang w:eastAsia="en-US"/>
        </w:rPr>
        <w:t xml:space="preserve">The Commission is grateful to everyone who has taken the time to discuss the issues canvassed in this research project. Particular thanks </w:t>
      </w:r>
      <w:r w:rsidR="00C9074A">
        <w:rPr>
          <w:lang w:eastAsia="en-US"/>
        </w:rPr>
        <w:t>are</w:t>
      </w:r>
      <w:r>
        <w:rPr>
          <w:lang w:eastAsia="en-US"/>
        </w:rPr>
        <w:t xml:space="preserve"> extended to those who participated in the Commission’s roundtable held in Melbourne on 4 December 2014</w:t>
      </w:r>
      <w:r w:rsidR="00C9074A">
        <w:rPr>
          <w:lang w:eastAsia="en-US"/>
        </w:rPr>
        <w:t>, and provided written comments</w:t>
      </w:r>
      <w:r>
        <w:rPr>
          <w:lang w:eastAsia="en-US"/>
        </w:rPr>
        <w:t>.</w:t>
      </w:r>
    </w:p>
    <w:p w14:paraId="4CF614DA" w14:textId="178AD686" w:rsidR="001E73E8" w:rsidRDefault="00153DCF" w:rsidP="00153DCF">
      <w:pPr>
        <w:pStyle w:val="BodyText"/>
        <w:rPr>
          <w:lang w:eastAsia="en-US"/>
        </w:rPr>
      </w:pPr>
      <w:r>
        <w:rPr>
          <w:lang w:eastAsia="en-US"/>
        </w:rPr>
        <w:t xml:space="preserve">The Commission would also like to thank officers of the </w:t>
      </w:r>
      <w:r w:rsidR="00C9074A">
        <w:rPr>
          <w:lang w:eastAsia="en-US"/>
        </w:rPr>
        <w:t xml:space="preserve">Department of Immigration and Border Protection, the </w:t>
      </w:r>
      <w:r>
        <w:rPr>
          <w:lang w:eastAsia="en-US"/>
        </w:rPr>
        <w:t>Department of Education and Training, t</w:t>
      </w:r>
      <w:r w:rsidR="00C9074A">
        <w:rPr>
          <w:lang w:eastAsia="en-US"/>
        </w:rPr>
        <w:t xml:space="preserve">he Department of Employment, the Australian Skills Quality Authority and the Tertiary Education Quality Standards Agency </w:t>
      </w:r>
      <w:r>
        <w:rPr>
          <w:lang w:eastAsia="en-US"/>
        </w:rPr>
        <w:t>for their</w:t>
      </w:r>
      <w:r w:rsidR="00C9074A">
        <w:rPr>
          <w:lang w:eastAsia="en-US"/>
        </w:rPr>
        <w:t xml:space="preserve"> high level of engagement and the provision of</w:t>
      </w:r>
      <w:r>
        <w:rPr>
          <w:lang w:eastAsia="en-US"/>
        </w:rPr>
        <w:t xml:space="preserve"> data and </w:t>
      </w:r>
      <w:r w:rsidR="00C9074A">
        <w:rPr>
          <w:lang w:eastAsia="en-US"/>
        </w:rPr>
        <w:t>information.</w:t>
      </w:r>
    </w:p>
    <w:p w14:paraId="36E06565" w14:textId="77777777" w:rsidR="00153DCF" w:rsidRDefault="00153DCF" w:rsidP="001E73E8">
      <w:pPr>
        <w:pStyle w:val="BodyText"/>
        <w:spacing w:before="720" w:after="40"/>
        <w:rPr>
          <w:lang w:eastAsia="en-US"/>
        </w:rPr>
      </w:pPr>
      <w:r>
        <w:rPr>
          <w:lang w:eastAsia="en-US"/>
        </w:rPr>
        <w:t>Paul Lindwall</w:t>
      </w:r>
    </w:p>
    <w:p w14:paraId="599E9E2B" w14:textId="77777777" w:rsidR="00153DCF" w:rsidRDefault="00153DCF" w:rsidP="00153DCF">
      <w:pPr>
        <w:pStyle w:val="BodyText"/>
        <w:spacing w:before="0" w:after="40"/>
        <w:rPr>
          <w:lang w:eastAsia="en-US"/>
        </w:rPr>
      </w:pPr>
      <w:r>
        <w:rPr>
          <w:lang w:eastAsia="en-US"/>
        </w:rPr>
        <w:t>Commissioner</w:t>
      </w:r>
    </w:p>
    <w:p w14:paraId="21F02C1D" w14:textId="77777777" w:rsidR="00FC041E" w:rsidRDefault="00153DCF" w:rsidP="00153DCF">
      <w:pPr>
        <w:pStyle w:val="BodyText"/>
        <w:spacing w:before="0" w:after="40"/>
        <w:rPr>
          <w:lang w:eastAsia="en-US"/>
        </w:rPr>
      </w:pPr>
      <w:r>
        <w:rPr>
          <w:lang w:eastAsia="en-US"/>
        </w:rPr>
        <w:t>30 April 2015</w:t>
      </w:r>
    </w:p>
    <w:sectPr w:rsidR="00FC041E" w:rsidSect="00585B3F">
      <w:headerReference w:type="even" r:id="rId20"/>
      <w:headerReference w:type="default" r:id="rId21"/>
      <w:footerReference w:type="even" r:id="rId22"/>
      <w:footerReference w:type="default" r:id="rId23"/>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E999A3" w14:textId="77777777" w:rsidR="00153DCF" w:rsidRDefault="00153DCF">
      <w:r>
        <w:separator/>
      </w:r>
    </w:p>
    <w:p w14:paraId="1AB7B9E4" w14:textId="77777777" w:rsidR="00153DCF" w:rsidRDefault="00153DCF"/>
    <w:p w14:paraId="156311BC" w14:textId="77777777" w:rsidR="00153DCF" w:rsidRDefault="00153DCF"/>
  </w:endnote>
  <w:endnote w:type="continuationSeparator" w:id="0">
    <w:p w14:paraId="274A9B6A" w14:textId="77777777" w:rsidR="00153DCF" w:rsidRDefault="00153DCF">
      <w:r>
        <w:continuationSeparator/>
      </w:r>
    </w:p>
    <w:p w14:paraId="7438F7DD" w14:textId="77777777" w:rsidR="00153DCF" w:rsidRDefault="00153DCF"/>
    <w:p w14:paraId="4889C8A1" w14:textId="77777777" w:rsidR="00153DCF" w:rsidRDefault="00153D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14:paraId="67C91CB5" w14:textId="77777777" w:rsidTr="005F48ED">
      <w:trPr>
        <w:trHeight w:hRule="exact" w:val="567"/>
      </w:trPr>
      <w:tc>
        <w:tcPr>
          <w:tcW w:w="510" w:type="dxa"/>
        </w:tcPr>
        <w:p w14:paraId="6A316E3D" w14:textId="77777777"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13473">
            <w:rPr>
              <w:rStyle w:val="PageNumber"/>
              <w:caps w:val="0"/>
              <w:noProof/>
            </w:rPr>
            <w:t>iv</w:t>
          </w:r>
          <w:r w:rsidRPr="00A24443">
            <w:rPr>
              <w:rStyle w:val="PageNumber"/>
              <w:caps w:val="0"/>
            </w:rPr>
            <w:fldChar w:fldCharType="end"/>
          </w:r>
        </w:p>
      </w:tc>
      <w:tc>
        <w:tcPr>
          <w:tcW w:w="7767" w:type="dxa"/>
        </w:tcPr>
        <w:p w14:paraId="055F0E4E" w14:textId="4189D4F5" w:rsidR="004D3F58" w:rsidRPr="0013739A" w:rsidRDefault="001E73E8" w:rsidP="0013739A">
          <w:pPr>
            <w:pStyle w:val="Footer"/>
            <w:rPr>
              <w:rFonts w:cs="Arial"/>
            </w:rPr>
          </w:pPr>
          <w:r>
            <w:rPr>
              <w:rFonts w:cs="Arial"/>
            </w:rPr>
            <w:t>International Education Services</w:t>
          </w:r>
        </w:p>
      </w:tc>
      <w:tc>
        <w:tcPr>
          <w:tcW w:w="510" w:type="dxa"/>
        </w:tcPr>
        <w:p w14:paraId="2AB473BE" w14:textId="77777777" w:rsidR="004D3F58" w:rsidRDefault="004D3F58" w:rsidP="0019293B">
          <w:pPr>
            <w:pStyle w:val="Footer"/>
          </w:pPr>
        </w:p>
      </w:tc>
    </w:tr>
  </w:tbl>
  <w:p w14:paraId="295F400B" w14:textId="77777777" w:rsidR="004D3F58" w:rsidRDefault="004D3F58" w:rsidP="0019293B">
    <w:pPr>
      <w:pStyle w:val="FooterEnd"/>
    </w:pPr>
  </w:p>
  <w:p w14:paraId="4628BC3D" w14:textId="77777777"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643E2A9C" w14:textId="77777777" w:rsidTr="005F48ED">
      <w:trPr>
        <w:trHeight w:hRule="exact" w:val="567"/>
      </w:trPr>
      <w:tc>
        <w:tcPr>
          <w:tcW w:w="510" w:type="dxa"/>
        </w:tcPr>
        <w:p w14:paraId="22EA4F26" w14:textId="77777777" w:rsidR="007448F7" w:rsidRDefault="007448F7">
          <w:pPr>
            <w:pStyle w:val="Footer"/>
            <w:ind w:right="360" w:firstLine="360"/>
          </w:pPr>
        </w:p>
      </w:tc>
      <w:tc>
        <w:tcPr>
          <w:tcW w:w="7767" w:type="dxa"/>
        </w:tcPr>
        <w:p w14:paraId="11EB210D" w14:textId="39E558AB" w:rsidR="007448F7" w:rsidRPr="00BA5B14" w:rsidRDefault="00EC0697" w:rsidP="007448F7">
          <w:pPr>
            <w:pStyle w:val="Footer"/>
            <w:jc w:val="right"/>
            <w:rPr>
              <w:rFonts w:cs="Arial"/>
            </w:rPr>
          </w:pPr>
          <w:r w:rsidRPr="00EC0697">
            <w:rPr>
              <w:bCs/>
              <w:noProof/>
            </w:rPr>
            <w:t>Contents</w:t>
          </w:r>
          <w:r w:rsidR="007448F7">
            <w:rPr>
              <w:rFonts w:cs="Arial"/>
            </w:rPr>
            <w:t xml:space="preserve"> </w:t>
          </w:r>
        </w:p>
      </w:tc>
      <w:tc>
        <w:tcPr>
          <w:tcW w:w="510" w:type="dxa"/>
        </w:tcPr>
        <w:p w14:paraId="045FA4B3" w14:textId="77777777"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813473">
            <w:rPr>
              <w:rStyle w:val="PageNumber"/>
              <w:caps w:val="0"/>
              <w:noProof/>
            </w:rPr>
            <w:t>iii</w:t>
          </w:r>
          <w:r w:rsidRPr="007448F7">
            <w:rPr>
              <w:rStyle w:val="PageNumber"/>
              <w:caps w:val="0"/>
            </w:rPr>
            <w:fldChar w:fldCharType="end"/>
          </w:r>
        </w:p>
      </w:tc>
    </w:tr>
  </w:tbl>
  <w:p w14:paraId="3FF59CBB" w14:textId="77777777" w:rsidR="007448F7" w:rsidRDefault="007448F7">
    <w:pPr>
      <w:pStyle w:val="FooterEnd"/>
    </w:pPr>
  </w:p>
  <w:p w14:paraId="4C8A87A7" w14:textId="77777777" w:rsidR="00D37AC2" w:rsidRDefault="00D37AC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42F6C2AB" w14:textId="77777777" w:rsidTr="005F48ED">
      <w:trPr>
        <w:trHeight w:hRule="exact" w:val="567"/>
      </w:trPr>
      <w:tc>
        <w:tcPr>
          <w:tcW w:w="510" w:type="dxa"/>
        </w:tcPr>
        <w:p w14:paraId="28739440" w14:textId="77777777"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F04659">
            <w:rPr>
              <w:rStyle w:val="PageNumber"/>
              <w:caps w:val="0"/>
              <w:noProof/>
            </w:rPr>
            <w:t>vi</w:t>
          </w:r>
          <w:r w:rsidRPr="007448F7">
            <w:rPr>
              <w:rStyle w:val="PageNumber"/>
              <w:caps w:val="0"/>
            </w:rPr>
            <w:fldChar w:fldCharType="end"/>
          </w:r>
        </w:p>
      </w:tc>
      <w:tc>
        <w:tcPr>
          <w:tcW w:w="7767" w:type="dxa"/>
        </w:tcPr>
        <w:p w14:paraId="750B171D" w14:textId="77777777" w:rsidR="007448F7" w:rsidRPr="0013739A" w:rsidRDefault="00D61180" w:rsidP="00271B0C">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1E73E8">
            <w:rPr>
              <w:rFonts w:cs="Arial"/>
            </w:rPr>
            <w:t>International Education Services</w:t>
          </w:r>
          <w:r w:rsidRPr="00BA5B14">
            <w:rPr>
              <w:rFonts w:cs="Arial"/>
            </w:rPr>
            <w:fldChar w:fldCharType="end"/>
          </w:r>
        </w:p>
      </w:tc>
      <w:tc>
        <w:tcPr>
          <w:tcW w:w="510" w:type="dxa"/>
        </w:tcPr>
        <w:p w14:paraId="4582B8C2" w14:textId="77777777" w:rsidR="007448F7" w:rsidRDefault="007448F7" w:rsidP="0019293B">
          <w:pPr>
            <w:pStyle w:val="Footer"/>
          </w:pPr>
        </w:p>
      </w:tc>
    </w:tr>
  </w:tbl>
  <w:p w14:paraId="0F96EBF2" w14:textId="77777777" w:rsidR="007448F7" w:rsidRDefault="007448F7" w:rsidP="0019293B">
    <w:pPr>
      <w:pStyle w:val="FooterEnd"/>
    </w:pPr>
  </w:p>
  <w:p w14:paraId="2BE663E1" w14:textId="77777777"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14:paraId="2CEA6ABE" w14:textId="77777777" w:rsidTr="005F48ED">
      <w:trPr>
        <w:trHeight w:hRule="exact" w:val="567"/>
      </w:trPr>
      <w:tc>
        <w:tcPr>
          <w:tcW w:w="510" w:type="dxa"/>
        </w:tcPr>
        <w:p w14:paraId="4D94A9B5" w14:textId="77777777" w:rsidR="00340511" w:rsidRDefault="00340511">
          <w:pPr>
            <w:pStyle w:val="Footer"/>
            <w:ind w:right="360" w:firstLine="360"/>
          </w:pPr>
        </w:p>
      </w:tc>
      <w:tc>
        <w:tcPr>
          <w:tcW w:w="7767" w:type="dxa"/>
        </w:tcPr>
        <w:p w14:paraId="5B3F700D" w14:textId="1BB8ECB9" w:rsidR="00340511" w:rsidRPr="00340511" w:rsidRDefault="00EC0697" w:rsidP="00340511">
          <w:pPr>
            <w:pStyle w:val="Footer"/>
            <w:jc w:val="right"/>
            <w:rPr>
              <w:rFonts w:cs="Arial"/>
            </w:rPr>
          </w:pPr>
          <w:r w:rsidRPr="00EC0697">
            <w:rPr>
              <w:bCs/>
              <w:noProof/>
              <w:lang w:val="en-US"/>
            </w:rPr>
            <w:t>Acknowledgments</w:t>
          </w:r>
        </w:p>
      </w:tc>
      <w:tc>
        <w:tcPr>
          <w:tcW w:w="510" w:type="dxa"/>
        </w:tcPr>
        <w:p w14:paraId="2BBA80C2" w14:textId="77777777"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813473">
            <w:rPr>
              <w:rStyle w:val="PageNumber"/>
              <w:caps w:val="0"/>
              <w:noProof/>
            </w:rPr>
            <w:t>v</w:t>
          </w:r>
          <w:r w:rsidRPr="00A24443">
            <w:rPr>
              <w:rStyle w:val="PageNumber"/>
              <w:caps w:val="0"/>
            </w:rPr>
            <w:fldChar w:fldCharType="end"/>
          </w:r>
        </w:p>
      </w:tc>
    </w:tr>
  </w:tbl>
  <w:p w14:paraId="380DD3D0" w14:textId="77777777" w:rsidR="00340511" w:rsidRDefault="00340511">
    <w:pPr>
      <w:pStyle w:val="FooterEnd"/>
    </w:pPr>
  </w:p>
  <w:p w14:paraId="0583B5C5" w14:textId="77777777"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143B0D" w14:textId="77777777" w:rsidR="00153DCF" w:rsidRDefault="00153DCF">
      <w:r>
        <w:separator/>
      </w:r>
    </w:p>
    <w:p w14:paraId="5C2A06BC" w14:textId="77777777" w:rsidR="00153DCF" w:rsidRDefault="00153DCF"/>
    <w:p w14:paraId="53515029" w14:textId="77777777" w:rsidR="00153DCF" w:rsidRDefault="00153DCF"/>
  </w:footnote>
  <w:footnote w:type="continuationSeparator" w:id="0">
    <w:p w14:paraId="64100676" w14:textId="77777777" w:rsidR="00153DCF" w:rsidRDefault="00153DCF">
      <w:r>
        <w:continuationSeparator/>
      </w:r>
    </w:p>
    <w:p w14:paraId="55D4C431" w14:textId="77777777" w:rsidR="00153DCF" w:rsidRDefault="00153DCF"/>
    <w:p w14:paraId="5E777825" w14:textId="77777777" w:rsidR="00153DCF" w:rsidRDefault="00153DC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14:paraId="2222DEBA" w14:textId="77777777">
      <w:tc>
        <w:tcPr>
          <w:tcW w:w="2155" w:type="dxa"/>
          <w:tcBorders>
            <w:top w:val="single" w:sz="24" w:space="0" w:color="auto"/>
          </w:tcBorders>
        </w:tcPr>
        <w:p w14:paraId="5901879E" w14:textId="77777777" w:rsidR="00D37AC2" w:rsidRDefault="00D37AC2">
          <w:pPr>
            <w:pStyle w:val="Header"/>
          </w:pPr>
        </w:p>
      </w:tc>
      <w:tc>
        <w:tcPr>
          <w:tcW w:w="6634" w:type="dxa"/>
          <w:tcBorders>
            <w:top w:val="single" w:sz="6" w:space="0" w:color="auto"/>
          </w:tcBorders>
        </w:tcPr>
        <w:p w14:paraId="2ABCA56C" w14:textId="77777777" w:rsidR="00D37AC2" w:rsidRDefault="00D37AC2">
          <w:pPr>
            <w:pStyle w:val="Header"/>
          </w:pPr>
        </w:p>
      </w:tc>
    </w:tr>
  </w:tbl>
  <w:p w14:paraId="2EC74BC8" w14:textId="77777777" w:rsidR="00D37AC2" w:rsidRDefault="00D37AC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398007BF" w14:textId="77777777" w:rsidTr="005C68FE">
      <w:tc>
        <w:tcPr>
          <w:tcW w:w="6634" w:type="dxa"/>
          <w:tcBorders>
            <w:top w:val="single" w:sz="6" w:space="0" w:color="auto"/>
          </w:tcBorders>
        </w:tcPr>
        <w:p w14:paraId="22159BF7" w14:textId="77777777" w:rsidR="00D37AC2" w:rsidRDefault="00D37AC2" w:rsidP="005C68FE">
          <w:pPr>
            <w:pStyle w:val="HeaderOdd"/>
          </w:pPr>
        </w:p>
      </w:tc>
      <w:tc>
        <w:tcPr>
          <w:tcW w:w="2155" w:type="dxa"/>
          <w:tcBorders>
            <w:top w:val="single" w:sz="24" w:space="0" w:color="auto"/>
          </w:tcBorders>
        </w:tcPr>
        <w:p w14:paraId="320D0B87" w14:textId="77777777" w:rsidR="00D37AC2" w:rsidRDefault="00D37AC2" w:rsidP="005C68FE">
          <w:pPr>
            <w:pStyle w:val="HeaderOdd"/>
          </w:pPr>
        </w:p>
      </w:tc>
    </w:tr>
  </w:tbl>
  <w:p w14:paraId="7FB5EBB8" w14:textId="77777777" w:rsidR="00D37AC2" w:rsidRPr="005C68FE" w:rsidRDefault="00D37AC2"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14:paraId="00873200" w14:textId="77777777" w:rsidTr="005C68FE">
      <w:tc>
        <w:tcPr>
          <w:tcW w:w="2155" w:type="dxa"/>
          <w:tcBorders>
            <w:top w:val="single" w:sz="24" w:space="0" w:color="auto"/>
          </w:tcBorders>
        </w:tcPr>
        <w:p w14:paraId="75789CF4" w14:textId="77777777" w:rsidR="00D37AC2" w:rsidRDefault="00D37AC2" w:rsidP="005C68FE">
          <w:pPr>
            <w:pStyle w:val="HeaderEven"/>
          </w:pPr>
        </w:p>
      </w:tc>
      <w:tc>
        <w:tcPr>
          <w:tcW w:w="6634" w:type="dxa"/>
          <w:tcBorders>
            <w:top w:val="single" w:sz="6" w:space="0" w:color="auto"/>
          </w:tcBorders>
        </w:tcPr>
        <w:p w14:paraId="2F2A302E" w14:textId="77777777" w:rsidR="00D37AC2" w:rsidRDefault="00D37AC2" w:rsidP="005C68FE">
          <w:pPr>
            <w:pStyle w:val="HeaderEven"/>
          </w:pPr>
        </w:p>
      </w:tc>
    </w:tr>
  </w:tbl>
  <w:p w14:paraId="5D95E2F2" w14:textId="77777777" w:rsidR="00D37AC2" w:rsidRDefault="00D37AC2"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7BFCE881" w14:textId="77777777">
      <w:tc>
        <w:tcPr>
          <w:tcW w:w="6634" w:type="dxa"/>
          <w:tcBorders>
            <w:top w:val="single" w:sz="6" w:space="0" w:color="auto"/>
          </w:tcBorders>
        </w:tcPr>
        <w:p w14:paraId="071CC126" w14:textId="77777777" w:rsidR="00D37AC2" w:rsidRDefault="00D37AC2">
          <w:pPr>
            <w:pStyle w:val="HeaderOdd"/>
          </w:pPr>
        </w:p>
      </w:tc>
      <w:tc>
        <w:tcPr>
          <w:tcW w:w="2155" w:type="dxa"/>
          <w:tcBorders>
            <w:top w:val="single" w:sz="24" w:space="0" w:color="auto"/>
          </w:tcBorders>
        </w:tcPr>
        <w:p w14:paraId="752A89FF" w14:textId="77777777" w:rsidR="00D37AC2" w:rsidRDefault="00D37AC2">
          <w:pPr>
            <w:pStyle w:val="HeaderOdd"/>
          </w:pPr>
        </w:p>
      </w:tc>
    </w:tr>
  </w:tbl>
  <w:p w14:paraId="30709A38" w14:textId="77777777"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3DCF"/>
    <w:rsid w:val="0000443F"/>
    <w:rsid w:val="00017AFC"/>
    <w:rsid w:val="00025878"/>
    <w:rsid w:val="00026B38"/>
    <w:rsid w:val="000502D3"/>
    <w:rsid w:val="00052CB2"/>
    <w:rsid w:val="000623BF"/>
    <w:rsid w:val="000779EB"/>
    <w:rsid w:val="00095EEA"/>
    <w:rsid w:val="00097C15"/>
    <w:rsid w:val="000A0A0E"/>
    <w:rsid w:val="000A5E12"/>
    <w:rsid w:val="000B416E"/>
    <w:rsid w:val="000F185F"/>
    <w:rsid w:val="000F2F5F"/>
    <w:rsid w:val="00106041"/>
    <w:rsid w:val="0010611E"/>
    <w:rsid w:val="00122FE9"/>
    <w:rsid w:val="00131572"/>
    <w:rsid w:val="00131D4F"/>
    <w:rsid w:val="0013399B"/>
    <w:rsid w:val="00153DCF"/>
    <w:rsid w:val="00180515"/>
    <w:rsid w:val="00181F4B"/>
    <w:rsid w:val="00190919"/>
    <w:rsid w:val="00196FB3"/>
    <w:rsid w:val="001A5071"/>
    <w:rsid w:val="001B4E73"/>
    <w:rsid w:val="001B7F1E"/>
    <w:rsid w:val="001D4B1F"/>
    <w:rsid w:val="001D6629"/>
    <w:rsid w:val="001E3390"/>
    <w:rsid w:val="001E5098"/>
    <w:rsid w:val="001E73E8"/>
    <w:rsid w:val="001F2270"/>
    <w:rsid w:val="00203B40"/>
    <w:rsid w:val="00205A82"/>
    <w:rsid w:val="00211BEE"/>
    <w:rsid w:val="002179C6"/>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40511"/>
    <w:rsid w:val="0038647D"/>
    <w:rsid w:val="00393A49"/>
    <w:rsid w:val="003B41E0"/>
    <w:rsid w:val="003C3D73"/>
    <w:rsid w:val="003D624D"/>
    <w:rsid w:val="003E7802"/>
    <w:rsid w:val="0042007A"/>
    <w:rsid w:val="00433C81"/>
    <w:rsid w:val="00446D6B"/>
    <w:rsid w:val="00457B3F"/>
    <w:rsid w:val="00463022"/>
    <w:rsid w:val="00481CF0"/>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7557D"/>
    <w:rsid w:val="006802D4"/>
    <w:rsid w:val="00683849"/>
    <w:rsid w:val="00691AB5"/>
    <w:rsid w:val="006E1E6B"/>
    <w:rsid w:val="006F0EAC"/>
    <w:rsid w:val="006F6A85"/>
    <w:rsid w:val="0070328D"/>
    <w:rsid w:val="00731F96"/>
    <w:rsid w:val="00734127"/>
    <w:rsid w:val="00735FEA"/>
    <w:rsid w:val="00743460"/>
    <w:rsid w:val="00743A27"/>
    <w:rsid w:val="007448F7"/>
    <w:rsid w:val="00753DC6"/>
    <w:rsid w:val="0075578C"/>
    <w:rsid w:val="00766DFB"/>
    <w:rsid w:val="007734B5"/>
    <w:rsid w:val="00776B10"/>
    <w:rsid w:val="007809B8"/>
    <w:rsid w:val="007813A6"/>
    <w:rsid w:val="00805FD7"/>
    <w:rsid w:val="00806E54"/>
    <w:rsid w:val="00813473"/>
    <w:rsid w:val="008206EE"/>
    <w:rsid w:val="008214B1"/>
    <w:rsid w:val="008273A9"/>
    <w:rsid w:val="00836ED7"/>
    <w:rsid w:val="0084355E"/>
    <w:rsid w:val="008453AC"/>
    <w:rsid w:val="00860D09"/>
    <w:rsid w:val="00862044"/>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F04C9"/>
    <w:rsid w:val="008F6E37"/>
    <w:rsid w:val="008F7C50"/>
    <w:rsid w:val="008F7DB7"/>
    <w:rsid w:val="009064D3"/>
    <w:rsid w:val="00915300"/>
    <w:rsid w:val="0091578D"/>
    <w:rsid w:val="00933B0C"/>
    <w:rsid w:val="00935676"/>
    <w:rsid w:val="0098401D"/>
    <w:rsid w:val="009A789F"/>
    <w:rsid w:val="009B12EF"/>
    <w:rsid w:val="009B48F7"/>
    <w:rsid w:val="009B6185"/>
    <w:rsid w:val="009C6C6D"/>
    <w:rsid w:val="009E1E78"/>
    <w:rsid w:val="00A1597D"/>
    <w:rsid w:val="00A46989"/>
    <w:rsid w:val="00A469AA"/>
    <w:rsid w:val="00A71CE9"/>
    <w:rsid w:val="00A72A19"/>
    <w:rsid w:val="00A75A30"/>
    <w:rsid w:val="00A81800"/>
    <w:rsid w:val="00A93C82"/>
    <w:rsid w:val="00AB2A48"/>
    <w:rsid w:val="00AC3236"/>
    <w:rsid w:val="00AD4874"/>
    <w:rsid w:val="00AE1F8A"/>
    <w:rsid w:val="00B036B2"/>
    <w:rsid w:val="00B04D19"/>
    <w:rsid w:val="00B153C3"/>
    <w:rsid w:val="00B22087"/>
    <w:rsid w:val="00B722F2"/>
    <w:rsid w:val="00B774A2"/>
    <w:rsid w:val="00B80355"/>
    <w:rsid w:val="00B90958"/>
    <w:rsid w:val="00B95339"/>
    <w:rsid w:val="00BA0B81"/>
    <w:rsid w:val="00BB334E"/>
    <w:rsid w:val="00BB5DCF"/>
    <w:rsid w:val="00BC2476"/>
    <w:rsid w:val="00BC2F63"/>
    <w:rsid w:val="00BF59EA"/>
    <w:rsid w:val="00BF79CD"/>
    <w:rsid w:val="00C058AB"/>
    <w:rsid w:val="00C0721B"/>
    <w:rsid w:val="00C1571B"/>
    <w:rsid w:val="00C34C8C"/>
    <w:rsid w:val="00C50792"/>
    <w:rsid w:val="00C51371"/>
    <w:rsid w:val="00C55A45"/>
    <w:rsid w:val="00C904D9"/>
    <w:rsid w:val="00C9074A"/>
    <w:rsid w:val="00C94C06"/>
    <w:rsid w:val="00CA48BF"/>
    <w:rsid w:val="00CB3ACC"/>
    <w:rsid w:val="00CB4745"/>
    <w:rsid w:val="00CD2163"/>
    <w:rsid w:val="00CD4FE7"/>
    <w:rsid w:val="00CD5E6B"/>
    <w:rsid w:val="00CE4FBC"/>
    <w:rsid w:val="00CE5D96"/>
    <w:rsid w:val="00CE7344"/>
    <w:rsid w:val="00CF26EE"/>
    <w:rsid w:val="00D206A1"/>
    <w:rsid w:val="00D310F0"/>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1077"/>
    <w:rsid w:val="00DF00FE"/>
    <w:rsid w:val="00DF4592"/>
    <w:rsid w:val="00E15FDC"/>
    <w:rsid w:val="00E2651B"/>
    <w:rsid w:val="00E30DDB"/>
    <w:rsid w:val="00E6632E"/>
    <w:rsid w:val="00E90CF2"/>
    <w:rsid w:val="00EC0697"/>
    <w:rsid w:val="00EC38C1"/>
    <w:rsid w:val="00EC628B"/>
    <w:rsid w:val="00ED0F61"/>
    <w:rsid w:val="00EE3F6D"/>
    <w:rsid w:val="00EE73E1"/>
    <w:rsid w:val="00F04659"/>
    <w:rsid w:val="00F12107"/>
    <w:rsid w:val="00F13165"/>
    <w:rsid w:val="00F35BEB"/>
    <w:rsid w:val="00F4234E"/>
    <w:rsid w:val="00F61429"/>
    <w:rsid w:val="00F7477E"/>
    <w:rsid w:val="00F85393"/>
    <w:rsid w:val="00FA4A24"/>
    <w:rsid w:val="00FC041E"/>
    <w:rsid w:val="00FC41B4"/>
    <w:rsid w:val="00FC5A6B"/>
    <w:rsid w:val="00FC5C76"/>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401AA8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153DCF"/>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tabs>
        <w:tab w:val="clear" w:pos="340"/>
        <w:tab w:val="num" w:pos="360"/>
      </w:tabs>
      <w:spacing w:before="120"/>
      <w:ind w:left="0" w:firstLine="0"/>
    </w:pPr>
  </w:style>
  <w:style w:type="paragraph" w:styleId="ListNumber2">
    <w:name w:val="List Number 2"/>
    <w:basedOn w:val="ListNumber"/>
    <w:rsid w:val="0010611E"/>
    <w:pPr>
      <w:numPr>
        <w:ilvl w:val="1"/>
      </w:numPr>
      <w:tabs>
        <w:tab w:val="clear" w:pos="794"/>
        <w:tab w:val="num" w:pos="360"/>
      </w:tabs>
      <w:ind w:left="0" w:firstLine="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153DCF"/>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4.xml"/><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False</openByDefault>
  <xsnScope/>
</customXsn>
</file>

<file path=customXml/item2.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3.xml><?xml version="1.0" encoding="utf-8"?>
<ct:contentTypeSchema xmlns:ct="http://schemas.microsoft.com/office/2006/metadata/contentType" xmlns:ma="http://schemas.microsoft.com/office/2006/metadata/properties/metaAttributes" ct:_="" ma:_="" ma:contentTypeName="Final Report" ma:contentTypeID="0x01010066EDC8E18BFE9C418F00295EA55D44EA00BC1898756A9F48459333297EB68257DD0022F057F99102624AAEAFD6A1DB58878C" ma:contentTypeVersion="0" ma:contentTypeDescription="" ma:contentTypeScope="" ma:versionID="c4949f6288087dd6d41d1cf1ff0ab991">
  <xsd:schema xmlns:xsd="http://www.w3.org/2001/XMLSchema" xmlns:xs="http://www.w3.org/2001/XMLSchema" xmlns:p="http://schemas.microsoft.com/office/2006/metadata/properties" targetNamespace="http://schemas.microsoft.com/office/2006/metadata/properties" ma:root="true" ma:fieldsID="35d2ceaebb5480c207606bbce77fe6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478CF2DC-479D-4BF7-A8F4-64F7EB57C852}">
  <ds:schemaRefs>
    <ds:schemaRef ds:uri="http://schemas.microsoft.com/office/2006/metadata/customXsn"/>
  </ds:schemaRefs>
</ds:datastoreItem>
</file>

<file path=customXml/itemProps2.xml><?xml version="1.0" encoding="utf-8"?>
<ds:datastoreItem xmlns:ds="http://schemas.openxmlformats.org/officeDocument/2006/customXml" ds:itemID="{B55875FC-00E2-47B6-BC1D-AE7C9DDA60FD}">
  <ds:schemaRefs>
    <ds:schemaRef ds:uri="http://schemas.microsoft.com/sharepoint/events"/>
  </ds:schemaRefs>
</ds:datastoreItem>
</file>

<file path=customXml/itemProps3.xml><?xml version="1.0" encoding="utf-8"?>
<ds:datastoreItem xmlns:ds="http://schemas.openxmlformats.org/officeDocument/2006/customXml" ds:itemID="{5F07A342-D6B3-423A-8AC5-6DFEB185B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6FD5087-A16A-47B6-AE05-D89A350E564C}">
  <ds:schemaRefs>
    <ds:schemaRef ds:uri="http://www.w3.org/XML/1998/namespace"/>
    <ds:schemaRef ds:uri="http://purl.org/dc/term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schemas.microsoft.com/office/2006/documentManagement/types"/>
    <ds:schemaRef ds:uri="http://purl.org/dc/dcmitype/"/>
  </ds:schemaRefs>
</ds:datastoreItem>
</file>

<file path=customXml/itemProps5.xml><?xml version="1.0" encoding="utf-8"?>
<ds:datastoreItem xmlns:ds="http://schemas.openxmlformats.org/officeDocument/2006/customXml" ds:itemID="{E9F55AD6-552F-49A2-8FE5-2FB8DE1864CB}">
  <ds:schemaRefs>
    <ds:schemaRef ds:uri="http://schemas.microsoft.com/sharepoint/v3/contenttype/forms"/>
  </ds:schemaRefs>
</ds:datastoreItem>
</file>

<file path=customXml/itemProps6.xml><?xml version="1.0" encoding="utf-8"?>
<ds:datastoreItem xmlns:ds="http://schemas.openxmlformats.org/officeDocument/2006/customXml" ds:itemID="{D834D697-11F2-403F-885D-8B226A0DC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5</Pages>
  <Words>660</Words>
  <Characters>3901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International Education Services</vt:lpstr>
    </vt:vector>
  </TitlesOfParts>
  <Company>Productivity Commission</Company>
  <LinksUpToDate>false</LinksUpToDate>
  <CharactersWithSpaces>4552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Education Services</dc:title>
  <dc:creator>Productivity Commission</dc:creator>
  <cp:lastModifiedBy>Productivity Commission</cp:lastModifiedBy>
  <cp:revision>2</cp:revision>
  <cp:lastPrinted>2015-04-22T00:00:00Z</cp:lastPrinted>
  <dcterms:created xsi:type="dcterms:W3CDTF">2015-04-24T02:07:00Z</dcterms:created>
  <dcterms:modified xsi:type="dcterms:W3CDTF">2015-04-24T02:07:00Z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0x01010066EDC8E18BFE9C418F00295EA55D44EA00BC1898756A9F48459333297EB68257DD0022F057F99102624AAEAFD6A1DB58878C</vt:lpwstr>
  </property>
  <property fmtid="{D5CDD505-2E9C-101B-9397-08002B2CF9AE}" pid="3" name="RecordPoint_WorkflowType">
    <vt:lpwstr>ActiveSubmitStub</vt:lpwstr>
  </property>
  <property fmtid="{D5CDD505-2E9C-101B-9397-08002B2CF9AE}" pid="4" name="RecordPoint_ActiveItemSiteId">
    <vt:lpwstr>{5750d626-0aa0-474c-a55f-8063909d4906}</vt:lpwstr>
  </property>
  <property fmtid="{D5CDD505-2E9C-101B-9397-08002B2CF9AE}" pid="5" name="RecordPoint_ActiveItemListId">
    <vt:lpwstr>{389895aa-556b-47cb-944d-c6b748fef9d2}</vt:lpwstr>
  </property>
  <property fmtid="{D5CDD505-2E9C-101B-9397-08002B2CF9AE}" pid="6" name="RecordPoint_ActiveItemUniqueId">
    <vt:lpwstr>{80c95b3c-a4d9-4577-a6e7-43f236f52226}</vt:lpwstr>
  </property>
  <property fmtid="{D5CDD505-2E9C-101B-9397-08002B2CF9AE}" pid="7" name="RecordPoint_ActiveItemWebId">
    <vt:lpwstr>{5ab854fe-4020-4b77-acfc-1af4087a44b5}</vt:lpwstr>
  </property>
  <property fmtid="{D5CDD505-2E9C-101B-9397-08002B2CF9AE}" pid="8" name="IconOverlay">
    <vt:lpwstr/>
  </property>
  <property fmtid="{D5CDD505-2E9C-101B-9397-08002B2CF9AE}" pid="9" name="RecordPoint_SubmissionCompleted">
    <vt:lpwstr>2015-04-21T18:29:35.7696563+10:00</vt:lpwstr>
  </property>
  <property fmtid="{D5CDD505-2E9C-101B-9397-08002B2CF9AE}" pid="10" name="RecordPoint_RecordNumberSubmitted">
    <vt:lpwstr>R0000012651</vt:lpwstr>
  </property>
  <property fmtid="{D5CDD505-2E9C-101B-9397-08002B2CF9AE}" pid="11" name="RecordPoint_SubmissionDate">
    <vt:lpwstr/>
  </property>
  <property fmtid="{D5CDD505-2E9C-101B-9397-08002B2CF9AE}" pid="12" name="RecordPoint_ActiveItemMoved">
    <vt:lpwstr/>
  </property>
  <property fmtid="{D5CDD505-2E9C-101B-9397-08002B2CF9AE}" pid="13" name="RecordPoint_RecordFormat">
    <vt:lpwstr/>
  </property>
</Properties>
</file>