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00D5A" w14:textId="238B9A01" w:rsidR="00255A0B" w:rsidRDefault="00255A0B" w:rsidP="00255A0B">
      <w:pPr>
        <w:pStyle w:val="Date"/>
        <w:spacing w:line="240" w:lineRule="auto"/>
        <w:ind w:left="0"/>
      </w:pPr>
      <w:bookmarkStart w:id="0" w:name="ChapterNumber"/>
      <w:r>
        <w:rPr>
          <w:rFonts w:cs="Arial"/>
          <w:noProof/>
          <w:lang w:eastAsia="en-AU"/>
        </w:rPr>
        <w:drawing>
          <wp:anchor distT="0" distB="0" distL="114300" distR="114300" simplePos="0" relativeHeight="251658240" behindDoc="1" locked="0" layoutInCell="1" allowOverlap="1" wp14:anchorId="4C5BBC5C" wp14:editId="61FD0147">
            <wp:simplePos x="0" y="0"/>
            <wp:positionH relativeFrom="page">
              <wp:align>right</wp:align>
            </wp:positionH>
            <wp:positionV relativeFrom="paragraph">
              <wp:posOffset>-950461</wp:posOffset>
            </wp:positionV>
            <wp:extent cx="7573387" cy="10709806"/>
            <wp:effectExtent l="0" t="0" r="889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573387" cy="10709806"/>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5CA88DE7" wp14:editId="4958C3A4">
            <wp:extent cx="3082285" cy="745958"/>
            <wp:effectExtent l="0" t="0" r="4445"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4846" cy="775620"/>
                    </a:xfrm>
                    <a:prstGeom prst="rect">
                      <a:avLst/>
                    </a:prstGeom>
                  </pic:spPr>
                </pic:pic>
              </a:graphicData>
            </a:graphic>
          </wp:inline>
        </w:drawing>
      </w:r>
    </w:p>
    <w:p w14:paraId="1364EA81" w14:textId="31909B46" w:rsidR="00255A0B" w:rsidRPr="005E2075" w:rsidRDefault="00255A0B" w:rsidP="005E2075">
      <w:pPr>
        <w:pStyle w:val="BodyText"/>
        <w:spacing w:before="1440" w:after="240"/>
        <w:jc w:val="left"/>
        <w:rPr>
          <w:rFonts w:ascii="Arial" w:eastAsiaTheme="majorEastAsia" w:hAnsi="Arial" w:cs="Arial"/>
          <w:sz w:val="32"/>
          <w:szCs w:val="32"/>
        </w:rPr>
      </w:pPr>
      <w:r w:rsidRPr="005E2075">
        <w:rPr>
          <w:rFonts w:ascii="Arial" w:eastAsiaTheme="majorEastAsia" w:hAnsi="Arial" w:cs="Arial"/>
          <w:sz w:val="32"/>
          <w:szCs w:val="32"/>
        </w:rPr>
        <w:t xml:space="preserve">PRODUCTIVITY COMMISSION </w:t>
      </w:r>
      <w:r w:rsidRPr="005E2075">
        <w:rPr>
          <w:rFonts w:ascii="Arial" w:eastAsiaTheme="majorEastAsia" w:hAnsi="Arial" w:cs="Arial"/>
          <w:sz w:val="32"/>
          <w:szCs w:val="32"/>
        </w:rPr>
        <w:br/>
      </w:r>
      <w:r w:rsidR="00931D57">
        <w:rPr>
          <w:rFonts w:ascii="Arial" w:eastAsiaTheme="majorEastAsia" w:hAnsi="Arial" w:cs="Arial"/>
          <w:sz w:val="32"/>
          <w:szCs w:val="32"/>
        </w:rPr>
        <w:t>FINAL REPORT</w:t>
      </w:r>
    </w:p>
    <w:p w14:paraId="0A154452" w14:textId="00491145" w:rsidR="00255A0B" w:rsidRPr="005E2075" w:rsidRDefault="005E2075" w:rsidP="00255A0B">
      <w:pPr>
        <w:spacing w:after="480"/>
        <w:rPr>
          <w:rFonts w:ascii="Arial" w:eastAsiaTheme="majorEastAsia" w:hAnsi="Arial" w:cs="Arial"/>
          <w:b/>
          <w:bCs/>
          <w:color w:val="404040" w:themeColor="text1" w:themeTint="BF"/>
          <w:sz w:val="96"/>
          <w:szCs w:val="96"/>
        </w:rPr>
      </w:pPr>
      <w:r w:rsidRPr="005E2075">
        <w:rPr>
          <w:rFonts w:ascii="Arial" w:eastAsiaTheme="majorEastAsia" w:hAnsi="Arial" w:cs="Arial"/>
          <w:b/>
          <w:bCs/>
          <w:color w:val="404040" w:themeColor="text1" w:themeTint="BF"/>
          <w:sz w:val="96"/>
          <w:szCs w:val="96"/>
        </w:rPr>
        <w:t>Mental health and suicide prevention stocktake</w:t>
      </w:r>
    </w:p>
    <w:p w14:paraId="6CEABB14" w14:textId="08FE182F" w:rsidR="00255A0B" w:rsidRPr="005E2075" w:rsidRDefault="005E2075" w:rsidP="00255A0B">
      <w:pPr>
        <w:rPr>
          <w:rFonts w:ascii="Arial" w:hAnsi="Arial" w:cs="Arial"/>
          <w:color w:val="808080" w:themeColor="background1" w:themeShade="80"/>
          <w:sz w:val="36"/>
          <w:szCs w:val="36"/>
        </w:rPr>
      </w:pPr>
      <w:r w:rsidRPr="005E2075">
        <w:rPr>
          <w:rFonts w:ascii="Arial" w:eastAsiaTheme="majorEastAsia" w:hAnsi="Arial" w:cs="Arial"/>
          <w:color w:val="808080" w:themeColor="background1" w:themeShade="80"/>
          <w:sz w:val="36"/>
          <w:szCs w:val="36"/>
        </w:rPr>
        <w:t>April 2021</w:t>
      </w:r>
    </w:p>
    <w:p w14:paraId="5FA39304" w14:textId="6C93F1D8" w:rsidR="00931D57" w:rsidRDefault="001723C6" w:rsidP="00931D57">
      <w:pPr>
        <w:pStyle w:val="BoxSpaceAbove"/>
      </w:pPr>
      <w:r w:rsidRPr="005E2075">
        <w:br w:type="page"/>
      </w:r>
      <w:bookmarkEnd w:id="0"/>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7B01675D" w14:textId="77777777" w:rsidTr="00721FBA">
        <w:trPr>
          <w:tblHeader/>
        </w:trPr>
        <w:tc>
          <w:tcPr>
            <w:tcW w:w="5000" w:type="pct"/>
            <w:tcBorders>
              <w:top w:val="single" w:sz="6" w:space="0" w:color="78A22F"/>
              <w:left w:val="nil"/>
              <w:bottom w:val="nil"/>
              <w:right w:val="nil"/>
            </w:tcBorders>
            <w:shd w:val="clear" w:color="auto" w:fill="F2F2F2"/>
          </w:tcPr>
          <w:p w14:paraId="214BFBA3" w14:textId="77777777" w:rsidR="00931D57" w:rsidRDefault="00931D57" w:rsidP="00721FBA">
            <w:pPr>
              <w:pStyle w:val="BoxTitle"/>
            </w:pPr>
            <w:r>
              <w:lastRenderedPageBreak/>
              <w:t>Key points</w:t>
            </w:r>
          </w:p>
        </w:tc>
      </w:tr>
      <w:tr w:rsidR="00931D57" w14:paraId="56EB3FDB" w14:textId="77777777" w:rsidTr="00721FBA">
        <w:tc>
          <w:tcPr>
            <w:tcW w:w="5000" w:type="pct"/>
            <w:tcBorders>
              <w:top w:val="nil"/>
              <w:left w:val="nil"/>
              <w:bottom w:val="nil"/>
              <w:right w:val="nil"/>
            </w:tcBorders>
            <w:shd w:val="clear" w:color="auto" w:fill="F2F2F2"/>
          </w:tcPr>
          <w:p w14:paraId="7FE7621A" w14:textId="02E647DE" w:rsidR="00931D57" w:rsidRPr="008C52F0" w:rsidRDefault="00297ED1" w:rsidP="005C0C7C">
            <w:pPr>
              <w:pStyle w:val="KeyPointsListBullet"/>
            </w:pPr>
            <w:r w:rsidRPr="008C52F0">
              <w:t xml:space="preserve">The Australian, State and Territory </w:t>
            </w:r>
            <w:r w:rsidR="00931D57" w:rsidRPr="008C52F0">
              <w:t xml:space="preserve">Governments collectively </w:t>
            </w:r>
            <w:r w:rsidR="00F95DCD" w:rsidRPr="008C52F0">
              <w:t xml:space="preserve">reported </w:t>
            </w:r>
            <w:r w:rsidR="00931D57" w:rsidRPr="008C52F0">
              <w:t>spen</w:t>
            </w:r>
            <w:r w:rsidR="00F95DCD" w:rsidRPr="008C52F0">
              <w:t xml:space="preserve">ding </w:t>
            </w:r>
            <w:r w:rsidR="00931D57" w:rsidRPr="008C52F0">
              <w:t>around $14.</w:t>
            </w:r>
            <w:r w:rsidR="00D92030" w:rsidRPr="008C52F0">
              <w:t>5</w:t>
            </w:r>
            <w:r w:rsidRPr="008C52F0">
              <w:t> </w:t>
            </w:r>
            <w:r w:rsidR="00931D57" w:rsidRPr="008C52F0">
              <w:t>billion on mental health and suicide prevention programs in 2019-20</w:t>
            </w:r>
            <w:r w:rsidRPr="008C52F0">
              <w:t>. T</w:t>
            </w:r>
            <w:r w:rsidR="00931D57" w:rsidRPr="008C52F0">
              <w:t>he Australian Government account</w:t>
            </w:r>
            <w:r w:rsidRPr="008C52F0">
              <w:t>ed</w:t>
            </w:r>
            <w:r w:rsidR="00931D57" w:rsidRPr="008C52F0">
              <w:t xml:space="preserve"> for just under half of total </w:t>
            </w:r>
            <w:r w:rsidR="00A32410" w:rsidRPr="008C52F0">
              <w:t xml:space="preserve">program </w:t>
            </w:r>
            <w:r w:rsidR="00931D57" w:rsidRPr="008C52F0">
              <w:t xml:space="preserve">expenditure. </w:t>
            </w:r>
          </w:p>
          <w:p w14:paraId="4A27C4BF" w14:textId="53834B0A" w:rsidR="001C50B5" w:rsidRPr="008C52F0" w:rsidRDefault="00BC20EF" w:rsidP="002F6878">
            <w:pPr>
              <w:pStyle w:val="KeyPointsListBullet"/>
            </w:pPr>
            <w:r w:rsidRPr="008C52F0">
              <w:t>Governments reported $12.1 billion in program expenditure from health portfolios.</w:t>
            </w:r>
            <w:r w:rsidR="00C319C3" w:rsidRPr="008C52F0">
              <w:t xml:space="preserve"> Across the board,</w:t>
            </w:r>
            <w:r w:rsidRPr="008C52F0">
              <w:t xml:space="preserve"> </w:t>
            </w:r>
            <w:r w:rsidR="00C319C3" w:rsidRPr="008C52F0">
              <w:t>g</w:t>
            </w:r>
            <w:r w:rsidR="007F2695" w:rsidRPr="008C52F0">
              <w:t xml:space="preserve">overnments </w:t>
            </w:r>
            <w:r w:rsidR="001F0EA0" w:rsidRPr="008C52F0">
              <w:t xml:space="preserve">were not able to </w:t>
            </w:r>
            <w:r w:rsidR="00EC610D" w:rsidRPr="008C52F0">
              <w:t xml:space="preserve">provide </w:t>
            </w:r>
            <w:r w:rsidR="001F0EA0" w:rsidRPr="008C52F0">
              <w:t xml:space="preserve">comprehensive program data on expenditures in key non-health areas such as justice, housing and community services. </w:t>
            </w:r>
            <w:r w:rsidR="00A352D8" w:rsidRPr="008C52F0">
              <w:t>Consequently,</w:t>
            </w:r>
            <w:r w:rsidR="00640192" w:rsidRPr="008C52F0">
              <w:t xml:space="preserve"> the stocktake </w:t>
            </w:r>
            <w:r w:rsidR="009648E7" w:rsidRPr="008C52F0">
              <w:t>does not capture the entirety of funding for mental health and suicide prevention</w:t>
            </w:r>
            <w:r w:rsidR="00D24C93" w:rsidRPr="008C52F0">
              <w:t xml:space="preserve">, and most likely overstates the relative role of health </w:t>
            </w:r>
            <w:r w:rsidR="005166CC" w:rsidRPr="008C52F0">
              <w:t>portfolio expenditures</w:t>
            </w:r>
            <w:r w:rsidR="00E6390F" w:rsidRPr="008C52F0">
              <w:t>.</w:t>
            </w:r>
          </w:p>
          <w:p w14:paraId="5091D1F2" w14:textId="55BAE1D0" w:rsidR="00931D57" w:rsidRPr="008C52F0" w:rsidRDefault="005E6B79" w:rsidP="005C0C7C">
            <w:pPr>
              <w:pStyle w:val="KeyPointsListBullet"/>
            </w:pPr>
            <w:r w:rsidRPr="008C52F0">
              <w:t xml:space="preserve">Notwithstanding this, </w:t>
            </w:r>
            <w:r w:rsidR="009C574F" w:rsidRPr="008C52F0">
              <w:t xml:space="preserve">the </w:t>
            </w:r>
            <w:proofErr w:type="spellStart"/>
            <w:r w:rsidR="009C574F" w:rsidRPr="008C52F0">
              <w:t>stocktake’s</w:t>
            </w:r>
            <w:proofErr w:type="spellEnd"/>
            <w:r w:rsidRPr="008C52F0">
              <w:t xml:space="preserve"> data</w:t>
            </w:r>
            <w:r w:rsidR="006D2F81" w:rsidRPr="008C52F0">
              <w:t xml:space="preserve"> show that </w:t>
            </w:r>
            <w:r w:rsidR="00931D57" w:rsidRPr="008C52F0">
              <w:t>State and Territory Governments:</w:t>
            </w:r>
          </w:p>
          <w:p w14:paraId="05302176" w14:textId="3C179811" w:rsidR="00931D57" w:rsidRPr="008C52F0" w:rsidRDefault="00931D57" w:rsidP="008765CC">
            <w:pPr>
              <w:pStyle w:val="KeyPointsListBullet2"/>
            </w:pPr>
            <w:r w:rsidRPr="008C52F0">
              <w:t>directed</w:t>
            </w:r>
            <w:r w:rsidRPr="008C52F0" w:rsidDel="001919ED">
              <w:t xml:space="preserve"> </w:t>
            </w:r>
            <w:r w:rsidRPr="008C52F0">
              <w:t xml:space="preserve">most (54–88 per cent) of their </w:t>
            </w:r>
            <w:r w:rsidR="00F95DCD" w:rsidRPr="008C52F0">
              <w:t xml:space="preserve">reported </w:t>
            </w:r>
            <w:r w:rsidR="00313CF7" w:rsidRPr="008C52F0">
              <w:t xml:space="preserve">program </w:t>
            </w:r>
            <w:r w:rsidRPr="008C52F0">
              <w:t>expenditure towards specialist mental health services and acute care ($5.9 billion in total)</w:t>
            </w:r>
          </w:p>
          <w:p w14:paraId="2280589A" w14:textId="6EBC4E75" w:rsidR="00931D57" w:rsidRPr="008C52F0" w:rsidRDefault="00931D57" w:rsidP="008765CC">
            <w:pPr>
              <w:pStyle w:val="KeyPointsListBullet2"/>
            </w:pPr>
            <w:r w:rsidRPr="008C52F0">
              <w:t>collectively spent $388 million on mental health and suicide prevention programs in education portfolios (</w:t>
            </w:r>
            <w:r w:rsidR="00724852" w:rsidRPr="008C52F0">
              <w:t xml:space="preserve">generally </w:t>
            </w:r>
            <w:r w:rsidRPr="008C52F0">
              <w:t xml:space="preserve">accounting for 5–8 per cent of total </w:t>
            </w:r>
            <w:r w:rsidR="000459F4" w:rsidRPr="008C52F0">
              <w:t xml:space="preserve">reported </w:t>
            </w:r>
            <w:r w:rsidRPr="008C52F0">
              <w:t>expenditure)</w:t>
            </w:r>
            <w:r w:rsidR="00724852" w:rsidRPr="008C52F0">
              <w:t xml:space="preserve">, </w:t>
            </w:r>
            <w:r w:rsidR="00655ADC" w:rsidRPr="008C52F0">
              <w:t xml:space="preserve">which was </w:t>
            </w:r>
            <w:r w:rsidR="00724852" w:rsidRPr="008C52F0">
              <w:t>primarily</w:t>
            </w:r>
            <w:r w:rsidRPr="008C52F0">
              <w:t xml:space="preserve"> directed to prevention and early intervention. </w:t>
            </w:r>
          </w:p>
          <w:p w14:paraId="30D3D048" w14:textId="0D083F05" w:rsidR="00931D57" w:rsidRPr="008C52F0" w:rsidRDefault="00931D57" w:rsidP="005F610A">
            <w:pPr>
              <w:pStyle w:val="KeyPointsListBullet"/>
              <w:rPr>
                <w:rStyle w:val="DraftingNote"/>
                <w:rFonts w:ascii="Times New Roman" w:hAnsi="Times New Roman"/>
                <w:b w:val="0"/>
                <w:color w:val="auto"/>
                <w:sz w:val="20"/>
                <w:szCs w:val="24"/>
                <w:u w:val="none"/>
              </w:rPr>
            </w:pPr>
            <w:r w:rsidRPr="008C52F0">
              <w:t xml:space="preserve">The Australian Government’s </w:t>
            </w:r>
            <w:r w:rsidR="00AB4B85" w:rsidRPr="008C52F0">
              <w:t xml:space="preserve">reported </w:t>
            </w:r>
            <w:r w:rsidR="000459F4" w:rsidRPr="008C52F0">
              <w:t xml:space="preserve">program </w:t>
            </w:r>
            <w:r w:rsidRPr="008C52F0">
              <w:t>expenditure was relatively focused on primary mental health care ($2.9 billion).</w:t>
            </w:r>
            <w:r w:rsidR="00E07B25" w:rsidRPr="008C52F0">
              <w:t xml:space="preserve"> </w:t>
            </w:r>
            <w:r w:rsidRPr="008C52F0">
              <w:t>85 per cent</w:t>
            </w:r>
            <w:r w:rsidR="00446074" w:rsidRPr="008C52F0">
              <w:t xml:space="preserve"> (</w:t>
            </w:r>
            <w:r w:rsidRPr="008C52F0">
              <w:t>or $</w:t>
            </w:r>
            <w:r w:rsidR="00BA44A8" w:rsidRPr="008C52F0">
              <w:t>6.0</w:t>
            </w:r>
            <w:r w:rsidRPr="008C52F0">
              <w:t xml:space="preserve"> billion) </w:t>
            </w:r>
            <w:r w:rsidR="00446074" w:rsidRPr="008C52F0">
              <w:t xml:space="preserve">of Australian Government expenditure </w:t>
            </w:r>
            <w:r w:rsidRPr="008C52F0">
              <w:t xml:space="preserve">was absorbed by </w:t>
            </w:r>
            <w:r w:rsidR="00664E2F" w:rsidRPr="008C52F0">
              <w:t xml:space="preserve">five programs — </w:t>
            </w:r>
            <w:r w:rsidRPr="008C52F0">
              <w:t>mental health-related funding for the Medicare Benefits Schedule (including Better Access), National Disability Insurance Scheme, Pharmaceutical Benefits Scheme, public hospitals and Primary Health Networks.</w:t>
            </w:r>
          </w:p>
          <w:p w14:paraId="48EA26CF" w14:textId="3C4BF277" w:rsidR="00931D57" w:rsidRPr="008C52F0" w:rsidRDefault="00931D57" w:rsidP="008765CC">
            <w:pPr>
              <w:pStyle w:val="KeyPointsListBullet"/>
            </w:pPr>
            <w:r w:rsidRPr="008C52F0">
              <w:t xml:space="preserve">Some groups — such as children and adolescents — received </w:t>
            </w:r>
            <w:r w:rsidRPr="008C52F0">
              <w:rPr>
                <w:iCs/>
              </w:rPr>
              <w:t>targeted</w:t>
            </w:r>
            <w:r w:rsidRPr="008C52F0">
              <w:t xml:space="preserve"> funding; however, there was limited evidence of </w:t>
            </w:r>
            <w:r w:rsidR="0064530A" w:rsidRPr="008C52F0">
              <w:t xml:space="preserve">programs </w:t>
            </w:r>
            <w:r w:rsidR="009A2877" w:rsidRPr="008C52F0">
              <w:t xml:space="preserve">targeted towards </w:t>
            </w:r>
            <w:r w:rsidRPr="008C52F0">
              <w:t xml:space="preserve">many vulnerable </w:t>
            </w:r>
            <w:r w:rsidR="00D52400" w:rsidRPr="008C52F0">
              <w:t>cohorts</w:t>
            </w:r>
            <w:r w:rsidRPr="008C52F0">
              <w:t xml:space="preserve"> (such as people experiencing homelessness and children in the child protection system).</w:t>
            </w:r>
          </w:p>
          <w:p w14:paraId="59DFA612" w14:textId="77777777" w:rsidR="00931D57" w:rsidRDefault="00931D57" w:rsidP="008765CC">
            <w:pPr>
              <w:pStyle w:val="KeyPointsListBullet"/>
            </w:pPr>
            <w:r>
              <w:t xml:space="preserve">In developing the </w:t>
            </w:r>
            <w:r w:rsidRPr="005F52B7">
              <w:t>National Mental Health and Suicide Prevention Agreement</w:t>
            </w:r>
            <w:r>
              <w:t>, some observations from this stocktake are especially pertinent.</w:t>
            </w:r>
          </w:p>
          <w:p w14:paraId="73F2D654" w14:textId="10664CDB" w:rsidR="00931D57" w:rsidRDefault="00931D57" w:rsidP="008765CC">
            <w:pPr>
              <w:pStyle w:val="KeyPointsListBullet2"/>
            </w:pPr>
            <w:r>
              <w:t>While the</w:t>
            </w:r>
            <w:r w:rsidR="00AC6736">
              <w:t xml:space="preserve"> Australian</w:t>
            </w:r>
            <w:r w:rsidR="002C6E4F">
              <w:t>,</w:t>
            </w:r>
            <w:r w:rsidR="00AC6736">
              <w:t xml:space="preserve"> State and Territory Governments</w:t>
            </w:r>
            <w:r>
              <w:t xml:space="preserve"> generally fund different types of </w:t>
            </w:r>
            <w:r w:rsidR="00467C63">
              <w:t>programs</w:t>
            </w:r>
            <w:r>
              <w:t>, coordination between levels of government</w:t>
            </w:r>
            <w:r w:rsidR="001D0F64">
              <w:t xml:space="preserve"> </w:t>
            </w:r>
            <w:r w:rsidR="002C6E4F">
              <w:t>(</w:t>
            </w:r>
            <w:r w:rsidR="001D0F64">
              <w:t>including at the local level</w:t>
            </w:r>
            <w:r w:rsidR="002C6E4F">
              <w:t>)</w:t>
            </w:r>
            <w:r>
              <w:t xml:space="preserve"> is fundamental to achieving an integrated mental health and suicide prevention system.</w:t>
            </w:r>
          </w:p>
          <w:p w14:paraId="461553E5" w14:textId="1FD90985" w:rsidR="00931D57" w:rsidRPr="00912319" w:rsidRDefault="0029008D" w:rsidP="008765CC">
            <w:pPr>
              <w:pStyle w:val="KeyPointsListBullet2"/>
            </w:pPr>
            <w:r>
              <w:t xml:space="preserve">The Commission </w:t>
            </w:r>
            <w:r w:rsidRPr="00912319">
              <w:t xml:space="preserve">estimates that </w:t>
            </w:r>
            <w:r w:rsidR="00931D57" w:rsidRPr="00912319">
              <w:t>$7.</w:t>
            </w:r>
            <w:r w:rsidR="00C57962" w:rsidRPr="00912319">
              <w:t>9</w:t>
            </w:r>
            <w:r w:rsidR="00931D57" w:rsidRPr="00912319">
              <w:t xml:space="preserve"> billion of government expenditure is demand driven and </w:t>
            </w:r>
            <w:r w:rsidR="00AC6736" w:rsidRPr="00912319">
              <w:t xml:space="preserve">incurred </w:t>
            </w:r>
            <w:r w:rsidR="00931D57" w:rsidRPr="00912319">
              <w:t xml:space="preserve">automatically, </w:t>
            </w:r>
            <w:r w:rsidR="00AC6736" w:rsidRPr="00912319">
              <w:t>albeit generally as a result of ‘bottom</w:t>
            </w:r>
            <w:r w:rsidR="00AC6736" w:rsidRPr="00912319">
              <w:noBreakHyphen/>
              <w:t xml:space="preserve">up’ decisions. However, given previously identified gaps in the system, </w:t>
            </w:r>
            <w:r w:rsidR="008224E8">
              <w:t xml:space="preserve">these </w:t>
            </w:r>
            <w:r w:rsidR="006E1E3A" w:rsidRPr="00912319">
              <w:t>activity</w:t>
            </w:r>
            <w:r w:rsidR="006E1E3A" w:rsidRPr="00912319">
              <w:noBreakHyphen/>
              <w:t xml:space="preserve">based funding mechanisms </w:t>
            </w:r>
            <w:r w:rsidR="004076F2">
              <w:t>will</w:t>
            </w:r>
            <w:r w:rsidR="00AC6736" w:rsidRPr="00912319">
              <w:t xml:space="preserve"> </w:t>
            </w:r>
            <w:r w:rsidR="006E1E3A" w:rsidRPr="00912319">
              <w:t xml:space="preserve">not result </w:t>
            </w:r>
            <w:r w:rsidR="00AC6736" w:rsidRPr="00912319">
              <w:t xml:space="preserve">in </w:t>
            </w:r>
            <w:r w:rsidR="006E1E3A" w:rsidRPr="00912319">
              <w:t>the best consumer</w:t>
            </w:r>
            <w:r w:rsidR="00AC6736" w:rsidRPr="00912319">
              <w:t xml:space="preserve"> outcomes </w:t>
            </w:r>
            <w:r w:rsidR="006E1E3A" w:rsidRPr="00912319">
              <w:t>or</w:t>
            </w:r>
            <w:r w:rsidR="00AC6736" w:rsidRPr="00912319">
              <w:t xml:space="preserve"> value for money</w:t>
            </w:r>
            <w:r w:rsidR="00931D57" w:rsidRPr="00912319">
              <w:t xml:space="preserve">. </w:t>
            </w:r>
          </w:p>
          <w:p w14:paraId="3B4049F0" w14:textId="2C841A80" w:rsidR="00931D57" w:rsidRPr="00733A97" w:rsidRDefault="00931D57" w:rsidP="008765CC">
            <w:pPr>
              <w:pStyle w:val="KeyPointsListBullet2"/>
            </w:pPr>
            <w:r w:rsidRPr="00912319">
              <w:t>While expenditures on prevention and promotion, early intervention and suicide prevention</w:t>
            </w:r>
            <w:r w:rsidR="001F7E22">
              <w:t xml:space="preserve"> programs</w:t>
            </w:r>
            <w:r w:rsidRPr="00912319">
              <w:t xml:space="preserve"> are low (1–3 per cent of total </w:t>
            </w:r>
            <w:r w:rsidR="001F7E22">
              <w:t>reported expenditure</w:t>
            </w:r>
            <w:r w:rsidRPr="00912319">
              <w:t xml:space="preserve">), the types of programs being funded — particularly in education portfolios — are a solid basis to build </w:t>
            </w:r>
            <w:r>
              <w:t>on</w:t>
            </w:r>
            <w:r w:rsidRPr="0051039C">
              <w:t>.</w:t>
            </w:r>
          </w:p>
          <w:p w14:paraId="2C615C8C" w14:textId="62F97757" w:rsidR="00931D57" w:rsidRDefault="00931D57" w:rsidP="008765CC">
            <w:pPr>
              <w:pStyle w:val="KeyPointsListBullet2"/>
            </w:pPr>
            <w:r>
              <w:t>Many n</w:t>
            </w:r>
            <w:r w:rsidRPr="009D5DB7">
              <w:t xml:space="preserve">on-health portfolios that </w:t>
            </w:r>
            <w:r>
              <w:t xml:space="preserve">play a </w:t>
            </w:r>
            <w:r w:rsidR="00A5373C">
              <w:t xml:space="preserve">key </w:t>
            </w:r>
            <w:r w:rsidRPr="009D5DB7">
              <w:t xml:space="preserve">role in improving </w:t>
            </w:r>
            <w:r>
              <w:t xml:space="preserve">mental health </w:t>
            </w:r>
            <w:r w:rsidR="003B46E2">
              <w:t xml:space="preserve">and suicide prevention </w:t>
            </w:r>
            <w:r w:rsidRPr="009D5DB7">
              <w:t xml:space="preserve">outcomes — </w:t>
            </w:r>
            <w:r>
              <w:t xml:space="preserve">such as </w:t>
            </w:r>
            <w:r w:rsidRPr="009D5DB7">
              <w:t>justice</w:t>
            </w:r>
            <w:r w:rsidR="009239CB">
              <w:t xml:space="preserve">, </w:t>
            </w:r>
            <w:r w:rsidRPr="009D5DB7">
              <w:t xml:space="preserve">housing </w:t>
            </w:r>
            <w:r w:rsidR="009239CB">
              <w:t>and community services</w:t>
            </w:r>
            <w:r w:rsidRPr="009D5DB7">
              <w:t xml:space="preserve"> — </w:t>
            </w:r>
            <w:r w:rsidR="00A5373C">
              <w:t>do</w:t>
            </w:r>
            <w:r w:rsidR="00CD281C">
              <w:t xml:space="preserve"> </w:t>
            </w:r>
            <w:r w:rsidR="00A5373C">
              <w:t>n</w:t>
            </w:r>
            <w:r w:rsidR="00CD281C">
              <w:t>o</w:t>
            </w:r>
            <w:r w:rsidR="00A5373C">
              <w:t xml:space="preserve">t </w:t>
            </w:r>
            <w:r w:rsidR="00737D1F">
              <w:t>see</w:t>
            </w:r>
            <w:r w:rsidR="00C946C3">
              <w:t xml:space="preserve"> themselves as part of the system</w:t>
            </w:r>
            <w:r w:rsidRPr="009D5DB7">
              <w:t xml:space="preserve">. There is </w:t>
            </w:r>
            <w:r>
              <w:t>considerable scope</w:t>
            </w:r>
            <w:r w:rsidR="001840DF">
              <w:t xml:space="preserve"> </w:t>
            </w:r>
            <w:r w:rsidR="001572BB">
              <w:t xml:space="preserve">to harness </w:t>
            </w:r>
            <w:r w:rsidR="001572BB" w:rsidRPr="00320496">
              <w:rPr>
                <w:i/>
                <w:iCs/>
              </w:rPr>
              <w:t>all</w:t>
            </w:r>
            <w:r w:rsidR="001572BB">
              <w:t xml:space="preserve"> areas of government to work toward</w:t>
            </w:r>
            <w:r w:rsidR="00C93A2B">
              <w:t>s</w:t>
            </w:r>
            <w:r w:rsidR="001572BB">
              <w:t xml:space="preserve"> a shared aim of improving </w:t>
            </w:r>
            <w:r w:rsidR="00325C1B" w:rsidRPr="00325C1B">
              <w:t>outcomes</w:t>
            </w:r>
            <w:r w:rsidR="001572BB">
              <w:t xml:space="preserve">, and to </w:t>
            </w:r>
            <w:r w:rsidR="00325C1B" w:rsidRPr="00325C1B">
              <w:t>design programs with the characteristics and needs of consumers front of mind</w:t>
            </w:r>
            <w:r w:rsidR="00325C1B">
              <w:t>.</w:t>
            </w:r>
          </w:p>
          <w:p w14:paraId="2E2830F7" w14:textId="75FD8D74" w:rsidR="00931D57" w:rsidRDefault="00931D57" w:rsidP="00721FBA">
            <w:pPr>
              <w:pStyle w:val="BoxListBullet"/>
            </w:pPr>
            <w:r>
              <w:t>Future opportunities for data collection and research include compiling more comprehensive and granular information about mental health and suicide prevention expenditure, evaluating what works in improving outcomes</w:t>
            </w:r>
            <w:r w:rsidR="00DF325E">
              <w:t xml:space="preserve"> — </w:t>
            </w:r>
            <w:r w:rsidR="00327D9B">
              <w:t xml:space="preserve">in most jurisdictions, </w:t>
            </w:r>
            <w:r w:rsidR="00EA52E4">
              <w:t xml:space="preserve">less than 10 per cent of </w:t>
            </w:r>
            <w:r w:rsidR="00327D9B">
              <w:t xml:space="preserve">reported </w:t>
            </w:r>
            <w:r w:rsidR="00EA52E4">
              <w:t>expenditure ha</w:t>
            </w:r>
            <w:r w:rsidR="00350841">
              <w:t>d</w:t>
            </w:r>
            <w:r w:rsidR="00EA52E4">
              <w:t xml:space="preserve"> been evaluated —</w:t>
            </w:r>
            <w:r>
              <w:t xml:space="preserve"> and bringing together a fuller picture of the system.</w:t>
            </w:r>
            <w:r w:rsidR="000D6558">
              <w:t xml:space="preserve"> This could be progressed under a new National Agreement.</w:t>
            </w:r>
          </w:p>
        </w:tc>
      </w:tr>
      <w:tr w:rsidR="00931D57" w14:paraId="32718C84" w14:textId="77777777" w:rsidTr="00721FBA">
        <w:tc>
          <w:tcPr>
            <w:tcW w:w="5000" w:type="pct"/>
            <w:tcBorders>
              <w:top w:val="nil"/>
              <w:left w:val="nil"/>
              <w:bottom w:val="single" w:sz="6" w:space="0" w:color="78A22F"/>
              <w:right w:val="nil"/>
            </w:tcBorders>
            <w:shd w:val="clear" w:color="auto" w:fill="F2F2F2"/>
          </w:tcPr>
          <w:p w14:paraId="19FDA361" w14:textId="77777777" w:rsidR="00931D57" w:rsidRDefault="00931D57" w:rsidP="00721FBA">
            <w:pPr>
              <w:pStyle w:val="Box"/>
              <w:spacing w:before="0" w:line="120" w:lineRule="exact"/>
            </w:pPr>
          </w:p>
        </w:tc>
      </w:tr>
      <w:tr w:rsidR="00931D57" w:rsidRPr="000863A5" w14:paraId="30EA6C5E" w14:textId="77777777" w:rsidTr="00721FBA">
        <w:tc>
          <w:tcPr>
            <w:tcW w:w="5000" w:type="pct"/>
            <w:tcBorders>
              <w:top w:val="single" w:sz="6" w:space="0" w:color="78A22F"/>
              <w:left w:val="nil"/>
              <w:bottom w:val="nil"/>
              <w:right w:val="nil"/>
            </w:tcBorders>
          </w:tcPr>
          <w:p w14:paraId="49287A58" w14:textId="02B1D340" w:rsidR="00931D57" w:rsidRPr="00626D32" w:rsidRDefault="00931D57" w:rsidP="00721FBA">
            <w:pPr>
              <w:pStyle w:val="BoxSpaceBelow"/>
            </w:pPr>
          </w:p>
        </w:tc>
      </w:tr>
    </w:tbl>
    <w:p w14:paraId="2C4C294B" w14:textId="77777777" w:rsidR="00931D57" w:rsidRDefault="00931D57" w:rsidP="00931D57">
      <w:pPr>
        <w:pStyle w:val="Heading1"/>
        <w:spacing w:before="0"/>
        <w:ind w:left="0" w:firstLine="0"/>
      </w:pPr>
      <w:r>
        <w:t>1</w:t>
      </w:r>
      <w:r>
        <w:tab/>
      </w:r>
      <w:bookmarkStart w:id="1" w:name="ChapterTitle"/>
      <w:r>
        <w:t>About this stocktake</w:t>
      </w:r>
      <w:bookmarkEnd w:id="1"/>
    </w:p>
    <w:p w14:paraId="00D8DF3E" w14:textId="17643274" w:rsidR="00931D57" w:rsidRDefault="00931D57" w:rsidP="00931D57">
      <w:pPr>
        <w:pStyle w:val="BodyText"/>
      </w:pPr>
      <w:bookmarkStart w:id="2" w:name="begin"/>
      <w:bookmarkEnd w:id="2"/>
      <w:r w:rsidRPr="0099158F">
        <w:t xml:space="preserve">This stocktake provides an overview of mental health and suicide prevention programs that are currently funded by the Australian and State and Territory Governments. It seeks to build a shared understanding of the landscape of </w:t>
      </w:r>
      <w:r>
        <w:t xml:space="preserve">existing </w:t>
      </w:r>
      <w:r w:rsidRPr="0099158F">
        <w:t>government</w:t>
      </w:r>
      <w:r>
        <w:t>-funded</w:t>
      </w:r>
      <w:r w:rsidRPr="0099158F">
        <w:t xml:space="preserve"> programs, </w:t>
      </w:r>
      <w:r>
        <w:t>including</w:t>
      </w:r>
      <w:r w:rsidRPr="0099158F">
        <w:t xml:space="preserve"> </w:t>
      </w:r>
      <w:r>
        <w:t>‘</w:t>
      </w:r>
      <w:r w:rsidRPr="0099158F">
        <w:t>who funds what</w:t>
      </w:r>
      <w:r>
        <w:t>’</w:t>
      </w:r>
      <w:r w:rsidRPr="0099158F">
        <w:t xml:space="preserve"> in the mental health and suicide prevention system</w:t>
      </w:r>
      <w:r>
        <w:t xml:space="preserve"> (</w:t>
      </w:r>
      <w:r w:rsidR="002B7291">
        <w:t xml:space="preserve">both in and </w:t>
      </w:r>
      <w:r>
        <w:t>outside the health portfolio)</w:t>
      </w:r>
      <w:r w:rsidRPr="0099158F">
        <w:t xml:space="preserve">. The consolidated expenditure </w:t>
      </w:r>
      <w:r>
        <w:t>information</w:t>
      </w:r>
      <w:r w:rsidRPr="0099158F">
        <w:t xml:space="preserve"> reported in this stocktake </w:t>
      </w:r>
      <w:r>
        <w:t xml:space="preserve">— based on data collected by governments and provided to the </w:t>
      </w:r>
      <w:r w:rsidR="00565C44">
        <w:t xml:space="preserve">Productivity </w:t>
      </w:r>
      <w:r>
        <w:t xml:space="preserve">Commission for processing and analysis — </w:t>
      </w:r>
      <w:r w:rsidRPr="0099158F">
        <w:t>provide</w:t>
      </w:r>
      <w:r>
        <w:t>s</w:t>
      </w:r>
      <w:r w:rsidRPr="0099158F">
        <w:t xml:space="preserve"> a starting point for jurisdictions to assess gaps and duplications in mental health and suicide prevention </w:t>
      </w:r>
      <w:r w:rsidR="00AF2C3A">
        <w:t>programs</w:t>
      </w:r>
      <w:r w:rsidRPr="0099158F">
        <w:t xml:space="preserve">, and to inform the development of the </w:t>
      </w:r>
      <w:r>
        <w:t xml:space="preserve">new </w:t>
      </w:r>
      <w:r w:rsidRPr="0099158F">
        <w:t>National Mental Health and Suicide Prevention Agreement in 2021.</w:t>
      </w:r>
    </w:p>
    <w:p w14:paraId="1AF8FB75" w14:textId="77777777" w:rsidR="00931D57" w:rsidRDefault="00931D57" w:rsidP="00931D57">
      <w:pPr>
        <w:pStyle w:val="Heading2"/>
      </w:pPr>
      <w:r>
        <w:t>Background to the stocktake</w:t>
      </w:r>
    </w:p>
    <w:p w14:paraId="5CD3783E" w14:textId="644EEE6F" w:rsidR="00931D57" w:rsidRDefault="00931D57" w:rsidP="00931D57">
      <w:pPr>
        <w:pStyle w:val="BodyText"/>
      </w:pPr>
      <w:r>
        <w:t>There is widespread recognition that Australia’s mental health and suicide prevention system requires significant reform. A number of recent reports and studies have highlighted problems with the current system and identified opportunities for improvement (box 1.1)</w:t>
      </w:r>
      <w:r w:rsidRPr="001F3094">
        <w:t>.</w:t>
      </w:r>
      <w:r w:rsidRPr="009964DA">
        <w:t xml:space="preserve"> </w:t>
      </w:r>
      <w:r>
        <w:t>The toll on the community of the large-scale disruptive</w:t>
      </w:r>
      <w:r w:rsidDel="00F515AC">
        <w:t xml:space="preserve"> events of the last 12 months — bushfires, the COVID-19 pandemic and floods — </w:t>
      </w:r>
      <w:r>
        <w:t xml:space="preserve">adds to the </w:t>
      </w:r>
      <w:r w:rsidR="00F00077">
        <w:t xml:space="preserve">case </w:t>
      </w:r>
      <w:r>
        <w:t>for reform.</w:t>
      </w:r>
    </w:p>
    <w:p w14:paraId="37B8C578" w14:textId="7B01E163" w:rsidR="00931D57" w:rsidRDefault="00931D57" w:rsidP="00931D5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29C0CC8C" w14:textId="77777777" w:rsidTr="00721FBA">
        <w:trPr>
          <w:tblHeader/>
        </w:trPr>
        <w:tc>
          <w:tcPr>
            <w:tcW w:w="5000" w:type="pct"/>
            <w:tcBorders>
              <w:top w:val="single" w:sz="6" w:space="0" w:color="78A22F"/>
              <w:left w:val="nil"/>
              <w:bottom w:val="nil"/>
              <w:right w:val="nil"/>
            </w:tcBorders>
            <w:shd w:val="clear" w:color="auto" w:fill="F2F2F2"/>
          </w:tcPr>
          <w:p w14:paraId="467C4DC8" w14:textId="6D9405E5" w:rsidR="00931D57" w:rsidRDefault="00931D57" w:rsidP="00721FBA">
            <w:pPr>
              <w:pStyle w:val="BoxTitle"/>
            </w:pPr>
            <w:r>
              <w:rPr>
                <w:b w:val="0"/>
              </w:rPr>
              <w:t>Box 1.</w:t>
            </w:r>
            <w:r w:rsidR="00D35D48">
              <w:rPr>
                <w:b w:val="0"/>
                <w:noProof/>
              </w:rPr>
              <w:t>1</w:t>
            </w:r>
            <w:r>
              <w:tab/>
              <w:t>There has been a strong recent focus on the need to improve the mental health and suicide prevention system</w:t>
            </w:r>
          </w:p>
        </w:tc>
      </w:tr>
      <w:tr w:rsidR="00931D57" w14:paraId="1F334645" w14:textId="77777777" w:rsidTr="00721FBA">
        <w:tc>
          <w:tcPr>
            <w:tcW w:w="5000" w:type="pct"/>
            <w:tcBorders>
              <w:top w:val="nil"/>
              <w:left w:val="nil"/>
              <w:bottom w:val="nil"/>
              <w:right w:val="nil"/>
            </w:tcBorders>
            <w:shd w:val="clear" w:color="auto" w:fill="F2F2F2"/>
          </w:tcPr>
          <w:p w14:paraId="6473D6FF" w14:textId="77777777" w:rsidR="00931D57" w:rsidRDefault="00931D57" w:rsidP="00721FBA">
            <w:pPr>
              <w:pStyle w:val="Box"/>
            </w:pPr>
            <w:r>
              <w:t>A number of reports and studies that examine current issues in Australia’s mental health and suicide prevention system, and potential reform directions, have recently been published. These include (but are not limited to):</w:t>
            </w:r>
          </w:p>
          <w:p w14:paraId="4B0BE10F" w14:textId="0FB96688" w:rsidR="00931D57" w:rsidRDefault="00931D57" w:rsidP="00721FBA">
            <w:pPr>
              <w:pStyle w:val="BoxListBullet"/>
            </w:pPr>
            <w:r>
              <w:t xml:space="preserve">the </w:t>
            </w:r>
            <w:r w:rsidR="00565C44">
              <w:t xml:space="preserve">Productivity </w:t>
            </w:r>
            <w:r>
              <w:t xml:space="preserve">Commission’s 2020 </w:t>
            </w:r>
            <w:r w:rsidRPr="002E02E1">
              <w:t>Mental Health</w:t>
            </w:r>
            <w:r>
              <w:t xml:space="preserve"> inquiry report</w:t>
            </w:r>
          </w:p>
          <w:p w14:paraId="21C5CFEC" w14:textId="77777777" w:rsidR="00931D57" w:rsidRDefault="00931D57" w:rsidP="00721FBA">
            <w:pPr>
              <w:pStyle w:val="BoxListBullet"/>
            </w:pPr>
            <w:r>
              <w:t>the National Suicide Prevention Adviser’s Final Advice report to the Australian Government in 2021, and other work of the National Suicide Prevention Taskforce</w:t>
            </w:r>
          </w:p>
          <w:p w14:paraId="3CC6518C" w14:textId="77777777" w:rsidR="00931D57" w:rsidRDefault="00931D57" w:rsidP="00721FBA">
            <w:pPr>
              <w:pStyle w:val="BoxListBullet"/>
            </w:pPr>
            <w:r>
              <w:t>the Interim and Final Reports of the Royal Commission into Victoria’s Mental Health System, which was completed in early 2021.</w:t>
            </w:r>
          </w:p>
        </w:tc>
      </w:tr>
      <w:tr w:rsidR="00931D57" w14:paraId="76E884BF" w14:textId="77777777" w:rsidTr="00721FBA">
        <w:tc>
          <w:tcPr>
            <w:tcW w:w="5000" w:type="pct"/>
            <w:tcBorders>
              <w:top w:val="nil"/>
              <w:left w:val="nil"/>
              <w:bottom w:val="nil"/>
              <w:right w:val="nil"/>
            </w:tcBorders>
            <w:shd w:val="clear" w:color="auto" w:fill="F2F2F2"/>
          </w:tcPr>
          <w:p w14:paraId="0D1B99D0" w14:textId="3AB1FEB0" w:rsidR="00931D57" w:rsidRDefault="00931D57" w:rsidP="00721FBA">
            <w:pPr>
              <w:pStyle w:val="BoxSource"/>
            </w:pPr>
            <w:r>
              <w:rPr>
                <w:i/>
              </w:rPr>
              <w:t>Sources</w:t>
            </w:r>
            <w:r w:rsidRPr="00167F06">
              <w:t xml:space="preserve">: </w:t>
            </w:r>
            <w:proofErr w:type="spellStart"/>
            <w:r w:rsidR="005E5F82">
              <w:t>DoH</w:t>
            </w:r>
            <w:proofErr w:type="spellEnd"/>
            <w:r>
              <w:t xml:space="preserve"> </w:t>
            </w:r>
            <w:r w:rsidR="005056B9" w:rsidRPr="005056B9">
              <w:rPr>
                <w:rFonts w:cs="Arial"/>
              </w:rPr>
              <w:t>(2021)</w:t>
            </w:r>
            <w:r>
              <w:t xml:space="preserve">; PC </w:t>
            </w:r>
            <w:r w:rsidRPr="00027B86">
              <w:rPr>
                <w:rFonts w:cs="Arial"/>
              </w:rPr>
              <w:t>(2020)</w:t>
            </w:r>
            <w:r>
              <w:t xml:space="preserve">; State of Victoria </w:t>
            </w:r>
            <w:r w:rsidR="00530620" w:rsidRPr="00530620">
              <w:rPr>
                <w:rFonts w:cs="Arial"/>
              </w:rPr>
              <w:t>(2019, 2021)</w:t>
            </w:r>
            <w:r>
              <w:t>.</w:t>
            </w:r>
          </w:p>
        </w:tc>
      </w:tr>
      <w:tr w:rsidR="00931D57" w14:paraId="24CF486C" w14:textId="77777777" w:rsidTr="00721FBA">
        <w:tc>
          <w:tcPr>
            <w:tcW w:w="5000" w:type="pct"/>
            <w:tcBorders>
              <w:top w:val="nil"/>
              <w:left w:val="nil"/>
              <w:bottom w:val="single" w:sz="6" w:space="0" w:color="78A22F"/>
              <w:right w:val="nil"/>
            </w:tcBorders>
            <w:shd w:val="clear" w:color="auto" w:fill="F2F2F2"/>
          </w:tcPr>
          <w:p w14:paraId="51397877" w14:textId="77777777" w:rsidR="00931D57" w:rsidRDefault="00931D57" w:rsidP="00721FBA">
            <w:pPr>
              <w:pStyle w:val="Box"/>
              <w:spacing w:before="0" w:line="120" w:lineRule="exact"/>
            </w:pPr>
          </w:p>
        </w:tc>
      </w:tr>
      <w:tr w:rsidR="00931D57" w:rsidRPr="000863A5" w14:paraId="656D1609" w14:textId="77777777" w:rsidTr="00721FBA">
        <w:tc>
          <w:tcPr>
            <w:tcW w:w="5000" w:type="pct"/>
            <w:tcBorders>
              <w:top w:val="single" w:sz="6" w:space="0" w:color="78A22F"/>
              <w:left w:val="nil"/>
              <w:bottom w:val="nil"/>
              <w:right w:val="nil"/>
            </w:tcBorders>
          </w:tcPr>
          <w:p w14:paraId="3F1A0CE2" w14:textId="12309A71" w:rsidR="00931D57" w:rsidRPr="00626D32" w:rsidRDefault="00931D57" w:rsidP="00721FBA">
            <w:pPr>
              <w:pStyle w:val="BoxSpaceBelow"/>
            </w:pPr>
          </w:p>
        </w:tc>
      </w:tr>
    </w:tbl>
    <w:p w14:paraId="24F3529A" w14:textId="61E4397C" w:rsidR="00931D57" w:rsidRDefault="00931D57" w:rsidP="00931D57">
      <w:pPr>
        <w:spacing w:before="240" w:line="300" w:lineRule="atLeast"/>
        <w:jc w:val="both"/>
        <w:rPr>
          <w:szCs w:val="20"/>
        </w:rPr>
      </w:pPr>
      <w:r>
        <w:rPr>
          <w:szCs w:val="20"/>
        </w:rPr>
        <w:t>Several</w:t>
      </w:r>
      <w:r w:rsidDel="0009508D">
        <w:rPr>
          <w:szCs w:val="20"/>
        </w:rPr>
        <w:t xml:space="preserve"> </w:t>
      </w:r>
      <w:r>
        <w:rPr>
          <w:szCs w:val="20"/>
        </w:rPr>
        <w:t xml:space="preserve">common themes for mental health </w:t>
      </w:r>
      <w:r w:rsidR="00560110">
        <w:rPr>
          <w:szCs w:val="20"/>
        </w:rPr>
        <w:t xml:space="preserve">and suicide prevention system </w:t>
      </w:r>
      <w:r>
        <w:rPr>
          <w:szCs w:val="20"/>
        </w:rPr>
        <w:t>reform have been proposed in these reports.</w:t>
      </w:r>
    </w:p>
    <w:p w14:paraId="25B4B709" w14:textId="63F74CF5" w:rsidR="00931D57" w:rsidRDefault="00931D57" w:rsidP="00931D57">
      <w:pPr>
        <w:pStyle w:val="ListBullet"/>
      </w:pPr>
      <w:r w:rsidRPr="002E1C18">
        <w:rPr>
          <w:i/>
          <w:iCs/>
        </w:rPr>
        <w:t xml:space="preserve">The need for a person-centred mental health </w:t>
      </w:r>
      <w:r>
        <w:rPr>
          <w:i/>
          <w:iCs/>
        </w:rPr>
        <w:t xml:space="preserve">and suicide prevention </w:t>
      </w:r>
      <w:r w:rsidRPr="002E1C18">
        <w:rPr>
          <w:i/>
          <w:iCs/>
        </w:rPr>
        <w:t>system</w:t>
      </w:r>
      <w:r>
        <w:t>: A system with evidence-based mental health assessment and referral processes that help people find the services that are best for them, and which is inclusive of families and carers as part of mental health</w:t>
      </w:r>
      <w:r w:rsidR="0020088B">
        <w:t xml:space="preserve"> </w:t>
      </w:r>
      <w:r>
        <w:t>care. O</w:t>
      </w:r>
      <w:r w:rsidRPr="007F0E36">
        <w:t xml:space="preserve">utcomes for the consumer </w:t>
      </w:r>
      <w:r>
        <w:t>should be</w:t>
      </w:r>
      <w:r w:rsidRPr="007F0E36">
        <w:t xml:space="preserve"> the predominant focus of every clinical and support </w:t>
      </w:r>
      <w:r w:rsidR="000E7482">
        <w:t>service</w:t>
      </w:r>
      <w:r w:rsidRPr="007F0E36">
        <w:t xml:space="preserve"> provider</w:t>
      </w:r>
      <w:r>
        <w:t>.</w:t>
      </w:r>
    </w:p>
    <w:p w14:paraId="20DEACFD" w14:textId="77777777" w:rsidR="00931D57" w:rsidRDefault="00931D57" w:rsidP="00931D57">
      <w:pPr>
        <w:pStyle w:val="ListBullet"/>
      </w:pPr>
      <w:r>
        <w:rPr>
          <w:i/>
          <w:iCs/>
        </w:rPr>
        <w:t>An increased focus on prevention and early intervention</w:t>
      </w:r>
      <w:r>
        <w:t xml:space="preserve">: A system that better recognises the benefits of intervening early to promote good mental health, both early in life and early in people’s experience of mental ill-health. This would include supporting the mental health of new </w:t>
      </w:r>
      <w:proofErr w:type="gramStart"/>
      <w:r>
        <w:t>parents, and</w:t>
      </w:r>
      <w:proofErr w:type="gramEnd"/>
      <w:r>
        <w:t xml:space="preserve"> making the social and emotional health of school children a national priority.</w:t>
      </w:r>
    </w:p>
    <w:p w14:paraId="199F1BC9" w14:textId="62F2B45B" w:rsidR="00931D57" w:rsidRDefault="00931D57" w:rsidP="00931D57">
      <w:pPr>
        <w:pStyle w:val="ListBullet"/>
      </w:pPr>
      <w:r w:rsidRPr="00D65E2B">
        <w:rPr>
          <w:i/>
          <w:iCs/>
        </w:rPr>
        <w:t>Improved accessibility of services</w:t>
      </w:r>
      <w:r>
        <w:t>: Getting people the right services at the right time. This relates to improving both geographical and financial accessibility, but also ensuring the system caters for key target groups, with adequate provision of support</w:t>
      </w:r>
      <w:r w:rsidR="00A55F16">
        <w:t xml:space="preserve"> service</w:t>
      </w:r>
      <w:r>
        <w:t>s to enable better recovery within the community.</w:t>
      </w:r>
    </w:p>
    <w:p w14:paraId="07F9B881" w14:textId="16F6841D" w:rsidR="00931D57" w:rsidRPr="0057189F" w:rsidRDefault="00931D57" w:rsidP="00931D57">
      <w:pPr>
        <w:pStyle w:val="ListBullet"/>
      </w:pPr>
      <w:r>
        <w:rPr>
          <w:i/>
          <w:iCs/>
        </w:rPr>
        <w:t>Improved integration and coordination of services</w:t>
      </w:r>
      <w:r>
        <w:t xml:space="preserve">: Ensuring the range of services for people with mental ill-health are better integrated and coordinated. This includes better regional planning and national strategies to integrate health and other services, with greater </w:t>
      </w:r>
      <w:r w:rsidRPr="00C94B84">
        <w:t xml:space="preserve">clarity across </w:t>
      </w:r>
      <w:r w:rsidR="00D7446B">
        <w:t>different levels</w:t>
      </w:r>
      <w:r w:rsidRPr="00C94B84">
        <w:t xml:space="preserve"> of government about roles, responsibilities and funding</w:t>
      </w:r>
      <w:r>
        <w:t>.</w:t>
      </w:r>
      <w:r w:rsidRPr="00C94B84">
        <w:t xml:space="preserve"> </w:t>
      </w:r>
      <w:r>
        <w:t xml:space="preserve">Ultimately, the system should provide </w:t>
      </w:r>
      <w:r w:rsidRPr="004148C0">
        <w:t>treatment and support that is seamless</w:t>
      </w:r>
      <w:r>
        <w:t>.</w:t>
      </w:r>
    </w:p>
    <w:p w14:paraId="1227CF1C" w14:textId="77777777" w:rsidR="00931D57" w:rsidRDefault="00931D57" w:rsidP="00931D57">
      <w:pPr>
        <w:pStyle w:val="ListBullet"/>
      </w:pPr>
      <w:r>
        <w:rPr>
          <w:i/>
          <w:iCs/>
        </w:rPr>
        <w:t>A better focus on workplaces</w:t>
      </w:r>
      <w:r>
        <w:t>: A need to elevate the importance of psychological health and safety within workplaces, while viewing workplaces as an avenue to reach beyond the health system and into the broader community.</w:t>
      </w:r>
    </w:p>
    <w:p w14:paraId="1C411906" w14:textId="2251A74B" w:rsidR="00931D57" w:rsidRDefault="00931D57" w:rsidP="00931D57">
      <w:pPr>
        <w:pStyle w:val="ListBullet"/>
      </w:pPr>
      <w:r>
        <w:rPr>
          <w:i/>
          <w:iCs/>
        </w:rPr>
        <w:t>Better embedding of lived experience</w:t>
      </w:r>
      <w:r>
        <w:t xml:space="preserve">: Ensuring that people with lived experience of mental ill-health </w:t>
      </w:r>
      <w:r w:rsidR="00BE0AD8">
        <w:t xml:space="preserve">are involved in </w:t>
      </w:r>
      <w:r>
        <w:t>future planning and service provision, including through consumer-focused evaluation</w:t>
      </w:r>
      <w:r w:rsidR="00A53C75">
        <w:t xml:space="preserve"> and use of peer workers</w:t>
      </w:r>
      <w:r>
        <w:t>.</w:t>
      </w:r>
    </w:p>
    <w:p w14:paraId="0869C955" w14:textId="356380F5" w:rsidR="00931D57" w:rsidRPr="003E0F77" w:rsidRDefault="00931D57" w:rsidP="00931D57">
      <w:pPr>
        <w:pStyle w:val="ListBullet"/>
      </w:pPr>
      <w:r>
        <w:rPr>
          <w:i/>
          <w:iCs/>
        </w:rPr>
        <w:t>More emphasis</w:t>
      </w:r>
      <w:r w:rsidRPr="003E0F77" w:rsidDel="00B8244B">
        <w:rPr>
          <w:i/>
          <w:iCs/>
        </w:rPr>
        <w:t xml:space="preserve"> </w:t>
      </w:r>
      <w:r w:rsidRPr="003E0F77">
        <w:rPr>
          <w:i/>
          <w:iCs/>
        </w:rPr>
        <w:t>on system outcomes</w:t>
      </w:r>
      <w:r w:rsidRPr="003E0F77">
        <w:t xml:space="preserve">: </w:t>
      </w:r>
      <w:proofErr w:type="gramStart"/>
      <w:r w:rsidR="00D8624D">
        <w:t>B</w:t>
      </w:r>
      <w:r w:rsidRPr="003E0F77">
        <w:t>etter</w:t>
      </w:r>
      <w:proofErr w:type="gramEnd"/>
      <w:r w:rsidRPr="003E0F77">
        <w:t xml:space="preserve"> collection and use of high quality outcome</w:t>
      </w:r>
      <w:r>
        <w:t>s</w:t>
      </w:r>
      <w:r w:rsidRPr="003E0F77">
        <w:t xml:space="preserve"> data in service delivery and planning, </w:t>
      </w:r>
      <w:r>
        <w:t>and developing an</w:t>
      </w:r>
      <w:r w:rsidRPr="003E0F77">
        <w:t xml:space="preserve"> evaluation culture focused on what matters to consumers.</w:t>
      </w:r>
    </w:p>
    <w:p w14:paraId="5D5D86A9" w14:textId="7BEF541E" w:rsidR="00931D57" w:rsidRDefault="00931D57" w:rsidP="00931D57">
      <w:pPr>
        <w:pStyle w:val="Heading2"/>
      </w:pPr>
      <w:r>
        <w:t xml:space="preserve">What was the </w:t>
      </w:r>
      <w:r w:rsidR="00565C44">
        <w:t xml:space="preserve">Productivity </w:t>
      </w:r>
      <w:r>
        <w:t>Commission asked to do?</w:t>
      </w:r>
    </w:p>
    <w:p w14:paraId="6803F7DB" w14:textId="00AA2356" w:rsidR="00931D57" w:rsidRDefault="00931D57" w:rsidP="00931D57">
      <w:pPr>
        <w:pStyle w:val="BodyText"/>
      </w:pPr>
      <w:r>
        <w:t>T</w:t>
      </w:r>
      <w:r w:rsidRPr="0089782E">
        <w:t xml:space="preserve">he Productivity Commission </w:t>
      </w:r>
      <w:r>
        <w:t xml:space="preserve">was asked to </w:t>
      </w:r>
      <w:r w:rsidRPr="0089782E">
        <w:t xml:space="preserve">undertake a stocktake of current </w:t>
      </w:r>
      <w:r>
        <w:t>government</w:t>
      </w:r>
      <w:r>
        <w:noBreakHyphen/>
        <w:t xml:space="preserve">funded </w:t>
      </w:r>
      <w:r w:rsidRPr="0089782E">
        <w:t xml:space="preserve">mental health and suicide prevention programs, to assist in the development of the new National Mental Health and Suicide Prevention Agreement. </w:t>
      </w:r>
      <w:r>
        <w:t>The work was undertaken at the request</w:t>
      </w:r>
      <w:r w:rsidRPr="0089782E">
        <w:t xml:space="preserve"> of the National Federation Reform Council</w:t>
      </w:r>
      <w:r>
        <w:t xml:space="preserve"> and </w:t>
      </w:r>
      <w:r w:rsidRPr="0089782E">
        <w:t xml:space="preserve">in collaboration with the </w:t>
      </w:r>
      <w:r>
        <w:t>Australian and</w:t>
      </w:r>
      <w:r w:rsidRPr="0089782E">
        <w:t xml:space="preserve"> State and Territor</w:t>
      </w:r>
      <w:r>
        <w:t>y Governments</w:t>
      </w:r>
      <w:r w:rsidRPr="0089782E">
        <w:t xml:space="preserve">. </w:t>
      </w:r>
    </w:p>
    <w:p w14:paraId="7B486D10" w14:textId="3EEED745" w:rsidR="00931D57" w:rsidRDefault="00931D57" w:rsidP="00931D57">
      <w:pPr>
        <w:pStyle w:val="BodyText"/>
      </w:pPr>
      <w:r>
        <w:t>The</w:t>
      </w:r>
      <w:r w:rsidRPr="00FD0432">
        <w:t xml:space="preserve"> stocktake </w:t>
      </w:r>
      <w:r>
        <w:t>seeks to improve the collective understanding of</w:t>
      </w:r>
      <w:r w:rsidRPr="00FD0432">
        <w:t xml:space="preserve"> the landscape of government </w:t>
      </w:r>
      <w:r w:rsidR="00A44C44">
        <w:t xml:space="preserve">funding </w:t>
      </w:r>
      <w:r w:rsidRPr="00FD0432">
        <w:t xml:space="preserve">in this </w:t>
      </w:r>
      <w:proofErr w:type="gramStart"/>
      <w:r w:rsidRPr="00FD0432">
        <w:t>area</w:t>
      </w:r>
      <w:r>
        <w:t>, and</w:t>
      </w:r>
      <w:proofErr w:type="gramEnd"/>
      <w:r>
        <w:t xml:space="preserve"> provide a starting point for jurisdictions to better assess </w:t>
      </w:r>
      <w:r w:rsidRPr="00FD0432">
        <w:t xml:space="preserve">current gaps and duplication in </w:t>
      </w:r>
      <w:r>
        <w:t xml:space="preserve">mental health and suicide prevention </w:t>
      </w:r>
      <w:r w:rsidR="00D266E7">
        <w:t>programs</w:t>
      </w:r>
      <w:r w:rsidRPr="00FD0432">
        <w:t>.</w:t>
      </w:r>
      <w:r>
        <w:t xml:space="preserve"> It collates data from governments on the programs they </w:t>
      </w:r>
      <w:proofErr w:type="gramStart"/>
      <w:r>
        <w:t>fund, but</w:t>
      </w:r>
      <w:proofErr w:type="gramEnd"/>
      <w:r>
        <w:t xml:space="preserve"> does not measure what is actually delivered ‘on the ground’ by service providers.</w:t>
      </w:r>
    </w:p>
    <w:p w14:paraId="248CFD38" w14:textId="3715B877" w:rsidR="00931D57" w:rsidRDefault="00931D57" w:rsidP="00931D57">
      <w:pPr>
        <w:pStyle w:val="BodyText"/>
      </w:pPr>
      <w:r>
        <w:t xml:space="preserve">The </w:t>
      </w:r>
      <w:r w:rsidR="00565C44" w:rsidRPr="0089782E">
        <w:t xml:space="preserve">Productivity </w:t>
      </w:r>
      <w:r>
        <w:t>Commission has not made findings or recommendations in this stocktake. Instead, the purpose of the stocktake is to provide a consolidated and consistent evidence base on the current state of play.</w:t>
      </w:r>
    </w:p>
    <w:p w14:paraId="4FDB114E" w14:textId="787EA58B" w:rsidR="00931D57" w:rsidRDefault="00931D57" w:rsidP="00931D57">
      <w:pPr>
        <w:pStyle w:val="BodyText"/>
      </w:pPr>
      <w:r>
        <w:t xml:space="preserve">By necessity, the stocktake was undertaken relatively quickly </w:t>
      </w:r>
      <w:r w:rsidRPr="00F51D7C">
        <w:t>— commencing in February 2021 and ending April 2021</w:t>
      </w:r>
      <w:r>
        <w:t>. The</w:t>
      </w:r>
      <w:r w:rsidRPr="00856910">
        <w:t xml:space="preserve"> Australian </w:t>
      </w:r>
      <w:r w:rsidR="00011333">
        <w:t xml:space="preserve">and State and Territory </w:t>
      </w:r>
      <w:r w:rsidRPr="00856910">
        <w:t>Government</w:t>
      </w:r>
      <w:r w:rsidR="00011333">
        <w:t>s</w:t>
      </w:r>
      <w:r w:rsidRPr="00856910">
        <w:t xml:space="preserve"> intend to finalise the </w:t>
      </w:r>
      <w:bookmarkStart w:id="3" w:name="_Hlk64300007"/>
      <w:r w:rsidRPr="00E44F57">
        <w:t xml:space="preserve">National Mental Health and Suicide Prevention </w:t>
      </w:r>
      <w:r w:rsidRPr="00856910">
        <w:t xml:space="preserve">Agreement </w:t>
      </w:r>
      <w:bookmarkEnd w:id="3"/>
      <w:r w:rsidRPr="00856910">
        <w:t>by November 2021</w:t>
      </w:r>
      <w:r>
        <w:t>.</w:t>
      </w:r>
    </w:p>
    <w:p w14:paraId="2233AD83" w14:textId="57528BCA" w:rsidR="00931D57" w:rsidRDefault="00931D57" w:rsidP="00931D57">
      <w:pPr>
        <w:pStyle w:val="BodyText"/>
      </w:pPr>
      <w:r>
        <w:t xml:space="preserve">The data collection for the stocktake was undertaken by the Australian and State and Territory Governments under the guidance of the </w:t>
      </w:r>
      <w:r w:rsidR="00565C44" w:rsidRPr="0089782E">
        <w:t xml:space="preserve">Productivity </w:t>
      </w:r>
      <w:r>
        <w:t>Commission to ensure consistency in approach and scope. The subsequent data processing, compilation and analysis was undertaken by the Commission.</w:t>
      </w:r>
    </w:p>
    <w:p w14:paraId="33943BB4" w14:textId="21F008FA" w:rsidR="00931D57" w:rsidRPr="00F021A5" w:rsidRDefault="00931D57" w:rsidP="00931D57">
      <w:pPr>
        <w:pStyle w:val="Heading2"/>
      </w:pPr>
      <w:r>
        <w:t>The</w:t>
      </w:r>
      <w:r w:rsidR="00565C44">
        <w:t xml:space="preserve"> Productivity</w:t>
      </w:r>
      <w:r>
        <w:t xml:space="preserve"> Commission’s approach</w:t>
      </w:r>
    </w:p>
    <w:p w14:paraId="58C33C4F" w14:textId="64493152" w:rsidR="00931D57" w:rsidRPr="00F021A5" w:rsidRDefault="00931D57" w:rsidP="00931D57">
      <w:pPr>
        <w:spacing w:before="240" w:line="300" w:lineRule="atLeast"/>
        <w:jc w:val="both"/>
        <w:rPr>
          <w:szCs w:val="20"/>
        </w:rPr>
      </w:pPr>
      <w:r w:rsidRPr="00F021A5">
        <w:rPr>
          <w:szCs w:val="20"/>
        </w:rPr>
        <w:t>The stocktake capture</w:t>
      </w:r>
      <w:r>
        <w:rPr>
          <w:szCs w:val="20"/>
        </w:rPr>
        <w:t>s</w:t>
      </w:r>
      <w:r w:rsidRPr="00F021A5">
        <w:rPr>
          <w:szCs w:val="20"/>
        </w:rPr>
        <w:t xml:space="preserve"> government</w:t>
      </w:r>
      <w:r>
        <w:rPr>
          <w:szCs w:val="20"/>
        </w:rPr>
        <w:t>-funded</w:t>
      </w:r>
      <w:r w:rsidRPr="00F021A5">
        <w:rPr>
          <w:szCs w:val="20"/>
        </w:rPr>
        <w:t xml:space="preserve"> programs and services that have mental health and/or suicide prevention as a </w:t>
      </w:r>
      <w:r w:rsidRPr="00F021A5">
        <w:rPr>
          <w:i/>
          <w:iCs/>
          <w:szCs w:val="20"/>
        </w:rPr>
        <w:t>primary</w:t>
      </w:r>
      <w:r w:rsidRPr="00F021A5">
        <w:rPr>
          <w:szCs w:val="20"/>
        </w:rPr>
        <w:t xml:space="preserve"> objective. This </w:t>
      </w:r>
      <w:r>
        <w:rPr>
          <w:szCs w:val="20"/>
        </w:rPr>
        <w:t xml:space="preserve">includes </w:t>
      </w:r>
      <w:r w:rsidRPr="00F021A5">
        <w:rPr>
          <w:szCs w:val="20"/>
        </w:rPr>
        <w:t>programs that support mental health</w:t>
      </w:r>
      <w:r>
        <w:rPr>
          <w:szCs w:val="20"/>
        </w:rPr>
        <w:t xml:space="preserve"> or wellbeing,</w:t>
      </w:r>
      <w:r w:rsidRPr="00F021A5">
        <w:rPr>
          <w:szCs w:val="20"/>
        </w:rPr>
        <w:t xml:space="preserve"> and </w:t>
      </w:r>
      <w:r>
        <w:rPr>
          <w:szCs w:val="20"/>
        </w:rPr>
        <w:t xml:space="preserve">those that </w:t>
      </w:r>
      <w:r w:rsidRPr="00F021A5">
        <w:rPr>
          <w:szCs w:val="20"/>
        </w:rPr>
        <w:t>respond to mental illness in different ways</w:t>
      </w:r>
      <w:r>
        <w:rPr>
          <w:szCs w:val="20"/>
        </w:rPr>
        <w:t xml:space="preserve"> </w:t>
      </w:r>
      <w:r w:rsidRPr="00F021A5">
        <w:rPr>
          <w:szCs w:val="20"/>
        </w:rPr>
        <w:t xml:space="preserve">— </w:t>
      </w:r>
      <w:r>
        <w:rPr>
          <w:szCs w:val="20"/>
        </w:rPr>
        <w:t>such as</w:t>
      </w:r>
      <w:r w:rsidRPr="00F021A5">
        <w:rPr>
          <w:szCs w:val="20"/>
        </w:rPr>
        <w:t xml:space="preserve"> through prevention of mental ill-health, early intervention, treatment, suicide prevention </w:t>
      </w:r>
      <w:r>
        <w:rPr>
          <w:szCs w:val="20"/>
        </w:rPr>
        <w:t xml:space="preserve">and </w:t>
      </w:r>
      <w:r w:rsidRPr="00F021A5">
        <w:rPr>
          <w:szCs w:val="20"/>
        </w:rPr>
        <w:t>research.</w:t>
      </w:r>
    </w:p>
    <w:p w14:paraId="54ED8D52" w14:textId="7D6E0636" w:rsidR="00931D57" w:rsidRPr="00F021A5" w:rsidRDefault="00931D57" w:rsidP="00931D57">
      <w:pPr>
        <w:spacing w:before="240" w:line="300" w:lineRule="atLeast"/>
        <w:jc w:val="both"/>
        <w:rPr>
          <w:szCs w:val="20"/>
        </w:rPr>
      </w:pPr>
      <w:r w:rsidRPr="00F021A5">
        <w:rPr>
          <w:szCs w:val="20"/>
        </w:rPr>
        <w:t xml:space="preserve">The mental health and suicide prevention system </w:t>
      </w:r>
      <w:r w:rsidR="00E64FC7">
        <w:rPr>
          <w:szCs w:val="20"/>
        </w:rPr>
        <w:t>extends beyond</w:t>
      </w:r>
      <w:r w:rsidRPr="00F021A5">
        <w:rPr>
          <w:szCs w:val="20"/>
        </w:rPr>
        <w:t xml:space="preserve"> health</w:t>
      </w:r>
      <w:r w:rsidR="0020088B">
        <w:rPr>
          <w:szCs w:val="20"/>
        </w:rPr>
        <w:t xml:space="preserve"> </w:t>
      </w:r>
      <w:r w:rsidRPr="00F021A5">
        <w:rPr>
          <w:szCs w:val="20"/>
        </w:rPr>
        <w:t xml:space="preserve">care. </w:t>
      </w:r>
      <w:r>
        <w:rPr>
          <w:szCs w:val="20"/>
        </w:rPr>
        <w:t>A</w:t>
      </w:r>
      <w:r w:rsidRPr="00F021A5">
        <w:rPr>
          <w:szCs w:val="20"/>
        </w:rPr>
        <w:t xml:space="preserve"> range of </w:t>
      </w:r>
      <w:r>
        <w:rPr>
          <w:szCs w:val="20"/>
        </w:rPr>
        <w:t xml:space="preserve">other programs and </w:t>
      </w:r>
      <w:r w:rsidRPr="00F021A5">
        <w:rPr>
          <w:szCs w:val="20"/>
        </w:rPr>
        <w:t>services</w:t>
      </w:r>
      <w:r>
        <w:rPr>
          <w:szCs w:val="20"/>
        </w:rPr>
        <w:t xml:space="preserve"> — including p</w:t>
      </w:r>
      <w:r w:rsidRPr="00F021A5">
        <w:rPr>
          <w:szCs w:val="20"/>
        </w:rPr>
        <w:t xml:space="preserve">sychosocial supports, housing and </w:t>
      </w:r>
      <w:r>
        <w:rPr>
          <w:szCs w:val="20"/>
        </w:rPr>
        <w:t>education</w:t>
      </w:r>
      <w:r w:rsidRPr="00F021A5">
        <w:rPr>
          <w:szCs w:val="20"/>
        </w:rPr>
        <w:t xml:space="preserve"> </w:t>
      </w:r>
      <w:r>
        <w:rPr>
          <w:szCs w:val="20"/>
        </w:rPr>
        <w:t xml:space="preserve">programs — </w:t>
      </w:r>
      <w:r w:rsidRPr="00F021A5">
        <w:rPr>
          <w:szCs w:val="20"/>
        </w:rPr>
        <w:t>can be critical for</w:t>
      </w:r>
      <w:r>
        <w:rPr>
          <w:szCs w:val="20"/>
        </w:rPr>
        <w:t xml:space="preserve"> improving mental health outcomes</w:t>
      </w:r>
      <w:r w:rsidRPr="00F021A5">
        <w:rPr>
          <w:szCs w:val="20"/>
        </w:rPr>
        <w:t>.</w:t>
      </w:r>
      <w:r>
        <w:rPr>
          <w:szCs w:val="20"/>
        </w:rPr>
        <w:t xml:space="preserve"> Wherever possible, relevant </w:t>
      </w:r>
      <w:r w:rsidRPr="00F021A5">
        <w:rPr>
          <w:szCs w:val="20"/>
        </w:rPr>
        <w:t>programs and services</w:t>
      </w:r>
      <w:r>
        <w:rPr>
          <w:szCs w:val="20"/>
        </w:rPr>
        <w:t xml:space="preserve"> funded from </w:t>
      </w:r>
      <w:r w:rsidRPr="00883B71">
        <w:rPr>
          <w:i/>
          <w:iCs/>
          <w:szCs w:val="20"/>
        </w:rPr>
        <w:t>outside</w:t>
      </w:r>
      <w:r>
        <w:rPr>
          <w:szCs w:val="20"/>
        </w:rPr>
        <w:t xml:space="preserve"> the health portfolio have been included in the stocktake</w:t>
      </w:r>
      <w:r w:rsidRPr="00F021A5">
        <w:rPr>
          <w:szCs w:val="20"/>
        </w:rPr>
        <w:t>.</w:t>
      </w:r>
      <w:r>
        <w:rPr>
          <w:szCs w:val="20"/>
        </w:rPr>
        <w:t xml:space="preserve"> </w:t>
      </w:r>
      <w:r w:rsidR="00E228C5">
        <w:rPr>
          <w:szCs w:val="20"/>
        </w:rPr>
        <w:t>P</w:t>
      </w:r>
      <w:r>
        <w:rPr>
          <w:szCs w:val="20"/>
        </w:rPr>
        <w:t xml:space="preserve">rograms </w:t>
      </w:r>
      <w:r w:rsidR="00E228C5">
        <w:rPr>
          <w:szCs w:val="20"/>
        </w:rPr>
        <w:t xml:space="preserve">that </w:t>
      </w:r>
      <w:r>
        <w:rPr>
          <w:szCs w:val="20"/>
        </w:rPr>
        <w:t>have a broad focus but include a dedicated mental health or suicide prevention component</w:t>
      </w:r>
      <w:r w:rsidR="00E228C5">
        <w:rPr>
          <w:szCs w:val="20"/>
        </w:rPr>
        <w:t xml:space="preserve"> have been captured </w:t>
      </w:r>
      <w:r w:rsidR="00CC6BD4">
        <w:rPr>
          <w:szCs w:val="20"/>
        </w:rPr>
        <w:t>within the scope of the stocktake — in these instances</w:t>
      </w:r>
      <w:r>
        <w:rPr>
          <w:szCs w:val="20"/>
        </w:rPr>
        <w:t>, only the</w:t>
      </w:r>
      <w:r w:rsidRPr="00F021A5">
        <w:rPr>
          <w:szCs w:val="20"/>
        </w:rPr>
        <w:t xml:space="preserve"> </w:t>
      </w:r>
      <w:r>
        <w:rPr>
          <w:szCs w:val="20"/>
        </w:rPr>
        <w:t xml:space="preserve">portion of expenditure </w:t>
      </w:r>
      <w:r w:rsidRPr="00F021A5">
        <w:rPr>
          <w:szCs w:val="20"/>
        </w:rPr>
        <w:t xml:space="preserve">that specifically </w:t>
      </w:r>
      <w:r>
        <w:rPr>
          <w:szCs w:val="20"/>
        </w:rPr>
        <w:t xml:space="preserve">relates </w:t>
      </w:r>
      <w:r w:rsidRPr="00F021A5">
        <w:rPr>
          <w:szCs w:val="20"/>
        </w:rPr>
        <w:t>to supporting and/or improving mental health outcomes</w:t>
      </w:r>
      <w:r>
        <w:rPr>
          <w:szCs w:val="20"/>
        </w:rPr>
        <w:t xml:space="preserve"> has been included</w:t>
      </w:r>
      <w:r w:rsidRPr="00F021A5">
        <w:rPr>
          <w:szCs w:val="20"/>
        </w:rPr>
        <w:t>.</w:t>
      </w:r>
    </w:p>
    <w:p w14:paraId="38536ED6" w14:textId="082C5A36" w:rsidR="00931D57" w:rsidRDefault="00931D57" w:rsidP="00931D57">
      <w:pPr>
        <w:spacing w:before="240" w:line="300" w:lineRule="atLeast"/>
        <w:jc w:val="both"/>
        <w:rPr>
          <w:szCs w:val="20"/>
        </w:rPr>
      </w:pPr>
      <w:r>
        <w:rPr>
          <w:szCs w:val="20"/>
        </w:rPr>
        <w:t>The stocktake does not include programs w</w:t>
      </w:r>
      <w:r w:rsidRPr="00F021A5">
        <w:rPr>
          <w:szCs w:val="20"/>
        </w:rPr>
        <w:t xml:space="preserve">here improved mental health or suicide prevention </w:t>
      </w:r>
      <w:r>
        <w:rPr>
          <w:szCs w:val="20"/>
        </w:rPr>
        <w:t xml:space="preserve">may be </w:t>
      </w:r>
      <w:r w:rsidRPr="00F021A5">
        <w:rPr>
          <w:szCs w:val="20"/>
        </w:rPr>
        <w:t xml:space="preserve">a potential </w:t>
      </w:r>
      <w:proofErr w:type="gramStart"/>
      <w:r w:rsidRPr="00F021A5">
        <w:rPr>
          <w:szCs w:val="20"/>
        </w:rPr>
        <w:t>by-product</w:t>
      </w:r>
      <w:r>
        <w:rPr>
          <w:szCs w:val="20"/>
        </w:rPr>
        <w:t>,</w:t>
      </w:r>
      <w:r w:rsidRPr="00B10FE0">
        <w:rPr>
          <w:szCs w:val="20"/>
        </w:rPr>
        <w:t xml:space="preserve"> </w:t>
      </w:r>
      <w:r>
        <w:rPr>
          <w:szCs w:val="20"/>
        </w:rPr>
        <w:t>but</w:t>
      </w:r>
      <w:proofErr w:type="gramEnd"/>
      <w:r>
        <w:rPr>
          <w:szCs w:val="20"/>
        </w:rPr>
        <w:t xml:space="preserve"> </w:t>
      </w:r>
      <w:r w:rsidRPr="00F021A5">
        <w:rPr>
          <w:szCs w:val="20"/>
        </w:rPr>
        <w:t xml:space="preserve">is </w:t>
      </w:r>
      <w:r>
        <w:rPr>
          <w:szCs w:val="20"/>
        </w:rPr>
        <w:t>not a specific focus or objective</w:t>
      </w:r>
      <w:r w:rsidRPr="00F021A5">
        <w:rPr>
          <w:szCs w:val="20"/>
        </w:rPr>
        <w:t xml:space="preserve">. </w:t>
      </w:r>
      <w:r>
        <w:rPr>
          <w:szCs w:val="20"/>
        </w:rPr>
        <w:t xml:space="preserve">This means </w:t>
      </w:r>
      <w:r w:rsidRPr="00F021A5">
        <w:rPr>
          <w:szCs w:val="20"/>
        </w:rPr>
        <w:t>programs designed to improve physical health or broader wellbeing, or to prevent dangerous or risky behaviour</w:t>
      </w:r>
      <w:r>
        <w:rPr>
          <w:szCs w:val="20"/>
        </w:rPr>
        <w:t>, are not in scope. For example, general a</w:t>
      </w:r>
      <w:r w:rsidRPr="004A341C">
        <w:rPr>
          <w:szCs w:val="20"/>
        </w:rPr>
        <w:t xml:space="preserve">lcohol and </w:t>
      </w:r>
      <w:r>
        <w:rPr>
          <w:szCs w:val="20"/>
        </w:rPr>
        <w:t>o</w:t>
      </w:r>
      <w:r w:rsidRPr="004A341C">
        <w:rPr>
          <w:szCs w:val="20"/>
        </w:rPr>
        <w:t xml:space="preserve">ther </w:t>
      </w:r>
      <w:r>
        <w:rPr>
          <w:szCs w:val="20"/>
        </w:rPr>
        <w:t>d</w:t>
      </w:r>
      <w:r w:rsidRPr="004A341C">
        <w:rPr>
          <w:szCs w:val="20"/>
        </w:rPr>
        <w:t>rug</w:t>
      </w:r>
      <w:r>
        <w:rPr>
          <w:szCs w:val="20"/>
        </w:rPr>
        <w:t xml:space="preserve">-related services are not included. </w:t>
      </w:r>
      <w:r w:rsidRPr="00F021A5">
        <w:rPr>
          <w:szCs w:val="20"/>
        </w:rPr>
        <w:t xml:space="preserve">Similarly, government </w:t>
      </w:r>
      <w:r>
        <w:rPr>
          <w:szCs w:val="20"/>
        </w:rPr>
        <w:t>services and</w:t>
      </w:r>
      <w:r w:rsidRPr="00F021A5">
        <w:rPr>
          <w:szCs w:val="20"/>
        </w:rPr>
        <w:t xml:space="preserve"> programs designed to promote social inclusion more generally, such as public transport, </w:t>
      </w:r>
      <w:r>
        <w:rPr>
          <w:szCs w:val="20"/>
        </w:rPr>
        <w:t>are</w:t>
      </w:r>
      <w:r w:rsidRPr="00F021A5">
        <w:rPr>
          <w:szCs w:val="20"/>
        </w:rPr>
        <w:t xml:space="preserve"> excluded</w:t>
      </w:r>
      <w:r w:rsidR="008E4230">
        <w:rPr>
          <w:szCs w:val="20"/>
        </w:rPr>
        <w:t xml:space="preserve"> from this stocktake</w:t>
      </w:r>
      <w:r w:rsidRPr="00F021A5">
        <w:rPr>
          <w:szCs w:val="20"/>
        </w:rPr>
        <w:t>.</w:t>
      </w:r>
    </w:p>
    <w:p w14:paraId="73CFDEBB" w14:textId="1095117A" w:rsidR="00931D57" w:rsidRPr="00D62284" w:rsidRDefault="00931D57" w:rsidP="00931D57">
      <w:pPr>
        <w:keepNext/>
        <w:spacing w:before="240" w:line="300" w:lineRule="atLeast"/>
        <w:jc w:val="both"/>
        <w:rPr>
          <w:spacing w:val="-2"/>
          <w:szCs w:val="20"/>
        </w:rPr>
      </w:pPr>
      <w:r w:rsidRPr="00D62284">
        <w:rPr>
          <w:spacing w:val="-2"/>
          <w:szCs w:val="20"/>
        </w:rPr>
        <w:t xml:space="preserve">The </w:t>
      </w:r>
      <w:r w:rsidR="00565C44" w:rsidRPr="00D62284">
        <w:rPr>
          <w:spacing w:val="-2"/>
        </w:rPr>
        <w:t>Productivity</w:t>
      </w:r>
      <w:r w:rsidR="00565C44" w:rsidRPr="00D62284">
        <w:rPr>
          <w:spacing w:val="-2"/>
          <w:szCs w:val="20"/>
        </w:rPr>
        <w:t xml:space="preserve"> </w:t>
      </w:r>
      <w:r w:rsidRPr="00D62284">
        <w:rPr>
          <w:spacing w:val="-2"/>
          <w:szCs w:val="20"/>
        </w:rPr>
        <w:t>Commission sought a range of information from jurisdictions about the size (in terms of actual expenditure in 2018</w:t>
      </w:r>
      <w:r w:rsidRPr="00D62284">
        <w:rPr>
          <w:spacing w:val="-2"/>
          <w:szCs w:val="20"/>
        </w:rPr>
        <w:noBreakHyphen/>
        <w:t>19 and 2019</w:t>
      </w:r>
      <w:r w:rsidRPr="00D62284">
        <w:rPr>
          <w:spacing w:val="-2"/>
          <w:szCs w:val="20"/>
        </w:rPr>
        <w:noBreakHyphen/>
        <w:t>20, and budgeted spend in 2020</w:t>
      </w:r>
      <w:r w:rsidRPr="00D62284">
        <w:rPr>
          <w:spacing w:val="-2"/>
          <w:szCs w:val="20"/>
        </w:rPr>
        <w:noBreakHyphen/>
        <w:t>21), purpose and coverage of the mental health and suicide prevention programs they fund. In addition to classifying programs according to a taxonomy of service categories (discussed below), jurisdictions were asked to identify various program characteristics. These included:</w:t>
      </w:r>
    </w:p>
    <w:p w14:paraId="08A0A7B8" w14:textId="77777777" w:rsidR="00931D57" w:rsidRPr="003110F8" w:rsidRDefault="00931D57" w:rsidP="00931D57">
      <w:pPr>
        <w:pStyle w:val="ListBullet"/>
      </w:pPr>
      <w:r w:rsidRPr="003110F8">
        <w:t>whether program funding was ongoing or terminating</w:t>
      </w:r>
    </w:p>
    <w:p w14:paraId="164EF405" w14:textId="77777777" w:rsidR="00931D57" w:rsidRPr="003110F8" w:rsidRDefault="00931D57" w:rsidP="00931D57">
      <w:pPr>
        <w:pStyle w:val="ListBullet"/>
      </w:pPr>
      <w:r w:rsidRPr="003110F8">
        <w:t>whether programs were targeted towards particular groups</w:t>
      </w:r>
      <w:r>
        <w:t xml:space="preserve"> —</w:t>
      </w:r>
      <w:r w:rsidRPr="003110F8">
        <w:t xml:space="preserve"> such as specific age cohorts, localities and vulnerable groups</w:t>
      </w:r>
      <w:r>
        <w:t>, or based on the mental health care needs of the recipient (by severity)</w:t>
      </w:r>
    </w:p>
    <w:p w14:paraId="6DF423CD" w14:textId="345DF544" w:rsidR="00931D57" w:rsidRPr="003110F8" w:rsidRDefault="00931D57" w:rsidP="00931D57">
      <w:pPr>
        <w:pStyle w:val="ListBullet"/>
      </w:pPr>
      <w:r w:rsidRPr="003110F8">
        <w:t xml:space="preserve">whether funding was provided to an </w:t>
      </w:r>
      <w:r w:rsidR="00D07EB7">
        <w:t>Aboriginal or Torres Strait Islander</w:t>
      </w:r>
      <w:r>
        <w:noBreakHyphen/>
      </w:r>
      <w:r w:rsidRPr="003110F8">
        <w:t>owned or controlled service provider</w:t>
      </w:r>
    </w:p>
    <w:p w14:paraId="4A0E7452" w14:textId="77777777" w:rsidR="00931D57" w:rsidRDefault="00931D57" w:rsidP="00931D57">
      <w:pPr>
        <w:pStyle w:val="ListBullet"/>
      </w:pPr>
      <w:r w:rsidRPr="003110F8">
        <w:t>whether an evaluation had been undertaken for the program</w:t>
      </w:r>
    </w:p>
    <w:p w14:paraId="27914994" w14:textId="77777777" w:rsidR="00931D57" w:rsidRDefault="00931D57" w:rsidP="00931D57">
      <w:pPr>
        <w:pStyle w:val="ListBullet"/>
      </w:pPr>
      <w:r>
        <w:t>for State and Territory Government expenditure, whether the program was fully or partly funded by a transfer from the Australian Government</w:t>
      </w:r>
    </w:p>
    <w:p w14:paraId="0BC079CD" w14:textId="77777777" w:rsidR="00931D57" w:rsidRPr="003110F8" w:rsidRDefault="00931D57" w:rsidP="00931D57">
      <w:pPr>
        <w:pStyle w:val="ListBullet"/>
      </w:pPr>
      <w:r>
        <w:t xml:space="preserve">for </w:t>
      </w:r>
      <w:r w:rsidRPr="00B90735">
        <w:t>transfer</w:t>
      </w:r>
      <w:r>
        <w:t>s</w:t>
      </w:r>
      <w:r w:rsidRPr="00B90735">
        <w:t xml:space="preserve"> from the </w:t>
      </w:r>
      <w:r>
        <w:t>Australian Government</w:t>
      </w:r>
      <w:r w:rsidRPr="00B90735">
        <w:t xml:space="preserve"> to </w:t>
      </w:r>
      <w:r>
        <w:t>State and Territory Governments and Primary Health Networks (PHNs), the amount transferred to each jurisdiction</w:t>
      </w:r>
      <w:r w:rsidRPr="003110F8">
        <w:t>.</w:t>
      </w:r>
    </w:p>
    <w:p w14:paraId="720D6870" w14:textId="41CC20B4" w:rsidR="00931D57" w:rsidRDefault="00931D57" w:rsidP="00931D57">
      <w:pPr>
        <w:pStyle w:val="BodyText"/>
      </w:pPr>
      <w:r>
        <w:t xml:space="preserve">To promote data consistency and completeness, the </w:t>
      </w:r>
      <w:r w:rsidR="00565C44" w:rsidRPr="0089782E">
        <w:t xml:space="preserve">Productivity </w:t>
      </w:r>
      <w:r>
        <w:t xml:space="preserve">Commission provided guidance to jurisdictions throughout their data collection. Where appropriate, the Commission also </w:t>
      </w:r>
      <w:proofErr w:type="gramStart"/>
      <w:r>
        <w:t>made adjustments to</w:t>
      </w:r>
      <w:proofErr w:type="gramEnd"/>
      <w:r>
        <w:t xml:space="preserve"> the information provided as part of its data processing, to ensure that in</w:t>
      </w:r>
      <w:r>
        <w:noBreakHyphen/>
        <w:t xml:space="preserve">scope expenditures were consistently captured and that the </w:t>
      </w:r>
      <w:proofErr w:type="spellStart"/>
      <w:r>
        <w:t>stocktake’s</w:t>
      </w:r>
      <w:proofErr w:type="spellEnd"/>
      <w:r>
        <w:t xml:space="preserve"> coverage was as complete as possible.</w:t>
      </w:r>
      <w:r>
        <w:rPr>
          <w:rStyle w:val="FootnoteReference"/>
        </w:rPr>
        <w:footnoteReference w:id="2"/>
      </w:r>
      <w:r>
        <w:t xml:space="preserve"> </w:t>
      </w:r>
    </w:p>
    <w:p w14:paraId="076C8F05" w14:textId="68C1CF2F" w:rsidR="00931D57" w:rsidRDefault="00931D57" w:rsidP="00931D57">
      <w:pPr>
        <w:spacing w:before="240" w:line="300" w:lineRule="atLeast"/>
        <w:jc w:val="both"/>
        <w:rPr>
          <w:szCs w:val="20"/>
        </w:rPr>
      </w:pPr>
      <w:r w:rsidRPr="00AD010F">
        <w:rPr>
          <w:rStyle w:val="DraftingNote"/>
          <w:b w:val="0"/>
          <w:color w:val="auto"/>
          <w:u w:val="none"/>
        </w:rPr>
        <w:t xml:space="preserve">The </w:t>
      </w:r>
      <w:r w:rsidR="00565C44" w:rsidRPr="0089782E">
        <w:t xml:space="preserve">Productivity </w:t>
      </w:r>
      <w:r w:rsidRPr="00AD010F">
        <w:rPr>
          <w:rStyle w:val="DraftingNote"/>
          <w:b w:val="0"/>
          <w:color w:val="auto"/>
          <w:u w:val="none"/>
        </w:rPr>
        <w:t>Commission acknowledge</w:t>
      </w:r>
      <w:r>
        <w:rPr>
          <w:rStyle w:val="DraftingNote"/>
          <w:b w:val="0"/>
          <w:color w:val="auto"/>
          <w:u w:val="none"/>
        </w:rPr>
        <w:t>s</w:t>
      </w:r>
      <w:r w:rsidRPr="00AD010F">
        <w:rPr>
          <w:rStyle w:val="DraftingNote"/>
          <w:b w:val="0"/>
          <w:color w:val="auto"/>
          <w:u w:val="none"/>
        </w:rPr>
        <w:t xml:space="preserve"> the considerable effort and goodwill demonstrated by the </w:t>
      </w:r>
      <w:r>
        <w:rPr>
          <w:rStyle w:val="DraftingNote"/>
          <w:b w:val="0"/>
          <w:color w:val="auto"/>
          <w:u w:val="none"/>
        </w:rPr>
        <w:t xml:space="preserve">Australian </w:t>
      </w:r>
      <w:r w:rsidRPr="00AD010F">
        <w:rPr>
          <w:rStyle w:val="DraftingNote"/>
          <w:b w:val="0"/>
          <w:color w:val="auto"/>
          <w:u w:val="none"/>
        </w:rPr>
        <w:t xml:space="preserve">and State and Territory Governments in </w:t>
      </w:r>
      <w:r>
        <w:rPr>
          <w:rStyle w:val="DraftingNote"/>
          <w:b w:val="0"/>
          <w:color w:val="auto"/>
          <w:u w:val="none"/>
        </w:rPr>
        <w:t>collecting</w:t>
      </w:r>
      <w:r w:rsidRPr="000A333C">
        <w:rPr>
          <w:rStyle w:val="DraftingNote"/>
          <w:b w:val="0"/>
          <w:color w:val="auto"/>
          <w:u w:val="none"/>
        </w:rPr>
        <w:t xml:space="preserve"> </w:t>
      </w:r>
      <w:r w:rsidRPr="00AD010F">
        <w:rPr>
          <w:rStyle w:val="DraftingNote"/>
          <w:b w:val="0"/>
          <w:color w:val="auto"/>
          <w:u w:val="none"/>
        </w:rPr>
        <w:t>the data to make the stocktake possible, especially given the short timeframes.</w:t>
      </w:r>
      <w:r>
        <w:rPr>
          <w:rStyle w:val="DraftingNote"/>
          <w:b w:val="0"/>
          <w:color w:val="auto"/>
          <w:u w:val="none"/>
        </w:rPr>
        <w:t xml:space="preserve"> </w:t>
      </w:r>
      <w:r>
        <w:rPr>
          <w:szCs w:val="20"/>
        </w:rPr>
        <w:t>That said, t</w:t>
      </w:r>
      <w:r>
        <w:t xml:space="preserve">he ability of jurisdictions to provide information varied based on their systems and available program data, as well as their capacity to dedicate resources to participating in the stocktake. </w:t>
      </w:r>
      <w:r>
        <w:rPr>
          <w:rStyle w:val="DraftingNote"/>
          <w:b w:val="0"/>
          <w:color w:val="auto"/>
          <w:u w:val="none"/>
        </w:rPr>
        <w:t xml:space="preserve">The expenditure data provided to the Commission therefore differed in terms of </w:t>
      </w:r>
      <w:r w:rsidRPr="00324789">
        <w:rPr>
          <w:rStyle w:val="DraftingNote"/>
          <w:b w:val="0"/>
          <w:color w:val="auto"/>
          <w:u w:val="none"/>
        </w:rPr>
        <w:t>coverage, completeness and consistency</w:t>
      </w:r>
      <w:r>
        <w:rPr>
          <w:rStyle w:val="DraftingNote"/>
          <w:b w:val="0"/>
          <w:color w:val="auto"/>
          <w:u w:val="none"/>
        </w:rPr>
        <w:t xml:space="preserve">, and </w:t>
      </w:r>
      <w:r w:rsidRPr="00F51D7C">
        <w:rPr>
          <w:szCs w:val="20"/>
        </w:rPr>
        <w:t xml:space="preserve">not all of the </w:t>
      </w:r>
      <w:r>
        <w:rPr>
          <w:szCs w:val="20"/>
        </w:rPr>
        <w:t xml:space="preserve">reported </w:t>
      </w:r>
      <w:r w:rsidRPr="00F51D7C">
        <w:rPr>
          <w:szCs w:val="20"/>
        </w:rPr>
        <w:t xml:space="preserve">program </w:t>
      </w:r>
      <w:r>
        <w:rPr>
          <w:szCs w:val="20"/>
        </w:rPr>
        <w:t>information wa</w:t>
      </w:r>
      <w:r w:rsidRPr="00F51D7C">
        <w:rPr>
          <w:szCs w:val="20"/>
        </w:rPr>
        <w:t xml:space="preserve">s as granular as requested. </w:t>
      </w:r>
      <w:r w:rsidR="000A43FC">
        <w:rPr>
          <w:szCs w:val="20"/>
        </w:rPr>
        <w:t xml:space="preserve">For example, </w:t>
      </w:r>
      <w:r w:rsidR="00F954D5">
        <w:rPr>
          <w:szCs w:val="20"/>
        </w:rPr>
        <w:t xml:space="preserve">program </w:t>
      </w:r>
      <w:r w:rsidR="000A43FC">
        <w:rPr>
          <w:szCs w:val="20"/>
        </w:rPr>
        <w:t>expenditure on specialist mental health services (including hospital- and community-based services) was often presented in a highly aggregated way, constraining the types of analysis possible (chapter 2).</w:t>
      </w:r>
    </w:p>
    <w:p w14:paraId="5F3EAB4E" w14:textId="19590143" w:rsidR="00D35F22" w:rsidRPr="00D62284" w:rsidRDefault="00494F8A" w:rsidP="00931D57">
      <w:pPr>
        <w:spacing w:before="240" w:line="300" w:lineRule="atLeast"/>
        <w:jc w:val="both"/>
        <w:rPr>
          <w:spacing w:val="-2"/>
          <w:szCs w:val="20"/>
        </w:rPr>
      </w:pPr>
      <w:r w:rsidRPr="00D62284">
        <w:rPr>
          <w:spacing w:val="-2"/>
          <w:szCs w:val="20"/>
        </w:rPr>
        <w:t>In addition</w:t>
      </w:r>
      <w:r w:rsidR="002B24FF" w:rsidRPr="00D62284">
        <w:rPr>
          <w:spacing w:val="-2"/>
          <w:szCs w:val="20"/>
        </w:rPr>
        <w:t xml:space="preserve">, </w:t>
      </w:r>
      <w:r w:rsidR="00931D57" w:rsidRPr="00D62284">
        <w:rPr>
          <w:rStyle w:val="DraftingNote"/>
          <w:b w:val="0"/>
          <w:color w:val="auto"/>
          <w:spacing w:val="-2"/>
          <w:u w:val="none"/>
        </w:rPr>
        <w:t xml:space="preserve">the </w:t>
      </w:r>
      <w:proofErr w:type="spellStart"/>
      <w:r w:rsidR="00931D57" w:rsidRPr="00D62284">
        <w:rPr>
          <w:rStyle w:val="DraftingNote"/>
          <w:b w:val="0"/>
          <w:color w:val="auto"/>
          <w:spacing w:val="-2"/>
          <w:u w:val="none"/>
        </w:rPr>
        <w:t>stocktake</w:t>
      </w:r>
      <w:r w:rsidR="002B24FF" w:rsidRPr="00D62284">
        <w:rPr>
          <w:rStyle w:val="DraftingNote"/>
          <w:b w:val="0"/>
          <w:color w:val="auto"/>
          <w:spacing w:val="-2"/>
          <w:u w:val="none"/>
        </w:rPr>
        <w:t>’s</w:t>
      </w:r>
      <w:proofErr w:type="spellEnd"/>
      <w:r w:rsidR="002B24FF" w:rsidRPr="00D62284">
        <w:rPr>
          <w:rStyle w:val="DraftingNote"/>
          <w:b w:val="0"/>
          <w:color w:val="auto"/>
          <w:spacing w:val="-2"/>
          <w:u w:val="none"/>
        </w:rPr>
        <w:t xml:space="preserve"> focus on government</w:t>
      </w:r>
      <w:r w:rsidR="002B24FF" w:rsidRPr="00D62284">
        <w:rPr>
          <w:rStyle w:val="DraftingNote"/>
          <w:b w:val="0"/>
          <w:color w:val="auto"/>
          <w:spacing w:val="-2"/>
          <w:u w:val="none"/>
        </w:rPr>
        <w:noBreakHyphen/>
        <w:t xml:space="preserve">funded mental health and suicide prevention </w:t>
      </w:r>
      <w:r w:rsidR="002B24FF" w:rsidRPr="00D62284">
        <w:rPr>
          <w:rStyle w:val="DraftingNote"/>
          <w:b w:val="0"/>
          <w:i/>
          <w:iCs/>
          <w:color w:val="auto"/>
          <w:spacing w:val="-2"/>
          <w:u w:val="none"/>
        </w:rPr>
        <w:t>programs</w:t>
      </w:r>
      <w:r w:rsidR="002B24FF" w:rsidRPr="00D62284">
        <w:rPr>
          <w:rStyle w:val="DraftingNote"/>
          <w:b w:val="0"/>
          <w:color w:val="auto"/>
          <w:spacing w:val="-2"/>
          <w:u w:val="none"/>
        </w:rPr>
        <w:t xml:space="preserve"> </w:t>
      </w:r>
      <w:r w:rsidR="00427464" w:rsidRPr="00D62284">
        <w:rPr>
          <w:rStyle w:val="DraftingNote"/>
          <w:b w:val="0"/>
          <w:color w:val="auto"/>
          <w:spacing w:val="-2"/>
          <w:u w:val="none"/>
        </w:rPr>
        <w:t>is limited in its ability to measure broader government funding for services that are related to mental health but are not direct ‘programs’.</w:t>
      </w:r>
      <w:r w:rsidR="00931D57" w:rsidRPr="00D62284">
        <w:rPr>
          <w:rStyle w:val="DraftingNote"/>
          <w:b w:val="0"/>
          <w:color w:val="auto"/>
          <w:spacing w:val="-2"/>
          <w:u w:val="none"/>
        </w:rPr>
        <w:t xml:space="preserve"> </w:t>
      </w:r>
      <w:r w:rsidR="00E20569" w:rsidRPr="00D62284">
        <w:rPr>
          <w:rStyle w:val="DraftingNote"/>
          <w:b w:val="0"/>
          <w:color w:val="auto"/>
          <w:spacing w:val="-2"/>
          <w:u w:val="none"/>
        </w:rPr>
        <w:t>It therefore does</w:t>
      </w:r>
      <w:r w:rsidR="0063311A" w:rsidRPr="00D62284">
        <w:rPr>
          <w:rStyle w:val="DraftingNote"/>
          <w:b w:val="0"/>
          <w:color w:val="auto"/>
          <w:spacing w:val="-2"/>
          <w:u w:val="none"/>
        </w:rPr>
        <w:t xml:space="preserve"> no</w:t>
      </w:r>
      <w:r w:rsidR="00E20569" w:rsidRPr="00D62284">
        <w:rPr>
          <w:rStyle w:val="DraftingNote"/>
          <w:b w:val="0"/>
          <w:color w:val="auto"/>
          <w:spacing w:val="-2"/>
          <w:u w:val="none"/>
        </w:rPr>
        <w:t xml:space="preserve">t capture the entirety of </w:t>
      </w:r>
      <w:r w:rsidR="005071DD" w:rsidRPr="00D62284">
        <w:rPr>
          <w:rStyle w:val="DraftingNote"/>
          <w:b w:val="0"/>
          <w:color w:val="auto"/>
          <w:spacing w:val="-2"/>
          <w:u w:val="none"/>
        </w:rPr>
        <w:t xml:space="preserve">government funding for </w:t>
      </w:r>
      <w:r w:rsidR="00931D57" w:rsidRPr="00D62284">
        <w:rPr>
          <w:rStyle w:val="DraftingNote"/>
          <w:b w:val="0"/>
          <w:color w:val="auto"/>
          <w:spacing w:val="-2"/>
          <w:u w:val="none"/>
        </w:rPr>
        <w:t xml:space="preserve">mental health and suicide prevention. </w:t>
      </w:r>
      <w:r w:rsidR="00727FC4" w:rsidRPr="00D62284">
        <w:rPr>
          <w:rStyle w:val="DraftingNote"/>
          <w:b w:val="0"/>
          <w:color w:val="auto"/>
          <w:spacing w:val="-2"/>
          <w:u w:val="none"/>
        </w:rPr>
        <w:t xml:space="preserve">Previous estimates from the Productivity Commission’s 2020 inquiry can provide a useful reference point for </w:t>
      </w:r>
      <w:r w:rsidR="008C354D" w:rsidRPr="00D62284">
        <w:rPr>
          <w:rStyle w:val="DraftingNote"/>
          <w:b w:val="0"/>
          <w:color w:val="auto"/>
          <w:spacing w:val="-2"/>
          <w:u w:val="none"/>
        </w:rPr>
        <w:t>understanding broader government expenditures in some of these areas</w:t>
      </w:r>
      <w:r w:rsidR="00C75759" w:rsidRPr="00D62284">
        <w:rPr>
          <w:rStyle w:val="DraftingNote"/>
          <w:b w:val="0"/>
          <w:color w:val="auto"/>
          <w:spacing w:val="-2"/>
          <w:u w:val="none"/>
        </w:rPr>
        <w:t xml:space="preserve"> where governments have not been able to provide comprehensive program-level information</w:t>
      </w:r>
      <w:r w:rsidR="008C354D" w:rsidRPr="00D62284">
        <w:rPr>
          <w:rStyle w:val="DraftingNote"/>
          <w:b w:val="0"/>
          <w:color w:val="auto"/>
          <w:spacing w:val="-2"/>
          <w:u w:val="none"/>
        </w:rPr>
        <w:t xml:space="preserve">, </w:t>
      </w:r>
      <w:r w:rsidR="00C75759" w:rsidRPr="00D62284">
        <w:rPr>
          <w:rStyle w:val="DraftingNote"/>
          <w:b w:val="0"/>
          <w:color w:val="auto"/>
          <w:spacing w:val="-2"/>
          <w:u w:val="none"/>
        </w:rPr>
        <w:t xml:space="preserve">such as </w:t>
      </w:r>
      <w:r w:rsidR="00C75759" w:rsidRPr="00D62284">
        <w:rPr>
          <w:spacing w:val="-2"/>
          <w:szCs w:val="20"/>
        </w:rPr>
        <w:t>justice and community services including psychosocial supports (box</w:t>
      </w:r>
      <w:r w:rsidR="004236F4" w:rsidRPr="00D62284">
        <w:rPr>
          <w:spacing w:val="-2"/>
          <w:szCs w:val="20"/>
        </w:rPr>
        <w:t> </w:t>
      </w:r>
      <w:r w:rsidR="00C75759" w:rsidRPr="00D62284">
        <w:rPr>
          <w:spacing w:val="-2"/>
          <w:szCs w:val="20"/>
        </w:rPr>
        <w:t>1.</w:t>
      </w:r>
      <w:r w:rsidR="006E0159" w:rsidRPr="00D62284">
        <w:rPr>
          <w:spacing w:val="-2"/>
          <w:szCs w:val="20"/>
        </w:rPr>
        <w:t>2</w:t>
      </w:r>
      <w:r w:rsidR="00C75759" w:rsidRPr="00D62284">
        <w:rPr>
          <w:spacing w:val="-2"/>
          <w:szCs w:val="20"/>
        </w:rPr>
        <w:t xml:space="preserve">). </w:t>
      </w:r>
    </w:p>
    <w:p w14:paraId="57FDE5D1" w14:textId="6DA194D3" w:rsidR="008F0030" w:rsidRDefault="008F0030" w:rsidP="008F003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F0030" w14:paraId="6E8E1F84" w14:textId="77777777" w:rsidTr="00F307E9">
        <w:trPr>
          <w:tblHeader/>
        </w:trPr>
        <w:tc>
          <w:tcPr>
            <w:tcW w:w="5000" w:type="pct"/>
            <w:tcBorders>
              <w:top w:val="single" w:sz="6" w:space="0" w:color="78A22F"/>
              <w:left w:val="nil"/>
              <w:bottom w:val="nil"/>
              <w:right w:val="nil"/>
            </w:tcBorders>
            <w:shd w:val="clear" w:color="auto" w:fill="F2F2F2"/>
          </w:tcPr>
          <w:p w14:paraId="42666DC6" w14:textId="78EA93FF" w:rsidR="008F0030" w:rsidRDefault="008F0030" w:rsidP="00F307E9">
            <w:pPr>
              <w:pStyle w:val="BoxTitle"/>
            </w:pPr>
            <w:r>
              <w:rPr>
                <w:b w:val="0"/>
              </w:rPr>
              <w:t>Box 1.</w:t>
            </w:r>
            <w:r w:rsidR="00D35D48">
              <w:rPr>
                <w:b w:val="0"/>
                <w:noProof/>
              </w:rPr>
              <w:t>2</w:t>
            </w:r>
            <w:r>
              <w:tab/>
            </w:r>
            <w:r w:rsidR="000971E1">
              <w:t xml:space="preserve">The stocktake focuses on </w:t>
            </w:r>
            <w:r w:rsidR="007E2717">
              <w:t>mental health and suicide prevention program</w:t>
            </w:r>
            <w:r w:rsidR="00072AEA">
              <w:noBreakHyphen/>
              <w:t>level expenditure</w:t>
            </w:r>
          </w:p>
        </w:tc>
      </w:tr>
      <w:tr w:rsidR="008F0030" w14:paraId="2007ACBB" w14:textId="77777777" w:rsidTr="00F307E9">
        <w:tc>
          <w:tcPr>
            <w:tcW w:w="5000" w:type="pct"/>
            <w:tcBorders>
              <w:top w:val="nil"/>
              <w:left w:val="nil"/>
              <w:bottom w:val="nil"/>
              <w:right w:val="nil"/>
            </w:tcBorders>
            <w:shd w:val="clear" w:color="auto" w:fill="F2F2F2"/>
          </w:tcPr>
          <w:p w14:paraId="08752D86" w14:textId="5DDCB1B2" w:rsidR="004017BB" w:rsidRDefault="004017BB" w:rsidP="004017BB">
            <w:pPr>
              <w:pStyle w:val="Box"/>
            </w:pPr>
            <w:r>
              <w:t>This stocktake collected expenditure data for programs that have mental health or suicide prevention as a primary objective. It follows a ‘bottom-up’ approach to reporting government expenditure on individual programs. While this has enabled the Productivity Commission to capture what is actually spent on in</w:t>
            </w:r>
            <w:r>
              <w:noBreakHyphen/>
              <w:t xml:space="preserve">scope programs, such an approach is limited in its ability to measure broader government funding for services that are related to mental health but are not direct ‘programs’ </w:t>
            </w:r>
            <w:r>
              <w:br w:type="page"/>
              <w:t>— for example, costs relating to mentally unwell people who are in prison.</w:t>
            </w:r>
          </w:p>
          <w:p w14:paraId="2450DDE8" w14:textId="39C95D55" w:rsidR="004017BB" w:rsidRDefault="004017BB" w:rsidP="004017BB">
            <w:pPr>
              <w:pStyle w:val="Box"/>
            </w:pPr>
            <w:r>
              <w:t xml:space="preserve">As part of its 2020 Mental Health inquiry, the </w:t>
            </w:r>
            <w:r w:rsidR="00A76556">
              <w:t xml:space="preserve">Productivity </w:t>
            </w:r>
            <w:r>
              <w:t>Commission sought to estimate the total economic cost of mental ill-health and suicide in Australia, via a top</w:t>
            </w:r>
            <w:r>
              <w:noBreakHyphen/>
              <w:t>down approach. It took a broad approach to developing these estimates, and assumptions were necessary to attribute non</w:t>
            </w:r>
            <w:r w:rsidR="007F1AF7">
              <w:noBreakHyphen/>
            </w:r>
            <w:r>
              <w:t>health care expenditure. For instance, the cost of people being imprisoned that is attributable to mental illness was estimated by applying the prevalence of mental illness in the population and prisons to total government expenditure on prisons.</w:t>
            </w:r>
          </w:p>
          <w:p w14:paraId="74B93C70" w14:textId="35629B9E" w:rsidR="004017BB" w:rsidRDefault="004017BB" w:rsidP="004017BB">
            <w:pPr>
              <w:pStyle w:val="Box"/>
            </w:pPr>
            <w:r>
              <w:t>Given the different approaches taken between the data collated for this stocktake and the estimates prepared in the inquiry, the numbers provided in each report are not directly comparable. Notwithstanding this, estimates from the Commission’s inquiry can provide a useful reference point for areas where governments have not been able to provide comprehensive program-level information for this stocktake. It is in these areas that the stocktake will likely underrepresent overall funding for mental health and suicide prevention.</w:t>
            </w:r>
          </w:p>
          <w:p w14:paraId="15E3971A" w14:textId="7A4DE168" w:rsidR="00A47933" w:rsidRDefault="004017BB" w:rsidP="00D62284">
            <w:pPr>
              <w:pStyle w:val="Box"/>
              <w:spacing w:after="240"/>
            </w:pPr>
            <w:r>
              <w:t>The programs reported for this stocktake provide reasonably good coverage of governments’ mental health</w:t>
            </w:r>
            <w:r>
              <w:noBreakHyphen/>
              <w:t>related expenditure in the health and education portfolios (chapter 2) — indeed, the reported education programs are an example of how a bottom-up approach can capture expenditure in areas that are hard to estimate top</w:t>
            </w:r>
            <w:r>
              <w:noBreakHyphen/>
              <w:t xml:space="preserve">down (broader education sector costs were unable </w:t>
            </w:r>
            <w:r w:rsidRPr="009B1B53">
              <w:t xml:space="preserve">to be estimated </w:t>
            </w:r>
            <w:r w:rsidR="002D531F">
              <w:t>at</w:t>
            </w:r>
            <w:r w:rsidRPr="009B1B53">
              <w:t xml:space="preserve"> the </w:t>
            </w:r>
            <w:r w:rsidR="002D531F">
              <w:t>time of</w:t>
            </w:r>
            <w:r w:rsidR="00021440" w:rsidRPr="009B1B53">
              <w:t xml:space="preserve"> the </w:t>
            </w:r>
            <w:r w:rsidRPr="009B1B53">
              <w:t>inquiry).</w:t>
            </w:r>
            <w:r>
              <w:t xml:space="preserve"> However, jurisdictions were not able to report comprehensive program data in other areas such as justice, housing and community services including psychosocial supports. In these areas, estimates from the inquiry provide a sense of the scale of mental health</w:t>
            </w:r>
            <w:r>
              <w:noBreakHyphen/>
              <w:t>related government expenditure</w:t>
            </w:r>
            <w:r w:rsidR="002344BD">
              <w:t>,</w:t>
            </w:r>
            <w:r>
              <w:t xml:space="preserve"> not</w:t>
            </w:r>
            <w:r w:rsidR="002344BD">
              <w:t>ing</w:t>
            </w:r>
            <w:r>
              <w:t xml:space="preserve"> that the inquiry focused on 2018</w:t>
            </w:r>
            <w:r w:rsidR="002344BD">
              <w:noBreakHyphen/>
            </w:r>
            <w:r>
              <w:t>19 and the stocktake on 2019-20 (table below)</w:t>
            </w:r>
            <w:r w:rsidR="008F0030">
              <w:t xml:space="preserve">. </w:t>
            </w:r>
          </w:p>
          <w:tbl>
            <w:tblPr>
              <w:tblW w:w="5000" w:type="pct"/>
              <w:tblCellMar>
                <w:top w:w="28" w:type="dxa"/>
                <w:left w:w="0" w:type="dxa"/>
                <w:right w:w="0" w:type="dxa"/>
              </w:tblCellMar>
              <w:tblLook w:val="0000" w:firstRow="0" w:lastRow="0" w:firstColumn="0" w:lastColumn="0" w:noHBand="0" w:noVBand="0"/>
            </w:tblPr>
            <w:tblGrid>
              <w:gridCol w:w="3205"/>
              <w:gridCol w:w="2650"/>
              <w:gridCol w:w="2650"/>
            </w:tblGrid>
            <w:tr w:rsidR="00D62284" w14:paraId="2A8FAF0F" w14:textId="77777777" w:rsidTr="0011146E">
              <w:trPr>
                <w:tblHeader/>
              </w:trPr>
              <w:tc>
                <w:tcPr>
                  <w:tcW w:w="1884" w:type="pct"/>
                  <w:tcBorders>
                    <w:top w:val="single" w:sz="4" w:space="0" w:color="BFBFBF" w:themeColor="background1" w:themeShade="BF"/>
                  </w:tcBorders>
                  <w:shd w:val="clear" w:color="auto" w:fill="auto"/>
                  <w:tcMar>
                    <w:top w:w="28" w:type="dxa"/>
                  </w:tcMar>
                </w:tcPr>
                <w:p w14:paraId="46E7D1C9" w14:textId="77777777" w:rsidR="00D62284" w:rsidRDefault="00D62284" w:rsidP="00D62284">
                  <w:pPr>
                    <w:pStyle w:val="TableColumnHeading"/>
                    <w:jc w:val="left"/>
                  </w:pPr>
                  <w:r>
                    <w:t>Area of government</w:t>
                  </w:r>
                </w:p>
              </w:tc>
              <w:tc>
                <w:tcPr>
                  <w:tcW w:w="1558" w:type="pct"/>
                  <w:tcBorders>
                    <w:top w:val="single" w:sz="4" w:space="0" w:color="BFBFBF" w:themeColor="background1" w:themeShade="BF"/>
                  </w:tcBorders>
                </w:tcPr>
                <w:p w14:paraId="4667F8BE" w14:textId="77777777" w:rsidR="00D62284" w:rsidRDefault="00D62284" w:rsidP="00D62284">
                  <w:pPr>
                    <w:pStyle w:val="TableColumnHeading"/>
                  </w:pPr>
                  <w:r>
                    <w:t>Inquiry estimate of expenditure on services attributable to mental illness</w:t>
                  </w:r>
                </w:p>
              </w:tc>
              <w:tc>
                <w:tcPr>
                  <w:tcW w:w="1558" w:type="pct"/>
                  <w:tcBorders>
                    <w:top w:val="single" w:sz="4" w:space="0" w:color="BFBFBF" w:themeColor="background1" w:themeShade="BF"/>
                  </w:tcBorders>
                </w:tcPr>
                <w:p w14:paraId="1DBE5A02" w14:textId="77777777" w:rsidR="00D62284" w:rsidRDefault="00D62284" w:rsidP="00260ACC">
                  <w:pPr>
                    <w:pStyle w:val="TableColumnHeading"/>
                    <w:ind w:right="57"/>
                  </w:pPr>
                  <w:r>
                    <w:t>Expenditure on mental health</w:t>
                  </w:r>
                  <w:r>
                    <w:noBreakHyphen/>
                    <w:t>related programs reported to this stocktake</w:t>
                  </w:r>
                </w:p>
              </w:tc>
            </w:tr>
            <w:tr w:rsidR="00D62284" w14:paraId="5A7461A7" w14:textId="77777777" w:rsidTr="00D62284">
              <w:tc>
                <w:tcPr>
                  <w:tcW w:w="1884" w:type="pct"/>
                </w:tcPr>
                <w:p w14:paraId="653B8BFE" w14:textId="77777777" w:rsidR="00D62284" w:rsidRDefault="00D62284" w:rsidP="00D62284">
                  <w:pPr>
                    <w:pStyle w:val="TableUnitsRow"/>
                    <w:jc w:val="left"/>
                  </w:pPr>
                </w:p>
              </w:tc>
              <w:tc>
                <w:tcPr>
                  <w:tcW w:w="1558" w:type="pct"/>
                </w:tcPr>
                <w:p w14:paraId="38767C4B" w14:textId="77777777" w:rsidR="00D62284" w:rsidRDefault="00D62284" w:rsidP="00D62284">
                  <w:pPr>
                    <w:pStyle w:val="TableUnitsRow"/>
                  </w:pPr>
                  <w:r>
                    <w:t>2018</w:t>
                  </w:r>
                  <w:r>
                    <w:noBreakHyphen/>
                    <w:t>19, $m</w:t>
                  </w:r>
                </w:p>
              </w:tc>
              <w:tc>
                <w:tcPr>
                  <w:tcW w:w="1558" w:type="pct"/>
                </w:tcPr>
                <w:p w14:paraId="348B2E1A" w14:textId="77777777" w:rsidR="00D62284" w:rsidRDefault="00D62284" w:rsidP="00260ACC">
                  <w:pPr>
                    <w:pStyle w:val="TableUnitsRow"/>
                    <w:ind w:right="57"/>
                  </w:pPr>
                  <w:r>
                    <w:t>2019</w:t>
                  </w:r>
                  <w:r>
                    <w:noBreakHyphen/>
                    <w:t>20, $m</w:t>
                  </w:r>
                </w:p>
              </w:tc>
            </w:tr>
            <w:tr w:rsidR="00D62284" w14:paraId="319C039F" w14:textId="77777777" w:rsidTr="00D62284">
              <w:tc>
                <w:tcPr>
                  <w:tcW w:w="1884" w:type="pct"/>
                  <w:tcBorders>
                    <w:top w:val="single" w:sz="6" w:space="0" w:color="BFBFBF"/>
                  </w:tcBorders>
                </w:tcPr>
                <w:p w14:paraId="3DD32513" w14:textId="77777777" w:rsidR="00D62284" w:rsidRDefault="00D62284" w:rsidP="00D62284">
                  <w:pPr>
                    <w:pStyle w:val="TableUnitsRow"/>
                    <w:jc w:val="left"/>
                  </w:pPr>
                  <w:r>
                    <w:t xml:space="preserve">Justice </w:t>
                  </w:r>
                </w:p>
              </w:tc>
              <w:tc>
                <w:tcPr>
                  <w:tcW w:w="1558" w:type="pct"/>
                  <w:tcBorders>
                    <w:top w:val="single" w:sz="6" w:space="0" w:color="BFBFBF"/>
                  </w:tcBorders>
                </w:tcPr>
                <w:p w14:paraId="684228D6" w14:textId="77777777" w:rsidR="00D62284" w:rsidRDefault="00D62284" w:rsidP="00D62284">
                  <w:pPr>
                    <w:pStyle w:val="TableUnitsRow"/>
                  </w:pPr>
                  <w:r>
                    <w:t>1 120</w:t>
                  </w:r>
                </w:p>
              </w:tc>
              <w:tc>
                <w:tcPr>
                  <w:tcW w:w="1558" w:type="pct"/>
                  <w:tcBorders>
                    <w:top w:val="single" w:sz="6" w:space="0" w:color="BFBFBF"/>
                  </w:tcBorders>
                </w:tcPr>
                <w:p w14:paraId="4D2578E7" w14:textId="77777777" w:rsidR="00D62284" w:rsidRDefault="00D62284" w:rsidP="00260ACC">
                  <w:pPr>
                    <w:pStyle w:val="TableUnitsRow"/>
                    <w:ind w:right="57"/>
                  </w:pPr>
                  <w:r>
                    <w:t>98</w:t>
                  </w:r>
                </w:p>
              </w:tc>
            </w:tr>
            <w:tr w:rsidR="00D62284" w14:paraId="428BF04E" w14:textId="77777777" w:rsidTr="00D62284">
              <w:tc>
                <w:tcPr>
                  <w:tcW w:w="1884" w:type="pct"/>
                </w:tcPr>
                <w:p w14:paraId="4943AC19" w14:textId="77777777" w:rsidR="00D62284" w:rsidRDefault="00D62284" w:rsidP="00D62284">
                  <w:pPr>
                    <w:pStyle w:val="TableBodyText"/>
                    <w:jc w:val="left"/>
                  </w:pPr>
                  <w:r>
                    <w:t>Education</w:t>
                  </w:r>
                </w:p>
              </w:tc>
              <w:tc>
                <w:tcPr>
                  <w:tcW w:w="1558" w:type="pct"/>
                </w:tcPr>
                <w:p w14:paraId="442E23E8" w14:textId="77777777" w:rsidR="00D62284" w:rsidRDefault="00D62284" w:rsidP="00D62284">
                  <w:pPr>
                    <w:pStyle w:val="TableBodyText"/>
                  </w:pPr>
                  <w:proofErr w:type="spellStart"/>
                  <w:r>
                    <w:t>na</w:t>
                  </w:r>
                  <w:proofErr w:type="spellEnd"/>
                </w:p>
              </w:tc>
              <w:tc>
                <w:tcPr>
                  <w:tcW w:w="1558" w:type="pct"/>
                </w:tcPr>
                <w:p w14:paraId="3924598B" w14:textId="77777777" w:rsidR="00D62284" w:rsidRDefault="00D62284" w:rsidP="00260ACC">
                  <w:pPr>
                    <w:pStyle w:val="TableBodyText"/>
                    <w:ind w:right="57"/>
                  </w:pPr>
                  <w:r>
                    <w:t>461</w:t>
                  </w:r>
                </w:p>
              </w:tc>
            </w:tr>
            <w:tr w:rsidR="00D62284" w14:paraId="5C24F22F" w14:textId="77777777" w:rsidTr="00D62284">
              <w:tc>
                <w:tcPr>
                  <w:tcW w:w="1884" w:type="pct"/>
                  <w:shd w:val="clear" w:color="auto" w:fill="auto"/>
                </w:tcPr>
                <w:p w14:paraId="0D8EACC4" w14:textId="77777777" w:rsidR="00D62284" w:rsidRDefault="00D62284" w:rsidP="00D62284">
                  <w:pPr>
                    <w:pStyle w:val="TableBodyText"/>
                    <w:jc w:val="left"/>
                  </w:pPr>
                  <w:r>
                    <w:t>Psychosocial supports — Australian Government (non-National Disability Insurance Scheme)</w:t>
                  </w:r>
                </w:p>
              </w:tc>
              <w:tc>
                <w:tcPr>
                  <w:tcW w:w="1558" w:type="pct"/>
                </w:tcPr>
                <w:p w14:paraId="3586992B" w14:textId="77777777" w:rsidR="00D62284" w:rsidDel="0065662A" w:rsidRDefault="00D62284" w:rsidP="00D62284">
                  <w:pPr>
                    <w:pStyle w:val="TableBodyText"/>
                  </w:pPr>
                  <w:r>
                    <w:t>403</w:t>
                  </w:r>
                </w:p>
              </w:tc>
              <w:tc>
                <w:tcPr>
                  <w:tcW w:w="1558" w:type="pct"/>
                </w:tcPr>
                <w:p w14:paraId="07AEE8C8" w14:textId="77777777" w:rsidR="00D62284" w:rsidRDefault="00D62284" w:rsidP="00260ACC">
                  <w:pPr>
                    <w:pStyle w:val="TableBodyText"/>
                    <w:ind w:right="57"/>
                  </w:pPr>
                  <w:r>
                    <w:t>229</w:t>
                  </w:r>
                </w:p>
              </w:tc>
            </w:tr>
            <w:tr w:rsidR="00D62284" w14:paraId="51A36CDC" w14:textId="77777777" w:rsidTr="00D62284">
              <w:tc>
                <w:tcPr>
                  <w:tcW w:w="1884" w:type="pct"/>
                  <w:shd w:val="clear" w:color="auto" w:fill="auto"/>
                </w:tcPr>
                <w:p w14:paraId="106BD164" w14:textId="77777777" w:rsidR="00D62284" w:rsidRDefault="00D62284" w:rsidP="00D62284">
                  <w:pPr>
                    <w:pStyle w:val="TableBodyText"/>
                    <w:jc w:val="left"/>
                  </w:pPr>
                  <w:r>
                    <w:t>Psychosocial supports — State and Territory Governments</w:t>
                  </w:r>
                </w:p>
              </w:tc>
              <w:tc>
                <w:tcPr>
                  <w:tcW w:w="1558" w:type="pct"/>
                </w:tcPr>
                <w:p w14:paraId="134C946A" w14:textId="77777777" w:rsidR="00D62284" w:rsidRDefault="00D62284" w:rsidP="00D62284">
                  <w:pPr>
                    <w:pStyle w:val="TableBodyText"/>
                  </w:pPr>
                  <w:r>
                    <w:t>452</w:t>
                  </w:r>
                </w:p>
              </w:tc>
              <w:tc>
                <w:tcPr>
                  <w:tcW w:w="1558" w:type="pct"/>
                </w:tcPr>
                <w:p w14:paraId="7BE66AFD" w14:textId="77777777" w:rsidR="00D62284" w:rsidRDefault="00D62284" w:rsidP="00260ACC">
                  <w:pPr>
                    <w:pStyle w:val="TableBodyText"/>
                    <w:ind w:right="57"/>
                  </w:pPr>
                  <w:r>
                    <w:t>226</w:t>
                  </w:r>
                </w:p>
              </w:tc>
            </w:tr>
          </w:tbl>
          <w:p w14:paraId="280341FF" w14:textId="612C7D95" w:rsidR="008F0030" w:rsidRDefault="008F0030" w:rsidP="00C22275">
            <w:pPr>
              <w:pStyle w:val="BoxSpaceAbove"/>
              <w:spacing w:before="120"/>
            </w:pPr>
          </w:p>
        </w:tc>
      </w:tr>
      <w:tr w:rsidR="008F0030" w14:paraId="2834B0C2" w14:textId="77777777" w:rsidTr="00F307E9">
        <w:tc>
          <w:tcPr>
            <w:tcW w:w="5000" w:type="pct"/>
            <w:tcBorders>
              <w:top w:val="nil"/>
              <w:left w:val="nil"/>
              <w:bottom w:val="nil"/>
              <w:right w:val="nil"/>
            </w:tcBorders>
            <w:shd w:val="clear" w:color="auto" w:fill="F2F2F2"/>
          </w:tcPr>
          <w:p w14:paraId="617A3449" w14:textId="1AAA0012" w:rsidR="008F0030" w:rsidRDefault="008F0030" w:rsidP="00F307E9">
            <w:pPr>
              <w:pStyle w:val="BoxSource"/>
            </w:pPr>
            <w:r>
              <w:rPr>
                <w:i/>
              </w:rPr>
              <w:t>Sources</w:t>
            </w:r>
            <w:r w:rsidRPr="00167F06">
              <w:t xml:space="preserve">: </w:t>
            </w:r>
            <w:r w:rsidR="003F1D1C">
              <w:t xml:space="preserve">Data provided by </w:t>
            </w:r>
            <w:r w:rsidR="007F260C">
              <w:t>Australian, State and Territory Governments</w:t>
            </w:r>
            <w:r w:rsidR="00A44DD1">
              <w:t>; PC</w:t>
            </w:r>
            <w:r w:rsidR="00A44DD1" w:rsidRPr="00167F06">
              <w:t xml:space="preserve"> </w:t>
            </w:r>
            <w:r w:rsidR="00A44DD1" w:rsidRPr="00D94378">
              <w:rPr>
                <w:rFonts w:cs="Arial"/>
              </w:rPr>
              <w:t>(2020)</w:t>
            </w:r>
            <w:r w:rsidR="00A44DD1">
              <w:t>.</w:t>
            </w:r>
          </w:p>
        </w:tc>
      </w:tr>
      <w:tr w:rsidR="008F0030" w14:paraId="775C9B9B" w14:textId="77777777" w:rsidTr="00F307E9">
        <w:tc>
          <w:tcPr>
            <w:tcW w:w="5000" w:type="pct"/>
            <w:tcBorders>
              <w:top w:val="nil"/>
              <w:left w:val="nil"/>
              <w:bottom w:val="single" w:sz="6" w:space="0" w:color="78A22F"/>
              <w:right w:val="nil"/>
            </w:tcBorders>
            <w:shd w:val="clear" w:color="auto" w:fill="F2F2F2"/>
          </w:tcPr>
          <w:p w14:paraId="086DCCF6" w14:textId="77777777" w:rsidR="008F0030" w:rsidRDefault="008F0030" w:rsidP="00F307E9">
            <w:pPr>
              <w:pStyle w:val="Box"/>
              <w:spacing w:before="0" w:line="120" w:lineRule="exact"/>
            </w:pPr>
          </w:p>
        </w:tc>
      </w:tr>
      <w:tr w:rsidR="008F0030" w:rsidRPr="000863A5" w14:paraId="1318979E" w14:textId="77777777" w:rsidTr="00F307E9">
        <w:tc>
          <w:tcPr>
            <w:tcW w:w="5000" w:type="pct"/>
            <w:tcBorders>
              <w:top w:val="single" w:sz="6" w:space="0" w:color="78A22F"/>
              <w:left w:val="nil"/>
              <w:bottom w:val="nil"/>
              <w:right w:val="nil"/>
            </w:tcBorders>
          </w:tcPr>
          <w:p w14:paraId="36CA89E3" w14:textId="02DA9ADE" w:rsidR="008F0030" w:rsidRPr="00626D32" w:rsidRDefault="008F0030" w:rsidP="00F307E9">
            <w:pPr>
              <w:pStyle w:val="BoxSpaceBelow"/>
            </w:pPr>
          </w:p>
        </w:tc>
      </w:tr>
    </w:tbl>
    <w:p w14:paraId="013E7131" w14:textId="08ADBB14" w:rsidR="007C6B6F" w:rsidRPr="00D62284" w:rsidRDefault="007C6B6F" w:rsidP="007C6B6F">
      <w:pPr>
        <w:spacing w:before="240" w:line="300" w:lineRule="atLeast"/>
        <w:jc w:val="both"/>
        <w:rPr>
          <w:spacing w:val="-2"/>
          <w:szCs w:val="20"/>
        </w:rPr>
      </w:pPr>
      <w:r w:rsidRPr="00D62284">
        <w:rPr>
          <w:spacing w:val="-2"/>
          <w:szCs w:val="20"/>
        </w:rPr>
        <w:t xml:space="preserve">More generally, neither the </w:t>
      </w:r>
      <w:proofErr w:type="spellStart"/>
      <w:r w:rsidRPr="00D62284">
        <w:rPr>
          <w:spacing w:val="-2"/>
          <w:szCs w:val="20"/>
        </w:rPr>
        <w:t>stocktake’s</w:t>
      </w:r>
      <w:proofErr w:type="spellEnd"/>
      <w:r w:rsidRPr="00D62284">
        <w:rPr>
          <w:spacing w:val="-2"/>
          <w:szCs w:val="20"/>
        </w:rPr>
        <w:t xml:space="preserve"> program data nor the inquiry’s estimated costs of mental illness and suicide included the $10.9 billion (in 2018</w:t>
      </w:r>
      <w:r w:rsidRPr="00D62284">
        <w:rPr>
          <w:spacing w:val="-2"/>
          <w:szCs w:val="20"/>
        </w:rPr>
        <w:noBreakHyphen/>
        <w:t>19) of income support payments for those with mental illness and carers</w:t>
      </w:r>
      <w:r w:rsidR="00DA61CD" w:rsidRPr="00D62284">
        <w:rPr>
          <w:spacing w:val="-2"/>
          <w:szCs w:val="20"/>
        </w:rPr>
        <w:t>, which represent a transfer between different parts of the community</w:t>
      </w:r>
      <w:r w:rsidRPr="00D62284">
        <w:rPr>
          <w:spacing w:val="-2"/>
          <w:szCs w:val="20"/>
        </w:rPr>
        <w:t>. Notwithstanding, all of these aspects of government funding are relevant to the development of a National Mental Health and Suicide Prevention Agreement.</w:t>
      </w:r>
    </w:p>
    <w:p w14:paraId="1A4C0C5E" w14:textId="0BEEAB56" w:rsidR="00931D57" w:rsidRDefault="00931D57" w:rsidP="00931D57">
      <w:pPr>
        <w:pStyle w:val="Heading2"/>
        <w:ind w:left="0" w:firstLine="0"/>
      </w:pPr>
      <w:r>
        <w:t xml:space="preserve">A taxonomy of mental health and suicide prevention </w:t>
      </w:r>
      <w:r w:rsidR="00C14EA7">
        <w:t>programs</w:t>
      </w:r>
    </w:p>
    <w:p w14:paraId="72832EC3" w14:textId="5E2FB724" w:rsidR="00931D57" w:rsidRDefault="00931D57" w:rsidP="00931D57">
      <w:pPr>
        <w:pStyle w:val="BodyText"/>
      </w:pPr>
      <w:r w:rsidRPr="00B10FE0">
        <w:t xml:space="preserve">Mental health and suicide </w:t>
      </w:r>
      <w:r>
        <w:t xml:space="preserve">prevention </w:t>
      </w:r>
      <w:r w:rsidRPr="00B10FE0">
        <w:t>programs and services in Australia are diverse in nature and complex in the way they are funded and delivered</w:t>
      </w:r>
      <w:r>
        <w:t xml:space="preserve">. Perhaps not surprisingly then, there are various approaches to collecting and categorising funding, expenditure and </w:t>
      </w:r>
      <w:r w:rsidR="004A289E">
        <w:t xml:space="preserve">activity </w:t>
      </w:r>
      <w:r>
        <w:t>data. For example:</w:t>
      </w:r>
    </w:p>
    <w:p w14:paraId="2DA5ED05" w14:textId="3271CBD1" w:rsidR="00931D57" w:rsidRDefault="00931D57" w:rsidP="00931D57">
      <w:pPr>
        <w:pStyle w:val="ListBullet"/>
      </w:pPr>
      <w:r>
        <w:t>Mental health</w:t>
      </w:r>
      <w:r w:rsidR="0020088B">
        <w:t xml:space="preserve"> </w:t>
      </w:r>
      <w:r>
        <w:t>care expenditure and activity data are captured in the Australian Institute of Health and Welfare’s (AIHW</w:t>
      </w:r>
      <w:r w:rsidR="00C509C7">
        <w:t>’s</w:t>
      </w:r>
      <w:r>
        <w:t>) Mental Health Establishments and Community Mental Health</w:t>
      </w:r>
      <w:r w:rsidR="0020088B">
        <w:t xml:space="preserve"> </w:t>
      </w:r>
      <w:r w:rsidR="008411AF">
        <w:t>C</w:t>
      </w:r>
      <w:r>
        <w:t xml:space="preserve">are datasets </w:t>
      </w:r>
      <w:r w:rsidR="00530620" w:rsidRPr="00530620">
        <w:rPr>
          <w:szCs w:val="24"/>
        </w:rPr>
        <w:t>(AIHW 2021a)</w:t>
      </w:r>
      <w:r>
        <w:t>. These classifications tend to focus on resources (for example, beds) rather than on the purpose of the activity (for example, to prevent mental ill-health).</w:t>
      </w:r>
    </w:p>
    <w:p w14:paraId="5182AE29" w14:textId="046F3564" w:rsidR="00931D57" w:rsidRDefault="00931D57" w:rsidP="00931D57">
      <w:pPr>
        <w:pStyle w:val="ListBullet"/>
        <w:rPr>
          <w:bCs/>
        </w:rPr>
      </w:pPr>
      <w:r w:rsidRPr="000461A0">
        <w:rPr>
          <w:bCs/>
        </w:rPr>
        <w:t>The National Mental Health Service Planning Framework provides nationally consistent language to describe mental health services and considers the service functions required to meet the needs of people with mental illness, rather than the location, format or provider of that service</w:t>
      </w:r>
      <w:r>
        <w:rPr>
          <w:bCs/>
        </w:rPr>
        <w:t xml:space="preserve"> </w:t>
      </w:r>
      <w:r w:rsidR="00530620" w:rsidRPr="00530620">
        <w:rPr>
          <w:szCs w:val="24"/>
        </w:rPr>
        <w:t>(UQ 2019)</w:t>
      </w:r>
      <w:r w:rsidRPr="000461A0">
        <w:rPr>
          <w:bCs/>
        </w:rPr>
        <w:t xml:space="preserve">. However, the </w:t>
      </w:r>
      <w:r>
        <w:rPr>
          <w:bCs/>
        </w:rPr>
        <w:t>classification system</w:t>
      </w:r>
      <w:r w:rsidRPr="000461A0">
        <w:rPr>
          <w:bCs/>
        </w:rPr>
        <w:t xml:space="preserve"> </w:t>
      </w:r>
      <w:r>
        <w:rPr>
          <w:bCs/>
        </w:rPr>
        <w:t xml:space="preserve">does </w:t>
      </w:r>
      <w:r w:rsidRPr="000461A0">
        <w:rPr>
          <w:bCs/>
        </w:rPr>
        <w:t>not extend beyond the health sector.</w:t>
      </w:r>
    </w:p>
    <w:p w14:paraId="1D603077" w14:textId="76DBECF0" w:rsidR="00931D57" w:rsidRDefault="00931D57" w:rsidP="00931D57">
      <w:pPr>
        <w:pStyle w:val="ListBullet"/>
      </w:pPr>
      <w:r>
        <w:t xml:space="preserve">Each state and territory has their own data system to capture mental health service information. For example, Victoria has the </w:t>
      </w:r>
      <w:r w:rsidRPr="00D446F7">
        <w:rPr>
          <w:bCs/>
        </w:rPr>
        <w:t>Client Management Interface</w:t>
      </w:r>
      <w:r>
        <w:rPr>
          <w:bCs/>
        </w:rPr>
        <w:t>/</w:t>
      </w:r>
      <w:r w:rsidRPr="00D446F7">
        <w:rPr>
          <w:bCs/>
        </w:rPr>
        <w:t>Operational Data Store.</w:t>
      </w:r>
      <w:r>
        <w:rPr>
          <w:bCs/>
        </w:rPr>
        <w:t xml:space="preserve"> This system focuses on selected clinical client-level information including admissions, contacts, outcome</w:t>
      </w:r>
      <w:r w:rsidR="008459E3">
        <w:rPr>
          <w:bCs/>
        </w:rPr>
        <w:t>s</w:t>
      </w:r>
      <w:r>
        <w:rPr>
          <w:bCs/>
        </w:rPr>
        <w:t xml:space="preserve"> measurement and diagnosis </w:t>
      </w:r>
      <w:r w:rsidR="00E45E63" w:rsidRPr="00E45E63">
        <w:rPr>
          <w:szCs w:val="24"/>
        </w:rPr>
        <w:t>(Vic DHHS 2021)</w:t>
      </w:r>
      <w:r>
        <w:rPr>
          <w:szCs w:val="24"/>
        </w:rPr>
        <w:t xml:space="preserve">. </w:t>
      </w:r>
    </w:p>
    <w:p w14:paraId="0E300958" w14:textId="5CE2123C" w:rsidR="00931D57" w:rsidRPr="00260ACC" w:rsidRDefault="00931D57" w:rsidP="00931D57">
      <w:pPr>
        <w:spacing w:before="240" w:line="300" w:lineRule="atLeast"/>
        <w:jc w:val="both"/>
        <w:rPr>
          <w:spacing w:val="-2"/>
        </w:rPr>
      </w:pPr>
      <w:r w:rsidRPr="00260ACC">
        <w:rPr>
          <w:spacing w:val="-2"/>
        </w:rPr>
        <w:t xml:space="preserve">Given the breadth and nature of this stocktake exercise, existing approaches to reporting mental health programs and expenditures are not entirely fit for purpose. Instead, the </w:t>
      </w:r>
      <w:r w:rsidR="00565C44" w:rsidRPr="00260ACC">
        <w:rPr>
          <w:spacing w:val="-2"/>
        </w:rPr>
        <w:t xml:space="preserve">Productivity </w:t>
      </w:r>
      <w:r w:rsidRPr="00260ACC">
        <w:rPr>
          <w:spacing w:val="-2"/>
        </w:rPr>
        <w:t xml:space="preserve">Commission has developed and applied a program taxonomy based on the </w:t>
      </w:r>
      <w:r w:rsidRPr="00260ACC">
        <w:rPr>
          <w:i/>
          <w:spacing w:val="-2"/>
        </w:rPr>
        <w:t>type</w:t>
      </w:r>
      <w:r w:rsidRPr="00260ACC">
        <w:rPr>
          <w:spacing w:val="-2"/>
        </w:rPr>
        <w:t xml:space="preserve"> of service being provided (figure 1.1</w:t>
      </w:r>
      <w:r w:rsidR="003979FE" w:rsidRPr="00260ACC">
        <w:rPr>
          <w:spacing w:val="-2"/>
        </w:rPr>
        <w:t xml:space="preserve"> and table 1.1</w:t>
      </w:r>
      <w:r w:rsidRPr="00260ACC">
        <w:rPr>
          <w:spacing w:val="-2"/>
        </w:rPr>
        <w:t xml:space="preserve">). While all jurisdictions configure and manage mental health and suicide prevention </w:t>
      </w:r>
      <w:r w:rsidR="00E80866" w:rsidRPr="00260ACC">
        <w:rPr>
          <w:spacing w:val="-2"/>
        </w:rPr>
        <w:t xml:space="preserve">programs </w:t>
      </w:r>
      <w:r w:rsidRPr="00260ACC">
        <w:rPr>
          <w:spacing w:val="-2"/>
        </w:rPr>
        <w:t>in different ways, a consistent taxonomy is required to better understand how — and for what purpose — funding is allocated.</w:t>
      </w:r>
    </w:p>
    <w:p w14:paraId="63E32CB7" w14:textId="563FAFE9" w:rsidR="00931D57" w:rsidRDefault="00931D57" w:rsidP="00931D5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6CC70C26" w14:textId="77777777" w:rsidTr="00721FBA">
        <w:trPr>
          <w:tblHeader/>
        </w:trPr>
        <w:tc>
          <w:tcPr>
            <w:tcW w:w="5000" w:type="pct"/>
            <w:tcBorders>
              <w:top w:val="single" w:sz="6" w:space="0" w:color="78A22F" w:themeColor="accent1"/>
              <w:left w:val="nil"/>
              <w:bottom w:val="nil"/>
              <w:right w:val="nil"/>
            </w:tcBorders>
            <w:shd w:val="clear" w:color="auto" w:fill="auto"/>
          </w:tcPr>
          <w:p w14:paraId="1D3747B7" w14:textId="351D15BA" w:rsidR="00931D57" w:rsidRPr="00176D3F" w:rsidRDefault="00931D57" w:rsidP="00721FBA">
            <w:pPr>
              <w:pStyle w:val="FigureTitle"/>
            </w:pPr>
            <w:r w:rsidRPr="00784A05">
              <w:rPr>
                <w:b w:val="0"/>
              </w:rPr>
              <w:t xml:space="preserve">Figure </w:t>
            </w:r>
            <w:bookmarkStart w:id="4" w:name="OLE_LINK1"/>
            <w:r>
              <w:rPr>
                <w:b w:val="0"/>
              </w:rPr>
              <w:t>1.</w:t>
            </w:r>
            <w:r w:rsidR="00D35D48">
              <w:rPr>
                <w:b w:val="0"/>
                <w:noProof/>
              </w:rPr>
              <w:t>1</w:t>
            </w:r>
            <w:bookmarkEnd w:id="4"/>
            <w:r>
              <w:tab/>
            </w:r>
            <w:r w:rsidR="00C14EA7">
              <w:t>T</w:t>
            </w:r>
            <w:r>
              <w:t xml:space="preserve">axonomy of </w:t>
            </w:r>
            <w:r w:rsidR="00C14EA7">
              <w:t xml:space="preserve">mental health and suicide prevention </w:t>
            </w:r>
            <w:r>
              <w:t>programs</w:t>
            </w:r>
          </w:p>
        </w:tc>
      </w:tr>
      <w:tr w:rsidR="00931D57" w14:paraId="2EFDCE14" w14:textId="77777777" w:rsidTr="00721FB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31D57" w:rsidRPr="00B1465D" w14:paraId="031E25E1" w14:textId="77777777" w:rsidTr="00721FBA">
              <w:trPr>
                <w:tblHeader/>
                <w:jc w:val="center"/>
              </w:trPr>
              <w:tc>
                <w:tcPr>
                  <w:tcW w:w="5000" w:type="pct"/>
                  <w:tcBorders>
                    <w:top w:val="nil"/>
                    <w:bottom w:val="nil"/>
                  </w:tcBorders>
                </w:tcPr>
                <w:p w14:paraId="2B29F163" w14:textId="77777777" w:rsidR="00931D57" w:rsidRPr="00B1465D" w:rsidRDefault="00931D57" w:rsidP="00721FBA">
                  <w:pPr>
                    <w:pStyle w:val="Figure"/>
                    <w:spacing w:before="60" w:after="60"/>
                    <w:rPr>
                      <w:rFonts w:ascii="Arial" w:hAnsi="Arial" w:cs="Arial"/>
                      <w:sz w:val="18"/>
                      <w:szCs w:val="18"/>
                    </w:rPr>
                  </w:pPr>
                  <w:r w:rsidRPr="00372E89">
                    <w:rPr>
                      <w:noProof/>
                    </w:rPr>
                    <w:drawing>
                      <wp:inline distT="0" distB="0" distL="0" distR="0" wp14:anchorId="15312D44" wp14:editId="4CF54CB0">
                        <wp:extent cx="3771900" cy="3718560"/>
                        <wp:effectExtent l="0" t="0" r="0" b="0"/>
                        <wp:docPr id="1" name="Picture 1" descr="Figure 1.1 This is a diagram of the scope and taxonomy of services and programs used in this stocktake, in the form of a circle divided into eight segments. The outer circle is the overall mental health system. The eight segments are: prevention and promotion, suicide prevention, early intervention, support for families and carers, primary mental health care, specialist mental health services, acute care, and psychosocial sup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1 This is a diagram of the scope and taxonomy of services and programs used in this stocktake, in the form of a circle divided into eight segments. The outer circle is the overall mental health system. The eight segments are: prevention and promotion, suicide prevention, early intervention, support for families and carers, primary mental health care, specialist mental health services, acute care, and psychosocial support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0129" r="13005"/>
                                <a:stretch/>
                              </pic:blipFill>
                              <pic:spPr bwMode="auto">
                                <a:xfrm>
                                  <a:off x="0" y="0"/>
                                  <a:ext cx="3771900" cy="371856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69FE415" w14:textId="77777777" w:rsidR="00931D57" w:rsidRDefault="00931D57" w:rsidP="00721FBA">
            <w:pPr>
              <w:pStyle w:val="Figure"/>
            </w:pPr>
          </w:p>
        </w:tc>
      </w:tr>
      <w:tr w:rsidR="00931D57" w14:paraId="1FEAD75A" w14:textId="77777777" w:rsidTr="00721FBA">
        <w:tc>
          <w:tcPr>
            <w:tcW w:w="5000" w:type="pct"/>
            <w:tcBorders>
              <w:top w:val="nil"/>
              <w:left w:val="nil"/>
              <w:bottom w:val="single" w:sz="6" w:space="0" w:color="78A22F" w:themeColor="accent1"/>
              <w:right w:val="nil"/>
            </w:tcBorders>
            <w:shd w:val="clear" w:color="auto" w:fill="auto"/>
          </w:tcPr>
          <w:p w14:paraId="4B3A8AC7" w14:textId="77777777" w:rsidR="00931D57" w:rsidRDefault="00931D57" w:rsidP="00721FBA">
            <w:pPr>
              <w:pStyle w:val="Figurespace"/>
            </w:pPr>
          </w:p>
        </w:tc>
      </w:tr>
      <w:tr w:rsidR="00931D57" w:rsidRPr="000863A5" w14:paraId="3092601F" w14:textId="77777777" w:rsidTr="00721FBA">
        <w:tc>
          <w:tcPr>
            <w:tcW w:w="5000" w:type="pct"/>
            <w:tcBorders>
              <w:top w:val="single" w:sz="6" w:space="0" w:color="78A22F" w:themeColor="accent1"/>
              <w:left w:val="nil"/>
              <w:bottom w:val="nil"/>
              <w:right w:val="nil"/>
            </w:tcBorders>
          </w:tcPr>
          <w:p w14:paraId="0F54501F" w14:textId="644C4FFD" w:rsidR="00931D57" w:rsidRPr="00626D32" w:rsidRDefault="00931D57" w:rsidP="00721FBA">
            <w:pPr>
              <w:pStyle w:val="BoxSpaceBelow"/>
            </w:pPr>
          </w:p>
        </w:tc>
      </w:tr>
    </w:tbl>
    <w:p w14:paraId="3309656E" w14:textId="36B47D1D" w:rsidR="00931D57" w:rsidRDefault="00931D57" w:rsidP="00931D57">
      <w:pPr>
        <w:pStyle w:val="BodyText"/>
      </w:pPr>
      <w:r>
        <w:t xml:space="preserve">It should be noted that in some instances, the categories in the </w:t>
      </w:r>
      <w:r w:rsidR="00E523F2" w:rsidRPr="0089782E">
        <w:t xml:space="preserve">Productivity </w:t>
      </w:r>
      <w:r>
        <w:t xml:space="preserve">Commission’s taxonomy are somewhat different to similarly worded definitions used in other contexts or by other organisations. </w:t>
      </w:r>
      <w:r w:rsidRPr="00C36862">
        <w:t xml:space="preserve">For example, </w:t>
      </w:r>
      <w:r>
        <w:t>the stocktake captures expenditure on acute hospital beds in ‘specialis</w:t>
      </w:r>
      <w:r w:rsidR="00380053">
        <w:t>t</w:t>
      </w:r>
      <w:r>
        <w:t xml:space="preserve"> mental health services’, not in ‘acute care’</w:t>
      </w:r>
      <w:r w:rsidRPr="00C36862">
        <w:t xml:space="preserve">. </w:t>
      </w:r>
      <w:r>
        <w:t xml:space="preserve">Where this has resulted in inconsistencies in the data </w:t>
      </w:r>
      <w:r w:rsidR="00885DFC">
        <w:t>reported</w:t>
      </w:r>
      <w:r>
        <w:t xml:space="preserve"> by jurisdictions, the Commission has re-categorised </w:t>
      </w:r>
      <w:r w:rsidR="003F5935">
        <w:t xml:space="preserve">program </w:t>
      </w:r>
      <w:r>
        <w:t xml:space="preserve">expenditures according to the taxonomy as part of the </w:t>
      </w:r>
      <w:proofErr w:type="spellStart"/>
      <w:r>
        <w:t>stocktake’s</w:t>
      </w:r>
      <w:proofErr w:type="spellEnd"/>
      <w:r>
        <w:t xml:space="preserve"> data processing stage</w:t>
      </w:r>
      <w:r w:rsidR="00CD1A26">
        <w:t xml:space="preserve"> (if </w:t>
      </w:r>
      <w:proofErr w:type="gramStart"/>
      <w:r w:rsidR="00CD1A26">
        <w:t>possible</w:t>
      </w:r>
      <w:proofErr w:type="gramEnd"/>
      <w:r w:rsidR="00CD1A26">
        <w:t xml:space="preserve"> based on the information provided)</w:t>
      </w:r>
      <w:r>
        <w:t>.</w:t>
      </w:r>
    </w:p>
    <w:p w14:paraId="7696C29C" w14:textId="5EA58EA6" w:rsidR="005F1360" w:rsidRDefault="005F1360" w:rsidP="005F136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F1360" w14:paraId="55A9656F" w14:textId="77777777" w:rsidTr="00547E2E">
        <w:trPr>
          <w:tblHeader/>
        </w:trPr>
        <w:tc>
          <w:tcPr>
            <w:tcW w:w="5000" w:type="pct"/>
            <w:tcBorders>
              <w:top w:val="single" w:sz="6" w:space="0" w:color="78A22F"/>
              <w:left w:val="nil"/>
              <w:bottom w:val="nil"/>
              <w:right w:val="nil"/>
            </w:tcBorders>
            <w:shd w:val="clear" w:color="auto" w:fill="auto"/>
          </w:tcPr>
          <w:p w14:paraId="062F0A43" w14:textId="470F3054" w:rsidR="005F1360" w:rsidRPr="00784A05" w:rsidRDefault="005F1360" w:rsidP="0058225A">
            <w:pPr>
              <w:pStyle w:val="TableTitle"/>
            </w:pPr>
            <w:r>
              <w:rPr>
                <w:b w:val="0"/>
              </w:rPr>
              <w:t>Table 1.</w:t>
            </w:r>
            <w:r w:rsidR="00D35D48">
              <w:rPr>
                <w:b w:val="0"/>
                <w:noProof/>
              </w:rPr>
              <w:t>1</w:t>
            </w:r>
            <w:r>
              <w:tab/>
            </w:r>
            <w:r w:rsidR="006E74B1">
              <w:t>Summary of taxonomy categories and program examples</w:t>
            </w:r>
          </w:p>
        </w:tc>
      </w:tr>
      <w:tr w:rsidR="005F1360" w14:paraId="41395CEC" w14:textId="77777777" w:rsidTr="00547E2E">
        <w:tc>
          <w:tcPr>
            <w:tcW w:w="5000" w:type="pct"/>
            <w:tcBorders>
              <w:top w:val="nil"/>
              <w:left w:val="nil"/>
              <w:bottom w:val="nil"/>
              <w:right w:val="nil"/>
            </w:tcBorders>
            <w:shd w:val="clear" w:color="auto" w:fill="auto"/>
          </w:tcPr>
          <w:tbl>
            <w:tblPr>
              <w:tblW w:w="8652" w:type="dxa"/>
              <w:tblCellMar>
                <w:top w:w="28" w:type="dxa"/>
                <w:left w:w="0" w:type="dxa"/>
                <w:right w:w="0" w:type="dxa"/>
              </w:tblCellMar>
              <w:tblLook w:val="0000" w:firstRow="0" w:lastRow="0" w:firstColumn="0" w:lastColumn="0" w:noHBand="0" w:noVBand="0"/>
            </w:tblPr>
            <w:tblGrid>
              <w:gridCol w:w="4115"/>
              <w:gridCol w:w="4537"/>
            </w:tblGrid>
            <w:tr w:rsidR="005F1360" w14:paraId="11F5E1E5" w14:textId="77777777" w:rsidTr="00547E2E">
              <w:trPr>
                <w:tblHeader/>
              </w:trPr>
              <w:tc>
                <w:tcPr>
                  <w:tcW w:w="2378" w:type="pct"/>
                  <w:tcBorders>
                    <w:top w:val="single" w:sz="6" w:space="0" w:color="BFBFBF"/>
                    <w:bottom w:val="single" w:sz="6" w:space="0" w:color="BFBFBF"/>
                  </w:tcBorders>
                  <w:shd w:val="clear" w:color="auto" w:fill="auto"/>
                  <w:tcMar>
                    <w:top w:w="28" w:type="dxa"/>
                  </w:tcMar>
                </w:tcPr>
                <w:p w14:paraId="5EA53CE6" w14:textId="77777777" w:rsidR="005F1360" w:rsidRDefault="005F1360" w:rsidP="00547E2E">
                  <w:pPr>
                    <w:pStyle w:val="TableColumnHeading"/>
                    <w:jc w:val="left"/>
                  </w:pPr>
                  <w:r w:rsidRPr="00037824">
                    <w:t>Service category and taxonomy description</w:t>
                  </w:r>
                </w:p>
              </w:tc>
              <w:tc>
                <w:tcPr>
                  <w:tcW w:w="2622" w:type="pct"/>
                  <w:tcBorders>
                    <w:top w:val="single" w:sz="6" w:space="0" w:color="BFBFBF"/>
                    <w:bottom w:val="single" w:sz="6" w:space="0" w:color="BFBFBF"/>
                  </w:tcBorders>
                </w:tcPr>
                <w:p w14:paraId="041E1AC6" w14:textId="77777777" w:rsidR="005F1360" w:rsidRDefault="005F1360" w:rsidP="00547E2E">
                  <w:pPr>
                    <w:pStyle w:val="TableColumnHeading"/>
                    <w:jc w:val="left"/>
                  </w:pPr>
                  <w:r w:rsidRPr="00037824">
                    <w:t xml:space="preserve">Examples of programs and services </w:t>
                  </w:r>
                </w:p>
              </w:tc>
            </w:tr>
            <w:tr w:rsidR="005F1360" w14:paraId="047E31C9" w14:textId="77777777" w:rsidTr="00547E2E">
              <w:tc>
                <w:tcPr>
                  <w:tcW w:w="2378" w:type="pct"/>
                  <w:tcBorders>
                    <w:top w:val="single" w:sz="6" w:space="0" w:color="BFBFBF"/>
                    <w:bottom w:val="single" w:sz="6" w:space="0" w:color="BFBFBF"/>
                  </w:tcBorders>
                </w:tcPr>
                <w:p w14:paraId="20E7B801" w14:textId="4F156891" w:rsidR="005F1360" w:rsidRDefault="005F1360" w:rsidP="00547E2E">
                  <w:pPr>
                    <w:pStyle w:val="TableUnitsRow"/>
                    <w:jc w:val="left"/>
                  </w:pPr>
                  <w:r w:rsidRPr="00637741">
                    <w:rPr>
                      <w:i/>
                      <w:iCs/>
                    </w:rPr>
                    <w:t>Prevention and promotion</w:t>
                  </w:r>
                  <w:r>
                    <w:rPr>
                      <w:i/>
                      <w:iCs/>
                    </w:rPr>
                    <w:t xml:space="preserve"> </w:t>
                  </w:r>
                  <w:r w:rsidRPr="00A2384E">
                    <w:t>— p</w:t>
                  </w:r>
                  <w:r w:rsidRPr="00637741">
                    <w:t>revention occur</w:t>
                  </w:r>
                  <w:r w:rsidR="00C7400D">
                    <w:t>s</w:t>
                  </w:r>
                  <w:r w:rsidRPr="00637741">
                    <w:t xml:space="preserve"> before</w:t>
                  </w:r>
                  <w:r w:rsidRPr="00B0171B">
                    <w:t xml:space="preserve"> the initial onset of a condition to prevent its development (for example, to reduce risk factors)</w:t>
                  </w:r>
                  <w:r>
                    <w:t>; p</w:t>
                  </w:r>
                  <w:r w:rsidRPr="00B0171B">
                    <w:t xml:space="preserve">romotion is about increasing awareness and understanding of mental health issues. </w:t>
                  </w:r>
                </w:p>
              </w:tc>
              <w:tc>
                <w:tcPr>
                  <w:tcW w:w="2622" w:type="pct"/>
                  <w:tcBorders>
                    <w:top w:val="single" w:sz="6" w:space="0" w:color="BFBFBF"/>
                    <w:bottom w:val="single" w:sz="6" w:space="0" w:color="BFBFBF"/>
                  </w:tcBorders>
                </w:tcPr>
                <w:p w14:paraId="748ABF79" w14:textId="77777777" w:rsidR="005F1360" w:rsidRDefault="005F1360" w:rsidP="00547E2E">
                  <w:pPr>
                    <w:pStyle w:val="TableBullet"/>
                  </w:pPr>
                  <w:r w:rsidRPr="00637741">
                    <w:t>Programs that reduc</w:t>
                  </w:r>
                  <w:r>
                    <w:t>e</w:t>
                  </w:r>
                  <w:r w:rsidRPr="00637741">
                    <w:t xml:space="preserve"> discrimination and </w:t>
                  </w:r>
                  <w:proofErr w:type="gramStart"/>
                  <w:r w:rsidRPr="00637741">
                    <w:t>stigma</w:t>
                  </w:r>
                  <w:r>
                    <w:t>, or</w:t>
                  </w:r>
                  <w:proofErr w:type="gramEnd"/>
                  <w:r w:rsidRPr="00637741">
                    <w:t xml:space="preserve"> encourage help-seeking behaviour</w:t>
                  </w:r>
                  <w:r>
                    <w:t>.</w:t>
                  </w:r>
                </w:p>
                <w:p w14:paraId="09E07F3E" w14:textId="77777777" w:rsidR="005F1360" w:rsidRDefault="005F1360" w:rsidP="00547E2E">
                  <w:pPr>
                    <w:pStyle w:val="TableBullet"/>
                  </w:pPr>
                  <w:r>
                    <w:t xml:space="preserve">Providing </w:t>
                  </w:r>
                  <w:r w:rsidRPr="00637741">
                    <w:t>teachers, parents and carers the information, training and tools to understand mental ill</w:t>
                  </w:r>
                  <w:r>
                    <w:noBreakHyphen/>
                  </w:r>
                  <w:r w:rsidRPr="00637741">
                    <w:t>health and promote mental wellbeing</w:t>
                  </w:r>
                  <w:r>
                    <w:t>, such as school nurse and chaplaincy programs.</w:t>
                  </w:r>
                </w:p>
              </w:tc>
            </w:tr>
            <w:tr w:rsidR="005F1360" w14:paraId="77539238" w14:textId="77777777" w:rsidTr="00547E2E">
              <w:tc>
                <w:tcPr>
                  <w:tcW w:w="2378" w:type="pct"/>
                  <w:tcBorders>
                    <w:top w:val="single" w:sz="6" w:space="0" w:color="BFBFBF"/>
                    <w:bottom w:val="single" w:sz="6" w:space="0" w:color="BFBFBF"/>
                  </w:tcBorders>
                </w:tcPr>
                <w:p w14:paraId="7848B1B3" w14:textId="3E284F8C" w:rsidR="005F1360" w:rsidRDefault="005F1360" w:rsidP="00547E2E">
                  <w:pPr>
                    <w:pStyle w:val="TableUnitsRow"/>
                    <w:jc w:val="left"/>
                  </w:pPr>
                  <w:r w:rsidRPr="00637741">
                    <w:rPr>
                      <w:i/>
                      <w:iCs/>
                    </w:rPr>
                    <w:t>Suicide prevention</w:t>
                  </w:r>
                  <w:r w:rsidRPr="00B0171B">
                    <w:t xml:space="preserve"> —</w:t>
                  </w:r>
                  <w:r w:rsidR="007E21ED">
                    <w:t xml:space="preserve"> </w:t>
                  </w:r>
                  <w:r w:rsidRPr="00B0171B">
                    <w:t>interrupt</w:t>
                  </w:r>
                  <w:r w:rsidR="007E21ED">
                    <w:t>ing</w:t>
                  </w:r>
                  <w:r w:rsidRPr="00B0171B">
                    <w:t xml:space="preserve"> an individual’s movement towards suicide and to reduce suicidal thoughts, plans, attempts and deaths.</w:t>
                  </w:r>
                </w:p>
              </w:tc>
              <w:tc>
                <w:tcPr>
                  <w:tcW w:w="2622" w:type="pct"/>
                  <w:tcBorders>
                    <w:top w:val="single" w:sz="6" w:space="0" w:color="BFBFBF"/>
                    <w:bottom w:val="single" w:sz="6" w:space="0" w:color="BFBFBF"/>
                  </w:tcBorders>
                </w:tcPr>
                <w:p w14:paraId="17D61D63" w14:textId="77777777" w:rsidR="005F1360" w:rsidRDefault="005F1360" w:rsidP="00547E2E">
                  <w:pPr>
                    <w:pStyle w:val="TableBullet"/>
                  </w:pPr>
                  <w:r>
                    <w:t>T</w:t>
                  </w:r>
                  <w:r w:rsidRPr="00637741">
                    <w:t>elephone support, counselling and referral services</w:t>
                  </w:r>
                  <w:r>
                    <w:t>.</w:t>
                  </w:r>
                </w:p>
                <w:p w14:paraId="0C320E19" w14:textId="77777777" w:rsidR="005F1360" w:rsidRDefault="005F1360" w:rsidP="00547E2E">
                  <w:pPr>
                    <w:pStyle w:val="TableBullet"/>
                  </w:pPr>
                  <w:r>
                    <w:t>A</w:t>
                  </w:r>
                  <w:r w:rsidRPr="00637741">
                    <w:t>ftercare and follow-up services for those who have attempted suicide (to prevent further attempts)</w:t>
                  </w:r>
                  <w:r>
                    <w:t>.</w:t>
                  </w:r>
                </w:p>
              </w:tc>
            </w:tr>
            <w:tr w:rsidR="005F1360" w14:paraId="2E2B4516" w14:textId="77777777" w:rsidTr="00547E2E">
              <w:tc>
                <w:tcPr>
                  <w:tcW w:w="2378" w:type="pct"/>
                  <w:tcBorders>
                    <w:top w:val="single" w:sz="6" w:space="0" w:color="BFBFBF"/>
                    <w:bottom w:val="single" w:sz="6" w:space="0" w:color="BFBFBF"/>
                  </w:tcBorders>
                </w:tcPr>
                <w:p w14:paraId="5C1D76F0" w14:textId="77777777" w:rsidR="005F1360" w:rsidRPr="006837A3" w:rsidRDefault="005F1360" w:rsidP="00547E2E">
                  <w:pPr>
                    <w:pStyle w:val="TableBodyText"/>
                    <w:jc w:val="left"/>
                  </w:pPr>
                  <w:r w:rsidRPr="006837A3">
                    <w:rPr>
                      <w:i/>
                      <w:iCs/>
                    </w:rPr>
                    <w:t>Early intervention</w:t>
                  </w:r>
                  <w:r w:rsidRPr="006837A3">
                    <w:t xml:space="preserve"> — preventing the early signs and symptoms of a mental health condition from escalating to a diagnosable condition, including treatment and support that is offered early in life, early in illness and early in episode.</w:t>
                  </w:r>
                </w:p>
              </w:tc>
              <w:tc>
                <w:tcPr>
                  <w:tcW w:w="2622" w:type="pct"/>
                  <w:tcBorders>
                    <w:top w:val="single" w:sz="6" w:space="0" w:color="BFBFBF"/>
                    <w:bottom w:val="single" w:sz="6" w:space="0" w:color="BFBFBF"/>
                  </w:tcBorders>
                </w:tcPr>
                <w:p w14:paraId="7168B41E" w14:textId="77777777" w:rsidR="005F1360" w:rsidRPr="006837A3" w:rsidRDefault="005F1360" w:rsidP="00547E2E">
                  <w:pPr>
                    <w:pStyle w:val="TableBullet"/>
                  </w:pPr>
                  <w:r w:rsidRPr="006837A3">
                    <w:t>Programs targeted to people showing early signs of mental ill</w:t>
                  </w:r>
                  <w:r w:rsidRPr="006837A3">
                    <w:noBreakHyphen/>
                    <w:t>health, such as employee assistance programs.</w:t>
                  </w:r>
                </w:p>
                <w:p w14:paraId="58D2E86B" w14:textId="77777777" w:rsidR="005F1360" w:rsidRPr="006837A3" w:rsidRDefault="005F1360" w:rsidP="00547E2E">
                  <w:pPr>
                    <w:pStyle w:val="TableBullet"/>
                  </w:pPr>
                  <w:r w:rsidRPr="006837A3">
                    <w:t>Programs targeted to people who have recently experienced a crisis, such as incident response programs including peer support.</w:t>
                  </w:r>
                </w:p>
              </w:tc>
            </w:tr>
            <w:tr w:rsidR="005F1360" w14:paraId="3B538887" w14:textId="77777777" w:rsidTr="00547E2E">
              <w:tc>
                <w:tcPr>
                  <w:tcW w:w="2378" w:type="pct"/>
                  <w:tcBorders>
                    <w:top w:val="single" w:sz="6" w:space="0" w:color="BFBFBF"/>
                    <w:bottom w:val="single" w:sz="6" w:space="0" w:color="BFBFBF"/>
                  </w:tcBorders>
                  <w:shd w:val="clear" w:color="auto" w:fill="auto"/>
                </w:tcPr>
                <w:p w14:paraId="4D062C44" w14:textId="77777777" w:rsidR="005F1360" w:rsidRPr="006837A3" w:rsidRDefault="005F1360" w:rsidP="00547E2E">
                  <w:pPr>
                    <w:pStyle w:val="TableBodyText"/>
                    <w:jc w:val="left"/>
                  </w:pPr>
                  <w:r w:rsidRPr="006837A3">
                    <w:rPr>
                      <w:i/>
                      <w:iCs/>
                    </w:rPr>
                    <w:t>Support for families and carers</w:t>
                  </w:r>
                  <w:r w:rsidRPr="006837A3">
                    <w:t xml:space="preserve"> — </w:t>
                  </w:r>
                  <w:r>
                    <w:t>improving</w:t>
                  </w:r>
                  <w:r w:rsidRPr="006837A3">
                    <w:t xml:space="preserve"> the wellbeing of families and those caring for people with mental illness.</w:t>
                  </w:r>
                </w:p>
              </w:tc>
              <w:tc>
                <w:tcPr>
                  <w:tcW w:w="2622" w:type="pct"/>
                  <w:tcBorders>
                    <w:top w:val="single" w:sz="6" w:space="0" w:color="BFBFBF"/>
                    <w:bottom w:val="single" w:sz="6" w:space="0" w:color="BFBFBF"/>
                  </w:tcBorders>
                </w:tcPr>
                <w:p w14:paraId="00DD0D4A" w14:textId="77777777" w:rsidR="005F1360" w:rsidRPr="006837A3" w:rsidRDefault="005F1360" w:rsidP="00547E2E">
                  <w:pPr>
                    <w:pStyle w:val="TableBullet"/>
                  </w:pPr>
                  <w:r>
                    <w:t>T</w:t>
                  </w:r>
                  <w:r w:rsidRPr="006837A3">
                    <w:t>rauma care services</w:t>
                  </w:r>
                  <w:r>
                    <w:t xml:space="preserve"> and other integrated supports, </w:t>
                  </w:r>
                  <w:r w:rsidRPr="006837A3">
                    <w:t xml:space="preserve">including </w:t>
                  </w:r>
                  <w:r>
                    <w:t xml:space="preserve">programs </w:t>
                  </w:r>
                  <w:r w:rsidRPr="006837A3">
                    <w:t>for first responders and emergency services.</w:t>
                  </w:r>
                </w:p>
              </w:tc>
            </w:tr>
            <w:tr w:rsidR="005F1360" w14:paraId="144BE68B" w14:textId="77777777" w:rsidTr="00547E2E">
              <w:tc>
                <w:tcPr>
                  <w:tcW w:w="2378" w:type="pct"/>
                  <w:tcBorders>
                    <w:top w:val="single" w:sz="6" w:space="0" w:color="BFBFBF"/>
                    <w:bottom w:val="single" w:sz="6" w:space="0" w:color="BFBFBF"/>
                  </w:tcBorders>
                  <w:shd w:val="clear" w:color="auto" w:fill="auto"/>
                </w:tcPr>
                <w:p w14:paraId="0EA9892D" w14:textId="77777777" w:rsidR="005F1360" w:rsidRPr="006837A3" w:rsidRDefault="005F1360" w:rsidP="00547E2E">
                  <w:pPr>
                    <w:pStyle w:val="TableBodyText"/>
                    <w:jc w:val="left"/>
                  </w:pPr>
                  <w:r w:rsidRPr="006837A3">
                    <w:rPr>
                      <w:i/>
                      <w:iCs/>
                    </w:rPr>
                    <w:t>Primary mental health care</w:t>
                  </w:r>
                  <w:r w:rsidRPr="006837A3">
                    <w:t xml:space="preserve"> — the diagnosis and treatment of individuals with mild and moderate mental illnesses; often the first touchpoint with mental health</w:t>
                  </w:r>
                  <w:r>
                    <w:noBreakHyphen/>
                  </w:r>
                  <w:r w:rsidRPr="006837A3">
                    <w:t>related practitioners in the system.</w:t>
                  </w:r>
                </w:p>
              </w:tc>
              <w:tc>
                <w:tcPr>
                  <w:tcW w:w="2622" w:type="pct"/>
                  <w:tcBorders>
                    <w:top w:val="single" w:sz="6" w:space="0" w:color="BFBFBF"/>
                    <w:bottom w:val="single" w:sz="6" w:space="0" w:color="BFBFBF"/>
                  </w:tcBorders>
                </w:tcPr>
                <w:p w14:paraId="19003208" w14:textId="77777777" w:rsidR="005F1360" w:rsidRPr="006837A3" w:rsidRDefault="005F1360" w:rsidP="00547E2E">
                  <w:pPr>
                    <w:pStyle w:val="TableBullet"/>
                  </w:pPr>
                  <w:r w:rsidRPr="006837A3">
                    <w:t>A range of front-line health services, including the prescription of medication and services delivered by general practitioners.</w:t>
                  </w:r>
                </w:p>
                <w:p w14:paraId="378C169A" w14:textId="77777777" w:rsidR="005F1360" w:rsidRPr="006837A3" w:rsidRDefault="005F1360" w:rsidP="00547E2E">
                  <w:pPr>
                    <w:pStyle w:val="TableBullet"/>
                  </w:pPr>
                  <w:r w:rsidRPr="006837A3">
                    <w:t>Diagnosis and treatment delivered in a community setting, and in settings such as schools, prisons and youth justice centres (such as psychologists in schools).</w:t>
                  </w:r>
                </w:p>
              </w:tc>
            </w:tr>
            <w:tr w:rsidR="005F1360" w14:paraId="23D2C8F8" w14:textId="77777777" w:rsidTr="00547E2E">
              <w:tc>
                <w:tcPr>
                  <w:tcW w:w="2378" w:type="pct"/>
                  <w:tcBorders>
                    <w:top w:val="single" w:sz="6" w:space="0" w:color="BFBFBF"/>
                    <w:bottom w:val="single" w:sz="6" w:space="0" w:color="BFBFBF"/>
                  </w:tcBorders>
                  <w:shd w:val="clear" w:color="auto" w:fill="auto"/>
                </w:tcPr>
                <w:p w14:paraId="3ED818BF" w14:textId="77777777" w:rsidR="005F1360" w:rsidRPr="006837A3" w:rsidRDefault="005F1360" w:rsidP="00547E2E">
                  <w:pPr>
                    <w:pStyle w:val="TableBodyText"/>
                    <w:jc w:val="left"/>
                  </w:pPr>
                  <w:r w:rsidRPr="006837A3">
                    <w:rPr>
                      <w:i/>
                      <w:iCs/>
                    </w:rPr>
                    <w:t>Specialist mental health services</w:t>
                  </w:r>
                  <w:r w:rsidRPr="006837A3">
                    <w:t xml:space="preserve"> — providing treatment, rehabilitation or community health support targeted towards people with a mental disorder or psychiatric disability. </w:t>
                  </w:r>
                </w:p>
              </w:tc>
              <w:tc>
                <w:tcPr>
                  <w:tcW w:w="2622" w:type="pct"/>
                  <w:tcBorders>
                    <w:top w:val="single" w:sz="6" w:space="0" w:color="BFBFBF"/>
                    <w:bottom w:val="single" w:sz="6" w:space="0" w:color="BFBFBF"/>
                  </w:tcBorders>
                </w:tcPr>
                <w:p w14:paraId="033A1E59" w14:textId="77777777" w:rsidR="005F1360" w:rsidRPr="006837A3" w:rsidRDefault="005F1360" w:rsidP="00547E2E">
                  <w:pPr>
                    <w:pStyle w:val="TableBullet"/>
                  </w:pPr>
                  <w:r w:rsidRPr="006837A3">
                    <w:t>Admitted patient care in public hospitals relating to mental illnesses.</w:t>
                  </w:r>
                </w:p>
                <w:p w14:paraId="67AAF055" w14:textId="77777777" w:rsidR="005F1360" w:rsidRPr="006837A3" w:rsidRDefault="005F1360" w:rsidP="00547E2E">
                  <w:pPr>
                    <w:pStyle w:val="TableBullet"/>
                  </w:pPr>
                  <w:r w:rsidRPr="006837A3">
                    <w:t>Community-based public mental health care services, including those provided by hospital based ambulatory care services, outpatient clinics, outreach services into homes and aged care facilities.</w:t>
                  </w:r>
                </w:p>
              </w:tc>
            </w:tr>
            <w:tr w:rsidR="005F1360" w14:paraId="3F953FB6" w14:textId="77777777" w:rsidTr="00547E2E">
              <w:tc>
                <w:tcPr>
                  <w:tcW w:w="2378" w:type="pct"/>
                  <w:tcBorders>
                    <w:top w:val="single" w:sz="6" w:space="0" w:color="BFBFBF"/>
                    <w:bottom w:val="single" w:sz="6" w:space="0" w:color="BFBFBF"/>
                  </w:tcBorders>
                  <w:shd w:val="clear" w:color="auto" w:fill="auto"/>
                </w:tcPr>
                <w:p w14:paraId="6874A5A3" w14:textId="77777777" w:rsidR="005F1360" w:rsidRPr="006837A3" w:rsidRDefault="005F1360" w:rsidP="00547E2E">
                  <w:pPr>
                    <w:pStyle w:val="TableBodyText"/>
                    <w:jc w:val="left"/>
                  </w:pPr>
                  <w:r w:rsidRPr="006837A3">
                    <w:rPr>
                      <w:i/>
                      <w:iCs/>
                    </w:rPr>
                    <w:t>Acute care</w:t>
                  </w:r>
                  <w:r w:rsidRPr="006837A3">
                    <w:t xml:space="preserve"> — immediate care for people experiencing acute mental illness or a crisis.</w:t>
                  </w:r>
                </w:p>
              </w:tc>
              <w:tc>
                <w:tcPr>
                  <w:tcW w:w="2622" w:type="pct"/>
                  <w:tcBorders>
                    <w:top w:val="single" w:sz="6" w:space="0" w:color="BFBFBF"/>
                    <w:bottom w:val="single" w:sz="6" w:space="0" w:color="BFBFBF"/>
                  </w:tcBorders>
                </w:tcPr>
                <w:p w14:paraId="5E034C5C" w14:textId="77777777" w:rsidR="005F1360" w:rsidRPr="006837A3" w:rsidRDefault="005F1360" w:rsidP="00547E2E">
                  <w:pPr>
                    <w:pStyle w:val="TableBullet"/>
                  </w:pPr>
                  <w:r w:rsidRPr="006837A3">
                    <w:t>Ambulance (first responder) services, emergency departments and joined-up mental health responses with police and ambulance.</w:t>
                  </w:r>
                </w:p>
              </w:tc>
            </w:tr>
            <w:tr w:rsidR="005F1360" w14:paraId="0F45F59D" w14:textId="77777777" w:rsidTr="00547E2E">
              <w:tc>
                <w:tcPr>
                  <w:tcW w:w="2378" w:type="pct"/>
                  <w:tcBorders>
                    <w:top w:val="single" w:sz="6" w:space="0" w:color="BFBFBF"/>
                    <w:bottom w:val="single" w:sz="6" w:space="0" w:color="BFBFBF"/>
                  </w:tcBorders>
                  <w:shd w:val="clear" w:color="auto" w:fill="auto"/>
                </w:tcPr>
                <w:p w14:paraId="5BB9FE3C" w14:textId="77777777" w:rsidR="005F1360" w:rsidRPr="006837A3" w:rsidRDefault="005F1360" w:rsidP="00547E2E">
                  <w:pPr>
                    <w:pStyle w:val="TableBodyText"/>
                    <w:jc w:val="left"/>
                  </w:pPr>
                  <w:r w:rsidRPr="006837A3">
                    <w:rPr>
                      <w:i/>
                      <w:iCs/>
                    </w:rPr>
                    <w:t>Psychosocial supports</w:t>
                  </w:r>
                  <w:r w:rsidRPr="006837A3">
                    <w:t xml:space="preserve"> — non-clinical supports that help people experiencing mental ill</w:t>
                  </w:r>
                  <w:r w:rsidRPr="006837A3">
                    <w:noBreakHyphen/>
                    <w:t>health or recovering from mental illness to build skills to manage their condition.</w:t>
                  </w:r>
                </w:p>
              </w:tc>
              <w:tc>
                <w:tcPr>
                  <w:tcW w:w="2622" w:type="pct"/>
                  <w:tcBorders>
                    <w:top w:val="single" w:sz="6" w:space="0" w:color="BFBFBF"/>
                    <w:bottom w:val="single" w:sz="6" w:space="0" w:color="BFBFBF"/>
                  </w:tcBorders>
                </w:tcPr>
                <w:p w14:paraId="095B2AD4" w14:textId="77777777" w:rsidR="005F1360" w:rsidRPr="006837A3" w:rsidRDefault="005F1360" w:rsidP="00547E2E">
                  <w:pPr>
                    <w:pStyle w:val="TableBullet"/>
                  </w:pPr>
                  <w:r w:rsidRPr="006837A3">
                    <w:t>Non-clinical programs to promote social and economic participation in the community, including rehabilitation programs, home-based services and supported accommodation.</w:t>
                  </w:r>
                </w:p>
                <w:p w14:paraId="0986B121" w14:textId="77777777" w:rsidR="005F1360" w:rsidRPr="006837A3" w:rsidRDefault="005F1360" w:rsidP="00547E2E">
                  <w:pPr>
                    <w:pStyle w:val="TableBullet"/>
                  </w:pPr>
                  <w:r w:rsidRPr="006837A3">
                    <w:t>Includes the National Disability Insurance Scheme (NDIS) and other Australian, State and Territory Government programs targeted at people who are ineligible for the NDIS.</w:t>
                  </w:r>
                </w:p>
              </w:tc>
            </w:tr>
            <w:tr w:rsidR="005F1360" w14:paraId="7BE2EC5A" w14:textId="77777777" w:rsidTr="00EB22EF">
              <w:tc>
                <w:tcPr>
                  <w:tcW w:w="2378" w:type="pct"/>
                  <w:tcBorders>
                    <w:top w:val="single" w:sz="6" w:space="0" w:color="BFBFBF"/>
                  </w:tcBorders>
                  <w:shd w:val="clear" w:color="auto" w:fill="auto"/>
                </w:tcPr>
                <w:p w14:paraId="09EC4B79" w14:textId="77777777" w:rsidR="005F1360" w:rsidRDefault="005F1360" w:rsidP="00547E2E">
                  <w:pPr>
                    <w:pStyle w:val="TableBodyText"/>
                    <w:jc w:val="left"/>
                  </w:pPr>
                  <w:r w:rsidRPr="000D0640">
                    <w:rPr>
                      <w:i/>
                      <w:iCs/>
                    </w:rPr>
                    <w:t>Overall mental health system</w:t>
                  </w:r>
                  <w:r w:rsidRPr="00B0171B">
                    <w:t xml:space="preserve"> — broader system activities</w:t>
                  </w:r>
                  <w:r>
                    <w:t>;</w:t>
                  </w:r>
                  <w:r w:rsidRPr="00B0171B">
                    <w:t xml:space="preserve"> </w:t>
                  </w:r>
                  <w:r>
                    <w:t>w</w:t>
                  </w:r>
                  <w:r w:rsidRPr="00B0171B">
                    <w:t>here any of these activities were focused primarily on one of the above categories of mental health or suicide prevention services, the activity was allocated to that specific category.</w:t>
                  </w:r>
                </w:p>
              </w:tc>
              <w:tc>
                <w:tcPr>
                  <w:tcW w:w="2622" w:type="pct"/>
                  <w:tcBorders>
                    <w:top w:val="single" w:sz="6" w:space="0" w:color="BFBFBF"/>
                  </w:tcBorders>
                </w:tcPr>
                <w:p w14:paraId="491826B7" w14:textId="77777777" w:rsidR="005F1360" w:rsidRDefault="005F1360" w:rsidP="00547E2E">
                  <w:pPr>
                    <w:pStyle w:val="TableBullet"/>
                  </w:pPr>
                  <w:r>
                    <w:t>C</w:t>
                  </w:r>
                  <w:r w:rsidRPr="00174AE7">
                    <w:t>oordination</w:t>
                  </w:r>
                  <w:r>
                    <w:t>.</w:t>
                  </w:r>
                </w:p>
                <w:p w14:paraId="3E921871" w14:textId="77777777" w:rsidR="005F1360" w:rsidRDefault="005F1360" w:rsidP="00547E2E">
                  <w:pPr>
                    <w:pStyle w:val="TableBullet"/>
                  </w:pPr>
                  <w:r>
                    <w:t>I</w:t>
                  </w:r>
                  <w:r w:rsidRPr="00174AE7">
                    <w:t>nfrastructure</w:t>
                  </w:r>
                  <w:r>
                    <w:t xml:space="preserve"> investment.</w:t>
                  </w:r>
                </w:p>
                <w:p w14:paraId="05C0785A" w14:textId="77777777" w:rsidR="005F1360" w:rsidRDefault="005F1360" w:rsidP="00547E2E">
                  <w:pPr>
                    <w:pStyle w:val="TableBullet"/>
                  </w:pPr>
                  <w:r>
                    <w:t>W</w:t>
                  </w:r>
                  <w:r w:rsidRPr="00174AE7">
                    <w:t>orkforce development</w:t>
                  </w:r>
                  <w:r>
                    <w:t>.</w:t>
                  </w:r>
                </w:p>
                <w:p w14:paraId="43D5CB3E" w14:textId="77777777" w:rsidR="005F1360" w:rsidRDefault="005F1360" w:rsidP="00547E2E">
                  <w:pPr>
                    <w:pStyle w:val="TableBullet"/>
                  </w:pPr>
                  <w:r>
                    <w:t>R</w:t>
                  </w:r>
                  <w:r w:rsidRPr="00174AE7">
                    <w:t>esearch</w:t>
                  </w:r>
                  <w:r>
                    <w:t>.</w:t>
                  </w:r>
                </w:p>
              </w:tc>
            </w:tr>
          </w:tbl>
          <w:p w14:paraId="4B9228F0" w14:textId="77777777" w:rsidR="005F1360" w:rsidRDefault="005F1360" w:rsidP="00547E2E">
            <w:pPr>
              <w:pStyle w:val="Box"/>
            </w:pPr>
          </w:p>
        </w:tc>
      </w:tr>
      <w:tr w:rsidR="005F1360" w14:paraId="581C20AF" w14:textId="77777777" w:rsidTr="00547E2E">
        <w:tc>
          <w:tcPr>
            <w:tcW w:w="5000" w:type="pct"/>
            <w:tcBorders>
              <w:top w:val="nil"/>
              <w:left w:val="nil"/>
              <w:bottom w:val="single" w:sz="6" w:space="0" w:color="78A22F"/>
              <w:right w:val="nil"/>
            </w:tcBorders>
            <w:shd w:val="clear" w:color="auto" w:fill="auto"/>
          </w:tcPr>
          <w:p w14:paraId="50AEAC7D" w14:textId="77777777" w:rsidR="005F1360" w:rsidRDefault="005F1360" w:rsidP="00547E2E">
            <w:pPr>
              <w:pStyle w:val="Box"/>
              <w:spacing w:before="0" w:line="120" w:lineRule="exact"/>
            </w:pPr>
          </w:p>
        </w:tc>
      </w:tr>
      <w:tr w:rsidR="005F1360" w:rsidRPr="000863A5" w14:paraId="18038D9A" w14:textId="77777777" w:rsidTr="00547E2E">
        <w:tc>
          <w:tcPr>
            <w:tcW w:w="5000" w:type="pct"/>
            <w:tcBorders>
              <w:top w:val="single" w:sz="6" w:space="0" w:color="78A22F"/>
              <w:left w:val="nil"/>
              <w:bottom w:val="nil"/>
              <w:right w:val="nil"/>
            </w:tcBorders>
          </w:tcPr>
          <w:p w14:paraId="4A1EBB48" w14:textId="105E6C2C" w:rsidR="005F1360" w:rsidRPr="00626D32" w:rsidRDefault="005F1360" w:rsidP="00547E2E">
            <w:pPr>
              <w:pStyle w:val="BoxSpaceBelow"/>
            </w:pPr>
          </w:p>
        </w:tc>
      </w:tr>
    </w:tbl>
    <w:p w14:paraId="5174501C" w14:textId="77777777" w:rsidR="00931D57" w:rsidRDefault="00931D57" w:rsidP="00931D57">
      <w:pPr>
        <w:rPr>
          <w:szCs w:val="20"/>
        </w:rPr>
      </w:pPr>
      <w:r>
        <w:br w:type="page"/>
      </w:r>
    </w:p>
    <w:p w14:paraId="763229F2" w14:textId="77777777" w:rsidR="00931D57" w:rsidRDefault="00931D57" w:rsidP="00931D57">
      <w:pPr>
        <w:pStyle w:val="Heading1"/>
      </w:pPr>
      <w:r>
        <w:t>2</w:t>
      </w:r>
      <w:r>
        <w:tab/>
        <w:t>Data analysis and insights</w:t>
      </w:r>
    </w:p>
    <w:p w14:paraId="7D8018B4" w14:textId="77777777" w:rsidR="00931D57" w:rsidRPr="00094979" w:rsidRDefault="00931D57" w:rsidP="00931D57">
      <w:pPr>
        <w:pStyle w:val="Heading2"/>
        <w:ind w:left="0" w:firstLine="0"/>
        <w:rPr>
          <w:spacing w:val="-8"/>
        </w:rPr>
      </w:pPr>
      <w:r w:rsidRPr="00094979">
        <w:rPr>
          <w:spacing w:val="-8"/>
        </w:rPr>
        <w:t>Who funds mental health and suicide prevention programs?</w:t>
      </w:r>
    </w:p>
    <w:p w14:paraId="3640B1E5" w14:textId="77777777" w:rsidR="00931D57" w:rsidRPr="00FB1711" w:rsidRDefault="00931D57" w:rsidP="00931D57">
      <w:pPr>
        <w:pStyle w:val="Heading3"/>
        <w:spacing w:before="360"/>
        <w:rPr>
          <w:rStyle w:val="DraftingNote"/>
          <w:color w:val="auto"/>
        </w:rPr>
      </w:pPr>
      <w:r>
        <w:t>The Australian Governm</w:t>
      </w:r>
      <w:r w:rsidRPr="00FB1711">
        <w:t>ent and State and Territory Governments share funding responsibilities</w:t>
      </w:r>
    </w:p>
    <w:p w14:paraId="6AF56572" w14:textId="0471D902" w:rsidR="00931D57" w:rsidRDefault="00931D57" w:rsidP="00931D57">
      <w:pPr>
        <w:pStyle w:val="BodyText"/>
      </w:pPr>
      <w:r w:rsidRPr="00FB1711">
        <w:t>In 2019</w:t>
      </w:r>
      <w:r w:rsidRPr="00FB1711">
        <w:noBreakHyphen/>
        <w:t>20, total reported gov</w:t>
      </w:r>
      <w:r>
        <w:t xml:space="preserve">ernment expenditure on mental health and suicide prevention </w:t>
      </w:r>
      <w:r w:rsidR="00616FED">
        <w:t xml:space="preserve">programs </w:t>
      </w:r>
      <w:r>
        <w:t xml:space="preserve">(across all portfolios) </w:t>
      </w:r>
      <w:r w:rsidRPr="008D5C54">
        <w:t>was $</w:t>
      </w:r>
      <w:r w:rsidRPr="0065016A">
        <w:t>14.</w:t>
      </w:r>
      <w:r w:rsidR="00AE03DF" w:rsidRPr="0065016A">
        <w:t>5</w:t>
      </w:r>
      <w:r>
        <w:t> billion.</w:t>
      </w:r>
      <w:r>
        <w:rPr>
          <w:rStyle w:val="FootnoteReference"/>
        </w:rPr>
        <w:footnoteReference w:id="3"/>
      </w:r>
      <w:r>
        <w:t xml:space="preserve"> The Australian Government funded about </w:t>
      </w:r>
      <w:r w:rsidRPr="0065016A">
        <w:t>4</w:t>
      </w:r>
      <w:r w:rsidR="00AE03DF" w:rsidRPr="0065016A">
        <w:t>9</w:t>
      </w:r>
      <w:r>
        <w:t xml:space="preserve"> per cent of total </w:t>
      </w:r>
      <w:r w:rsidR="00616FED">
        <w:t xml:space="preserve">program </w:t>
      </w:r>
      <w:r>
        <w:t>expenditure (</w:t>
      </w:r>
      <w:r w:rsidRPr="0065016A">
        <w:t>$</w:t>
      </w:r>
      <w:r w:rsidR="00AE03DF" w:rsidRPr="0065016A">
        <w:t>7.1</w:t>
      </w:r>
      <w:r>
        <w:t> billion) and the State and Territory Governments funded the remainder (</w:t>
      </w:r>
      <w:r w:rsidRPr="0065016A">
        <w:t>$7.4</w:t>
      </w:r>
      <w:r>
        <w:t> billion) (table 2.1).</w:t>
      </w:r>
      <w:r w:rsidRPr="00896F24">
        <w:rPr>
          <w:rStyle w:val="FootnoteReference"/>
        </w:rPr>
        <w:footnoteReference w:id="4"/>
      </w:r>
    </w:p>
    <w:p w14:paraId="6341BCA6" w14:textId="77777777" w:rsidR="00931D57" w:rsidRDefault="00931D57" w:rsidP="00931D57">
      <w:pPr>
        <w:pStyle w:val="BodyText"/>
      </w:pPr>
      <w:r>
        <w:t>Expenditure on mental health and suicide prevention programs varied across jurisdictions, largely aligning with differences in population (figure 2.1). That said</w:t>
      </w:r>
      <w:r w:rsidRPr="004D36EA">
        <w:t xml:space="preserve">, </w:t>
      </w:r>
      <w:r>
        <w:t xml:space="preserve">there are some deviations — for example, </w:t>
      </w:r>
      <w:r w:rsidRPr="004D36EA">
        <w:t>Western Australia</w:t>
      </w:r>
      <w:r>
        <w:t>’s reported expenditure w</w:t>
      </w:r>
      <w:r w:rsidRPr="004D36EA">
        <w:t xml:space="preserve">as relatively high </w:t>
      </w:r>
      <w:r>
        <w:t xml:space="preserve">compared </w:t>
      </w:r>
      <w:r w:rsidRPr="004D36EA">
        <w:t xml:space="preserve">to </w:t>
      </w:r>
      <w:r>
        <w:t xml:space="preserve">its </w:t>
      </w:r>
      <w:r w:rsidRPr="004D36EA">
        <w:t>population</w:t>
      </w:r>
      <w:r>
        <w:t>.</w:t>
      </w:r>
      <w:r>
        <w:rPr>
          <w:rStyle w:val="FootnoteReference"/>
        </w:rPr>
        <w:footnoteReference w:id="5"/>
      </w:r>
      <w:r>
        <w:t xml:space="preserve"> </w:t>
      </w:r>
    </w:p>
    <w:p w14:paraId="6BEF1E6B" w14:textId="11687CC0" w:rsidR="00931D57" w:rsidRDefault="00931D57" w:rsidP="00931D5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931D57" w14:paraId="27BF83C3" w14:textId="77777777" w:rsidTr="00721FBA">
        <w:trPr>
          <w:tblHeader/>
        </w:trPr>
        <w:tc>
          <w:tcPr>
            <w:tcW w:w="5000" w:type="pct"/>
            <w:tcBorders>
              <w:top w:val="single" w:sz="6" w:space="0" w:color="78A22F"/>
              <w:left w:val="nil"/>
              <w:bottom w:val="nil"/>
              <w:right w:val="nil"/>
            </w:tcBorders>
            <w:shd w:val="clear" w:color="auto" w:fill="auto"/>
          </w:tcPr>
          <w:p w14:paraId="4F6EE136" w14:textId="312AB552" w:rsidR="00931D57" w:rsidRPr="00980D4E" w:rsidRDefault="00931D57" w:rsidP="00721FBA">
            <w:pPr>
              <w:pStyle w:val="TableTitle"/>
              <w:rPr>
                <w:rStyle w:val="NoteLabel"/>
              </w:rPr>
            </w:pPr>
            <w:r>
              <w:rPr>
                <w:b w:val="0"/>
              </w:rPr>
              <w:t>Table 2.1</w:t>
            </w:r>
            <w:r>
              <w:tab/>
            </w:r>
            <w:r w:rsidR="00881E08">
              <w:t>Program e</w:t>
            </w:r>
            <w:r>
              <w:t>xpenditure by jurisdiction, 2018-19 to 2020-21</w:t>
            </w:r>
            <w:r w:rsidRPr="00980D4E">
              <w:rPr>
                <w:rStyle w:val="NoteLabel"/>
                <w:b/>
                <w:bCs/>
              </w:rPr>
              <w:t>a</w:t>
            </w:r>
          </w:p>
          <w:p w14:paraId="6BC2B5A6" w14:textId="77777777" w:rsidR="00931D57" w:rsidRPr="00784A05" w:rsidRDefault="00931D57" w:rsidP="00721FBA">
            <w:pPr>
              <w:pStyle w:val="Subtitle"/>
            </w:pPr>
            <w:r>
              <w:t xml:space="preserve">Government spend </w:t>
            </w:r>
            <w:r w:rsidRPr="00A75910">
              <w:t>on mental health and suicide prevention programs</w:t>
            </w:r>
            <w:r>
              <w:t xml:space="preserve"> across all portfolios</w:t>
            </w:r>
          </w:p>
        </w:tc>
      </w:tr>
      <w:tr w:rsidR="00931D57" w14:paraId="0117AA9C" w14:textId="77777777" w:rsidTr="00721FBA">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126"/>
              <w:gridCol w:w="2126"/>
              <w:gridCol w:w="2125"/>
            </w:tblGrid>
            <w:tr w:rsidR="00931D57" w14:paraId="4FF4B305" w14:textId="77777777" w:rsidTr="00721FBA">
              <w:trPr>
                <w:tblHeader/>
              </w:trPr>
              <w:tc>
                <w:tcPr>
                  <w:tcW w:w="1251" w:type="pct"/>
                  <w:tcBorders>
                    <w:top w:val="single" w:sz="6" w:space="0" w:color="BFBFBF"/>
                    <w:bottom w:val="single" w:sz="6" w:space="0" w:color="BFBFBF"/>
                  </w:tcBorders>
                  <w:shd w:val="clear" w:color="auto" w:fill="auto"/>
                  <w:tcMar>
                    <w:top w:w="28" w:type="dxa"/>
                  </w:tcMar>
                </w:tcPr>
                <w:p w14:paraId="792E9D63" w14:textId="77777777" w:rsidR="00931D57" w:rsidRDefault="00931D57" w:rsidP="00721FBA">
                  <w:pPr>
                    <w:pStyle w:val="TableColumnHeading"/>
                    <w:jc w:val="left"/>
                  </w:pPr>
                </w:p>
              </w:tc>
              <w:tc>
                <w:tcPr>
                  <w:tcW w:w="1250" w:type="pct"/>
                  <w:tcBorders>
                    <w:top w:val="single" w:sz="6" w:space="0" w:color="BFBFBF"/>
                    <w:bottom w:val="single" w:sz="6" w:space="0" w:color="BFBFBF"/>
                  </w:tcBorders>
                </w:tcPr>
                <w:p w14:paraId="0C58DF19" w14:textId="77777777" w:rsidR="00931D57" w:rsidRDefault="00931D57" w:rsidP="00721FBA">
                  <w:pPr>
                    <w:pStyle w:val="TableColumnHeading"/>
                  </w:pPr>
                  <w:r>
                    <w:t>2018</w:t>
                  </w:r>
                  <w:r>
                    <w:noBreakHyphen/>
                    <w:t>19</w:t>
                  </w:r>
                </w:p>
              </w:tc>
              <w:tc>
                <w:tcPr>
                  <w:tcW w:w="1250" w:type="pct"/>
                  <w:tcBorders>
                    <w:top w:val="single" w:sz="6" w:space="0" w:color="BFBFBF"/>
                    <w:bottom w:val="single" w:sz="6" w:space="0" w:color="BFBFBF"/>
                  </w:tcBorders>
                  <w:shd w:val="clear" w:color="auto" w:fill="auto"/>
                  <w:tcMar>
                    <w:top w:w="28" w:type="dxa"/>
                  </w:tcMar>
                </w:tcPr>
                <w:p w14:paraId="48736692" w14:textId="77777777" w:rsidR="00931D57" w:rsidRDefault="00931D57" w:rsidP="00721FBA">
                  <w:pPr>
                    <w:pStyle w:val="TableColumnHeading"/>
                  </w:pPr>
                  <w:r>
                    <w:t>2019</w:t>
                  </w:r>
                  <w:r>
                    <w:noBreakHyphen/>
                    <w:t>20</w:t>
                  </w:r>
                </w:p>
              </w:tc>
              <w:tc>
                <w:tcPr>
                  <w:tcW w:w="1249" w:type="pct"/>
                  <w:tcBorders>
                    <w:top w:val="single" w:sz="6" w:space="0" w:color="BFBFBF"/>
                    <w:bottom w:val="single" w:sz="6" w:space="0" w:color="BFBFBF"/>
                  </w:tcBorders>
                  <w:shd w:val="clear" w:color="auto" w:fill="auto"/>
                  <w:tcMar>
                    <w:top w:w="28" w:type="dxa"/>
                  </w:tcMar>
                </w:tcPr>
                <w:p w14:paraId="0E32DA7D" w14:textId="77777777" w:rsidR="00931D57" w:rsidRPr="00980D4E" w:rsidRDefault="00931D57" w:rsidP="00721FBA">
                  <w:pPr>
                    <w:pStyle w:val="TableColumnHeading"/>
                    <w:ind w:right="28"/>
                    <w:rPr>
                      <w:rStyle w:val="NoteLabel"/>
                    </w:rPr>
                  </w:pPr>
                  <w:r>
                    <w:t>2020</w:t>
                  </w:r>
                  <w:r>
                    <w:noBreakHyphen/>
                    <w:t>21</w:t>
                  </w:r>
                </w:p>
              </w:tc>
            </w:tr>
            <w:tr w:rsidR="00931D57" w14:paraId="653A2446" w14:textId="77777777" w:rsidTr="00721FBA">
              <w:tc>
                <w:tcPr>
                  <w:tcW w:w="1251" w:type="pct"/>
                  <w:tcBorders>
                    <w:top w:val="single" w:sz="6" w:space="0" w:color="BFBFBF"/>
                  </w:tcBorders>
                </w:tcPr>
                <w:p w14:paraId="798496D6" w14:textId="77777777" w:rsidR="00931D57" w:rsidRDefault="00931D57" w:rsidP="00721FBA">
                  <w:pPr>
                    <w:pStyle w:val="TableUnitsRow"/>
                    <w:jc w:val="left"/>
                  </w:pPr>
                </w:p>
              </w:tc>
              <w:tc>
                <w:tcPr>
                  <w:tcW w:w="1250" w:type="pct"/>
                  <w:tcBorders>
                    <w:top w:val="single" w:sz="6" w:space="0" w:color="BFBFBF"/>
                  </w:tcBorders>
                </w:tcPr>
                <w:p w14:paraId="6E9B8FA4" w14:textId="77777777" w:rsidR="00931D57" w:rsidRDefault="00931D57" w:rsidP="00721FBA">
                  <w:pPr>
                    <w:pStyle w:val="TableUnitsRow"/>
                  </w:pPr>
                  <w:r>
                    <w:t>$m</w:t>
                  </w:r>
                </w:p>
              </w:tc>
              <w:tc>
                <w:tcPr>
                  <w:tcW w:w="1250" w:type="pct"/>
                  <w:tcBorders>
                    <w:top w:val="single" w:sz="6" w:space="0" w:color="BFBFBF"/>
                  </w:tcBorders>
                </w:tcPr>
                <w:p w14:paraId="60E2892D" w14:textId="77777777" w:rsidR="00931D57" w:rsidRDefault="00931D57" w:rsidP="00721FBA">
                  <w:pPr>
                    <w:pStyle w:val="TableUnitsRow"/>
                  </w:pPr>
                  <w:r>
                    <w:t>$m</w:t>
                  </w:r>
                </w:p>
              </w:tc>
              <w:tc>
                <w:tcPr>
                  <w:tcW w:w="1249" w:type="pct"/>
                  <w:tcBorders>
                    <w:top w:val="single" w:sz="6" w:space="0" w:color="BFBFBF"/>
                  </w:tcBorders>
                </w:tcPr>
                <w:p w14:paraId="6DB57443" w14:textId="77777777" w:rsidR="00931D57" w:rsidRDefault="00931D57" w:rsidP="00721FBA">
                  <w:pPr>
                    <w:pStyle w:val="TableUnitsRow"/>
                    <w:ind w:right="28"/>
                  </w:pPr>
                  <w:r>
                    <w:t>$m</w:t>
                  </w:r>
                </w:p>
              </w:tc>
            </w:tr>
            <w:tr w:rsidR="00931D57" w14:paraId="0DDB788B" w14:textId="77777777" w:rsidTr="00721FBA">
              <w:tc>
                <w:tcPr>
                  <w:tcW w:w="1251" w:type="pct"/>
                </w:tcPr>
                <w:p w14:paraId="028E8E0A" w14:textId="77777777" w:rsidR="00931D57" w:rsidRDefault="00931D57" w:rsidP="00721FBA">
                  <w:pPr>
                    <w:pStyle w:val="TableBodyText"/>
                    <w:jc w:val="left"/>
                  </w:pPr>
                  <w:proofErr w:type="spellStart"/>
                  <w:r>
                    <w:t>Cth</w:t>
                  </w:r>
                  <w:proofErr w:type="spellEnd"/>
                </w:p>
              </w:tc>
              <w:tc>
                <w:tcPr>
                  <w:tcW w:w="1250" w:type="pct"/>
                </w:tcPr>
                <w:p w14:paraId="31EBCBBB" w14:textId="77777777" w:rsidR="00931D57" w:rsidRDefault="00931D57" w:rsidP="00721FBA">
                  <w:pPr>
                    <w:pStyle w:val="TableBodyText"/>
                  </w:pPr>
                  <w:r w:rsidRPr="00294AB2">
                    <w:t>5</w:t>
                  </w:r>
                  <w:r>
                    <w:t> </w:t>
                  </w:r>
                  <w:r w:rsidRPr="00294AB2">
                    <w:t>770</w:t>
                  </w:r>
                </w:p>
              </w:tc>
              <w:tc>
                <w:tcPr>
                  <w:tcW w:w="1250" w:type="pct"/>
                </w:tcPr>
                <w:p w14:paraId="3DF3A452" w14:textId="6736CBA5" w:rsidR="00931D57" w:rsidRDefault="005348FB" w:rsidP="00721FBA">
                  <w:pPr>
                    <w:pStyle w:val="TableBodyText"/>
                  </w:pPr>
                  <w:r>
                    <w:t>7 065</w:t>
                  </w:r>
                </w:p>
              </w:tc>
              <w:tc>
                <w:tcPr>
                  <w:tcW w:w="1249" w:type="pct"/>
                </w:tcPr>
                <w:p w14:paraId="46F3B109" w14:textId="77777777" w:rsidR="00931D57" w:rsidRDefault="00931D57" w:rsidP="00721FBA">
                  <w:pPr>
                    <w:pStyle w:val="TableBodyText"/>
                    <w:ind w:right="28"/>
                  </w:pPr>
                  <w:r w:rsidRPr="00294AB2">
                    <w:t>8</w:t>
                  </w:r>
                  <w:r>
                    <w:t> </w:t>
                  </w:r>
                  <w:r w:rsidRPr="00294AB2">
                    <w:t>728</w:t>
                  </w:r>
                </w:p>
              </w:tc>
            </w:tr>
            <w:tr w:rsidR="00931D57" w14:paraId="0255B961" w14:textId="77777777" w:rsidTr="00721FBA">
              <w:tc>
                <w:tcPr>
                  <w:tcW w:w="1251" w:type="pct"/>
                  <w:shd w:val="clear" w:color="auto" w:fill="auto"/>
                </w:tcPr>
                <w:p w14:paraId="37AC30E8" w14:textId="77777777" w:rsidR="00931D57" w:rsidRDefault="00931D57" w:rsidP="00721FBA">
                  <w:pPr>
                    <w:pStyle w:val="TableBodyText"/>
                    <w:jc w:val="left"/>
                  </w:pPr>
                  <w:r w:rsidRPr="00AA4025">
                    <w:t>NSW</w:t>
                  </w:r>
                </w:p>
              </w:tc>
              <w:tc>
                <w:tcPr>
                  <w:tcW w:w="1250" w:type="pct"/>
                </w:tcPr>
                <w:p w14:paraId="63DD07E6" w14:textId="77777777" w:rsidR="00931D57" w:rsidRDefault="00931D57" w:rsidP="00721FBA">
                  <w:pPr>
                    <w:pStyle w:val="TableBodyText"/>
                  </w:pPr>
                  <w:r w:rsidRPr="00294AB2">
                    <w:t>2</w:t>
                  </w:r>
                  <w:r>
                    <w:t> </w:t>
                  </w:r>
                  <w:r w:rsidRPr="00294AB2">
                    <w:t>036</w:t>
                  </w:r>
                </w:p>
              </w:tc>
              <w:tc>
                <w:tcPr>
                  <w:tcW w:w="1250" w:type="pct"/>
                  <w:shd w:val="clear" w:color="auto" w:fill="auto"/>
                </w:tcPr>
                <w:p w14:paraId="3184F7AB" w14:textId="77777777" w:rsidR="00931D57" w:rsidRDefault="00931D57" w:rsidP="00721FBA">
                  <w:pPr>
                    <w:pStyle w:val="TableBodyText"/>
                  </w:pPr>
                  <w:r w:rsidRPr="00294AB2">
                    <w:t>2</w:t>
                  </w:r>
                  <w:r>
                    <w:t> </w:t>
                  </w:r>
                  <w:r w:rsidRPr="00294AB2">
                    <w:t>419</w:t>
                  </w:r>
                </w:p>
              </w:tc>
              <w:tc>
                <w:tcPr>
                  <w:tcW w:w="1249" w:type="pct"/>
                  <w:shd w:val="clear" w:color="auto" w:fill="auto"/>
                </w:tcPr>
                <w:p w14:paraId="551E314A" w14:textId="77777777" w:rsidR="00931D57" w:rsidRDefault="00931D57" w:rsidP="00721FBA">
                  <w:pPr>
                    <w:pStyle w:val="TableBodyText"/>
                    <w:ind w:right="28"/>
                  </w:pPr>
                  <w:r w:rsidRPr="00294AB2">
                    <w:t>2</w:t>
                  </w:r>
                  <w:r>
                    <w:t> </w:t>
                  </w:r>
                  <w:r w:rsidRPr="00294AB2">
                    <w:t>478</w:t>
                  </w:r>
                </w:p>
              </w:tc>
            </w:tr>
            <w:tr w:rsidR="00931D57" w14:paraId="42144922" w14:textId="77777777" w:rsidTr="00721FBA">
              <w:tc>
                <w:tcPr>
                  <w:tcW w:w="1251" w:type="pct"/>
                  <w:shd w:val="clear" w:color="auto" w:fill="auto"/>
                </w:tcPr>
                <w:p w14:paraId="2DB57B62" w14:textId="77777777" w:rsidR="00931D57" w:rsidRDefault="00931D57" w:rsidP="00721FBA">
                  <w:pPr>
                    <w:pStyle w:val="TableBodyText"/>
                    <w:jc w:val="left"/>
                  </w:pPr>
                  <w:r w:rsidRPr="00AA4025">
                    <w:t>Vic</w:t>
                  </w:r>
                </w:p>
              </w:tc>
              <w:tc>
                <w:tcPr>
                  <w:tcW w:w="1250" w:type="pct"/>
                </w:tcPr>
                <w:p w14:paraId="264B1A79" w14:textId="77777777" w:rsidR="00931D57" w:rsidRDefault="00931D57" w:rsidP="00721FBA">
                  <w:pPr>
                    <w:pStyle w:val="TableBodyText"/>
                  </w:pPr>
                  <w:r w:rsidRPr="00294AB2">
                    <w:t>1</w:t>
                  </w:r>
                  <w:r>
                    <w:t> </w:t>
                  </w:r>
                  <w:r w:rsidRPr="00294AB2">
                    <w:t>433</w:t>
                  </w:r>
                </w:p>
              </w:tc>
              <w:tc>
                <w:tcPr>
                  <w:tcW w:w="1250" w:type="pct"/>
                  <w:shd w:val="clear" w:color="auto" w:fill="auto"/>
                </w:tcPr>
                <w:p w14:paraId="2A436375" w14:textId="77777777" w:rsidR="00931D57" w:rsidRDefault="00931D57" w:rsidP="00721FBA">
                  <w:pPr>
                    <w:pStyle w:val="TableBodyText"/>
                  </w:pPr>
                  <w:r w:rsidRPr="00294AB2">
                    <w:t>1</w:t>
                  </w:r>
                  <w:r>
                    <w:t> </w:t>
                  </w:r>
                  <w:r w:rsidRPr="00294AB2">
                    <w:t>555</w:t>
                  </w:r>
                </w:p>
              </w:tc>
              <w:tc>
                <w:tcPr>
                  <w:tcW w:w="1249" w:type="pct"/>
                  <w:shd w:val="clear" w:color="auto" w:fill="auto"/>
                </w:tcPr>
                <w:p w14:paraId="764B4EA0" w14:textId="77777777" w:rsidR="00931D57" w:rsidRDefault="00931D57" w:rsidP="00721FBA">
                  <w:pPr>
                    <w:pStyle w:val="TableBodyText"/>
                    <w:ind w:right="28"/>
                  </w:pPr>
                  <w:r w:rsidRPr="00294AB2">
                    <w:t>1</w:t>
                  </w:r>
                  <w:r>
                    <w:t> </w:t>
                  </w:r>
                  <w:r w:rsidRPr="00294AB2">
                    <w:t>729</w:t>
                  </w:r>
                </w:p>
              </w:tc>
            </w:tr>
            <w:tr w:rsidR="00931D57" w14:paraId="428AA2FE" w14:textId="77777777" w:rsidTr="00721FBA">
              <w:tc>
                <w:tcPr>
                  <w:tcW w:w="1251" w:type="pct"/>
                  <w:shd w:val="clear" w:color="auto" w:fill="auto"/>
                </w:tcPr>
                <w:p w14:paraId="1F4684AE" w14:textId="77777777" w:rsidR="00931D57" w:rsidRDefault="00931D57" w:rsidP="00721FBA">
                  <w:pPr>
                    <w:pStyle w:val="TableBodyText"/>
                    <w:jc w:val="left"/>
                  </w:pPr>
                  <w:r w:rsidRPr="00AA4025">
                    <w:t>Qld</w:t>
                  </w:r>
                </w:p>
              </w:tc>
              <w:tc>
                <w:tcPr>
                  <w:tcW w:w="1250" w:type="pct"/>
                </w:tcPr>
                <w:p w14:paraId="6F5CCD31" w14:textId="77777777" w:rsidR="00931D57" w:rsidRDefault="00931D57" w:rsidP="00721FBA">
                  <w:pPr>
                    <w:pStyle w:val="TableBodyText"/>
                  </w:pPr>
                  <w:r w:rsidRPr="00294AB2">
                    <w:t>1</w:t>
                  </w:r>
                  <w:r>
                    <w:t> </w:t>
                  </w:r>
                  <w:r w:rsidRPr="00294AB2">
                    <w:t>314</w:t>
                  </w:r>
                </w:p>
              </w:tc>
              <w:tc>
                <w:tcPr>
                  <w:tcW w:w="1250" w:type="pct"/>
                  <w:shd w:val="clear" w:color="auto" w:fill="auto"/>
                </w:tcPr>
                <w:p w14:paraId="5638C3AA" w14:textId="77777777" w:rsidR="00931D57" w:rsidRDefault="00931D57" w:rsidP="00721FBA">
                  <w:pPr>
                    <w:pStyle w:val="TableBodyText"/>
                  </w:pPr>
                  <w:r w:rsidRPr="00294AB2">
                    <w:t>1</w:t>
                  </w:r>
                  <w:r>
                    <w:t> </w:t>
                  </w:r>
                  <w:r w:rsidRPr="00294AB2">
                    <w:t>382</w:t>
                  </w:r>
                </w:p>
              </w:tc>
              <w:tc>
                <w:tcPr>
                  <w:tcW w:w="1249" w:type="pct"/>
                  <w:shd w:val="clear" w:color="auto" w:fill="auto"/>
                </w:tcPr>
                <w:p w14:paraId="5AB73C21" w14:textId="77777777" w:rsidR="00931D57" w:rsidRDefault="00931D57" w:rsidP="00721FBA">
                  <w:pPr>
                    <w:pStyle w:val="TableBodyText"/>
                    <w:ind w:right="28"/>
                  </w:pPr>
                  <w:r w:rsidRPr="00294AB2">
                    <w:t>1</w:t>
                  </w:r>
                  <w:r>
                    <w:t> </w:t>
                  </w:r>
                  <w:r w:rsidRPr="00294AB2">
                    <w:t>463</w:t>
                  </w:r>
                </w:p>
              </w:tc>
            </w:tr>
            <w:tr w:rsidR="00931D57" w14:paraId="68C730CB" w14:textId="77777777" w:rsidTr="00721FBA">
              <w:tc>
                <w:tcPr>
                  <w:tcW w:w="1251" w:type="pct"/>
                  <w:shd w:val="clear" w:color="auto" w:fill="auto"/>
                </w:tcPr>
                <w:p w14:paraId="5B9BBE6B" w14:textId="77777777" w:rsidR="00931D57" w:rsidRDefault="00931D57" w:rsidP="00721FBA">
                  <w:pPr>
                    <w:pStyle w:val="TableBodyText"/>
                    <w:jc w:val="left"/>
                  </w:pPr>
                  <w:r w:rsidRPr="00AA4025">
                    <w:t>SA</w:t>
                  </w:r>
                </w:p>
              </w:tc>
              <w:tc>
                <w:tcPr>
                  <w:tcW w:w="1250" w:type="pct"/>
                </w:tcPr>
                <w:p w14:paraId="00E4E80A" w14:textId="77777777" w:rsidR="00931D57" w:rsidRDefault="00931D57" w:rsidP="00721FBA">
                  <w:pPr>
                    <w:pStyle w:val="TableBodyText"/>
                  </w:pPr>
                  <w:r w:rsidRPr="00294AB2">
                    <w:t>494</w:t>
                  </w:r>
                </w:p>
              </w:tc>
              <w:tc>
                <w:tcPr>
                  <w:tcW w:w="1250" w:type="pct"/>
                  <w:shd w:val="clear" w:color="auto" w:fill="auto"/>
                </w:tcPr>
                <w:p w14:paraId="68A680F3" w14:textId="77777777" w:rsidR="00931D57" w:rsidRDefault="00931D57" w:rsidP="00721FBA">
                  <w:pPr>
                    <w:pStyle w:val="TableBodyText"/>
                  </w:pPr>
                  <w:r w:rsidRPr="00294AB2">
                    <w:t>520</w:t>
                  </w:r>
                </w:p>
              </w:tc>
              <w:tc>
                <w:tcPr>
                  <w:tcW w:w="1249" w:type="pct"/>
                  <w:shd w:val="clear" w:color="auto" w:fill="auto"/>
                </w:tcPr>
                <w:p w14:paraId="56ADE8C2" w14:textId="77777777" w:rsidR="00931D57" w:rsidRDefault="00931D57" w:rsidP="00721FBA">
                  <w:pPr>
                    <w:pStyle w:val="TableBodyText"/>
                    <w:ind w:right="28"/>
                  </w:pPr>
                  <w:r w:rsidRPr="00294AB2">
                    <w:t>530</w:t>
                  </w:r>
                </w:p>
              </w:tc>
            </w:tr>
            <w:tr w:rsidR="00931D57" w14:paraId="7D7A9763" w14:textId="77777777" w:rsidTr="00721FBA">
              <w:tc>
                <w:tcPr>
                  <w:tcW w:w="1251" w:type="pct"/>
                  <w:shd w:val="clear" w:color="auto" w:fill="auto"/>
                </w:tcPr>
                <w:p w14:paraId="3CA7BF2D" w14:textId="77777777" w:rsidR="00931D57" w:rsidRDefault="00931D57" w:rsidP="00721FBA">
                  <w:pPr>
                    <w:pStyle w:val="TableBodyText"/>
                    <w:jc w:val="left"/>
                  </w:pPr>
                  <w:r w:rsidRPr="00AA4025">
                    <w:t>WA</w:t>
                  </w:r>
                </w:p>
              </w:tc>
              <w:tc>
                <w:tcPr>
                  <w:tcW w:w="1250" w:type="pct"/>
                </w:tcPr>
                <w:p w14:paraId="0A5DFC9D" w14:textId="3C2F59AD" w:rsidR="00931D57" w:rsidRDefault="00931D57" w:rsidP="00721FBA">
                  <w:pPr>
                    <w:pStyle w:val="TableBodyText"/>
                  </w:pPr>
                  <w:r w:rsidRPr="00294AB2">
                    <w:t>1</w:t>
                  </w:r>
                  <w:r>
                    <w:t> </w:t>
                  </w:r>
                  <w:r w:rsidR="005348FB">
                    <w:t>079</w:t>
                  </w:r>
                </w:p>
              </w:tc>
              <w:tc>
                <w:tcPr>
                  <w:tcW w:w="1250" w:type="pct"/>
                  <w:shd w:val="clear" w:color="auto" w:fill="auto"/>
                </w:tcPr>
                <w:p w14:paraId="52B0CFA7" w14:textId="7F90086D" w:rsidR="00931D57" w:rsidRDefault="00931D57" w:rsidP="00721FBA">
                  <w:pPr>
                    <w:pStyle w:val="TableBodyText"/>
                  </w:pPr>
                  <w:r w:rsidRPr="00294AB2">
                    <w:t>1</w:t>
                  </w:r>
                  <w:r>
                    <w:t> </w:t>
                  </w:r>
                  <w:r w:rsidRPr="00294AB2">
                    <w:t>1</w:t>
                  </w:r>
                  <w:r w:rsidR="00417CD6">
                    <w:t>34</w:t>
                  </w:r>
                </w:p>
              </w:tc>
              <w:tc>
                <w:tcPr>
                  <w:tcW w:w="1249" w:type="pct"/>
                  <w:shd w:val="clear" w:color="auto" w:fill="auto"/>
                </w:tcPr>
                <w:p w14:paraId="641B117B" w14:textId="53A041D8" w:rsidR="00931D57" w:rsidRDefault="00931D57" w:rsidP="00721FBA">
                  <w:pPr>
                    <w:pStyle w:val="TableBodyText"/>
                    <w:ind w:right="28"/>
                  </w:pPr>
                  <w:r w:rsidRPr="00294AB2">
                    <w:t>1</w:t>
                  </w:r>
                  <w:r>
                    <w:t> </w:t>
                  </w:r>
                  <w:r w:rsidR="00417CD6">
                    <w:t>226</w:t>
                  </w:r>
                </w:p>
              </w:tc>
            </w:tr>
            <w:tr w:rsidR="00931D57" w14:paraId="3843EC40" w14:textId="77777777" w:rsidTr="00721FBA">
              <w:tc>
                <w:tcPr>
                  <w:tcW w:w="1251" w:type="pct"/>
                  <w:shd w:val="clear" w:color="auto" w:fill="auto"/>
                </w:tcPr>
                <w:p w14:paraId="630EACE5" w14:textId="77777777" w:rsidR="00931D57" w:rsidRDefault="00931D57" w:rsidP="00721FBA">
                  <w:pPr>
                    <w:pStyle w:val="TableBodyText"/>
                    <w:jc w:val="left"/>
                  </w:pPr>
                  <w:r w:rsidRPr="00AA4025">
                    <w:t>Tas</w:t>
                  </w:r>
                </w:p>
              </w:tc>
              <w:tc>
                <w:tcPr>
                  <w:tcW w:w="1250" w:type="pct"/>
                </w:tcPr>
                <w:p w14:paraId="450BB7D0" w14:textId="77777777" w:rsidR="00931D57" w:rsidRDefault="00931D57" w:rsidP="00721FBA">
                  <w:pPr>
                    <w:pStyle w:val="TableBodyText"/>
                  </w:pPr>
                  <w:r w:rsidRPr="00294AB2">
                    <w:t>163</w:t>
                  </w:r>
                </w:p>
              </w:tc>
              <w:tc>
                <w:tcPr>
                  <w:tcW w:w="1250" w:type="pct"/>
                  <w:shd w:val="clear" w:color="auto" w:fill="auto"/>
                </w:tcPr>
                <w:p w14:paraId="6D97929B" w14:textId="77777777" w:rsidR="00931D57" w:rsidRDefault="00931D57" w:rsidP="00721FBA">
                  <w:pPr>
                    <w:pStyle w:val="TableBodyText"/>
                  </w:pPr>
                  <w:r w:rsidRPr="00294AB2">
                    <w:t>173</w:t>
                  </w:r>
                </w:p>
              </w:tc>
              <w:tc>
                <w:tcPr>
                  <w:tcW w:w="1249" w:type="pct"/>
                  <w:shd w:val="clear" w:color="auto" w:fill="auto"/>
                </w:tcPr>
                <w:p w14:paraId="6AE041A9" w14:textId="77777777" w:rsidR="00931D57" w:rsidRDefault="00931D57" w:rsidP="00721FBA">
                  <w:pPr>
                    <w:pStyle w:val="TableBodyText"/>
                    <w:ind w:right="28"/>
                  </w:pPr>
                  <w:r w:rsidRPr="00294AB2">
                    <w:t>173</w:t>
                  </w:r>
                </w:p>
              </w:tc>
            </w:tr>
            <w:tr w:rsidR="00931D57" w14:paraId="5965BD72" w14:textId="77777777" w:rsidTr="00721FBA">
              <w:tc>
                <w:tcPr>
                  <w:tcW w:w="1251" w:type="pct"/>
                  <w:shd w:val="clear" w:color="auto" w:fill="auto"/>
                </w:tcPr>
                <w:p w14:paraId="20CB36D5" w14:textId="77777777" w:rsidR="00931D57" w:rsidRDefault="00931D57" w:rsidP="00721FBA">
                  <w:pPr>
                    <w:pStyle w:val="TableBodyText"/>
                    <w:jc w:val="left"/>
                  </w:pPr>
                  <w:r w:rsidRPr="000F5F69">
                    <w:t>NT</w:t>
                  </w:r>
                </w:p>
              </w:tc>
              <w:tc>
                <w:tcPr>
                  <w:tcW w:w="1250" w:type="pct"/>
                </w:tcPr>
                <w:p w14:paraId="2F034C37" w14:textId="77777777" w:rsidR="00931D57" w:rsidRDefault="00931D57" w:rsidP="00721FBA">
                  <w:pPr>
                    <w:pStyle w:val="TableBodyText"/>
                  </w:pPr>
                  <w:r w:rsidRPr="00294AB2">
                    <w:t>39</w:t>
                  </w:r>
                </w:p>
              </w:tc>
              <w:tc>
                <w:tcPr>
                  <w:tcW w:w="1250" w:type="pct"/>
                  <w:shd w:val="clear" w:color="auto" w:fill="auto"/>
                </w:tcPr>
                <w:p w14:paraId="2C8FB4B8" w14:textId="77777777" w:rsidR="00931D57" w:rsidRDefault="00931D57" w:rsidP="00721FBA">
                  <w:pPr>
                    <w:pStyle w:val="TableBodyText"/>
                  </w:pPr>
                  <w:r w:rsidRPr="00294AB2">
                    <w:t>78</w:t>
                  </w:r>
                </w:p>
              </w:tc>
              <w:tc>
                <w:tcPr>
                  <w:tcW w:w="1249" w:type="pct"/>
                  <w:shd w:val="clear" w:color="auto" w:fill="auto"/>
                </w:tcPr>
                <w:p w14:paraId="2014CF69" w14:textId="77777777" w:rsidR="00931D57" w:rsidRDefault="00931D57" w:rsidP="00721FBA">
                  <w:pPr>
                    <w:pStyle w:val="TableBodyText"/>
                    <w:ind w:right="28"/>
                  </w:pPr>
                  <w:r w:rsidRPr="00294AB2">
                    <w:t>97</w:t>
                  </w:r>
                </w:p>
              </w:tc>
            </w:tr>
            <w:tr w:rsidR="00931D57" w14:paraId="69F3D6B5" w14:textId="77777777" w:rsidTr="00721FBA">
              <w:tc>
                <w:tcPr>
                  <w:tcW w:w="1251" w:type="pct"/>
                  <w:shd w:val="clear" w:color="auto" w:fill="auto"/>
                </w:tcPr>
                <w:p w14:paraId="2F219123" w14:textId="77777777" w:rsidR="00931D57" w:rsidRDefault="00931D57" w:rsidP="00721FBA">
                  <w:pPr>
                    <w:pStyle w:val="TableBodyText"/>
                    <w:jc w:val="left"/>
                  </w:pPr>
                  <w:r w:rsidRPr="000F5F69">
                    <w:t>ACT</w:t>
                  </w:r>
                </w:p>
              </w:tc>
              <w:tc>
                <w:tcPr>
                  <w:tcW w:w="1250" w:type="pct"/>
                </w:tcPr>
                <w:p w14:paraId="35C9B392" w14:textId="77777777" w:rsidR="00931D57" w:rsidRDefault="00931D57" w:rsidP="00721FBA">
                  <w:pPr>
                    <w:pStyle w:val="TableBodyText"/>
                  </w:pPr>
                  <w:r w:rsidRPr="00294AB2">
                    <w:t>123</w:t>
                  </w:r>
                </w:p>
              </w:tc>
              <w:tc>
                <w:tcPr>
                  <w:tcW w:w="1250" w:type="pct"/>
                  <w:shd w:val="clear" w:color="auto" w:fill="auto"/>
                </w:tcPr>
                <w:p w14:paraId="15FAC94D" w14:textId="77777777" w:rsidR="00931D57" w:rsidRDefault="00931D57" w:rsidP="00721FBA">
                  <w:pPr>
                    <w:pStyle w:val="TableBodyText"/>
                  </w:pPr>
                  <w:r w:rsidRPr="00294AB2">
                    <w:t>139</w:t>
                  </w:r>
                </w:p>
              </w:tc>
              <w:tc>
                <w:tcPr>
                  <w:tcW w:w="1249" w:type="pct"/>
                  <w:shd w:val="clear" w:color="auto" w:fill="auto"/>
                </w:tcPr>
                <w:p w14:paraId="5109399B" w14:textId="77777777" w:rsidR="00931D57" w:rsidRDefault="00931D57" w:rsidP="00721FBA">
                  <w:pPr>
                    <w:pStyle w:val="TableBodyText"/>
                    <w:ind w:right="28"/>
                  </w:pPr>
                  <w:r w:rsidRPr="00294AB2">
                    <w:t>153</w:t>
                  </w:r>
                </w:p>
              </w:tc>
            </w:tr>
            <w:tr w:rsidR="00931D57" w14:paraId="09E66341" w14:textId="77777777" w:rsidTr="00721FBA">
              <w:tc>
                <w:tcPr>
                  <w:tcW w:w="1251" w:type="pct"/>
                  <w:shd w:val="clear" w:color="auto" w:fill="auto"/>
                </w:tcPr>
                <w:p w14:paraId="4A80D111" w14:textId="77777777" w:rsidR="00931D57" w:rsidRPr="00365D67" w:rsidRDefault="00931D57" w:rsidP="00721FBA">
                  <w:pPr>
                    <w:pStyle w:val="TableBodyText"/>
                    <w:jc w:val="left"/>
                    <w:rPr>
                      <w:b/>
                      <w:bCs/>
                    </w:rPr>
                  </w:pPr>
                  <w:r w:rsidRPr="00365D67">
                    <w:rPr>
                      <w:b/>
                      <w:bCs/>
                    </w:rPr>
                    <w:t>Total</w:t>
                  </w:r>
                </w:p>
              </w:tc>
              <w:tc>
                <w:tcPr>
                  <w:tcW w:w="1250" w:type="pct"/>
                </w:tcPr>
                <w:p w14:paraId="4AE167EB" w14:textId="460AEC3C" w:rsidR="00931D57" w:rsidRPr="009D603E" w:rsidRDefault="00931D57" w:rsidP="00721FBA">
                  <w:pPr>
                    <w:pStyle w:val="TableBodyText"/>
                    <w:rPr>
                      <w:b/>
                    </w:rPr>
                  </w:pPr>
                  <w:r w:rsidRPr="005D75FD">
                    <w:rPr>
                      <w:b/>
                      <w:bCs/>
                    </w:rPr>
                    <w:t>12 4</w:t>
                  </w:r>
                  <w:r w:rsidR="005348FB">
                    <w:rPr>
                      <w:b/>
                      <w:bCs/>
                    </w:rPr>
                    <w:t>50</w:t>
                  </w:r>
                </w:p>
              </w:tc>
              <w:tc>
                <w:tcPr>
                  <w:tcW w:w="1250" w:type="pct"/>
                  <w:shd w:val="clear" w:color="auto" w:fill="auto"/>
                </w:tcPr>
                <w:p w14:paraId="445C8E0B" w14:textId="2C15A1CD" w:rsidR="00931D57" w:rsidRPr="009D603E" w:rsidRDefault="00931D57" w:rsidP="00721FBA">
                  <w:pPr>
                    <w:pStyle w:val="TableBodyText"/>
                    <w:rPr>
                      <w:b/>
                    </w:rPr>
                  </w:pPr>
                  <w:r w:rsidRPr="005D75FD">
                    <w:rPr>
                      <w:b/>
                      <w:bCs/>
                    </w:rPr>
                    <w:t>14 </w:t>
                  </w:r>
                  <w:r w:rsidR="00417CD6">
                    <w:rPr>
                      <w:b/>
                      <w:bCs/>
                    </w:rPr>
                    <w:t>465</w:t>
                  </w:r>
                </w:p>
              </w:tc>
              <w:tc>
                <w:tcPr>
                  <w:tcW w:w="1249" w:type="pct"/>
                  <w:shd w:val="clear" w:color="auto" w:fill="auto"/>
                </w:tcPr>
                <w:p w14:paraId="2DC21683" w14:textId="54ECED71" w:rsidR="00931D57" w:rsidRPr="009D603E" w:rsidRDefault="00931D57" w:rsidP="00721FBA">
                  <w:pPr>
                    <w:pStyle w:val="TableBodyText"/>
                    <w:ind w:right="28"/>
                    <w:rPr>
                      <w:b/>
                    </w:rPr>
                  </w:pPr>
                  <w:r w:rsidRPr="005D75FD">
                    <w:rPr>
                      <w:b/>
                      <w:bCs/>
                    </w:rPr>
                    <w:t>16 </w:t>
                  </w:r>
                  <w:r w:rsidR="00417CD6">
                    <w:rPr>
                      <w:b/>
                      <w:bCs/>
                    </w:rPr>
                    <w:t>576</w:t>
                  </w:r>
                </w:p>
              </w:tc>
            </w:tr>
          </w:tbl>
          <w:p w14:paraId="667A68E9" w14:textId="77777777" w:rsidR="00931D57" w:rsidRDefault="00931D57" w:rsidP="00721FBA">
            <w:pPr>
              <w:pStyle w:val="Box"/>
            </w:pPr>
          </w:p>
        </w:tc>
      </w:tr>
      <w:tr w:rsidR="00931D57" w14:paraId="7B1FAE47" w14:textId="77777777" w:rsidTr="00721FBA">
        <w:tc>
          <w:tcPr>
            <w:tcW w:w="5000" w:type="pct"/>
            <w:tcBorders>
              <w:top w:val="nil"/>
              <w:left w:val="nil"/>
              <w:bottom w:val="nil"/>
              <w:right w:val="nil"/>
            </w:tcBorders>
            <w:shd w:val="clear" w:color="auto" w:fill="auto"/>
          </w:tcPr>
          <w:p w14:paraId="03F8CEBC" w14:textId="77777777" w:rsidR="00931D57" w:rsidRDefault="00931D57" w:rsidP="00721FBA">
            <w:pPr>
              <w:pStyle w:val="Note"/>
              <w:rPr>
                <w:i/>
              </w:rPr>
            </w:pPr>
            <w:r w:rsidRPr="008E77FE">
              <w:rPr>
                <w:rStyle w:val="NoteLabel"/>
              </w:rPr>
              <w:t>a</w:t>
            </w:r>
            <w:r>
              <w:t> Data reported for 2018-19 and 2019-20 are actual expenditure; data for 2020</w:t>
            </w:r>
            <w:r>
              <w:noBreakHyphen/>
              <w:t>21 are budgeted funding.</w:t>
            </w:r>
          </w:p>
        </w:tc>
      </w:tr>
      <w:tr w:rsidR="00931D57" w14:paraId="55DF2473" w14:textId="77777777" w:rsidTr="00721FBA">
        <w:tc>
          <w:tcPr>
            <w:tcW w:w="5000" w:type="pct"/>
            <w:tcBorders>
              <w:top w:val="nil"/>
              <w:left w:val="nil"/>
              <w:bottom w:val="nil"/>
              <w:right w:val="nil"/>
            </w:tcBorders>
            <w:shd w:val="clear" w:color="auto" w:fill="auto"/>
          </w:tcPr>
          <w:p w14:paraId="096DD709" w14:textId="77777777" w:rsidR="00931D57" w:rsidRDefault="00931D57" w:rsidP="00721FBA">
            <w:pPr>
              <w:pStyle w:val="Source"/>
            </w:pPr>
            <w:r>
              <w:rPr>
                <w:i/>
              </w:rPr>
              <w:t>Source</w:t>
            </w:r>
            <w:r w:rsidRPr="00167F06">
              <w:t xml:space="preserve">: </w:t>
            </w:r>
            <w:r>
              <w:t>Data provided by Australian, State and Territory Governments.</w:t>
            </w:r>
          </w:p>
        </w:tc>
      </w:tr>
      <w:tr w:rsidR="00931D57" w14:paraId="70C991A6" w14:textId="77777777" w:rsidTr="00721FBA">
        <w:tc>
          <w:tcPr>
            <w:tcW w:w="5000" w:type="pct"/>
            <w:tcBorders>
              <w:top w:val="nil"/>
              <w:left w:val="nil"/>
              <w:bottom w:val="single" w:sz="6" w:space="0" w:color="78A22F"/>
              <w:right w:val="nil"/>
            </w:tcBorders>
            <w:shd w:val="clear" w:color="auto" w:fill="auto"/>
          </w:tcPr>
          <w:p w14:paraId="6C8621BF" w14:textId="77777777" w:rsidR="00931D57" w:rsidRDefault="00931D57" w:rsidP="00721FBA">
            <w:pPr>
              <w:pStyle w:val="Box"/>
              <w:spacing w:before="0" w:line="120" w:lineRule="exact"/>
            </w:pPr>
          </w:p>
        </w:tc>
      </w:tr>
      <w:tr w:rsidR="00931D57" w:rsidRPr="000863A5" w14:paraId="203F7658" w14:textId="77777777" w:rsidTr="00721FBA">
        <w:tc>
          <w:tcPr>
            <w:tcW w:w="5000" w:type="pct"/>
            <w:tcBorders>
              <w:top w:val="single" w:sz="6" w:space="0" w:color="78A22F"/>
              <w:left w:val="nil"/>
              <w:bottom w:val="nil"/>
              <w:right w:val="nil"/>
            </w:tcBorders>
          </w:tcPr>
          <w:p w14:paraId="7FE5717B" w14:textId="70867E08" w:rsidR="00931D57" w:rsidRPr="00626D32" w:rsidRDefault="00931D57" w:rsidP="00721FBA">
            <w:pPr>
              <w:pStyle w:val="BoxSpaceBelow"/>
            </w:pPr>
          </w:p>
        </w:tc>
      </w:tr>
    </w:tbl>
    <w:p w14:paraId="3DABCEC8" w14:textId="729DE028" w:rsidR="00931D57" w:rsidRDefault="00931D57" w:rsidP="00931D5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4DAED6EC" w14:textId="77777777" w:rsidTr="00721FBA">
        <w:trPr>
          <w:tblHeader/>
        </w:trPr>
        <w:tc>
          <w:tcPr>
            <w:tcW w:w="5000" w:type="pct"/>
            <w:tcBorders>
              <w:top w:val="single" w:sz="6" w:space="0" w:color="78A22F" w:themeColor="accent1"/>
              <w:left w:val="nil"/>
              <w:bottom w:val="nil"/>
              <w:right w:val="nil"/>
            </w:tcBorders>
            <w:shd w:val="clear" w:color="auto" w:fill="auto"/>
          </w:tcPr>
          <w:p w14:paraId="0328AD12" w14:textId="77777777" w:rsidR="00931D57" w:rsidRDefault="00931D57" w:rsidP="00721FBA">
            <w:pPr>
              <w:pStyle w:val="FigureTitle"/>
            </w:pPr>
            <w:r w:rsidRPr="00784A05">
              <w:rPr>
                <w:b w:val="0"/>
              </w:rPr>
              <w:t xml:space="preserve">Figure </w:t>
            </w:r>
            <w:r>
              <w:rPr>
                <w:b w:val="0"/>
              </w:rPr>
              <w:t>2</w:t>
            </w:r>
            <w:r>
              <w:t>.</w:t>
            </w:r>
            <w:r>
              <w:rPr>
                <w:b w:val="0"/>
              </w:rPr>
              <w:t>1</w:t>
            </w:r>
            <w:r>
              <w:tab/>
              <w:t>Government spend varied by jurisdiction, largely in line with population differences</w:t>
            </w:r>
          </w:p>
          <w:p w14:paraId="4A8439EB" w14:textId="77777777" w:rsidR="00931D57" w:rsidRPr="00176D3F" w:rsidRDefault="00931D57" w:rsidP="00721FBA">
            <w:pPr>
              <w:pStyle w:val="Subtitle"/>
            </w:pPr>
            <w:r>
              <w:t>Expenditure on mental health and suicide prevention programs and population by jurisdiction, 2019</w:t>
            </w:r>
            <w:r>
              <w:noBreakHyphen/>
              <w:t>20</w:t>
            </w:r>
          </w:p>
        </w:tc>
      </w:tr>
      <w:tr w:rsidR="00931D57" w14:paraId="0A23A453" w14:textId="77777777" w:rsidTr="00721FBA">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31D57" w:rsidRPr="00B1465D" w14:paraId="5F76C12F" w14:textId="77777777" w:rsidTr="00721FBA">
              <w:trPr>
                <w:tblHeader/>
                <w:jc w:val="center"/>
              </w:trPr>
              <w:tc>
                <w:tcPr>
                  <w:tcW w:w="5000" w:type="pct"/>
                  <w:tcBorders>
                    <w:top w:val="nil"/>
                    <w:bottom w:val="nil"/>
                  </w:tcBorders>
                </w:tcPr>
                <w:p w14:paraId="4777F174" w14:textId="643CDECD" w:rsidR="00931D57" w:rsidRPr="00B1465D" w:rsidRDefault="008E270B" w:rsidP="00721FBA">
                  <w:pPr>
                    <w:pStyle w:val="Figure"/>
                    <w:spacing w:before="60" w:after="60"/>
                    <w:rPr>
                      <w:rFonts w:ascii="Arial" w:hAnsi="Arial" w:cs="Arial"/>
                      <w:sz w:val="18"/>
                      <w:szCs w:val="18"/>
                    </w:rPr>
                  </w:pPr>
                  <w:r w:rsidRPr="008E270B">
                    <w:rPr>
                      <w:rFonts w:ascii="Arial" w:hAnsi="Arial" w:cs="Arial"/>
                      <w:noProof/>
                      <w:sz w:val="18"/>
                      <w:szCs w:val="18"/>
                    </w:rPr>
                    <w:drawing>
                      <wp:inline distT="0" distB="0" distL="0" distR="0" wp14:anchorId="0F412743" wp14:editId="479013CE">
                        <wp:extent cx="5288280" cy="2994660"/>
                        <wp:effectExtent l="0" t="0" r="7620" b="0"/>
                        <wp:docPr id="3" name="Picture 3" descr="Figure 2.1 This is a bar chart showing expenditure on mental health and suicide prevention programs and population by jurisdiction in 2019-20. The chart shows that expenditure on mental health and suicide prevention programs varied across jurisdictions, largely aligning with differences in population. There are some deviations — for example, Western Australia’s reported expenditure was relatively high compared to its population. Jurisdictional expenditures shown in the chart are from tabl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2.1 This is a bar chart showing expenditure on mental health and suicide prevention programs and population by jurisdiction in 2019-20. The chart shows that expenditure on mental health and suicide prevention programs varied across jurisdictions, largely aligning with differences in population. There are some deviations — for example, Western Australia’s reported expenditure was relatively high compared to its population. Jurisdictional expenditures shown in the chart are from tabl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88280" cy="2994660"/>
                                </a:xfrm>
                                <a:prstGeom prst="rect">
                                  <a:avLst/>
                                </a:prstGeom>
                                <a:noFill/>
                                <a:ln>
                                  <a:noFill/>
                                </a:ln>
                              </pic:spPr>
                            </pic:pic>
                          </a:graphicData>
                        </a:graphic>
                      </wp:inline>
                    </w:drawing>
                  </w:r>
                </w:p>
              </w:tc>
            </w:tr>
          </w:tbl>
          <w:p w14:paraId="69DE244E" w14:textId="77777777" w:rsidR="00931D57" w:rsidRDefault="00931D57" w:rsidP="00721FBA">
            <w:pPr>
              <w:pStyle w:val="Figure"/>
            </w:pPr>
          </w:p>
        </w:tc>
      </w:tr>
      <w:tr w:rsidR="00931D57" w:rsidRPr="00176D3F" w14:paraId="4EB3E23D" w14:textId="77777777" w:rsidTr="00721FBA">
        <w:tc>
          <w:tcPr>
            <w:tcW w:w="5000" w:type="pct"/>
            <w:tcBorders>
              <w:top w:val="nil"/>
              <w:left w:val="nil"/>
              <w:bottom w:val="nil"/>
              <w:right w:val="nil"/>
            </w:tcBorders>
            <w:shd w:val="clear" w:color="auto" w:fill="auto"/>
          </w:tcPr>
          <w:p w14:paraId="1463AB6B" w14:textId="0AAA9973" w:rsidR="00931D57" w:rsidRPr="00CE4649" w:rsidRDefault="00931D57" w:rsidP="00721FBA">
            <w:pPr>
              <w:pStyle w:val="Source"/>
              <w:rPr>
                <w:i/>
                <w:iCs/>
              </w:rPr>
            </w:pPr>
            <w:r w:rsidRPr="00784A05">
              <w:rPr>
                <w:i/>
              </w:rPr>
              <w:t>Data source</w:t>
            </w:r>
            <w:r>
              <w:rPr>
                <w:i/>
              </w:rPr>
              <w:t>s</w:t>
            </w:r>
            <w:r w:rsidRPr="00176D3F">
              <w:t xml:space="preserve">: </w:t>
            </w:r>
            <w:r>
              <w:t>ABS (</w:t>
            </w:r>
            <w:r>
              <w:rPr>
                <w:i/>
                <w:iCs/>
              </w:rPr>
              <w:t xml:space="preserve">National, state and territory population, </w:t>
            </w:r>
            <w:r w:rsidR="00C457C5">
              <w:rPr>
                <w:i/>
                <w:iCs/>
              </w:rPr>
              <w:t>Dec 2019</w:t>
            </w:r>
            <w:r>
              <w:t>, Cat. no. 3101.0); data provided by Australian, State and Territory Governments.</w:t>
            </w:r>
          </w:p>
        </w:tc>
      </w:tr>
      <w:tr w:rsidR="00931D57" w14:paraId="6FB188B1" w14:textId="77777777" w:rsidTr="00721FBA">
        <w:tc>
          <w:tcPr>
            <w:tcW w:w="5000" w:type="pct"/>
            <w:tcBorders>
              <w:top w:val="nil"/>
              <w:left w:val="nil"/>
              <w:bottom w:val="single" w:sz="6" w:space="0" w:color="78A22F" w:themeColor="accent1"/>
              <w:right w:val="nil"/>
            </w:tcBorders>
            <w:shd w:val="clear" w:color="auto" w:fill="auto"/>
          </w:tcPr>
          <w:p w14:paraId="65FB2B1B" w14:textId="77777777" w:rsidR="00931D57" w:rsidRDefault="00931D57" w:rsidP="00721FBA">
            <w:pPr>
              <w:pStyle w:val="Figurespace"/>
            </w:pPr>
          </w:p>
        </w:tc>
      </w:tr>
      <w:tr w:rsidR="00931D57" w:rsidRPr="000863A5" w14:paraId="0FD8974F" w14:textId="77777777" w:rsidTr="00721FBA">
        <w:tc>
          <w:tcPr>
            <w:tcW w:w="5000" w:type="pct"/>
            <w:tcBorders>
              <w:top w:val="single" w:sz="6" w:space="0" w:color="78A22F" w:themeColor="accent1"/>
              <w:left w:val="nil"/>
              <w:bottom w:val="nil"/>
              <w:right w:val="nil"/>
            </w:tcBorders>
          </w:tcPr>
          <w:p w14:paraId="08D5DEFF" w14:textId="2DAD440F" w:rsidR="00931D57" w:rsidRPr="00626D32" w:rsidRDefault="00931D57" w:rsidP="00721FBA">
            <w:pPr>
              <w:pStyle w:val="BoxSpaceBelow"/>
            </w:pPr>
          </w:p>
        </w:tc>
      </w:tr>
    </w:tbl>
    <w:p w14:paraId="03316DCC" w14:textId="7DE5C5B0" w:rsidR="00931D57" w:rsidRPr="00CF16CA" w:rsidRDefault="00931D57" w:rsidP="00931D57">
      <w:pPr>
        <w:pStyle w:val="BodyText"/>
      </w:pPr>
      <w:r>
        <w:t xml:space="preserve">Some of the Australian Government’s expenditure on mental health and suicide prevention </w:t>
      </w:r>
      <w:r w:rsidR="00322609">
        <w:t xml:space="preserve">programs </w:t>
      </w:r>
      <w:r>
        <w:t xml:space="preserve">represented funding transfers to states and territories. Specifically, about </w:t>
      </w:r>
      <w:r w:rsidRPr="00CF16CA">
        <w:t>4</w:t>
      </w:r>
      <w:r w:rsidR="00EC5984" w:rsidRPr="00CF16CA">
        <w:t>1</w:t>
      </w:r>
      <w:r w:rsidRPr="00CF16CA">
        <w:t xml:space="preserve"> per cent </w:t>
      </w:r>
      <w:r w:rsidRPr="00011CF5">
        <w:t>($2.9</w:t>
      </w:r>
      <w:r w:rsidRPr="00CF16CA">
        <w:t xml:space="preserve"> billion) of Australian Government expenditure was provided to State and Territory Governments and PHNs in 2019-20 (figure 2.2). This included:</w:t>
      </w:r>
    </w:p>
    <w:p w14:paraId="1A4DD226" w14:textId="075554C0" w:rsidR="00931D57" w:rsidRPr="00CF16CA" w:rsidRDefault="00931D57" w:rsidP="00931D57">
      <w:pPr>
        <w:pStyle w:val="ListBullet"/>
      </w:pPr>
      <w:r w:rsidRPr="00CF16CA">
        <w:t xml:space="preserve">intergovernmental transfers to State and Territory Governments — which predominantly related to mental health care </w:t>
      </w:r>
      <w:r w:rsidR="00211141">
        <w:t xml:space="preserve">services </w:t>
      </w:r>
      <w:r w:rsidRPr="00CF16CA">
        <w:t>in public hospitals (</w:t>
      </w:r>
      <w:r w:rsidRPr="00FD462A">
        <w:rPr>
          <w:rStyle w:val="BodyTextChar"/>
        </w:rPr>
        <w:t>about $2 billio</w:t>
      </w:r>
      <w:r w:rsidRPr="00CF16CA">
        <w:t xml:space="preserve">n), consistent with funding arrangements under the National Health Reform Agreement (Administrator NHFP 2020), but also included other mental health-related programs such as the National School Chaplaincy Program and veterans’ services </w:t>
      </w:r>
    </w:p>
    <w:p w14:paraId="3683C7A3" w14:textId="58B6EC15" w:rsidR="00931D57" w:rsidRDefault="00931D57" w:rsidP="00931D57">
      <w:pPr>
        <w:pStyle w:val="ListBullet"/>
      </w:pPr>
      <w:r>
        <w:t xml:space="preserve">funding provided to PHNs to commission mental health </w:t>
      </w:r>
      <w:r w:rsidR="00031277">
        <w:t xml:space="preserve">and suicide prevention </w:t>
      </w:r>
      <w:r>
        <w:t>services (</w:t>
      </w:r>
      <w:r w:rsidRPr="000B54BE">
        <w:rPr>
          <w:rStyle w:val="BodyTextChar"/>
        </w:rPr>
        <w:t>about $734 million</w:t>
      </w:r>
      <w:r>
        <w:t xml:space="preserve">) — box 2.1. </w:t>
      </w:r>
    </w:p>
    <w:p w14:paraId="788E7BCC" w14:textId="5378C79C" w:rsidR="00931D57" w:rsidRDefault="00931D57" w:rsidP="00931D57">
      <w:pPr>
        <w:pStyle w:val="BodyText"/>
      </w:pPr>
      <w:r>
        <w:t>Accounting for these transfers enables a better understanding of the amount of funding actually spent on mental health and suicide prevention</w:t>
      </w:r>
      <w:r w:rsidR="00B757C0">
        <w:t xml:space="preserve"> programs</w:t>
      </w:r>
      <w:r>
        <w:t xml:space="preserve"> in each state and territory.</w:t>
      </w:r>
    </w:p>
    <w:p w14:paraId="0D303B2C" w14:textId="6B18D215" w:rsidR="00931D57" w:rsidRDefault="00931D57" w:rsidP="00931D5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3FE9BB6D" w14:textId="77777777" w:rsidTr="00721FBA">
        <w:trPr>
          <w:tblHeader/>
        </w:trPr>
        <w:tc>
          <w:tcPr>
            <w:tcW w:w="5000" w:type="pct"/>
            <w:tcBorders>
              <w:top w:val="single" w:sz="6" w:space="0" w:color="78A22F" w:themeColor="accent1"/>
              <w:left w:val="nil"/>
              <w:bottom w:val="nil"/>
              <w:right w:val="nil"/>
            </w:tcBorders>
            <w:shd w:val="clear" w:color="auto" w:fill="auto"/>
          </w:tcPr>
          <w:p w14:paraId="0E5AB66B" w14:textId="77777777" w:rsidR="00931D57" w:rsidRPr="00317155" w:rsidRDefault="00931D57" w:rsidP="00721FBA">
            <w:pPr>
              <w:pStyle w:val="FigureTitle"/>
              <w:rPr>
                <w:vertAlign w:val="superscript"/>
              </w:rPr>
            </w:pPr>
            <w:r w:rsidRPr="00784A05">
              <w:rPr>
                <w:b w:val="0"/>
              </w:rPr>
              <w:t xml:space="preserve">Figure </w:t>
            </w:r>
            <w:r>
              <w:rPr>
                <w:b w:val="0"/>
              </w:rPr>
              <w:t>2.2</w:t>
            </w:r>
            <w:r>
              <w:tab/>
              <w:t xml:space="preserve">The Australian Government </w:t>
            </w:r>
            <w:r w:rsidRPr="00CF16CA">
              <w:t>transferred $2.9 billion to states</w:t>
            </w:r>
            <w:r>
              <w:t xml:space="preserve"> and territories in 2019</w:t>
            </w:r>
            <w:r>
              <w:noBreakHyphen/>
              <w:t>20</w:t>
            </w:r>
          </w:p>
          <w:p w14:paraId="4914D986" w14:textId="4E7ACD2D" w:rsidR="00931D57" w:rsidRPr="00176D3F" w:rsidRDefault="007A397D" w:rsidP="00721FBA">
            <w:pPr>
              <w:pStyle w:val="Subtitle"/>
            </w:pPr>
            <w:r>
              <w:t>Program e</w:t>
            </w:r>
            <w:r w:rsidR="00931D57" w:rsidRPr="00C12022">
              <w:t>xpenditure in states and territories including funding transfers from the Australian Government, 2019</w:t>
            </w:r>
            <w:r w:rsidR="00931D57">
              <w:noBreakHyphen/>
            </w:r>
            <w:r w:rsidR="00931D57" w:rsidRPr="00C12022">
              <w:t>20</w:t>
            </w:r>
          </w:p>
        </w:tc>
      </w:tr>
      <w:tr w:rsidR="00931D57" w14:paraId="3B1C956E" w14:textId="77777777" w:rsidTr="00721FB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31D57" w:rsidRPr="00B1465D" w14:paraId="0D3E951D" w14:textId="77777777" w:rsidTr="00721FBA">
              <w:trPr>
                <w:tblHeader/>
                <w:jc w:val="center"/>
              </w:trPr>
              <w:tc>
                <w:tcPr>
                  <w:tcW w:w="5000" w:type="pct"/>
                  <w:tcBorders>
                    <w:top w:val="nil"/>
                    <w:bottom w:val="nil"/>
                  </w:tcBorders>
                </w:tcPr>
                <w:p w14:paraId="04C824F6" w14:textId="47943751" w:rsidR="00931D57" w:rsidRPr="00B1465D" w:rsidRDefault="00C37536" w:rsidP="00721FBA">
                  <w:pPr>
                    <w:pStyle w:val="Figure"/>
                    <w:spacing w:before="60" w:after="60"/>
                    <w:rPr>
                      <w:rFonts w:ascii="Arial" w:hAnsi="Arial" w:cs="Arial"/>
                      <w:sz w:val="18"/>
                      <w:szCs w:val="18"/>
                    </w:rPr>
                  </w:pPr>
                  <w:r w:rsidRPr="00C37536">
                    <w:rPr>
                      <w:rFonts w:ascii="Arial" w:hAnsi="Arial" w:cs="Arial"/>
                      <w:noProof/>
                      <w:sz w:val="18"/>
                      <w:szCs w:val="18"/>
                    </w:rPr>
                    <w:drawing>
                      <wp:inline distT="0" distB="0" distL="0" distR="0" wp14:anchorId="01A62A88" wp14:editId="22F0FE66">
                        <wp:extent cx="5280660" cy="2994660"/>
                        <wp:effectExtent l="0" t="0" r="0" b="0"/>
                        <wp:docPr id="7" name="Picture 7" descr="Figure 2.2 This is a stacked bar chart showing expenditure in states and territories including funding transfers from the Australian Government in 2019-20. There is a column for each state and territory, in which the largest component is expenditure by that State or Territory Government. Above that is shown the Australian Government transfer to each State and Territory Government and then Australian Government funding provided to Primary Health Networks in each state and terr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2.2 This is a stacked bar chart showing expenditure in states and territories including funding transfers from the Australian Government in 2019-20. There is a column for each state and territory, in which the largest component is expenditure by that State or Territory Government. Above that is shown the Australian Government transfer to each State and Territory Government and then Australian Government funding provided to Primary Health Networks in each state and territor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0660" cy="2994660"/>
                                </a:xfrm>
                                <a:prstGeom prst="rect">
                                  <a:avLst/>
                                </a:prstGeom>
                                <a:noFill/>
                                <a:ln>
                                  <a:noFill/>
                                </a:ln>
                              </pic:spPr>
                            </pic:pic>
                          </a:graphicData>
                        </a:graphic>
                      </wp:inline>
                    </w:drawing>
                  </w:r>
                </w:p>
              </w:tc>
            </w:tr>
          </w:tbl>
          <w:p w14:paraId="34EB1F4D" w14:textId="77777777" w:rsidR="00931D57" w:rsidRDefault="00931D57" w:rsidP="00721FBA">
            <w:pPr>
              <w:pStyle w:val="Figure"/>
            </w:pPr>
          </w:p>
        </w:tc>
      </w:tr>
      <w:tr w:rsidR="00931D57" w:rsidRPr="00176D3F" w14:paraId="7BDB1F8D" w14:textId="77777777" w:rsidTr="00721FBA">
        <w:tc>
          <w:tcPr>
            <w:tcW w:w="5000" w:type="pct"/>
            <w:tcBorders>
              <w:top w:val="nil"/>
              <w:left w:val="nil"/>
              <w:bottom w:val="nil"/>
              <w:right w:val="nil"/>
            </w:tcBorders>
            <w:shd w:val="clear" w:color="auto" w:fill="auto"/>
          </w:tcPr>
          <w:p w14:paraId="529D693D" w14:textId="77777777" w:rsidR="00931D57" w:rsidRPr="00176D3F" w:rsidRDefault="00931D57" w:rsidP="00721FBA">
            <w:pPr>
              <w:pStyle w:val="Source"/>
            </w:pPr>
            <w:r w:rsidRPr="00784A05">
              <w:rPr>
                <w:i/>
              </w:rPr>
              <w:t>Data source</w:t>
            </w:r>
            <w:r w:rsidRPr="00176D3F">
              <w:t xml:space="preserve">: </w:t>
            </w:r>
            <w:r>
              <w:t>Data provided by Australian, State and Territory Governments.</w:t>
            </w:r>
          </w:p>
        </w:tc>
      </w:tr>
      <w:tr w:rsidR="00931D57" w14:paraId="2A1300E8" w14:textId="77777777" w:rsidTr="00721FBA">
        <w:tc>
          <w:tcPr>
            <w:tcW w:w="5000" w:type="pct"/>
            <w:tcBorders>
              <w:top w:val="nil"/>
              <w:left w:val="nil"/>
              <w:bottom w:val="single" w:sz="6" w:space="0" w:color="78A22F" w:themeColor="accent1"/>
              <w:right w:val="nil"/>
            </w:tcBorders>
            <w:shd w:val="clear" w:color="auto" w:fill="auto"/>
          </w:tcPr>
          <w:p w14:paraId="20564EA0" w14:textId="77777777" w:rsidR="00931D57" w:rsidRDefault="00931D57" w:rsidP="00721FBA">
            <w:pPr>
              <w:pStyle w:val="Figurespace"/>
            </w:pPr>
          </w:p>
        </w:tc>
      </w:tr>
      <w:tr w:rsidR="00931D57" w:rsidRPr="000863A5" w14:paraId="186A2EBA" w14:textId="77777777" w:rsidTr="00721FBA">
        <w:tc>
          <w:tcPr>
            <w:tcW w:w="5000" w:type="pct"/>
            <w:tcBorders>
              <w:top w:val="single" w:sz="6" w:space="0" w:color="78A22F" w:themeColor="accent1"/>
              <w:left w:val="nil"/>
              <w:bottom w:val="nil"/>
              <w:right w:val="nil"/>
            </w:tcBorders>
          </w:tcPr>
          <w:p w14:paraId="36168146" w14:textId="32405947" w:rsidR="00931D57" w:rsidRPr="00626D32" w:rsidRDefault="00931D57" w:rsidP="00721FBA">
            <w:pPr>
              <w:pStyle w:val="BoxSpaceBelow"/>
            </w:pPr>
          </w:p>
        </w:tc>
      </w:tr>
    </w:tbl>
    <w:p w14:paraId="3C8F564F" w14:textId="4D22DAC3" w:rsidR="00931D57" w:rsidRDefault="00931D57" w:rsidP="00931D5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25E5F9F2" w14:textId="77777777" w:rsidTr="00721FBA">
        <w:trPr>
          <w:tblHeader/>
        </w:trPr>
        <w:tc>
          <w:tcPr>
            <w:tcW w:w="5000" w:type="pct"/>
            <w:tcBorders>
              <w:top w:val="single" w:sz="6" w:space="0" w:color="78A22F"/>
              <w:left w:val="nil"/>
              <w:bottom w:val="nil"/>
              <w:right w:val="nil"/>
            </w:tcBorders>
            <w:shd w:val="clear" w:color="auto" w:fill="F2F2F2"/>
          </w:tcPr>
          <w:p w14:paraId="61EEEC24" w14:textId="24210B46" w:rsidR="00931D57" w:rsidRDefault="00931D57" w:rsidP="00721FBA">
            <w:pPr>
              <w:pStyle w:val="BoxTitle"/>
            </w:pPr>
            <w:r>
              <w:rPr>
                <w:b w:val="0"/>
              </w:rPr>
              <w:t>Box 2.1</w:t>
            </w:r>
            <w:r>
              <w:tab/>
              <w:t>Mental health funding provided to Primary Health Networks</w:t>
            </w:r>
          </w:p>
        </w:tc>
      </w:tr>
      <w:tr w:rsidR="00931D57" w14:paraId="49F33090" w14:textId="77777777" w:rsidTr="00721FBA">
        <w:tc>
          <w:tcPr>
            <w:tcW w:w="5000" w:type="pct"/>
            <w:tcBorders>
              <w:top w:val="nil"/>
              <w:left w:val="nil"/>
              <w:bottom w:val="nil"/>
              <w:right w:val="nil"/>
            </w:tcBorders>
            <w:shd w:val="clear" w:color="auto" w:fill="F2F2F2"/>
          </w:tcPr>
          <w:p w14:paraId="1467ADCF" w14:textId="3CC2FA8B" w:rsidR="00931D57" w:rsidRPr="00F80B93" w:rsidRDefault="00157E41" w:rsidP="00721FBA">
            <w:pPr>
              <w:pStyle w:val="Box"/>
            </w:pPr>
            <w:r>
              <w:t>The</w:t>
            </w:r>
            <w:r w:rsidR="00931D57">
              <w:t xml:space="preserve"> 31 </w:t>
            </w:r>
            <w:r w:rsidR="00931D57" w:rsidRPr="00F80B93">
              <w:t>Primary Health Networks</w:t>
            </w:r>
            <w:r w:rsidR="00931D57">
              <w:t xml:space="preserve"> (PHNs)</w:t>
            </w:r>
            <w:r w:rsidR="00931D57" w:rsidRPr="00F80B93">
              <w:t xml:space="preserve"> across Australia </w:t>
            </w:r>
            <w:r w:rsidR="00931D57" w:rsidRPr="00183ED6">
              <w:t xml:space="preserve">are </w:t>
            </w:r>
            <w:r w:rsidR="00931D57">
              <w:t xml:space="preserve">independent organisations </w:t>
            </w:r>
            <w:r w:rsidR="00931D57" w:rsidRPr="00183ED6">
              <w:t>funded by the Australian Government</w:t>
            </w:r>
            <w:r w:rsidR="00931D57">
              <w:t xml:space="preserve"> </w:t>
            </w:r>
            <w:r w:rsidR="00931D57" w:rsidRPr="003C7E02">
              <w:t xml:space="preserve">to commission </w:t>
            </w:r>
            <w:r w:rsidR="00931D57">
              <w:t>health services, of which mental health is one area of focus.</w:t>
            </w:r>
            <w:r>
              <w:t xml:space="preserve"> </w:t>
            </w:r>
            <w:r w:rsidR="00931D57">
              <w:t xml:space="preserve">PHN funding for </w:t>
            </w:r>
            <w:r w:rsidR="00931D57" w:rsidRPr="00F80B93">
              <w:t>mental health</w:t>
            </w:r>
            <w:r w:rsidR="00931D57">
              <w:t xml:space="preserve"> services is provided via </w:t>
            </w:r>
            <w:r w:rsidR="00931D57" w:rsidRPr="00F80B93">
              <w:t xml:space="preserve">the </w:t>
            </w:r>
            <w:r w:rsidR="00931D57">
              <w:t>Mental Health Care Flexible Funding Pool (the funding pool)</w:t>
            </w:r>
            <w:r w:rsidR="00931D57" w:rsidRPr="00F80B93">
              <w:t xml:space="preserve">. </w:t>
            </w:r>
            <w:r w:rsidR="00931D57">
              <w:t>S</w:t>
            </w:r>
            <w:r w:rsidR="00931D57" w:rsidRPr="00F80B93">
              <w:t xml:space="preserve">ome decisions about </w:t>
            </w:r>
            <w:r w:rsidR="00C6274D">
              <w:t xml:space="preserve">the </w:t>
            </w:r>
            <w:r w:rsidR="00931D57">
              <w:t>use of the</w:t>
            </w:r>
            <w:r w:rsidR="00886AD6">
              <w:t>se</w:t>
            </w:r>
            <w:r w:rsidR="00931D57">
              <w:t xml:space="preserve"> fund</w:t>
            </w:r>
            <w:r w:rsidR="00886AD6">
              <w:t>s</w:t>
            </w:r>
            <w:r w:rsidR="00931D57">
              <w:t xml:space="preserve"> </w:t>
            </w:r>
            <w:r w:rsidR="00931D57" w:rsidRPr="00F80B93">
              <w:t>have been devolved to PHNs</w:t>
            </w:r>
            <w:r w:rsidR="00931D57">
              <w:t>,</w:t>
            </w:r>
            <w:r w:rsidR="00931D57" w:rsidRPr="00F80B93">
              <w:t xml:space="preserve"> </w:t>
            </w:r>
            <w:r w:rsidR="00931D57">
              <w:t>while others are</w:t>
            </w:r>
            <w:r w:rsidR="00931D57" w:rsidRPr="00F80B93">
              <w:t xml:space="preserve"> made centrally by the Department of Health</w:t>
            </w:r>
            <w:r w:rsidR="00931D57">
              <w:t>.</w:t>
            </w:r>
          </w:p>
          <w:p w14:paraId="6883A78E" w14:textId="77777777" w:rsidR="00931D57" w:rsidRDefault="00931D57" w:rsidP="00721FBA">
            <w:pPr>
              <w:pStyle w:val="BoxListBullet"/>
            </w:pPr>
            <w:r>
              <w:t>About one third of the funding pool is committed to headspace services (including the headspace early psychosis youth service).</w:t>
            </w:r>
            <w:r w:rsidRPr="00F80B93">
              <w:t xml:space="preserve"> </w:t>
            </w:r>
          </w:p>
          <w:p w14:paraId="1DBFDCC3" w14:textId="77777777" w:rsidR="00931D57" w:rsidRDefault="00931D57" w:rsidP="00721FBA">
            <w:pPr>
              <w:pStyle w:val="BoxListBullet"/>
            </w:pPr>
            <w:r>
              <w:t>A further (approximately) 8 per cent of the funding pool is hypothecated to mental health services for Aboriginal and Torres Strait Islander people.</w:t>
            </w:r>
          </w:p>
          <w:p w14:paraId="6484E713" w14:textId="058AACAA" w:rsidR="00931D57" w:rsidRDefault="00931D57" w:rsidP="00721FBA">
            <w:pPr>
              <w:pStyle w:val="BoxListBullet"/>
            </w:pPr>
            <w:r w:rsidRPr="00F80B93">
              <w:t>PHNs have discretion over how the</w:t>
            </w:r>
            <w:r>
              <w:t xml:space="preserve"> remainder (approximately 60 per cent) of the funding pool is spent — though the Department of Health issues guidance documents that outline the various priority areas for PHN commissioning.</w:t>
            </w:r>
          </w:p>
          <w:p w14:paraId="59A1B39F" w14:textId="77777777" w:rsidR="00931D57" w:rsidRDefault="00931D57" w:rsidP="00721FBA">
            <w:pPr>
              <w:pStyle w:val="BoxListBullet"/>
              <w:numPr>
                <w:ilvl w:val="0"/>
                <w:numId w:val="0"/>
              </w:numPr>
              <w:ind w:left="284" w:hanging="284"/>
            </w:pPr>
            <w:r>
              <w:t>Data provided to this stocktake suggest that in 2019</w:t>
            </w:r>
            <w:r>
              <w:noBreakHyphen/>
              <w:t>20:</w:t>
            </w:r>
          </w:p>
          <w:p w14:paraId="2B74ADEF" w14:textId="0EBD53A8" w:rsidR="00931D57" w:rsidRPr="00960DA4" w:rsidRDefault="00931D57" w:rsidP="00721FBA">
            <w:pPr>
              <w:pStyle w:val="BoxListBullet"/>
            </w:pPr>
            <w:r>
              <w:t>over half of Australian Government funding provided to PHNs to commission mental health services was spent on primary care (which includes l</w:t>
            </w:r>
            <w:r w:rsidRPr="008B2B73">
              <w:t>ow</w:t>
            </w:r>
            <w:r w:rsidR="000565BA">
              <w:noBreakHyphen/>
            </w:r>
            <w:r w:rsidRPr="008B2B73">
              <w:t xml:space="preserve">intensity services, psychological therapies for </w:t>
            </w:r>
            <w:r w:rsidRPr="00960DA4">
              <w:t>people in underserviced and/or hard to reach populations and primary mental health care for people with severe mental illness)</w:t>
            </w:r>
            <w:r>
              <w:t xml:space="preserve">; </w:t>
            </w:r>
            <w:r w:rsidRPr="00960DA4">
              <w:t>headspace falls in this category</w:t>
            </w:r>
          </w:p>
          <w:p w14:paraId="36417521" w14:textId="67FE5F3E" w:rsidR="00931D57" w:rsidRDefault="00931D57" w:rsidP="00721FBA">
            <w:pPr>
              <w:pStyle w:val="BoxListBullet"/>
            </w:pPr>
            <w:r>
              <w:t>about a quarter of the funding provided to PHNs was spent on psychosocial supports. Early intervention services (</w:t>
            </w:r>
            <w:r w:rsidR="0036473F">
              <w:t>such as</w:t>
            </w:r>
            <w:r w:rsidRPr="00EC1BE5">
              <w:t xml:space="preserve"> support </w:t>
            </w:r>
            <w:r w:rsidR="0036473F">
              <w:t>for</w:t>
            </w:r>
            <w:r w:rsidRPr="00EC1BE5">
              <w:t xml:space="preserve"> young people with, or at risk of, severe mental illness managed in the primary care setting, including those presenting with early psychosis</w:t>
            </w:r>
            <w:r>
              <w:t>) and suicide prevention accounted for the remainder</w:t>
            </w:r>
          </w:p>
          <w:p w14:paraId="153619DE" w14:textId="0A4E64C8" w:rsidR="00931D57" w:rsidRDefault="00931D57" w:rsidP="00721FBA">
            <w:pPr>
              <w:pStyle w:val="BoxListBullet"/>
              <w:rPr>
                <w:rStyle w:val="DraftingNote"/>
                <w:b w:val="0"/>
                <w:color w:val="auto"/>
                <w:sz w:val="20"/>
                <w:u w:val="none"/>
              </w:rPr>
            </w:pPr>
            <w:r w:rsidRPr="00F06B61">
              <w:rPr>
                <w:rStyle w:val="DraftingNote"/>
                <w:b w:val="0"/>
                <w:color w:val="auto"/>
                <w:sz w:val="20"/>
                <w:u w:val="none"/>
              </w:rPr>
              <w:t>PHN</w:t>
            </w:r>
            <w:r>
              <w:rPr>
                <w:rStyle w:val="DraftingNote"/>
                <w:b w:val="0"/>
                <w:color w:val="auto"/>
                <w:sz w:val="20"/>
                <w:u w:val="none"/>
              </w:rPr>
              <w:t xml:space="preserve"> funding wa</w:t>
            </w:r>
            <w:r w:rsidRPr="00232984">
              <w:rPr>
                <w:rStyle w:val="DraftingNote"/>
                <w:b w:val="0"/>
                <w:color w:val="auto"/>
                <w:sz w:val="20"/>
                <w:u w:val="none"/>
              </w:rPr>
              <w:t>s</w:t>
            </w:r>
            <w:r>
              <w:rPr>
                <w:rStyle w:val="DraftingNote"/>
                <w:b w:val="0"/>
                <w:color w:val="auto"/>
                <w:sz w:val="20"/>
                <w:u w:val="none"/>
              </w:rPr>
              <w:t xml:space="preserve"> </w:t>
            </w:r>
            <w:r w:rsidR="00EC4D3B">
              <w:rPr>
                <w:rStyle w:val="DraftingNote"/>
                <w:b w:val="0"/>
                <w:color w:val="auto"/>
                <w:sz w:val="20"/>
                <w:u w:val="none"/>
              </w:rPr>
              <w:t>allocated</w:t>
            </w:r>
            <w:r>
              <w:rPr>
                <w:rStyle w:val="DraftingNote"/>
                <w:b w:val="0"/>
                <w:color w:val="auto"/>
                <w:sz w:val="20"/>
                <w:u w:val="none"/>
              </w:rPr>
              <w:t xml:space="preserve"> </w:t>
            </w:r>
            <w:r w:rsidRPr="00077C67">
              <w:t>different</w:t>
            </w:r>
            <w:r w:rsidR="00EC4D3B" w:rsidRPr="00077C67">
              <w:t>l</w:t>
            </w:r>
            <w:r w:rsidR="00EC4D3B" w:rsidRPr="00077C67">
              <w:rPr>
                <w:bCs/>
              </w:rPr>
              <w:t>y</w:t>
            </w:r>
            <w:r w:rsidRPr="00077C67">
              <w:t xml:space="preserve"> across </w:t>
            </w:r>
            <w:r w:rsidR="00EC4D3B">
              <w:t xml:space="preserve">jurisdictions </w:t>
            </w:r>
            <w:r w:rsidRPr="00155164">
              <w:t xml:space="preserve">— for example, primary health care accounted for between 48 and 66 per cent of total PHN funding depending on the jurisdiction, while early intervention </w:t>
            </w:r>
            <w:r>
              <w:t>programs</w:t>
            </w:r>
            <w:r w:rsidRPr="00155164">
              <w:t xml:space="preserve"> absorbed</w:t>
            </w:r>
            <w:r w:rsidRPr="00077C67">
              <w:t xml:space="preserve"> </w:t>
            </w:r>
            <w:r w:rsidRPr="00155164">
              <w:t>between 6</w:t>
            </w:r>
            <w:r w:rsidRPr="00077C67">
              <w:t xml:space="preserve"> and 19 per cent</w:t>
            </w:r>
            <w:r w:rsidR="00EC4D3B" w:rsidRPr="00077C67">
              <w:t xml:space="preserve"> (figure below)</w:t>
            </w:r>
            <w:r w:rsidRPr="00077C67">
              <w:t>.</w:t>
            </w:r>
            <w:r>
              <w:rPr>
                <w:rStyle w:val="DraftingNote"/>
                <w:b w:val="0"/>
                <w:color w:val="auto"/>
                <w:sz w:val="20"/>
                <w:u w:val="none"/>
              </w:rPr>
              <w:t xml:space="preserve"> </w:t>
            </w:r>
          </w:p>
          <w:p w14:paraId="08373B86" w14:textId="0433B022" w:rsidR="00931D57" w:rsidRDefault="00DD4EF1" w:rsidP="00F15806">
            <w:pPr>
              <w:pStyle w:val="Box"/>
            </w:pPr>
            <w:r w:rsidRPr="00DD4EF1">
              <w:rPr>
                <w:noProof/>
              </w:rPr>
              <w:drawing>
                <wp:inline distT="0" distB="0" distL="0" distR="0" wp14:anchorId="1E666FAA" wp14:editId="3564AC4B">
                  <wp:extent cx="5266055" cy="2988945"/>
                  <wp:effectExtent l="0" t="0" r="0" b="0"/>
                  <wp:docPr id="5" name="Picture 5" descr="Box 2.1 This is a stacked bar chart showing the proportions of Primary Health Network (PHN) funding going to various types of mental health services in each state and territory. PHN funding was allocated differently across jurisdictions — for example, primary health care accounted for between 48 and 66 per cent of total PHN funding depending on the jurisdiction, while early intervention programs absorbed between 6 and 19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ox 2.1 This is a stacked bar chart showing the proportions of Primary Health Network (PHN) funding going to various types of mental health services in each state and territory. PHN funding was allocated differently across jurisdictions — for example, primary health care accounted for between 48 and 66 per cent of total PHN funding depending on the jurisdiction, while early intervention programs absorbed between 6 and 19 per c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66055" cy="2988945"/>
                          </a:xfrm>
                          <a:prstGeom prst="rect">
                            <a:avLst/>
                          </a:prstGeom>
                          <a:noFill/>
                          <a:ln>
                            <a:noFill/>
                          </a:ln>
                        </pic:spPr>
                      </pic:pic>
                    </a:graphicData>
                  </a:graphic>
                </wp:inline>
              </w:drawing>
            </w:r>
          </w:p>
        </w:tc>
      </w:tr>
      <w:tr w:rsidR="00931D57" w14:paraId="7C26FCE6" w14:textId="77777777" w:rsidTr="00721FBA">
        <w:tc>
          <w:tcPr>
            <w:tcW w:w="5000" w:type="pct"/>
            <w:tcBorders>
              <w:top w:val="nil"/>
              <w:left w:val="nil"/>
              <w:bottom w:val="nil"/>
              <w:right w:val="nil"/>
            </w:tcBorders>
            <w:shd w:val="clear" w:color="auto" w:fill="F2F2F2"/>
          </w:tcPr>
          <w:p w14:paraId="119AD696" w14:textId="1FF2CDE4" w:rsidR="00931D57" w:rsidRDefault="00931D57" w:rsidP="00721FBA">
            <w:pPr>
              <w:pStyle w:val="BoxSource"/>
            </w:pPr>
            <w:r>
              <w:rPr>
                <w:i/>
              </w:rPr>
              <w:t>Sources</w:t>
            </w:r>
            <w:r w:rsidRPr="00167F06">
              <w:t>:</w:t>
            </w:r>
            <w:r>
              <w:t xml:space="preserve"> D</w:t>
            </w:r>
            <w:r w:rsidRPr="00453218">
              <w:t>ata provided by Australian, State and Territory Governments</w:t>
            </w:r>
            <w:r>
              <w:t xml:space="preserve">; </w:t>
            </w:r>
            <w:proofErr w:type="spellStart"/>
            <w:r w:rsidR="002E0E49">
              <w:t>DoH</w:t>
            </w:r>
            <w:proofErr w:type="spellEnd"/>
            <w:r>
              <w:t xml:space="preserve"> </w:t>
            </w:r>
            <w:r w:rsidR="00530620" w:rsidRPr="00530620">
              <w:rPr>
                <w:rFonts w:cs="Arial"/>
              </w:rPr>
              <w:t>(2019)</w:t>
            </w:r>
            <w:r>
              <w:t xml:space="preserve">; Health Direct </w:t>
            </w:r>
            <w:r w:rsidR="00530620" w:rsidRPr="00530620">
              <w:rPr>
                <w:rFonts w:cs="Arial"/>
              </w:rPr>
              <w:t>(2021)</w:t>
            </w:r>
            <w:r>
              <w:t>; PC</w:t>
            </w:r>
            <w:r w:rsidRPr="00167F06">
              <w:t xml:space="preserve"> </w:t>
            </w:r>
            <w:r w:rsidRPr="00D94378">
              <w:rPr>
                <w:rFonts w:cs="Arial"/>
              </w:rPr>
              <w:t>(2020)</w:t>
            </w:r>
            <w:r>
              <w:t>.</w:t>
            </w:r>
          </w:p>
        </w:tc>
      </w:tr>
      <w:tr w:rsidR="00931D57" w14:paraId="4CCB65E2" w14:textId="77777777" w:rsidTr="00721FBA">
        <w:tc>
          <w:tcPr>
            <w:tcW w:w="5000" w:type="pct"/>
            <w:tcBorders>
              <w:top w:val="nil"/>
              <w:left w:val="nil"/>
              <w:bottom w:val="single" w:sz="6" w:space="0" w:color="78A22F"/>
              <w:right w:val="nil"/>
            </w:tcBorders>
            <w:shd w:val="clear" w:color="auto" w:fill="F2F2F2"/>
          </w:tcPr>
          <w:p w14:paraId="7EC0FD89" w14:textId="77777777" w:rsidR="00931D57" w:rsidRDefault="00931D57" w:rsidP="00721FBA">
            <w:pPr>
              <w:pStyle w:val="Box"/>
              <w:spacing w:before="0" w:line="120" w:lineRule="exact"/>
            </w:pPr>
          </w:p>
        </w:tc>
      </w:tr>
      <w:tr w:rsidR="00931D57" w:rsidRPr="000863A5" w14:paraId="15CC0459" w14:textId="77777777" w:rsidTr="00721FBA">
        <w:tc>
          <w:tcPr>
            <w:tcW w:w="5000" w:type="pct"/>
            <w:tcBorders>
              <w:top w:val="single" w:sz="6" w:space="0" w:color="78A22F"/>
              <w:left w:val="nil"/>
              <w:bottom w:val="nil"/>
              <w:right w:val="nil"/>
            </w:tcBorders>
          </w:tcPr>
          <w:p w14:paraId="32106558" w14:textId="4D2F5982" w:rsidR="00931D57" w:rsidRDefault="00931D57" w:rsidP="00721FBA">
            <w:pPr>
              <w:pStyle w:val="BoxSpaceBelow"/>
              <w:rPr>
                <w:rFonts w:ascii="Times New Roman" w:hAnsi="Times New Roman"/>
                <w:b/>
                <w:color w:val="FF00FF"/>
              </w:rPr>
            </w:pPr>
          </w:p>
          <w:p w14:paraId="3A0CBD6E" w14:textId="77777777" w:rsidR="00931D57" w:rsidRPr="00626D32" w:rsidRDefault="00931D57" w:rsidP="00721FBA">
            <w:pPr>
              <w:pStyle w:val="BoxSpaceBelow"/>
            </w:pPr>
          </w:p>
        </w:tc>
      </w:tr>
    </w:tbl>
    <w:p w14:paraId="4ECF8693" w14:textId="1E0CD59B" w:rsidR="00931D57" w:rsidRDefault="00931D57" w:rsidP="00931D57">
      <w:pPr>
        <w:pStyle w:val="BodyText"/>
      </w:pPr>
      <w:r>
        <w:t xml:space="preserve">Almost all of the government </w:t>
      </w:r>
      <w:r w:rsidR="007F5FFE">
        <w:t xml:space="preserve">funding </w:t>
      </w:r>
      <w:r>
        <w:t>reported for this stocktake</w:t>
      </w:r>
      <w:r w:rsidR="009749F0">
        <w:t xml:space="preserve"> — </w:t>
      </w:r>
      <w:r w:rsidR="009749F0" w:rsidRPr="000504E1">
        <w:t>96 </w:t>
      </w:r>
      <w:r w:rsidR="009749F0">
        <w:t>per cent of total expenditure in 2019</w:t>
      </w:r>
      <w:r w:rsidR="009749F0">
        <w:noBreakHyphen/>
        <w:t>20 —</w:t>
      </w:r>
      <w:r>
        <w:t xml:space="preserve"> was identified as recurrent and ongoing spend that was not expected to terminate</w:t>
      </w:r>
      <w:r w:rsidDel="00895822">
        <w:t xml:space="preserve">. </w:t>
      </w:r>
      <w:r>
        <w:t>There has been a slight rise in recurrent and terminating expenditure since 2018</w:t>
      </w:r>
      <w:r>
        <w:noBreakHyphen/>
        <w:t>19, as governments provided additional short-term funding for mental health support programs in response to the COVID</w:t>
      </w:r>
      <w:r>
        <w:noBreakHyphen/>
        <w:t>19 pandemic and the 2019</w:t>
      </w:r>
      <w:r>
        <w:noBreakHyphen/>
        <w:t>20 bushfires.</w:t>
      </w:r>
    </w:p>
    <w:p w14:paraId="0A6A90BE" w14:textId="7EEE2E6E" w:rsidR="00931D57" w:rsidRPr="00FB1711" w:rsidRDefault="00931D57" w:rsidP="00931D57">
      <w:pPr>
        <w:pStyle w:val="Heading3"/>
        <w:rPr>
          <w:rStyle w:val="DraftingNote"/>
          <w:color w:val="auto"/>
        </w:rPr>
      </w:pPr>
      <w:r>
        <w:t>Most</w:t>
      </w:r>
      <w:r w:rsidR="00A825CC">
        <w:t xml:space="preserve"> program</w:t>
      </w:r>
      <w:r>
        <w:t xml:space="preserve"> expenditure is from the health po</w:t>
      </w:r>
      <w:r w:rsidRPr="00FB1711">
        <w:t>rtfolio</w:t>
      </w:r>
    </w:p>
    <w:p w14:paraId="353F8C9C" w14:textId="581E0EA3" w:rsidR="00931D57" w:rsidRDefault="004F3FCC" w:rsidP="00931D57">
      <w:pPr>
        <w:pStyle w:val="BodyText"/>
      </w:pPr>
      <w:r>
        <w:t>Across the Australian, State and Territory Governments</w:t>
      </w:r>
      <w:r w:rsidR="00931D57">
        <w:t xml:space="preserve">, the majority of </w:t>
      </w:r>
      <w:r w:rsidR="00BB3E25">
        <w:t>reported</w:t>
      </w:r>
      <w:r w:rsidR="00931D57">
        <w:t xml:space="preserve"> expenditure on mental health and suicide prevention programs came from health portfolio</w:t>
      </w:r>
      <w:r w:rsidR="00884E49">
        <w:t>s,</w:t>
      </w:r>
      <w:r w:rsidR="00931D57">
        <w:t xml:space="preserve"> </w:t>
      </w:r>
      <w:r>
        <w:t xml:space="preserve">which </w:t>
      </w:r>
      <w:r w:rsidR="00931D57">
        <w:t xml:space="preserve">reported </w:t>
      </w:r>
      <w:r w:rsidR="00931D57" w:rsidRPr="00F252BE">
        <w:t>$</w:t>
      </w:r>
      <w:r w:rsidR="00931D57" w:rsidRPr="00F252BE" w:rsidDel="00363A2E">
        <w:t>1</w:t>
      </w:r>
      <w:r w:rsidR="00363A2E" w:rsidRPr="00F252BE">
        <w:t>2.1</w:t>
      </w:r>
      <w:r w:rsidR="00931D57">
        <w:t xml:space="preserve"> billion in funding in 2019-20. </w:t>
      </w:r>
      <w:r w:rsidR="00F578B0">
        <w:t xml:space="preserve">Program </w:t>
      </w:r>
      <w:r w:rsidR="00931D57">
        <w:t xml:space="preserve">expenditure by </w:t>
      </w:r>
      <w:r w:rsidR="00F303E9">
        <w:t xml:space="preserve">health portfolios across </w:t>
      </w:r>
      <w:r w:rsidR="00931D57">
        <w:t xml:space="preserve">State and Territory Governments was generally about </w:t>
      </w:r>
      <w:r w:rsidR="00931D57" w:rsidRPr="00F252BE">
        <w:t>90</w:t>
      </w:r>
      <w:r w:rsidR="00931D57">
        <w:t xml:space="preserve"> per cent of total </w:t>
      </w:r>
      <w:r w:rsidR="009358D4">
        <w:t xml:space="preserve">reported </w:t>
      </w:r>
      <w:r w:rsidR="00931D57">
        <w:t xml:space="preserve">spend (figure 2.3). At the Commonwealth level, health </w:t>
      </w:r>
      <w:r w:rsidR="0049090C">
        <w:t xml:space="preserve">program </w:t>
      </w:r>
      <w:r w:rsidR="00931D57">
        <w:t xml:space="preserve">expenditure represented a lower </w:t>
      </w:r>
      <w:r w:rsidR="00931D57" w:rsidRPr="00F252BE">
        <w:t>74</w:t>
      </w:r>
      <w:r w:rsidR="00931D57">
        <w:t> per cent of total</w:t>
      </w:r>
      <w:r w:rsidR="0049090C">
        <w:t xml:space="preserve"> reported</w:t>
      </w:r>
      <w:r w:rsidR="00931D57">
        <w:t xml:space="preserve"> spend. This reflects the significant funding </w:t>
      </w:r>
      <w:r w:rsidR="00D31736">
        <w:t>($</w:t>
      </w:r>
      <w:r w:rsidR="00D31736" w:rsidRPr="00545E8B">
        <w:t>1.2</w:t>
      </w:r>
      <w:r w:rsidR="00D31736">
        <w:t xml:space="preserve"> billion) </w:t>
      </w:r>
      <w:r w:rsidR="00931D57">
        <w:t xml:space="preserve">provided by the Australian Government for mental health supports under the National Disability Insurance Scheme (NDIS), which sits outside the health portfolio. </w:t>
      </w:r>
    </w:p>
    <w:p w14:paraId="6202105D" w14:textId="2C89B4EF" w:rsidR="00931D57" w:rsidRPr="00FB1711" w:rsidRDefault="00931D57" w:rsidP="00FB171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05555389" w14:textId="77777777" w:rsidTr="00721FBA">
        <w:trPr>
          <w:tblHeader/>
        </w:trPr>
        <w:tc>
          <w:tcPr>
            <w:tcW w:w="5000" w:type="pct"/>
            <w:tcBorders>
              <w:top w:val="single" w:sz="6" w:space="0" w:color="78A22F" w:themeColor="accent1"/>
              <w:left w:val="nil"/>
              <w:bottom w:val="nil"/>
              <w:right w:val="nil"/>
            </w:tcBorders>
            <w:shd w:val="clear" w:color="auto" w:fill="auto"/>
          </w:tcPr>
          <w:p w14:paraId="043ABBDF" w14:textId="64A786DB" w:rsidR="00931D57" w:rsidRDefault="00931D57" w:rsidP="00721FBA">
            <w:pPr>
              <w:pStyle w:val="FigureTitle"/>
            </w:pPr>
            <w:r w:rsidRPr="00784A05">
              <w:rPr>
                <w:b w:val="0"/>
              </w:rPr>
              <w:t xml:space="preserve">Figure </w:t>
            </w:r>
            <w:r>
              <w:rPr>
                <w:b w:val="0"/>
              </w:rPr>
              <w:t>2.3</w:t>
            </w:r>
            <w:r>
              <w:tab/>
              <w:t xml:space="preserve">The health portfolio funded the majority of </w:t>
            </w:r>
            <w:r w:rsidR="00C3392D">
              <w:t xml:space="preserve">reported </w:t>
            </w:r>
            <w:r>
              <w:t xml:space="preserve">mental health and suicide prevention </w:t>
            </w:r>
            <w:r w:rsidR="00824658">
              <w:t xml:space="preserve">program </w:t>
            </w:r>
            <w:r>
              <w:t xml:space="preserve">expenditure </w:t>
            </w:r>
          </w:p>
          <w:p w14:paraId="5C4605B2" w14:textId="77777777" w:rsidR="00931D57" w:rsidRPr="00176D3F" w:rsidRDefault="00931D57" w:rsidP="00721FBA">
            <w:pPr>
              <w:pStyle w:val="Subtitle"/>
            </w:pPr>
            <w:r>
              <w:t>Distribution of each jurisdiction’s spend by portfolio, 2019-20</w:t>
            </w:r>
          </w:p>
        </w:tc>
      </w:tr>
      <w:tr w:rsidR="00931D57" w14:paraId="3A890F76" w14:textId="77777777" w:rsidTr="00721FBA">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31D57" w:rsidRPr="00B1465D" w14:paraId="011B91F5" w14:textId="77777777" w:rsidTr="00721FBA">
              <w:trPr>
                <w:tblHeader/>
                <w:jc w:val="center"/>
              </w:trPr>
              <w:tc>
                <w:tcPr>
                  <w:tcW w:w="5000" w:type="pct"/>
                  <w:tcBorders>
                    <w:top w:val="nil"/>
                    <w:bottom w:val="nil"/>
                  </w:tcBorders>
                </w:tcPr>
                <w:p w14:paraId="35726864" w14:textId="72DBA3D1" w:rsidR="00931D57" w:rsidRPr="00B1465D" w:rsidRDefault="00C54EB4" w:rsidP="00721FBA">
                  <w:pPr>
                    <w:pStyle w:val="Figure"/>
                    <w:spacing w:before="60" w:after="60"/>
                    <w:rPr>
                      <w:rFonts w:ascii="Arial" w:hAnsi="Arial" w:cs="Arial"/>
                      <w:sz w:val="18"/>
                      <w:szCs w:val="18"/>
                    </w:rPr>
                  </w:pPr>
                  <w:r w:rsidRPr="00C54EB4">
                    <w:rPr>
                      <w:rFonts w:ascii="Arial" w:hAnsi="Arial" w:cs="Arial"/>
                      <w:noProof/>
                      <w:sz w:val="18"/>
                      <w:szCs w:val="18"/>
                    </w:rPr>
                    <w:drawing>
                      <wp:inline distT="0" distB="0" distL="0" distR="0" wp14:anchorId="55F0F24F" wp14:editId="480F47C0">
                        <wp:extent cx="5327015" cy="3742690"/>
                        <wp:effectExtent l="0" t="0" r="6985" b="0"/>
                        <wp:docPr id="14" name="Picture 14" descr="Figure 2.3 This is a stacked bar chart showing the distribution of each jurisdiction’s spend by portfolio in 2019-20. It shows expenditure for the health, education, justice and corrections, police and other emergency portfolios, and remaining agencies. Health portfolio expenditure by State and Territory Governments was generally about 90 per cent of total spend. At the Commonwealth level, health expenditure represented 74 per cent of total spend. The education portfolio represented the second largest source of spend — around 5 to 8 per cent of total expenditure — for most State and Territory Govern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2.3 This is a stacked bar chart showing the distribution of each jurisdiction’s spend by portfolio in 2019-20. It shows expenditure for the health, education, justice and corrections, police and other emergency portfolios, and remaining agencies. Health portfolio expenditure by State and Territory Governments was generally about 90 per cent of total spend. At the Commonwealth level, health expenditure represented 74 per cent of total spend. The education portfolio represented the second largest source of spend — around 5 to 8 per cent of total expenditure — for most State and Territory Government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27015" cy="3742690"/>
                                </a:xfrm>
                                <a:prstGeom prst="rect">
                                  <a:avLst/>
                                </a:prstGeom>
                                <a:noFill/>
                                <a:ln>
                                  <a:noFill/>
                                </a:ln>
                              </pic:spPr>
                            </pic:pic>
                          </a:graphicData>
                        </a:graphic>
                      </wp:inline>
                    </w:drawing>
                  </w:r>
                </w:p>
              </w:tc>
            </w:tr>
          </w:tbl>
          <w:p w14:paraId="19BB1E60" w14:textId="77777777" w:rsidR="00931D57" w:rsidRDefault="00931D57" w:rsidP="00721FBA">
            <w:pPr>
              <w:pStyle w:val="Figure"/>
            </w:pPr>
          </w:p>
        </w:tc>
      </w:tr>
      <w:tr w:rsidR="00931D57" w:rsidRPr="00176D3F" w14:paraId="50B3D7D8" w14:textId="77777777" w:rsidTr="00721FBA">
        <w:tc>
          <w:tcPr>
            <w:tcW w:w="5000" w:type="pct"/>
            <w:tcBorders>
              <w:top w:val="nil"/>
              <w:left w:val="nil"/>
              <w:bottom w:val="nil"/>
              <w:right w:val="nil"/>
            </w:tcBorders>
            <w:shd w:val="clear" w:color="auto" w:fill="auto"/>
          </w:tcPr>
          <w:p w14:paraId="3722E4E4" w14:textId="77777777" w:rsidR="00931D57" w:rsidRPr="00176D3F" w:rsidRDefault="00931D57" w:rsidP="00721FBA">
            <w:pPr>
              <w:pStyle w:val="Source"/>
            </w:pPr>
            <w:r w:rsidRPr="00784A05">
              <w:rPr>
                <w:i/>
              </w:rPr>
              <w:t>Data source</w:t>
            </w:r>
            <w:r w:rsidRPr="00176D3F">
              <w:t xml:space="preserve">: </w:t>
            </w:r>
            <w:r>
              <w:t>Data provided by Australian, State and Territory Governments.</w:t>
            </w:r>
          </w:p>
        </w:tc>
      </w:tr>
      <w:tr w:rsidR="00931D57" w14:paraId="3B8E5D57" w14:textId="77777777" w:rsidTr="00721FBA">
        <w:tc>
          <w:tcPr>
            <w:tcW w:w="5000" w:type="pct"/>
            <w:tcBorders>
              <w:top w:val="nil"/>
              <w:left w:val="nil"/>
              <w:bottom w:val="single" w:sz="6" w:space="0" w:color="78A22F" w:themeColor="accent1"/>
              <w:right w:val="nil"/>
            </w:tcBorders>
            <w:shd w:val="clear" w:color="auto" w:fill="auto"/>
          </w:tcPr>
          <w:p w14:paraId="1E6C4B38" w14:textId="77777777" w:rsidR="00931D57" w:rsidRDefault="00931D57" w:rsidP="00721FBA">
            <w:pPr>
              <w:pStyle w:val="Figurespace"/>
            </w:pPr>
          </w:p>
        </w:tc>
      </w:tr>
      <w:tr w:rsidR="00931D57" w:rsidRPr="000863A5" w14:paraId="094BBE3F" w14:textId="77777777" w:rsidTr="00721FBA">
        <w:tc>
          <w:tcPr>
            <w:tcW w:w="5000" w:type="pct"/>
            <w:tcBorders>
              <w:top w:val="single" w:sz="6" w:space="0" w:color="78A22F" w:themeColor="accent1"/>
              <w:left w:val="nil"/>
              <w:bottom w:val="nil"/>
              <w:right w:val="nil"/>
            </w:tcBorders>
          </w:tcPr>
          <w:p w14:paraId="5F9F9CB5" w14:textId="39EEED19" w:rsidR="00931D57" w:rsidRPr="00626D32" w:rsidRDefault="00931D57" w:rsidP="00721FBA">
            <w:pPr>
              <w:pStyle w:val="BoxSpaceBelow"/>
            </w:pPr>
          </w:p>
        </w:tc>
      </w:tr>
    </w:tbl>
    <w:p w14:paraId="39CE3F58" w14:textId="2E903738" w:rsidR="00931D57" w:rsidRPr="00FB1711" w:rsidRDefault="00931D57" w:rsidP="00931D57">
      <w:pPr>
        <w:pStyle w:val="BodyText"/>
        <w:rPr>
          <w:spacing w:val="-4"/>
        </w:rPr>
      </w:pPr>
      <w:r w:rsidRPr="00FB1711">
        <w:rPr>
          <w:spacing w:val="-4"/>
        </w:rPr>
        <w:t>Agencies in education portfolios across all governments reported $461 million in funding for mental health and suicide prevention programs in 2019</w:t>
      </w:r>
      <w:r w:rsidRPr="00FB1711">
        <w:rPr>
          <w:spacing w:val="-4"/>
        </w:rPr>
        <w:noBreakHyphen/>
        <w:t>20</w:t>
      </w:r>
      <w:r w:rsidR="00A04E81" w:rsidRPr="00FB1711">
        <w:rPr>
          <w:spacing w:val="-4"/>
        </w:rPr>
        <w:t xml:space="preserve">, of which $388 million </w:t>
      </w:r>
      <w:r w:rsidR="00C537F0" w:rsidRPr="00FB1711">
        <w:rPr>
          <w:spacing w:val="-4"/>
        </w:rPr>
        <w:t>was provided by State and Territory Governments</w:t>
      </w:r>
      <w:r w:rsidRPr="00FB1711">
        <w:rPr>
          <w:spacing w:val="-4"/>
        </w:rPr>
        <w:t xml:space="preserve">. The education portfolio represented the second largest source of </w:t>
      </w:r>
      <w:r w:rsidR="007826BE" w:rsidRPr="00FB1711">
        <w:rPr>
          <w:spacing w:val="-4"/>
        </w:rPr>
        <w:t xml:space="preserve">program expenditure </w:t>
      </w:r>
      <w:r w:rsidRPr="00FB1711">
        <w:rPr>
          <w:spacing w:val="-4"/>
        </w:rPr>
        <w:t>— around 5–8 per cent of total</w:t>
      </w:r>
      <w:r w:rsidR="00824658" w:rsidRPr="00FB1711">
        <w:rPr>
          <w:spacing w:val="-4"/>
        </w:rPr>
        <w:t xml:space="preserve"> </w:t>
      </w:r>
      <w:r w:rsidR="006B3BDA" w:rsidRPr="00FB1711">
        <w:rPr>
          <w:spacing w:val="-4"/>
        </w:rPr>
        <w:t>reported</w:t>
      </w:r>
      <w:r w:rsidR="00824658" w:rsidRPr="00FB1711">
        <w:rPr>
          <w:spacing w:val="-4"/>
        </w:rPr>
        <w:t xml:space="preserve"> </w:t>
      </w:r>
      <w:r w:rsidR="00694F05" w:rsidRPr="00FB1711">
        <w:rPr>
          <w:spacing w:val="-4"/>
        </w:rPr>
        <w:t xml:space="preserve">spend </w:t>
      </w:r>
      <w:r w:rsidRPr="00FB1711">
        <w:rPr>
          <w:spacing w:val="-4"/>
        </w:rPr>
        <w:t xml:space="preserve">— for most State and Territory Governments (figure 2.3). Examples of programs funded from education portfolios included employing mental health practitioners in schools, teacher training on prevention and promotion, and programs that support students’ emotional wellbeing. </w:t>
      </w:r>
    </w:p>
    <w:p w14:paraId="3860DF3F" w14:textId="1E107490" w:rsidR="00931D57" w:rsidRDefault="00931D57" w:rsidP="00931D57">
      <w:pPr>
        <w:pStyle w:val="BodyText"/>
      </w:pPr>
      <w:r>
        <w:t xml:space="preserve">While health portfolio expenditure on mental health and suicide prevention </w:t>
      </w:r>
      <w:r w:rsidR="00824658">
        <w:t xml:space="preserve">programs </w:t>
      </w:r>
      <w:r>
        <w:t>varied across jurisdictions in a pattern consistent with population differences (figure 2.4), education portfolio funding fluctuated in a more unpredictable manner (figure 2.5).</w:t>
      </w:r>
      <w:r>
        <w:rPr>
          <w:rStyle w:val="FootnoteReference"/>
        </w:rPr>
        <w:footnoteReference w:id="6"/>
      </w:r>
      <w:r>
        <w:t xml:space="preserve"> </w:t>
      </w:r>
    </w:p>
    <w:p w14:paraId="77614A47" w14:textId="17F74356" w:rsidR="00931D57" w:rsidRDefault="00931D57" w:rsidP="00931D5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6064A6E7" w14:textId="77777777" w:rsidTr="00721FBA">
        <w:trPr>
          <w:tblHeader/>
        </w:trPr>
        <w:tc>
          <w:tcPr>
            <w:tcW w:w="5000" w:type="pct"/>
            <w:tcBorders>
              <w:top w:val="single" w:sz="6" w:space="0" w:color="78A22F" w:themeColor="accent1"/>
              <w:left w:val="nil"/>
              <w:bottom w:val="nil"/>
              <w:right w:val="nil"/>
            </w:tcBorders>
            <w:shd w:val="clear" w:color="auto" w:fill="auto"/>
          </w:tcPr>
          <w:p w14:paraId="6A6B7030" w14:textId="77777777" w:rsidR="00931D57" w:rsidRDefault="00931D57" w:rsidP="00721FBA">
            <w:pPr>
              <w:pStyle w:val="FigureTitle"/>
            </w:pPr>
            <w:r w:rsidRPr="00784A05">
              <w:rPr>
                <w:b w:val="0"/>
              </w:rPr>
              <w:t>Figure</w:t>
            </w:r>
            <w:r>
              <w:rPr>
                <w:b w:val="0"/>
              </w:rPr>
              <w:t xml:space="preserve"> 2.4</w:t>
            </w:r>
            <w:r>
              <w:tab/>
              <w:t>Health portfolio spend by jurisdiction varied largely in line with population …</w:t>
            </w:r>
          </w:p>
          <w:p w14:paraId="36BBDEF1" w14:textId="77777777" w:rsidR="00931D57" w:rsidRPr="00F116AD" w:rsidRDefault="00931D57" w:rsidP="00721FBA">
            <w:pPr>
              <w:pStyle w:val="Subtitle"/>
              <w:rPr>
                <w:b/>
                <w:bCs/>
              </w:rPr>
            </w:pPr>
            <w:r>
              <w:t>Health portfolio expenditure on mental health and suicide prevention programs and population by jurisdiction, 2019</w:t>
            </w:r>
            <w:r>
              <w:noBreakHyphen/>
              <w:t>20</w:t>
            </w:r>
          </w:p>
        </w:tc>
      </w:tr>
      <w:tr w:rsidR="00931D57" w14:paraId="5616E133" w14:textId="77777777" w:rsidTr="00721FBA">
        <w:tc>
          <w:tcPr>
            <w:tcW w:w="5000" w:type="pct"/>
            <w:tcBorders>
              <w:top w:val="nil"/>
              <w:left w:val="nil"/>
              <w:bottom w:val="nil"/>
              <w:right w:val="nil"/>
            </w:tcBorders>
            <w:shd w:val="clear" w:color="auto" w:fill="auto"/>
            <w:tcMar>
              <w:top w:w="28" w:type="dxa"/>
              <w:bottom w:w="28" w:type="dxa"/>
            </w:tcMar>
          </w:tcPr>
          <w:tbl>
            <w:tblPr>
              <w:tblW w:w="8512"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12"/>
            </w:tblGrid>
            <w:tr w:rsidR="00931D57" w:rsidRPr="00B1465D" w14:paraId="63917C80" w14:textId="77777777" w:rsidTr="00721FBA">
              <w:trPr>
                <w:tblHeader/>
                <w:jc w:val="center"/>
              </w:trPr>
              <w:tc>
                <w:tcPr>
                  <w:tcW w:w="5000" w:type="pct"/>
                  <w:tcBorders>
                    <w:top w:val="nil"/>
                    <w:bottom w:val="nil"/>
                  </w:tcBorders>
                </w:tcPr>
                <w:p w14:paraId="1063E694" w14:textId="304B8A76" w:rsidR="00931D57" w:rsidRPr="00B1465D" w:rsidRDefault="008419A6" w:rsidP="00721FBA">
                  <w:pPr>
                    <w:pStyle w:val="Figure"/>
                    <w:spacing w:before="60" w:after="60"/>
                    <w:rPr>
                      <w:rFonts w:ascii="Arial" w:hAnsi="Arial" w:cs="Arial"/>
                      <w:sz w:val="18"/>
                      <w:szCs w:val="18"/>
                    </w:rPr>
                  </w:pPr>
                  <w:r w:rsidRPr="008419A6">
                    <w:rPr>
                      <w:rFonts w:ascii="Arial" w:hAnsi="Arial" w:cs="Arial"/>
                      <w:noProof/>
                      <w:sz w:val="18"/>
                      <w:szCs w:val="18"/>
                    </w:rPr>
                    <w:drawing>
                      <wp:inline distT="0" distB="0" distL="0" distR="0" wp14:anchorId="2FDCFB10" wp14:editId="09C9A4C1">
                        <wp:extent cx="5128260" cy="3040380"/>
                        <wp:effectExtent l="0" t="0" r="0" b="7620"/>
                        <wp:docPr id="11" name="Picture 11" descr="Figure 2.4 This is a bar chart of health portfolio expenditure on mental health and suicide prevention programs and population by jurisdiction in 2019-20. The chart shows that health portfolio expenditure on mental health and suicide prevention programs varied across jurisdictions, largely aligning with differences in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2.4 This is a bar chart of health portfolio expenditure on mental health and suicide prevention programs and population by jurisdiction in 2019-20. The chart shows that health portfolio expenditure on mental health and suicide prevention programs varied across jurisdictions, largely aligning with differences in populat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8260" cy="3040380"/>
                                </a:xfrm>
                                <a:prstGeom prst="rect">
                                  <a:avLst/>
                                </a:prstGeom>
                                <a:noFill/>
                                <a:ln>
                                  <a:noFill/>
                                </a:ln>
                              </pic:spPr>
                            </pic:pic>
                          </a:graphicData>
                        </a:graphic>
                      </wp:inline>
                    </w:drawing>
                  </w:r>
                </w:p>
              </w:tc>
            </w:tr>
          </w:tbl>
          <w:p w14:paraId="5F62384E" w14:textId="77777777" w:rsidR="00931D57" w:rsidRDefault="00931D57" w:rsidP="00721FBA">
            <w:pPr>
              <w:pStyle w:val="Figure"/>
            </w:pPr>
          </w:p>
        </w:tc>
      </w:tr>
      <w:tr w:rsidR="00931D57" w:rsidRPr="00176D3F" w14:paraId="59C6FAA0" w14:textId="77777777" w:rsidTr="00721FBA">
        <w:tc>
          <w:tcPr>
            <w:tcW w:w="5000" w:type="pct"/>
            <w:tcBorders>
              <w:top w:val="nil"/>
              <w:left w:val="nil"/>
              <w:bottom w:val="nil"/>
              <w:right w:val="nil"/>
            </w:tcBorders>
            <w:shd w:val="clear" w:color="auto" w:fill="auto"/>
          </w:tcPr>
          <w:p w14:paraId="46CA4BB3" w14:textId="7461F67C" w:rsidR="00931D57" w:rsidRPr="00176D3F" w:rsidRDefault="00931D57" w:rsidP="00721FBA">
            <w:pPr>
              <w:pStyle w:val="Source"/>
            </w:pPr>
            <w:r w:rsidRPr="00784A05">
              <w:rPr>
                <w:i/>
              </w:rPr>
              <w:t>Data source</w:t>
            </w:r>
            <w:r>
              <w:rPr>
                <w:i/>
              </w:rPr>
              <w:t>s</w:t>
            </w:r>
            <w:r w:rsidRPr="00176D3F">
              <w:t xml:space="preserve">: </w:t>
            </w:r>
            <w:r>
              <w:t>ABS (</w:t>
            </w:r>
            <w:r>
              <w:rPr>
                <w:i/>
                <w:iCs/>
              </w:rPr>
              <w:t xml:space="preserve">National, state and territory population, </w:t>
            </w:r>
            <w:r w:rsidR="00211141">
              <w:rPr>
                <w:i/>
                <w:iCs/>
              </w:rPr>
              <w:t>Dec 2019</w:t>
            </w:r>
            <w:r>
              <w:t>, Cat. no. 3101.0); data provided by Australian, State and Territory Governments.</w:t>
            </w:r>
          </w:p>
        </w:tc>
      </w:tr>
      <w:tr w:rsidR="00931D57" w14:paraId="5BF820A3" w14:textId="77777777" w:rsidTr="00721FBA">
        <w:tc>
          <w:tcPr>
            <w:tcW w:w="5000" w:type="pct"/>
            <w:tcBorders>
              <w:top w:val="nil"/>
              <w:left w:val="nil"/>
              <w:bottom w:val="single" w:sz="6" w:space="0" w:color="78A22F" w:themeColor="accent1"/>
              <w:right w:val="nil"/>
            </w:tcBorders>
            <w:shd w:val="clear" w:color="auto" w:fill="auto"/>
          </w:tcPr>
          <w:p w14:paraId="4189BBD8" w14:textId="77777777" w:rsidR="00931D57" w:rsidRDefault="00931D57" w:rsidP="00721FBA">
            <w:pPr>
              <w:pStyle w:val="Figurespace"/>
            </w:pPr>
          </w:p>
        </w:tc>
      </w:tr>
      <w:tr w:rsidR="00931D57" w:rsidRPr="000863A5" w14:paraId="4926ECA2" w14:textId="77777777" w:rsidTr="00721FBA">
        <w:tc>
          <w:tcPr>
            <w:tcW w:w="5000" w:type="pct"/>
            <w:tcBorders>
              <w:top w:val="single" w:sz="6" w:space="0" w:color="78A22F" w:themeColor="accent1"/>
              <w:left w:val="nil"/>
              <w:bottom w:val="nil"/>
              <w:right w:val="nil"/>
            </w:tcBorders>
          </w:tcPr>
          <w:p w14:paraId="5908FEE1" w14:textId="03DEFA16" w:rsidR="00931D57" w:rsidRPr="00626D32" w:rsidRDefault="00931D57" w:rsidP="00721FBA">
            <w:pPr>
              <w:pStyle w:val="BoxSpaceBelow"/>
            </w:pPr>
          </w:p>
        </w:tc>
      </w:tr>
    </w:tbl>
    <w:p w14:paraId="7550D618" w14:textId="1C2CC82E" w:rsidR="00931D57" w:rsidRDefault="00931D57" w:rsidP="00931D5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5CD900F4" w14:textId="77777777" w:rsidTr="00721FBA">
        <w:trPr>
          <w:tblHeader/>
        </w:trPr>
        <w:tc>
          <w:tcPr>
            <w:tcW w:w="5000" w:type="pct"/>
            <w:tcBorders>
              <w:top w:val="single" w:sz="6" w:space="0" w:color="78A22F" w:themeColor="accent1"/>
              <w:left w:val="nil"/>
              <w:bottom w:val="nil"/>
              <w:right w:val="nil"/>
            </w:tcBorders>
            <w:shd w:val="clear" w:color="auto" w:fill="auto"/>
          </w:tcPr>
          <w:p w14:paraId="39324F5B" w14:textId="77777777" w:rsidR="00931D57" w:rsidRDefault="00931D57" w:rsidP="00721FBA">
            <w:pPr>
              <w:pStyle w:val="FigureTitle"/>
            </w:pPr>
            <w:r w:rsidRPr="00784A05">
              <w:rPr>
                <w:b w:val="0"/>
              </w:rPr>
              <w:t xml:space="preserve">Figure </w:t>
            </w:r>
            <w:r>
              <w:rPr>
                <w:b w:val="0"/>
              </w:rPr>
              <w:t>2.5</w:t>
            </w:r>
            <w:r>
              <w:tab/>
              <w:t>… while education portfolio expenditure was more variable</w:t>
            </w:r>
          </w:p>
          <w:p w14:paraId="5A1B1A9E" w14:textId="77777777" w:rsidR="00931D57" w:rsidRPr="00176D3F" w:rsidRDefault="00931D57" w:rsidP="00721FBA">
            <w:pPr>
              <w:pStyle w:val="Subtitle"/>
            </w:pPr>
            <w:r>
              <w:t>Education portfolio expenditure on mental health and suicide prevention programs and population by jurisdiction, 2019</w:t>
            </w:r>
            <w:r>
              <w:noBreakHyphen/>
              <w:t>20</w:t>
            </w:r>
          </w:p>
        </w:tc>
      </w:tr>
      <w:tr w:rsidR="00931D57" w14:paraId="6295FB94" w14:textId="77777777" w:rsidTr="00721FB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31D57" w:rsidRPr="00B1465D" w14:paraId="7009E181" w14:textId="77777777" w:rsidTr="00721FBA">
              <w:trPr>
                <w:tblHeader/>
                <w:jc w:val="center"/>
              </w:trPr>
              <w:tc>
                <w:tcPr>
                  <w:tcW w:w="5000" w:type="pct"/>
                  <w:tcBorders>
                    <w:top w:val="nil"/>
                    <w:bottom w:val="nil"/>
                  </w:tcBorders>
                </w:tcPr>
                <w:p w14:paraId="0C067D84" w14:textId="0FF289AB" w:rsidR="00931D57" w:rsidRPr="00B1465D" w:rsidRDefault="008419A6" w:rsidP="00721FBA">
                  <w:pPr>
                    <w:pStyle w:val="Figure"/>
                    <w:spacing w:before="60" w:after="60"/>
                    <w:rPr>
                      <w:rFonts w:ascii="Arial" w:hAnsi="Arial" w:cs="Arial"/>
                      <w:sz w:val="18"/>
                      <w:szCs w:val="18"/>
                    </w:rPr>
                  </w:pPr>
                  <w:r w:rsidRPr="008419A6">
                    <w:rPr>
                      <w:rFonts w:ascii="Arial" w:hAnsi="Arial" w:cs="Arial"/>
                      <w:noProof/>
                      <w:sz w:val="18"/>
                      <w:szCs w:val="18"/>
                    </w:rPr>
                    <w:drawing>
                      <wp:inline distT="0" distB="0" distL="0" distR="0" wp14:anchorId="0C53F9F4" wp14:editId="3FB9A1A9">
                        <wp:extent cx="5234940" cy="2781300"/>
                        <wp:effectExtent l="0" t="0" r="3810" b="0"/>
                        <wp:docPr id="21" name="Picture 21" descr="Figure 2.5 This is a bar chart of education portfolio expenditure on mental health and suicide prevention programs and population by jurisdiction in 2019-20. Expenditure did not follow jurisdiction populations (as in health) but fluctuated in a more unpredictable manner. For some jurisdictions, expenditure was higher than might be expected given the population, for others it was 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igure 2.5 This is a bar chart of education portfolio expenditure on mental health and suicide prevention programs and population by jurisdiction in 2019-20. Expenditure did not follow jurisdiction populations (as in health) but fluctuated in a more unpredictable manner. For some jurisdictions, expenditure was higher than might be expected given the population, for others it was lowe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34940" cy="2781300"/>
                                </a:xfrm>
                                <a:prstGeom prst="rect">
                                  <a:avLst/>
                                </a:prstGeom>
                                <a:noFill/>
                                <a:ln>
                                  <a:noFill/>
                                </a:ln>
                              </pic:spPr>
                            </pic:pic>
                          </a:graphicData>
                        </a:graphic>
                      </wp:inline>
                    </w:drawing>
                  </w:r>
                </w:p>
              </w:tc>
            </w:tr>
          </w:tbl>
          <w:p w14:paraId="461D06AD" w14:textId="77777777" w:rsidR="00931D57" w:rsidRDefault="00931D57" w:rsidP="00721FBA">
            <w:pPr>
              <w:pStyle w:val="Figure"/>
            </w:pPr>
          </w:p>
        </w:tc>
      </w:tr>
      <w:tr w:rsidR="00931D57" w:rsidRPr="00176D3F" w14:paraId="13D5A901" w14:textId="77777777" w:rsidTr="00721FBA">
        <w:tc>
          <w:tcPr>
            <w:tcW w:w="5000" w:type="pct"/>
            <w:tcBorders>
              <w:top w:val="nil"/>
              <w:left w:val="nil"/>
              <w:bottom w:val="nil"/>
              <w:right w:val="nil"/>
            </w:tcBorders>
            <w:shd w:val="clear" w:color="auto" w:fill="auto"/>
          </w:tcPr>
          <w:p w14:paraId="2EE149B6" w14:textId="2AE56A29" w:rsidR="00931D57" w:rsidRPr="00176D3F" w:rsidRDefault="00931D57" w:rsidP="00721FBA">
            <w:pPr>
              <w:pStyle w:val="Source"/>
            </w:pPr>
            <w:r w:rsidRPr="00784A05">
              <w:rPr>
                <w:i/>
              </w:rPr>
              <w:t>Data source</w:t>
            </w:r>
            <w:r>
              <w:rPr>
                <w:i/>
              </w:rPr>
              <w:t>s</w:t>
            </w:r>
            <w:r w:rsidRPr="00176D3F">
              <w:t xml:space="preserve">: </w:t>
            </w:r>
            <w:r>
              <w:t>ABS (</w:t>
            </w:r>
            <w:r>
              <w:rPr>
                <w:i/>
                <w:iCs/>
              </w:rPr>
              <w:t xml:space="preserve">National, state and territory population, </w:t>
            </w:r>
            <w:r w:rsidR="00211141">
              <w:rPr>
                <w:i/>
                <w:iCs/>
              </w:rPr>
              <w:t>Dec 2019</w:t>
            </w:r>
            <w:r>
              <w:t>, Cat. no. 3101.0); data provided by Australian, State and Territory Governments.</w:t>
            </w:r>
          </w:p>
        </w:tc>
      </w:tr>
      <w:tr w:rsidR="00931D57" w14:paraId="42014855" w14:textId="77777777" w:rsidTr="00721FBA">
        <w:tc>
          <w:tcPr>
            <w:tcW w:w="5000" w:type="pct"/>
            <w:tcBorders>
              <w:top w:val="nil"/>
              <w:left w:val="nil"/>
              <w:bottom w:val="single" w:sz="6" w:space="0" w:color="78A22F" w:themeColor="accent1"/>
              <w:right w:val="nil"/>
            </w:tcBorders>
            <w:shd w:val="clear" w:color="auto" w:fill="auto"/>
          </w:tcPr>
          <w:p w14:paraId="06C155B2" w14:textId="77777777" w:rsidR="00931D57" w:rsidRDefault="00931D57" w:rsidP="00721FBA">
            <w:pPr>
              <w:pStyle w:val="Figurespace"/>
            </w:pPr>
          </w:p>
        </w:tc>
      </w:tr>
      <w:tr w:rsidR="00931D57" w:rsidRPr="000863A5" w14:paraId="3E2BFBA5" w14:textId="77777777" w:rsidTr="00721FBA">
        <w:tc>
          <w:tcPr>
            <w:tcW w:w="5000" w:type="pct"/>
            <w:tcBorders>
              <w:top w:val="single" w:sz="6" w:space="0" w:color="78A22F" w:themeColor="accent1"/>
              <w:left w:val="nil"/>
              <w:bottom w:val="nil"/>
              <w:right w:val="nil"/>
            </w:tcBorders>
          </w:tcPr>
          <w:p w14:paraId="4640C756" w14:textId="7D084A4C" w:rsidR="00931D57" w:rsidRPr="00626D32" w:rsidRDefault="00931D57" w:rsidP="00721FBA">
            <w:pPr>
              <w:pStyle w:val="BoxSpaceBelow"/>
            </w:pPr>
          </w:p>
        </w:tc>
      </w:tr>
    </w:tbl>
    <w:p w14:paraId="1A775C4E" w14:textId="2969C94B" w:rsidR="003B0F12" w:rsidRDefault="00931D57" w:rsidP="00931D57">
      <w:pPr>
        <w:pStyle w:val="BodyText"/>
      </w:pPr>
      <w:r>
        <w:t xml:space="preserve">Outside of the health and education portfolios, </w:t>
      </w:r>
      <w:r w:rsidR="00C031BA">
        <w:t>govern</w:t>
      </w:r>
      <w:r w:rsidR="001002CE">
        <w:t xml:space="preserve">ments reported relatively little </w:t>
      </w:r>
      <w:r>
        <w:t xml:space="preserve">expenditure on mental health and suicide prevention </w:t>
      </w:r>
      <w:r w:rsidR="001E6BA8">
        <w:t xml:space="preserve">programs </w:t>
      </w:r>
      <w:r>
        <w:t>(figure 2.3)</w:t>
      </w:r>
      <w:r w:rsidR="001002CE">
        <w:t>.</w:t>
      </w:r>
      <w:r w:rsidR="00086076">
        <w:t xml:space="preserve"> This gap in </w:t>
      </w:r>
      <w:r w:rsidR="006B2A14">
        <w:t xml:space="preserve">data </w:t>
      </w:r>
      <w:r w:rsidR="00175723">
        <w:t xml:space="preserve">completeness </w:t>
      </w:r>
      <w:r w:rsidR="00E8316C">
        <w:t xml:space="preserve">suggests </w:t>
      </w:r>
      <w:r w:rsidR="00175723">
        <w:t xml:space="preserve">that </w:t>
      </w:r>
      <w:r w:rsidR="00C82041">
        <w:t xml:space="preserve">some </w:t>
      </w:r>
      <w:r w:rsidR="00E8316C">
        <w:t>areas of government</w:t>
      </w:r>
      <w:r w:rsidR="006A0D8E">
        <w:t xml:space="preserve"> — </w:t>
      </w:r>
      <w:r w:rsidR="005F7C91">
        <w:t xml:space="preserve">including </w:t>
      </w:r>
      <w:r w:rsidR="006A0D8E">
        <w:t xml:space="preserve">those with responsibility for delivering </w:t>
      </w:r>
      <w:r w:rsidR="00BF4A55">
        <w:t>broader government services</w:t>
      </w:r>
      <w:r w:rsidR="00C36211">
        <w:t xml:space="preserve"> (in social housing and justice, for example)</w:t>
      </w:r>
      <w:r w:rsidR="00F26299">
        <w:t xml:space="preserve"> </w:t>
      </w:r>
      <w:r w:rsidR="006A0D8E">
        <w:t xml:space="preserve">— </w:t>
      </w:r>
      <w:r w:rsidR="00E8316C">
        <w:t>do</w:t>
      </w:r>
      <w:r w:rsidR="00BF4A55">
        <w:t xml:space="preserve"> </w:t>
      </w:r>
      <w:r w:rsidR="00F26299">
        <w:t>n</w:t>
      </w:r>
      <w:r w:rsidR="00BF4A55">
        <w:t>o</w:t>
      </w:r>
      <w:r w:rsidR="00F26299">
        <w:t>t</w:t>
      </w:r>
      <w:r w:rsidR="0002337F">
        <w:t xml:space="preserve"> </w:t>
      </w:r>
      <w:r w:rsidR="009775A8">
        <w:t xml:space="preserve">necessarily </w:t>
      </w:r>
      <w:r w:rsidR="0002337F">
        <w:t>see themselves as part of the mental health and suicide prevention system</w:t>
      </w:r>
      <w:r w:rsidR="00180BF0">
        <w:t>. Th</w:t>
      </w:r>
      <w:r w:rsidR="00406D58">
        <w:t xml:space="preserve">e National </w:t>
      </w:r>
      <w:r w:rsidR="00E53ED2">
        <w:t>Mental Health and Suicide Prevention</w:t>
      </w:r>
      <w:r w:rsidR="00406D58">
        <w:t xml:space="preserve"> Agreement </w:t>
      </w:r>
      <w:r w:rsidR="00180BF0">
        <w:t xml:space="preserve">presents an opportunity to </w:t>
      </w:r>
      <w:r w:rsidR="00417EB1">
        <w:t xml:space="preserve">identify and </w:t>
      </w:r>
      <w:r w:rsidR="00FC1AF1">
        <w:t xml:space="preserve">bring together </w:t>
      </w:r>
      <w:r w:rsidR="005E5683">
        <w:t xml:space="preserve">all </w:t>
      </w:r>
      <w:r w:rsidR="003B5289">
        <w:t xml:space="preserve">parts of government </w:t>
      </w:r>
      <w:r w:rsidR="00417EB1">
        <w:t xml:space="preserve">that have </w:t>
      </w:r>
      <w:r w:rsidR="003B5289">
        <w:t>a role in</w:t>
      </w:r>
      <w:r w:rsidR="00D43AD8">
        <w:t xml:space="preserve"> improving mental health and suicide prevention outcome</w:t>
      </w:r>
      <w:r w:rsidR="00355351">
        <w:t>s</w:t>
      </w:r>
      <w:r w:rsidR="00D43AD8">
        <w:t xml:space="preserve"> </w:t>
      </w:r>
      <w:r w:rsidR="00A73492">
        <w:t>(chapter 3).</w:t>
      </w:r>
      <w:r w:rsidR="001B034B">
        <w:t xml:space="preserve"> </w:t>
      </w:r>
    </w:p>
    <w:p w14:paraId="3861B4C5" w14:textId="45DCACB7" w:rsidR="00931D57" w:rsidRDefault="00175723" w:rsidP="00931D57">
      <w:pPr>
        <w:pStyle w:val="BodyText"/>
      </w:pPr>
      <w:r>
        <w:t>N</w:t>
      </w:r>
      <w:r w:rsidR="00B5177E">
        <w:t>otwithstanding</w:t>
      </w:r>
      <w:r>
        <w:t xml:space="preserve"> this</w:t>
      </w:r>
      <w:r w:rsidR="001002CE">
        <w:t xml:space="preserve">, the </w:t>
      </w:r>
      <w:r w:rsidR="004F6164">
        <w:t>expenditure</w:t>
      </w:r>
      <w:r w:rsidR="001002CE">
        <w:t xml:space="preserve"> that was reported</w:t>
      </w:r>
      <w:r w:rsidR="00FB755D">
        <w:t xml:space="preserve"> outside of health and education portfolios </w:t>
      </w:r>
      <w:r w:rsidR="00931D57">
        <w:t>spanned a range of programs and services. For example:</w:t>
      </w:r>
    </w:p>
    <w:p w14:paraId="1760BC84" w14:textId="77777777" w:rsidR="00931D57" w:rsidRDefault="00931D57" w:rsidP="00931D57">
      <w:pPr>
        <w:pStyle w:val="ListBullet"/>
      </w:pPr>
      <w:r>
        <w:t xml:space="preserve">agencies in justice and corrections portfolios funded mental health services in prisons and other corrective services, suicide and self-harm training for custodial and community corrections staff, and social workers offering counselling support </w:t>
      </w:r>
    </w:p>
    <w:p w14:paraId="752CCA59" w14:textId="77777777" w:rsidR="00931D57" w:rsidRDefault="00931D57" w:rsidP="00931D57">
      <w:pPr>
        <w:pStyle w:val="ListBullet"/>
      </w:pPr>
      <w:r>
        <w:t>agencies in police and other emergency services portfolios funded programs such as mental health leadership training for emergency services staff, peer support and the implementation of mental health co-response models</w:t>
      </w:r>
    </w:p>
    <w:p w14:paraId="525BB397" w14:textId="77777777" w:rsidR="00931D57" w:rsidRPr="00A22904" w:rsidRDefault="00931D57" w:rsidP="00931D57">
      <w:pPr>
        <w:pStyle w:val="ListBullet"/>
        <w:rPr>
          <w:spacing w:val="-4"/>
        </w:rPr>
      </w:pPr>
      <w:r w:rsidRPr="00A22904">
        <w:rPr>
          <w:spacing w:val="-4"/>
        </w:rPr>
        <w:t xml:space="preserve">remaining agencies reported funding for a variety of other programs, including some community services (such as counselling for family violence victims and supports to assist people with mental ill-health in finding secure housing) and workplace supports (such as employee assistance programs and employing mental health consultants in workplaces). </w:t>
      </w:r>
    </w:p>
    <w:p w14:paraId="23057A0E" w14:textId="77777777" w:rsidR="00931D57" w:rsidRPr="00804963" w:rsidRDefault="00931D57" w:rsidP="00931D57">
      <w:pPr>
        <w:pStyle w:val="BodyText"/>
      </w:pPr>
      <w:r>
        <w:t>There are some broad classes of programs that are important for improving mental health and suicide prevention outcomes, which receive funding from multiple portfolios. Examining such programs across portfolios can provide useful takeaways and learnings for a whole-of-government approach to investing in these areas, such as mental health</w:t>
      </w:r>
      <w:r>
        <w:noBreakHyphen/>
        <w:t>related workforce development and training (box 2.2).</w:t>
      </w:r>
    </w:p>
    <w:p w14:paraId="24282887" w14:textId="421751A7" w:rsidR="00931D57" w:rsidRDefault="00931D57" w:rsidP="00931D5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3FE9DF65" w14:textId="77777777" w:rsidTr="00721FBA">
        <w:trPr>
          <w:tblHeader/>
        </w:trPr>
        <w:tc>
          <w:tcPr>
            <w:tcW w:w="5000" w:type="pct"/>
            <w:tcBorders>
              <w:top w:val="single" w:sz="6" w:space="0" w:color="78A22F"/>
              <w:left w:val="nil"/>
              <w:bottom w:val="nil"/>
              <w:right w:val="nil"/>
            </w:tcBorders>
            <w:shd w:val="clear" w:color="auto" w:fill="F2F2F2"/>
          </w:tcPr>
          <w:p w14:paraId="33A79AC9" w14:textId="28FFFFF3" w:rsidR="00931D57" w:rsidRDefault="00931D57" w:rsidP="00721FBA">
            <w:pPr>
              <w:pStyle w:val="BoxTitle"/>
            </w:pPr>
            <w:r>
              <w:rPr>
                <w:b w:val="0"/>
              </w:rPr>
              <w:t>Box 2.2</w:t>
            </w:r>
            <w:r>
              <w:tab/>
              <w:t>Expenditure on workforce development</w:t>
            </w:r>
            <w:r w:rsidR="00461CA2">
              <w:t xml:space="preserve"> programs</w:t>
            </w:r>
            <w:r>
              <w:t xml:space="preserve">: what did the stocktake find? </w:t>
            </w:r>
          </w:p>
        </w:tc>
      </w:tr>
      <w:tr w:rsidR="00931D57" w14:paraId="09CDF5FF" w14:textId="77777777" w:rsidTr="00721FBA">
        <w:tc>
          <w:tcPr>
            <w:tcW w:w="5000" w:type="pct"/>
            <w:tcBorders>
              <w:top w:val="nil"/>
              <w:left w:val="nil"/>
              <w:bottom w:val="nil"/>
              <w:right w:val="nil"/>
            </w:tcBorders>
            <w:shd w:val="clear" w:color="auto" w:fill="F2F2F2"/>
          </w:tcPr>
          <w:p w14:paraId="0A2BFF62" w14:textId="6D006E32" w:rsidR="00931D57" w:rsidRPr="00A1079C" w:rsidRDefault="00931D57" w:rsidP="00721FBA">
            <w:pPr>
              <w:pStyle w:val="Box"/>
            </w:pPr>
            <w:r>
              <w:t>T</w:t>
            </w:r>
            <w:r w:rsidRPr="00A1079C">
              <w:t xml:space="preserve">he </w:t>
            </w:r>
            <w:r>
              <w:t>effective</w:t>
            </w:r>
            <w:r w:rsidRPr="00A1079C">
              <w:t xml:space="preserve"> functioning of the mental health system depends on the availability of workers with the right skills, who are allocated to tasks that use their skills efficiently</w:t>
            </w:r>
            <w:r>
              <w:t xml:space="preserve">. </w:t>
            </w:r>
          </w:p>
          <w:p w14:paraId="54F11656" w14:textId="6A4B9445" w:rsidR="00931D57" w:rsidRPr="00A1079C" w:rsidRDefault="008B72A8" w:rsidP="00721FBA">
            <w:pPr>
              <w:pStyle w:val="Box"/>
            </w:pPr>
            <w:r>
              <w:t>Across the Australian, State and Territory Governments,</w:t>
            </w:r>
            <w:r w:rsidR="001164C8">
              <w:t xml:space="preserve"> around $60 million of expenditure on workforce development</w:t>
            </w:r>
            <w:r w:rsidR="000409C1">
              <w:t xml:space="preserve"> programs</w:t>
            </w:r>
            <w:r w:rsidR="001164C8">
              <w:t xml:space="preserve"> </w:t>
            </w:r>
            <w:r>
              <w:t>was reported in this stocktake</w:t>
            </w:r>
            <w:r w:rsidR="000D59A3">
              <w:t xml:space="preserve"> </w:t>
            </w:r>
            <w:r w:rsidR="00F31A73">
              <w:t>for</w:t>
            </w:r>
            <w:r w:rsidR="000D59A3">
              <w:t xml:space="preserve"> 2019</w:t>
            </w:r>
            <w:r w:rsidR="000D59A3">
              <w:noBreakHyphen/>
              <w:t>20</w:t>
            </w:r>
            <w:r>
              <w:t xml:space="preserve">. </w:t>
            </w:r>
            <w:r w:rsidR="00931D57" w:rsidRPr="00A1079C">
              <w:t xml:space="preserve">The most common </w:t>
            </w:r>
            <w:r w:rsidR="00931D57">
              <w:t xml:space="preserve">type of </w:t>
            </w:r>
            <w:r w:rsidR="00931D57" w:rsidRPr="00A1079C">
              <w:t>workforce development program reported was mental health</w:t>
            </w:r>
            <w:r w:rsidR="00931D57">
              <w:t>-related</w:t>
            </w:r>
            <w:r w:rsidR="00931D57" w:rsidRPr="00A1079C">
              <w:t xml:space="preserve"> training provided by </w:t>
            </w:r>
            <w:r w:rsidR="00931D57">
              <w:t>government</w:t>
            </w:r>
            <w:r w:rsidR="00931D57" w:rsidRPr="00A1079C">
              <w:t xml:space="preserve"> agencies for their employees. These programs were offered to workers across a range of agencies, from first</w:t>
            </w:r>
            <w:r w:rsidR="00931D57">
              <w:noBreakHyphen/>
            </w:r>
            <w:r w:rsidR="00931D57" w:rsidRPr="00A1079C">
              <w:t xml:space="preserve">response training for police and other emergency services staff who may be expected to respond to traumatic incidents, to general mental health awareness training for staff in large government departments (such as Treasuries and First Ministers’ Departments). </w:t>
            </w:r>
          </w:p>
          <w:p w14:paraId="3FF2C2E0" w14:textId="0466075D" w:rsidR="00931D57" w:rsidRDefault="00D227E6" w:rsidP="00721FBA">
            <w:pPr>
              <w:pStyle w:val="Box"/>
            </w:pPr>
            <w:r>
              <w:t>In addition</w:t>
            </w:r>
            <w:r w:rsidR="00931D57">
              <w:t>, the Australian Government reported that the psychology and social work professional pathway in its Job-ready Graduates Package will seek to improve the pipeline of mental health professionals across the country (with funding budgeted to commence in 2020-21). There were also several smaller programs reported by some jurisdictions, such as funding to assist organisations in developing peer workforce</w:t>
            </w:r>
            <w:r w:rsidR="00BF7373">
              <w:t>s</w:t>
            </w:r>
            <w:r w:rsidR="00931D57">
              <w:t xml:space="preserve"> and for education and training activities in community service providers.</w:t>
            </w:r>
          </w:p>
          <w:p w14:paraId="5F2AD8D9" w14:textId="77777777" w:rsidR="00931D57" w:rsidRDefault="00931D57" w:rsidP="00721FBA">
            <w:pPr>
              <w:pStyle w:val="Box"/>
            </w:pPr>
            <w:r>
              <w:t>Jurisdictions are likely to be funding other workforce development programs that have not been captured in the stocktake. Developing a better understanding of these programs across all levels of government and portfolios would help inform future initiatives to improve Australia’s mental health workforce.</w:t>
            </w:r>
          </w:p>
        </w:tc>
      </w:tr>
      <w:tr w:rsidR="00931D57" w14:paraId="153BFC39" w14:textId="77777777" w:rsidTr="00721FBA">
        <w:tc>
          <w:tcPr>
            <w:tcW w:w="5000" w:type="pct"/>
            <w:tcBorders>
              <w:top w:val="nil"/>
              <w:left w:val="nil"/>
              <w:bottom w:val="nil"/>
              <w:right w:val="nil"/>
            </w:tcBorders>
            <w:shd w:val="clear" w:color="auto" w:fill="F2F2F2"/>
          </w:tcPr>
          <w:p w14:paraId="3D62E019" w14:textId="4910993C" w:rsidR="00931D57" w:rsidRDefault="00931D57" w:rsidP="00721FBA">
            <w:pPr>
              <w:pStyle w:val="BoxSource"/>
            </w:pPr>
            <w:r>
              <w:rPr>
                <w:i/>
              </w:rPr>
              <w:t>Sources</w:t>
            </w:r>
            <w:r w:rsidRPr="00167F06">
              <w:t>:</w:t>
            </w:r>
            <w:r>
              <w:t xml:space="preserve"> D</w:t>
            </w:r>
            <w:r w:rsidRPr="00453218">
              <w:t>ata provided by Australian, State and Territory Governments</w:t>
            </w:r>
            <w:r>
              <w:t>.</w:t>
            </w:r>
          </w:p>
        </w:tc>
      </w:tr>
      <w:tr w:rsidR="00931D57" w14:paraId="10DF6D5D" w14:textId="77777777" w:rsidTr="00721FBA">
        <w:tc>
          <w:tcPr>
            <w:tcW w:w="5000" w:type="pct"/>
            <w:tcBorders>
              <w:top w:val="nil"/>
              <w:left w:val="nil"/>
              <w:bottom w:val="single" w:sz="6" w:space="0" w:color="78A22F"/>
              <w:right w:val="nil"/>
            </w:tcBorders>
            <w:shd w:val="clear" w:color="auto" w:fill="F2F2F2"/>
          </w:tcPr>
          <w:p w14:paraId="3947C1B7" w14:textId="77777777" w:rsidR="00931D57" w:rsidRDefault="00931D57" w:rsidP="00721FBA">
            <w:pPr>
              <w:pStyle w:val="Box"/>
              <w:spacing w:before="0" w:line="120" w:lineRule="exact"/>
            </w:pPr>
          </w:p>
        </w:tc>
      </w:tr>
      <w:tr w:rsidR="00931D57" w:rsidRPr="000863A5" w14:paraId="6E967F9A" w14:textId="77777777" w:rsidTr="00721FBA">
        <w:tc>
          <w:tcPr>
            <w:tcW w:w="5000" w:type="pct"/>
            <w:tcBorders>
              <w:top w:val="single" w:sz="6" w:space="0" w:color="78A22F"/>
              <w:left w:val="nil"/>
              <w:bottom w:val="nil"/>
              <w:right w:val="nil"/>
            </w:tcBorders>
          </w:tcPr>
          <w:p w14:paraId="66734121" w14:textId="13A439E1" w:rsidR="00931D57" w:rsidRPr="00626D32" w:rsidRDefault="00931D57" w:rsidP="00721FBA">
            <w:pPr>
              <w:pStyle w:val="BoxSpaceBelow"/>
            </w:pPr>
          </w:p>
        </w:tc>
      </w:tr>
    </w:tbl>
    <w:p w14:paraId="1EAA3760" w14:textId="14247482" w:rsidR="00931D57" w:rsidRDefault="00931D57" w:rsidP="00931D57">
      <w:pPr>
        <w:pStyle w:val="Heading2nosectionno"/>
      </w:pPr>
      <w:r>
        <w:t xml:space="preserve">How is funding spread across different mental health and suicide prevention </w:t>
      </w:r>
      <w:r w:rsidR="000409C1">
        <w:t>programs</w:t>
      </w:r>
      <w:r>
        <w:t>?</w:t>
      </w:r>
    </w:p>
    <w:p w14:paraId="031B1E3E" w14:textId="22D75415" w:rsidR="00931D57" w:rsidRPr="00A22904" w:rsidRDefault="00931D57" w:rsidP="00931D57">
      <w:pPr>
        <w:pStyle w:val="Heading3"/>
        <w:spacing w:before="360"/>
        <w:rPr>
          <w:rStyle w:val="DraftingNote"/>
          <w:color w:val="auto"/>
        </w:rPr>
      </w:pPr>
      <w:r>
        <w:t xml:space="preserve">Governments’ </w:t>
      </w:r>
      <w:r w:rsidR="00686CB6">
        <w:t xml:space="preserve">program </w:t>
      </w:r>
      <w:r>
        <w:t xml:space="preserve">expenditures are concentrated in specialist services and </w:t>
      </w:r>
      <w:r w:rsidRPr="00A22904">
        <w:t>primary care</w:t>
      </w:r>
    </w:p>
    <w:p w14:paraId="4263E520" w14:textId="02F3C1AB" w:rsidR="00931D57" w:rsidRPr="00A22904" w:rsidRDefault="00931D57" w:rsidP="00931D57">
      <w:pPr>
        <w:pStyle w:val="BodyText"/>
        <w:rPr>
          <w:spacing w:val="-2"/>
        </w:rPr>
      </w:pPr>
      <w:r w:rsidRPr="00A22904">
        <w:rPr>
          <w:spacing w:val="-2"/>
        </w:rPr>
        <w:t>Across the Australian, State and Territory Governments, specialist mental health services</w:t>
      </w:r>
      <w:r w:rsidRPr="00A22904">
        <w:rPr>
          <w:rStyle w:val="FootnoteReference"/>
          <w:spacing w:val="-2"/>
        </w:rPr>
        <w:footnoteReference w:id="7"/>
      </w:r>
      <w:r w:rsidRPr="00A22904">
        <w:rPr>
          <w:spacing w:val="-2"/>
        </w:rPr>
        <w:t xml:space="preserve"> accounted for the largest share of total reported government expenditure on mental health and suicide prevention</w:t>
      </w:r>
      <w:r w:rsidR="000409C1" w:rsidRPr="00A22904">
        <w:rPr>
          <w:spacing w:val="-2"/>
        </w:rPr>
        <w:t xml:space="preserve"> programs</w:t>
      </w:r>
      <w:r w:rsidRPr="00A22904">
        <w:rPr>
          <w:spacing w:val="-2"/>
        </w:rPr>
        <w:t xml:space="preserve"> (about 4</w:t>
      </w:r>
      <w:r w:rsidR="00E92C56" w:rsidRPr="00A22904">
        <w:rPr>
          <w:spacing w:val="-2"/>
        </w:rPr>
        <w:t>2</w:t>
      </w:r>
      <w:r w:rsidRPr="00A22904">
        <w:rPr>
          <w:spacing w:val="-2"/>
        </w:rPr>
        <w:t> per cent, or $</w:t>
      </w:r>
      <w:r w:rsidR="004C34A3" w:rsidRPr="00A22904">
        <w:rPr>
          <w:spacing w:val="-2"/>
        </w:rPr>
        <w:t>6.1</w:t>
      </w:r>
      <w:r w:rsidRPr="00A22904">
        <w:rPr>
          <w:spacing w:val="-2"/>
        </w:rPr>
        <w:t xml:space="preserve"> billion) in 2019</w:t>
      </w:r>
      <w:r w:rsidRPr="00A22904">
        <w:rPr>
          <w:spacing w:val="-2"/>
        </w:rPr>
        <w:noBreakHyphen/>
        <w:t xml:space="preserve">20 (figure 2.6). This was followed by primary mental health care (22 per cent, or $3.2 billion), acute care </w:t>
      </w:r>
      <w:r w:rsidR="00454115" w:rsidRPr="00A22904">
        <w:rPr>
          <w:spacing w:val="-2"/>
        </w:rPr>
        <w:t xml:space="preserve">(13 per cent) </w:t>
      </w:r>
      <w:r w:rsidRPr="00A22904">
        <w:rPr>
          <w:spacing w:val="-2"/>
        </w:rPr>
        <w:t xml:space="preserve">and psychosocial support services (12 per cent). A much smaller share of </w:t>
      </w:r>
      <w:r w:rsidR="00C17FF7" w:rsidRPr="00A22904">
        <w:rPr>
          <w:spacing w:val="-2"/>
        </w:rPr>
        <w:t xml:space="preserve">program </w:t>
      </w:r>
      <w:r w:rsidRPr="00A22904">
        <w:rPr>
          <w:spacing w:val="-2"/>
        </w:rPr>
        <w:t xml:space="preserve">expenditure was </w:t>
      </w:r>
      <w:r w:rsidR="001E5472" w:rsidRPr="00A22904">
        <w:rPr>
          <w:spacing w:val="-2"/>
        </w:rPr>
        <w:t>allocated to</w:t>
      </w:r>
      <w:r w:rsidRPr="00A22904">
        <w:rPr>
          <w:spacing w:val="-2"/>
        </w:rPr>
        <w:t xml:space="preserve"> prevention and promotion (2 per cent), early intervention (2 per cent), suicide prevention (1 per cent) and support for families and carers (0.3 per cent). Expenditure on the overall mental health system made up the remaining 6 per cent.</w:t>
      </w:r>
    </w:p>
    <w:p w14:paraId="0D59C3BD" w14:textId="1E4D27C9" w:rsidR="00931D57" w:rsidRDefault="00931D57" w:rsidP="00931D5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267B0DAB" w14:textId="77777777" w:rsidTr="00721FBA">
        <w:trPr>
          <w:tblHeader/>
        </w:trPr>
        <w:tc>
          <w:tcPr>
            <w:tcW w:w="5000" w:type="pct"/>
            <w:tcBorders>
              <w:top w:val="single" w:sz="6" w:space="0" w:color="78A22F" w:themeColor="accent1"/>
              <w:left w:val="nil"/>
              <w:bottom w:val="nil"/>
              <w:right w:val="nil"/>
            </w:tcBorders>
            <w:shd w:val="clear" w:color="auto" w:fill="auto"/>
          </w:tcPr>
          <w:p w14:paraId="47B6DC3D" w14:textId="1EF027AB" w:rsidR="00931D57" w:rsidRDefault="00931D57" w:rsidP="00721FBA">
            <w:pPr>
              <w:pStyle w:val="FigureTitle"/>
            </w:pPr>
            <w:r w:rsidRPr="00784A05">
              <w:rPr>
                <w:b w:val="0"/>
              </w:rPr>
              <w:t>Figure</w:t>
            </w:r>
            <w:r>
              <w:rPr>
                <w:b w:val="0"/>
              </w:rPr>
              <w:t xml:space="preserve"> 2.6</w:t>
            </w:r>
            <w:r>
              <w:tab/>
              <w:t xml:space="preserve">Specialist mental health services accounted for the largest amount of </w:t>
            </w:r>
            <w:r w:rsidR="003F4D5E">
              <w:t xml:space="preserve">program </w:t>
            </w:r>
            <w:r w:rsidR="0038513E">
              <w:t>expenditure</w:t>
            </w:r>
          </w:p>
          <w:p w14:paraId="4D2BDAF0" w14:textId="77777777" w:rsidR="00931D57" w:rsidRPr="00176D3F" w:rsidRDefault="00931D57" w:rsidP="00721FBA">
            <w:pPr>
              <w:pStyle w:val="Subtitle"/>
            </w:pPr>
            <w:r>
              <w:t>Total g</w:t>
            </w:r>
            <w:r w:rsidRPr="00CF5E3B">
              <w:t>overnment spend on mental</w:t>
            </w:r>
            <w:r w:rsidRPr="003250F5">
              <w:t xml:space="preserve"> health and suicide prevention programs</w:t>
            </w:r>
            <w:r>
              <w:t>, 2019</w:t>
            </w:r>
            <w:r>
              <w:noBreakHyphen/>
              <w:t>20</w:t>
            </w:r>
          </w:p>
        </w:tc>
      </w:tr>
      <w:tr w:rsidR="00931D57" w14:paraId="42910EF6" w14:textId="77777777" w:rsidTr="00721FBA">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31D57" w:rsidRPr="00B1465D" w14:paraId="6DEDD4D7" w14:textId="77777777" w:rsidTr="00721FBA">
              <w:trPr>
                <w:tblHeader/>
                <w:jc w:val="center"/>
              </w:trPr>
              <w:tc>
                <w:tcPr>
                  <w:tcW w:w="5000" w:type="pct"/>
                  <w:tcBorders>
                    <w:top w:val="nil"/>
                    <w:bottom w:val="nil"/>
                  </w:tcBorders>
                </w:tcPr>
                <w:p w14:paraId="59C822D9" w14:textId="12595396" w:rsidR="00931D57" w:rsidRPr="00B1465D" w:rsidRDefault="00613241" w:rsidP="00721FBA">
                  <w:pPr>
                    <w:pStyle w:val="Figure"/>
                    <w:spacing w:before="60" w:after="60"/>
                    <w:rPr>
                      <w:rFonts w:ascii="Arial" w:hAnsi="Arial" w:cs="Arial"/>
                      <w:sz w:val="18"/>
                      <w:szCs w:val="18"/>
                    </w:rPr>
                  </w:pPr>
                  <w:r w:rsidRPr="00613241">
                    <w:rPr>
                      <w:rFonts w:ascii="Arial" w:hAnsi="Arial" w:cs="Arial"/>
                      <w:noProof/>
                      <w:sz w:val="18"/>
                      <w:szCs w:val="18"/>
                    </w:rPr>
                    <w:drawing>
                      <wp:inline distT="0" distB="0" distL="0" distR="0" wp14:anchorId="0F9DE17A" wp14:editId="68A9E118">
                        <wp:extent cx="5265420" cy="2994660"/>
                        <wp:effectExtent l="0" t="0" r="0" b="0"/>
                        <wp:docPr id="22" name="Picture 22" descr="Figure 2.6 This is a pie chart showing total government expenditure on different types of mental health and suicide prevention programs in 2019-20. In order from largest to smallest, they are: specialist mental health services $6086 million, primary mental health care $3164 million, acute care $1887 million, psychosocial supports $1701 million, overall mental health system $825 million, early intervention $328 million, prevention and promotion $318 million, suicide prevention $120 million, and support for families and carers $38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igure 2.6 This is a pie chart showing total government expenditure on different types of mental health and suicide prevention programs in 2019-20. In order from largest to smallest, they are: specialist mental health services $6086 million, primary mental health care $3164 million, acute care $1887 million, psychosocial supports $1701 million, overall mental health system $825 million, early intervention $328 million, prevention and promotion $318 million, suicide prevention $120 million, and support for families and carers $38 milli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65420" cy="2994660"/>
                                </a:xfrm>
                                <a:prstGeom prst="rect">
                                  <a:avLst/>
                                </a:prstGeom>
                                <a:noFill/>
                                <a:ln>
                                  <a:noFill/>
                                </a:ln>
                              </pic:spPr>
                            </pic:pic>
                          </a:graphicData>
                        </a:graphic>
                      </wp:inline>
                    </w:drawing>
                  </w:r>
                </w:p>
              </w:tc>
            </w:tr>
          </w:tbl>
          <w:p w14:paraId="580B3F87" w14:textId="77777777" w:rsidR="00931D57" w:rsidRDefault="00931D57" w:rsidP="00721FBA">
            <w:pPr>
              <w:pStyle w:val="Figure"/>
            </w:pPr>
          </w:p>
        </w:tc>
      </w:tr>
      <w:tr w:rsidR="00931D57" w:rsidRPr="00176D3F" w14:paraId="28FE6DA5" w14:textId="77777777" w:rsidTr="00721FBA">
        <w:tc>
          <w:tcPr>
            <w:tcW w:w="5000" w:type="pct"/>
            <w:tcBorders>
              <w:top w:val="nil"/>
              <w:left w:val="nil"/>
              <w:bottom w:val="nil"/>
              <w:right w:val="nil"/>
            </w:tcBorders>
            <w:shd w:val="clear" w:color="auto" w:fill="auto"/>
          </w:tcPr>
          <w:p w14:paraId="51F7C2F1" w14:textId="77777777" w:rsidR="00931D57" w:rsidRPr="00176D3F" w:rsidRDefault="00931D57" w:rsidP="00721FBA">
            <w:pPr>
              <w:pStyle w:val="Source"/>
            </w:pPr>
            <w:r w:rsidRPr="00784A05">
              <w:rPr>
                <w:i/>
              </w:rPr>
              <w:t>Data source</w:t>
            </w:r>
            <w:r w:rsidRPr="00176D3F">
              <w:t xml:space="preserve">: </w:t>
            </w:r>
            <w:r>
              <w:t>Data provided by Australian, State and Territory Governments.</w:t>
            </w:r>
          </w:p>
        </w:tc>
      </w:tr>
      <w:tr w:rsidR="00931D57" w14:paraId="632DB9DB" w14:textId="77777777" w:rsidTr="00721FBA">
        <w:tc>
          <w:tcPr>
            <w:tcW w:w="5000" w:type="pct"/>
            <w:tcBorders>
              <w:top w:val="nil"/>
              <w:left w:val="nil"/>
              <w:bottom w:val="single" w:sz="6" w:space="0" w:color="78A22F" w:themeColor="accent1"/>
              <w:right w:val="nil"/>
            </w:tcBorders>
            <w:shd w:val="clear" w:color="auto" w:fill="auto"/>
          </w:tcPr>
          <w:p w14:paraId="43C12177" w14:textId="77777777" w:rsidR="00931D57" w:rsidRDefault="00931D57" w:rsidP="00721FBA">
            <w:pPr>
              <w:pStyle w:val="Figurespace"/>
            </w:pPr>
          </w:p>
        </w:tc>
      </w:tr>
      <w:tr w:rsidR="00931D57" w:rsidRPr="000863A5" w14:paraId="6AC40CE3" w14:textId="77777777" w:rsidTr="00721FBA">
        <w:tc>
          <w:tcPr>
            <w:tcW w:w="5000" w:type="pct"/>
            <w:tcBorders>
              <w:top w:val="single" w:sz="6" w:space="0" w:color="78A22F" w:themeColor="accent1"/>
              <w:left w:val="nil"/>
              <w:bottom w:val="nil"/>
              <w:right w:val="nil"/>
            </w:tcBorders>
          </w:tcPr>
          <w:p w14:paraId="6C3FE86A" w14:textId="10FC0298" w:rsidR="00931D57" w:rsidRPr="00626D32" w:rsidRDefault="00931D57" w:rsidP="00721FBA">
            <w:pPr>
              <w:pStyle w:val="BoxSpaceBelow"/>
            </w:pPr>
          </w:p>
        </w:tc>
      </w:tr>
    </w:tbl>
    <w:p w14:paraId="599BB163" w14:textId="77777777" w:rsidR="00E74859" w:rsidRDefault="00931D57" w:rsidP="00805FC6">
      <w:pPr>
        <w:pStyle w:val="BodyText"/>
      </w:pPr>
      <w:r>
        <w:t>The concentration of spending on specialist mental health services is largely driven by the significant amount of funding provided to public hospitals.</w:t>
      </w:r>
      <w:r w:rsidR="00805FC6">
        <w:t xml:space="preserve"> </w:t>
      </w:r>
      <w:r>
        <w:t xml:space="preserve">The Australian Government transferred </w:t>
      </w:r>
      <w:r w:rsidRPr="00B9243D">
        <w:t xml:space="preserve">around </w:t>
      </w:r>
      <w:r w:rsidRPr="00BF0B1C">
        <w:t>$2</w:t>
      </w:r>
      <w:r w:rsidRPr="00B9243D">
        <w:t> billion to</w:t>
      </w:r>
      <w:r>
        <w:t xml:space="preserve"> State and Territory Governments in 2019-20 for mental health care in public hospitals.</w:t>
      </w:r>
      <w:r w:rsidR="00805FC6">
        <w:t xml:space="preserve"> </w:t>
      </w:r>
    </w:p>
    <w:p w14:paraId="3144EEC4" w14:textId="65F13F2A" w:rsidR="00E74859" w:rsidRDefault="00931D57" w:rsidP="00A53405">
      <w:pPr>
        <w:pStyle w:val="BodyText"/>
      </w:pPr>
      <w:r>
        <w:t xml:space="preserve">Collectively, State and Territory Governments reported spending around </w:t>
      </w:r>
      <w:r w:rsidRPr="004B0DBD">
        <w:t>$4 </w:t>
      </w:r>
      <w:r w:rsidRPr="00907C69">
        <w:rPr>
          <w:bCs/>
        </w:rPr>
        <w:t>billion</w:t>
      </w:r>
      <w:r w:rsidRPr="00DC026E">
        <w:rPr>
          <w:color w:val="FF0000"/>
        </w:rPr>
        <w:t xml:space="preserve"> </w:t>
      </w:r>
      <w:r>
        <w:t xml:space="preserve">on specialist mental health services in 2019-20. </w:t>
      </w:r>
      <w:r w:rsidR="00C228F3">
        <w:t>However, i</w:t>
      </w:r>
      <w:r>
        <w:t>ssues with the granularity of reported data made it difficult to identify how much of this expenditure was directed to public hospital</w:t>
      </w:r>
      <w:r>
        <w:noBreakHyphen/>
        <w:t>based services versus community-based services</w:t>
      </w:r>
      <w:r w:rsidR="00523FC4">
        <w:t xml:space="preserve"> across </w:t>
      </w:r>
      <w:r w:rsidR="00053E28">
        <w:t>most</w:t>
      </w:r>
      <w:r w:rsidR="00523FC4">
        <w:t xml:space="preserve"> jurisdictions</w:t>
      </w:r>
      <w:r>
        <w:t xml:space="preserve">. </w:t>
      </w:r>
      <w:r w:rsidR="00AC1FAF">
        <w:t xml:space="preserve">In the couple of jurisdictions </w:t>
      </w:r>
      <w:r w:rsidR="00F62243">
        <w:t>for which</w:t>
      </w:r>
      <w:r w:rsidR="00AC1FAF">
        <w:t xml:space="preserve"> </w:t>
      </w:r>
      <w:r w:rsidR="005D5E92">
        <w:t>this</w:t>
      </w:r>
      <w:r w:rsidR="00AC1FAF">
        <w:t xml:space="preserve"> funding </w:t>
      </w:r>
      <w:r w:rsidR="00630999">
        <w:t>breakdow</w:t>
      </w:r>
      <w:r w:rsidR="004B788F">
        <w:t>n</w:t>
      </w:r>
      <w:r w:rsidR="00AC1FAF">
        <w:t xml:space="preserve"> could be separately identified, a</w:t>
      </w:r>
      <w:r w:rsidR="00BC7609">
        <w:t>round 40–50 per cent</w:t>
      </w:r>
      <w:r w:rsidR="00523FC4">
        <w:t xml:space="preserve"> of </w:t>
      </w:r>
      <w:r w:rsidR="00BC7609">
        <w:t xml:space="preserve">specialist </w:t>
      </w:r>
      <w:r w:rsidR="00AC1FAF">
        <w:t>mental health</w:t>
      </w:r>
      <w:r w:rsidR="00BC7609">
        <w:t xml:space="preserve"> </w:t>
      </w:r>
      <w:r w:rsidR="001D5F28">
        <w:t>service expenditure</w:t>
      </w:r>
      <w:r w:rsidR="00157AAF">
        <w:t>s</w:t>
      </w:r>
      <w:r w:rsidR="001D5F28">
        <w:t xml:space="preserve"> w</w:t>
      </w:r>
      <w:r w:rsidR="00157AAF">
        <w:t>ere</w:t>
      </w:r>
      <w:r w:rsidR="001D5F28">
        <w:t xml:space="preserve"> </w:t>
      </w:r>
      <w:r w:rsidR="004B788F">
        <w:t>allocated</w:t>
      </w:r>
      <w:r w:rsidR="001D5F28">
        <w:t xml:space="preserve"> to hospital-based programs</w:t>
      </w:r>
      <w:r w:rsidR="00BC6BFD">
        <w:t>.</w:t>
      </w:r>
      <w:r w:rsidR="0092205A">
        <w:t xml:space="preserve"> </w:t>
      </w:r>
      <w:r w:rsidR="001D5F28">
        <w:t xml:space="preserve">This is </w:t>
      </w:r>
      <w:r w:rsidR="00D94DF1">
        <w:t xml:space="preserve">broadly </w:t>
      </w:r>
      <w:r w:rsidR="001D5F28">
        <w:t xml:space="preserve">consistent with </w:t>
      </w:r>
      <w:r>
        <w:t>AIHW estimates (based on 2018</w:t>
      </w:r>
      <w:r w:rsidR="00B960B8">
        <w:noBreakHyphen/>
      </w:r>
      <w:r>
        <w:t>19 data)</w:t>
      </w:r>
      <w:r w:rsidR="00D94DF1">
        <w:t>, which</w:t>
      </w:r>
      <w:r>
        <w:t xml:space="preserve"> suggest that State and Territory Government expenditure on specialised mental health services</w:t>
      </w:r>
      <w:r w:rsidR="00CB4AC6">
        <w:rPr>
          <w:rStyle w:val="FootnoteReference"/>
        </w:rPr>
        <w:footnoteReference w:id="8"/>
      </w:r>
      <w:r>
        <w:t xml:space="preserve"> is relatively evenly split between public hospitals and community</w:t>
      </w:r>
      <w:r w:rsidR="00B960B8">
        <w:noBreakHyphen/>
      </w:r>
      <w:r>
        <w:t>based services, though this balance var</w:t>
      </w:r>
      <w:r w:rsidR="006711D0">
        <w:t>ies</w:t>
      </w:r>
      <w:r>
        <w:t xml:space="preserve"> across jurisdictions </w:t>
      </w:r>
      <w:r w:rsidR="00530620" w:rsidRPr="00530620">
        <w:rPr>
          <w:szCs w:val="24"/>
        </w:rPr>
        <w:t>(AIHW 2021a)</w:t>
      </w:r>
      <w:r>
        <w:t>.</w:t>
      </w:r>
      <w:r w:rsidR="005A5D24">
        <w:t xml:space="preserve"> </w:t>
      </w:r>
    </w:p>
    <w:p w14:paraId="3703FA58" w14:textId="06A7E2D5" w:rsidR="00A53405" w:rsidRPr="005D1DE0" w:rsidRDefault="00004481" w:rsidP="00A53405">
      <w:pPr>
        <w:pStyle w:val="BodyText"/>
        <w:rPr>
          <w:spacing w:val="-4"/>
        </w:rPr>
      </w:pPr>
      <w:r w:rsidRPr="005D1DE0">
        <w:rPr>
          <w:spacing w:val="-4"/>
        </w:rPr>
        <w:t>The</w:t>
      </w:r>
      <w:r w:rsidR="00B76155" w:rsidRPr="005D1DE0">
        <w:rPr>
          <w:spacing w:val="-4"/>
        </w:rPr>
        <w:t xml:space="preserve"> data </w:t>
      </w:r>
      <w:r w:rsidRPr="005D1DE0">
        <w:rPr>
          <w:spacing w:val="-4"/>
        </w:rPr>
        <w:t>reported for this stocktake</w:t>
      </w:r>
      <w:r w:rsidR="00BA07E4" w:rsidRPr="005D1DE0">
        <w:rPr>
          <w:spacing w:val="-4"/>
        </w:rPr>
        <w:t xml:space="preserve"> on community</w:t>
      </w:r>
      <w:r w:rsidR="00535456" w:rsidRPr="005D1DE0">
        <w:rPr>
          <w:spacing w:val="-4"/>
        </w:rPr>
        <w:noBreakHyphen/>
      </w:r>
      <w:r w:rsidR="00BA07E4" w:rsidRPr="005D1DE0">
        <w:rPr>
          <w:spacing w:val="-4"/>
        </w:rPr>
        <w:t xml:space="preserve">based specialist services </w:t>
      </w:r>
      <w:r w:rsidR="00E43C62" w:rsidRPr="005D1DE0">
        <w:rPr>
          <w:spacing w:val="-4"/>
        </w:rPr>
        <w:t>were</w:t>
      </w:r>
      <w:r w:rsidR="00CE45A6" w:rsidRPr="005D1DE0">
        <w:rPr>
          <w:spacing w:val="-4"/>
        </w:rPr>
        <w:t xml:space="preserve"> relatively opaque, so the </w:t>
      </w:r>
      <w:r w:rsidR="00E523F2" w:rsidRPr="005D1DE0">
        <w:rPr>
          <w:spacing w:val="-4"/>
        </w:rPr>
        <w:t xml:space="preserve">Productivity </w:t>
      </w:r>
      <w:r w:rsidR="00CE45A6" w:rsidRPr="005D1DE0">
        <w:rPr>
          <w:spacing w:val="-4"/>
        </w:rPr>
        <w:t xml:space="preserve">Commission has been unable to </w:t>
      </w:r>
      <w:r w:rsidR="0042000A" w:rsidRPr="005D1DE0">
        <w:rPr>
          <w:spacing w:val="-4"/>
        </w:rPr>
        <w:t xml:space="preserve">provide detailed insights on the specific </w:t>
      </w:r>
      <w:r w:rsidR="003F56A5" w:rsidRPr="005D1DE0">
        <w:rPr>
          <w:spacing w:val="-4"/>
        </w:rPr>
        <w:t xml:space="preserve">community-based </w:t>
      </w:r>
      <w:r w:rsidR="0042000A" w:rsidRPr="005D1DE0">
        <w:rPr>
          <w:spacing w:val="-4"/>
        </w:rPr>
        <w:t>services that are funded</w:t>
      </w:r>
      <w:r w:rsidR="003F56A5" w:rsidRPr="005D1DE0">
        <w:rPr>
          <w:spacing w:val="-4"/>
        </w:rPr>
        <w:t xml:space="preserve"> by State and Territory Governments</w:t>
      </w:r>
      <w:r w:rsidR="004A4289" w:rsidRPr="005D1DE0">
        <w:rPr>
          <w:spacing w:val="-4"/>
        </w:rPr>
        <w:t>, and on whom they are focused.</w:t>
      </w:r>
      <w:r w:rsidR="000821BB" w:rsidRPr="005D1DE0">
        <w:rPr>
          <w:spacing w:val="-4"/>
        </w:rPr>
        <w:t xml:space="preserve"> Despite this </w:t>
      </w:r>
      <w:r w:rsidR="005475CA" w:rsidRPr="005D1DE0">
        <w:rPr>
          <w:spacing w:val="-4"/>
        </w:rPr>
        <w:t xml:space="preserve">lack of reported information, </w:t>
      </w:r>
      <w:r w:rsidR="00FF3ED5" w:rsidRPr="005D1DE0">
        <w:rPr>
          <w:spacing w:val="-4"/>
        </w:rPr>
        <w:t>community</w:t>
      </w:r>
      <w:r w:rsidR="00FF3ED5" w:rsidRPr="005D1DE0">
        <w:rPr>
          <w:spacing w:val="-4"/>
        </w:rPr>
        <w:noBreakHyphen/>
        <w:t xml:space="preserve">based mental health services </w:t>
      </w:r>
      <w:r w:rsidR="003E7D38" w:rsidRPr="005D1DE0">
        <w:rPr>
          <w:spacing w:val="-4"/>
        </w:rPr>
        <w:t xml:space="preserve">— including both health care services and supports beyond the health sector — </w:t>
      </w:r>
      <w:r w:rsidR="005D6693" w:rsidRPr="005D1DE0">
        <w:rPr>
          <w:spacing w:val="-4"/>
        </w:rPr>
        <w:t xml:space="preserve">play a critical role in facilitating </w:t>
      </w:r>
      <w:r w:rsidR="008D488D" w:rsidRPr="005D1DE0">
        <w:rPr>
          <w:spacing w:val="-4"/>
        </w:rPr>
        <w:t>an individual’s mental wellbeing and recovery from mental ill</w:t>
      </w:r>
      <w:r w:rsidR="008D488D" w:rsidRPr="005D1DE0">
        <w:rPr>
          <w:spacing w:val="-4"/>
        </w:rPr>
        <w:noBreakHyphen/>
        <w:t>health, as was highlighted in the Commission’s 2020 Mental Health inquiry</w:t>
      </w:r>
      <w:r w:rsidR="00581495" w:rsidRPr="005D1DE0">
        <w:rPr>
          <w:spacing w:val="-4"/>
        </w:rPr>
        <w:t xml:space="preserve"> </w:t>
      </w:r>
      <w:r w:rsidR="00986D69" w:rsidRPr="005D1DE0">
        <w:rPr>
          <w:spacing w:val="-4"/>
          <w:szCs w:val="24"/>
        </w:rPr>
        <w:t>(PC 2020, p. 24)</w:t>
      </w:r>
      <w:r w:rsidR="008D488D" w:rsidRPr="005D1DE0">
        <w:rPr>
          <w:spacing w:val="-4"/>
        </w:rPr>
        <w:t>.</w:t>
      </w:r>
    </w:p>
    <w:p w14:paraId="2CD0347E" w14:textId="77777777" w:rsidR="001912C5" w:rsidRDefault="00931D57" w:rsidP="00931D57">
      <w:pPr>
        <w:pStyle w:val="BodyText"/>
      </w:pPr>
      <w:r>
        <w:t xml:space="preserve">For each State and Territory Government, the largest category of reported </w:t>
      </w:r>
      <w:r w:rsidR="00386EAD">
        <w:t xml:space="preserve">program </w:t>
      </w:r>
      <w:r>
        <w:t>expenditure in 2019-20 was specialist mental health services or acute care.</w:t>
      </w:r>
      <w:r>
        <w:rPr>
          <w:rStyle w:val="FootnoteReference"/>
        </w:rPr>
        <w:footnoteReference w:id="9"/>
      </w:r>
      <w:r>
        <w:t xml:space="preserve"> </w:t>
      </w:r>
      <w:r w:rsidR="00F77584">
        <w:t>E</w:t>
      </w:r>
      <w:r>
        <w:t>xpenditure on these two</w:t>
      </w:r>
      <w:r w:rsidDel="00F45EB2">
        <w:t xml:space="preserve"> </w:t>
      </w:r>
      <w:r>
        <w:t xml:space="preserve">categories combined </w:t>
      </w:r>
      <w:r w:rsidR="00BC3246">
        <w:t>was $</w:t>
      </w:r>
      <w:r w:rsidR="00BC3246" w:rsidRPr="006557AE">
        <w:t>5.9</w:t>
      </w:r>
      <w:r w:rsidR="00BC3246">
        <w:t> billion</w:t>
      </w:r>
      <w:r w:rsidR="00F77584">
        <w:t xml:space="preserve"> across all State and Territory </w:t>
      </w:r>
      <w:proofErr w:type="gramStart"/>
      <w:r w:rsidR="00F77584">
        <w:t>Governments</w:t>
      </w:r>
      <w:r w:rsidR="00BC3246">
        <w:t xml:space="preserve">, </w:t>
      </w:r>
      <w:r w:rsidR="00F77584">
        <w:t>and</w:t>
      </w:r>
      <w:proofErr w:type="gramEnd"/>
      <w:r w:rsidR="00BC3246">
        <w:t xml:space="preserve"> </w:t>
      </w:r>
      <w:r>
        <w:t xml:space="preserve">ranged from </w:t>
      </w:r>
      <w:r w:rsidRPr="006557AE">
        <w:t>54</w:t>
      </w:r>
      <w:r>
        <w:t xml:space="preserve"> to </w:t>
      </w:r>
      <w:r w:rsidRPr="006557AE">
        <w:t>88</w:t>
      </w:r>
      <w:r>
        <w:t xml:space="preserve"> per cent </w:t>
      </w:r>
      <w:r w:rsidR="00F77584">
        <w:t xml:space="preserve">of total spend </w:t>
      </w:r>
      <w:r>
        <w:t xml:space="preserve">across the </w:t>
      </w:r>
      <w:r w:rsidR="00F77584">
        <w:t xml:space="preserve">jurisdictions </w:t>
      </w:r>
      <w:r>
        <w:t xml:space="preserve">(figure 2.7). </w:t>
      </w:r>
    </w:p>
    <w:p w14:paraId="78A8A1A5" w14:textId="18CDDE27" w:rsidR="002A7E8F" w:rsidRDefault="00FD5106" w:rsidP="00931D57">
      <w:pPr>
        <w:pStyle w:val="BodyText"/>
      </w:pPr>
      <w:r>
        <w:t xml:space="preserve">Based on the stocktake data, </w:t>
      </w:r>
      <w:r w:rsidR="00FE76FA" w:rsidRPr="00FE76FA">
        <w:t xml:space="preserve">the Productivity Commission estimates that around </w:t>
      </w:r>
      <w:r w:rsidR="00240056">
        <w:t>$5.9 billion</w:t>
      </w:r>
      <w:r w:rsidR="00FE76FA" w:rsidRPr="00FE76FA">
        <w:t xml:space="preserve"> was spent by the Australian, State and Territory Governments on mental health-related services in public hospitals and acute care</w:t>
      </w:r>
      <w:r w:rsidR="00FE76FA">
        <w:t>.</w:t>
      </w:r>
      <w:r w:rsidR="007B3991">
        <w:rPr>
          <w:rStyle w:val="FootnoteReference"/>
        </w:rPr>
        <w:footnoteReference w:id="10"/>
      </w:r>
      <w:r w:rsidR="00FE76FA" w:rsidRPr="00FE76FA">
        <w:t xml:space="preserve"> </w:t>
      </w:r>
      <w:r w:rsidR="005635C2">
        <w:t xml:space="preserve">This represented a significant </w:t>
      </w:r>
      <w:r w:rsidR="002E4836">
        <w:t xml:space="preserve">share of </w:t>
      </w:r>
      <w:r w:rsidR="00C728C9">
        <w:t xml:space="preserve">funding that is being spent on </w:t>
      </w:r>
      <w:r w:rsidR="00330AA5">
        <w:t xml:space="preserve">providing a relatively intense response </w:t>
      </w:r>
      <w:r w:rsidR="002F6CC7">
        <w:t xml:space="preserve">to the </w:t>
      </w:r>
      <w:r w:rsidR="00B5761C">
        <w:t xml:space="preserve">range of </w:t>
      </w:r>
      <w:r w:rsidR="002F6CC7">
        <w:t>mental health</w:t>
      </w:r>
      <w:r w:rsidR="002F6CC7">
        <w:noBreakHyphen/>
        <w:t xml:space="preserve">related issues that </w:t>
      </w:r>
      <w:r w:rsidR="00264B96">
        <w:t xml:space="preserve">are </w:t>
      </w:r>
      <w:r w:rsidR="00115519">
        <w:t>currently</w:t>
      </w:r>
      <w:r w:rsidR="00024EE5">
        <w:t xml:space="preserve"> presented across the system</w:t>
      </w:r>
      <w:r w:rsidR="00532ADD">
        <w:t>.</w:t>
      </w:r>
      <w:r w:rsidR="00FB2C86">
        <w:t xml:space="preserve"> </w:t>
      </w:r>
    </w:p>
    <w:p w14:paraId="79B0D9F8" w14:textId="2EFC3A04" w:rsidR="00931D57" w:rsidRDefault="00931D57" w:rsidP="00931D5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6BFF5183" w14:textId="77777777" w:rsidTr="00721FBA">
        <w:trPr>
          <w:tblHeader/>
        </w:trPr>
        <w:tc>
          <w:tcPr>
            <w:tcW w:w="5000" w:type="pct"/>
            <w:tcBorders>
              <w:top w:val="single" w:sz="6" w:space="0" w:color="78A22F" w:themeColor="accent1"/>
              <w:left w:val="nil"/>
              <w:bottom w:val="nil"/>
              <w:right w:val="nil"/>
            </w:tcBorders>
            <w:shd w:val="clear" w:color="auto" w:fill="auto"/>
          </w:tcPr>
          <w:p w14:paraId="10A70358" w14:textId="77777777" w:rsidR="00931D57" w:rsidRDefault="00931D57" w:rsidP="00721FBA">
            <w:pPr>
              <w:pStyle w:val="FigureTitle"/>
            </w:pPr>
            <w:r w:rsidRPr="00784A05">
              <w:rPr>
                <w:b w:val="0"/>
              </w:rPr>
              <w:t>Figure</w:t>
            </w:r>
            <w:r>
              <w:rPr>
                <w:b w:val="0"/>
              </w:rPr>
              <w:t xml:space="preserve"> 2.7</w:t>
            </w:r>
            <w:r>
              <w:tab/>
              <w:t>Jurisdictions reported different patterns of spending across service categories</w:t>
            </w:r>
          </w:p>
          <w:p w14:paraId="7238115F" w14:textId="77777777" w:rsidR="00931D57" w:rsidRPr="00176D3F" w:rsidRDefault="00931D57" w:rsidP="00721FBA">
            <w:pPr>
              <w:pStyle w:val="Subtitle"/>
            </w:pPr>
            <w:r>
              <w:t>Distribution of each jurisdiction’s spend by service categories, 2019-20</w:t>
            </w:r>
          </w:p>
        </w:tc>
      </w:tr>
      <w:tr w:rsidR="00931D57" w14:paraId="5B18EBCE" w14:textId="77777777" w:rsidTr="00721FB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31D57" w:rsidRPr="00B1465D" w14:paraId="021C0DF4" w14:textId="77777777" w:rsidTr="00721FBA">
              <w:trPr>
                <w:tblHeader/>
                <w:jc w:val="center"/>
              </w:trPr>
              <w:tc>
                <w:tcPr>
                  <w:tcW w:w="5000" w:type="pct"/>
                  <w:tcBorders>
                    <w:top w:val="nil"/>
                    <w:bottom w:val="nil"/>
                  </w:tcBorders>
                </w:tcPr>
                <w:p w14:paraId="3CE6ECED" w14:textId="461235A3" w:rsidR="00931D57" w:rsidRPr="00B1465D" w:rsidRDefault="00FD4CA5" w:rsidP="00721FBA">
                  <w:pPr>
                    <w:pStyle w:val="Figure"/>
                    <w:spacing w:before="60" w:after="60"/>
                    <w:rPr>
                      <w:rFonts w:ascii="Arial" w:hAnsi="Arial" w:cs="Arial"/>
                      <w:sz w:val="18"/>
                      <w:szCs w:val="18"/>
                    </w:rPr>
                  </w:pPr>
                  <w:r w:rsidRPr="00FD4CA5">
                    <w:rPr>
                      <w:rFonts w:ascii="Arial" w:hAnsi="Arial" w:cs="Arial"/>
                      <w:noProof/>
                      <w:sz w:val="18"/>
                      <w:szCs w:val="18"/>
                    </w:rPr>
                    <w:drawing>
                      <wp:inline distT="0" distB="0" distL="0" distR="0" wp14:anchorId="5CFF9739" wp14:editId="48C7641B">
                        <wp:extent cx="5265420" cy="2994660"/>
                        <wp:effectExtent l="0" t="0" r="0" b="0"/>
                        <wp:docPr id="23" name="Picture 23" descr="Figure 2.7 This is a stacked bar chart showing the distribution of each jurisdiction’s spend by service categories in 2019-20. For each State and Territory Government, the largest category of reported expenditure in 2019-20 was specialist mental health services or acute care. The proportion of total expenditure on these two categories combined ranged from 54 to 88 per cent across the states and territories. In contrast, the Australian Government’s reported expenditure was more heavily weighted towards primary mental health care (41 per cent), with specialist mental health services and acute care (combined) accounting for around 30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2.7 This is a stacked bar chart showing the distribution of each jurisdiction’s spend by service categories in 2019-20. For each State and Territory Government, the largest category of reported expenditure in 2019-20 was specialist mental health services or acute care. The proportion of total expenditure on these two categories combined ranged from 54 to 88 per cent across the states and territories. In contrast, the Australian Government’s reported expenditure was more heavily weighted towards primary mental health care (41 per cent), with specialist mental health services and acute care (combined) accounting for around 30 per cen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65420" cy="2994660"/>
                                </a:xfrm>
                                <a:prstGeom prst="rect">
                                  <a:avLst/>
                                </a:prstGeom>
                                <a:noFill/>
                                <a:ln>
                                  <a:noFill/>
                                </a:ln>
                              </pic:spPr>
                            </pic:pic>
                          </a:graphicData>
                        </a:graphic>
                      </wp:inline>
                    </w:drawing>
                  </w:r>
                </w:p>
              </w:tc>
            </w:tr>
          </w:tbl>
          <w:p w14:paraId="094FF28E" w14:textId="77777777" w:rsidR="00931D57" w:rsidRDefault="00931D57" w:rsidP="00721FBA">
            <w:pPr>
              <w:pStyle w:val="Figure"/>
            </w:pPr>
          </w:p>
        </w:tc>
      </w:tr>
      <w:tr w:rsidR="00931D57" w:rsidRPr="00176D3F" w14:paraId="3CA08CE2" w14:textId="77777777" w:rsidTr="00721FBA">
        <w:tc>
          <w:tcPr>
            <w:tcW w:w="5000" w:type="pct"/>
            <w:tcBorders>
              <w:top w:val="nil"/>
              <w:left w:val="nil"/>
              <w:bottom w:val="nil"/>
              <w:right w:val="nil"/>
            </w:tcBorders>
            <w:shd w:val="clear" w:color="auto" w:fill="auto"/>
          </w:tcPr>
          <w:p w14:paraId="661B33D6" w14:textId="77777777" w:rsidR="00931D57" w:rsidRPr="00176D3F" w:rsidRDefault="00931D57" w:rsidP="00721FBA">
            <w:pPr>
              <w:pStyle w:val="Source"/>
            </w:pPr>
            <w:r w:rsidRPr="00784A05">
              <w:rPr>
                <w:i/>
              </w:rPr>
              <w:t>Data source</w:t>
            </w:r>
            <w:r w:rsidRPr="00176D3F">
              <w:t xml:space="preserve">: </w:t>
            </w:r>
            <w:r>
              <w:t>Data provided by Australian, State and Territory Governments.</w:t>
            </w:r>
          </w:p>
        </w:tc>
      </w:tr>
      <w:tr w:rsidR="00931D57" w14:paraId="7D1CB47B" w14:textId="77777777" w:rsidTr="00721FBA">
        <w:tc>
          <w:tcPr>
            <w:tcW w:w="5000" w:type="pct"/>
            <w:tcBorders>
              <w:top w:val="nil"/>
              <w:left w:val="nil"/>
              <w:bottom w:val="single" w:sz="6" w:space="0" w:color="78A22F" w:themeColor="accent1"/>
              <w:right w:val="nil"/>
            </w:tcBorders>
            <w:shd w:val="clear" w:color="auto" w:fill="auto"/>
          </w:tcPr>
          <w:p w14:paraId="76498268" w14:textId="77777777" w:rsidR="00931D57" w:rsidRDefault="00931D57" w:rsidP="00721FBA">
            <w:pPr>
              <w:pStyle w:val="Figurespace"/>
            </w:pPr>
          </w:p>
        </w:tc>
      </w:tr>
      <w:tr w:rsidR="00931D57" w:rsidRPr="000863A5" w14:paraId="591317EF" w14:textId="77777777" w:rsidTr="00721FBA">
        <w:tc>
          <w:tcPr>
            <w:tcW w:w="5000" w:type="pct"/>
            <w:tcBorders>
              <w:top w:val="single" w:sz="6" w:space="0" w:color="78A22F" w:themeColor="accent1"/>
              <w:left w:val="nil"/>
              <w:bottom w:val="nil"/>
              <w:right w:val="nil"/>
            </w:tcBorders>
          </w:tcPr>
          <w:p w14:paraId="5144D7AE" w14:textId="1D4A7928" w:rsidR="00931D57" w:rsidRPr="00626D32" w:rsidRDefault="00931D57" w:rsidP="00721FBA">
            <w:pPr>
              <w:pStyle w:val="BoxSpaceBelow"/>
            </w:pPr>
          </w:p>
        </w:tc>
      </w:tr>
    </w:tbl>
    <w:p w14:paraId="6733AFBA" w14:textId="56F5307B" w:rsidR="00A038C3" w:rsidRDefault="00A038C3" w:rsidP="00A038C3">
      <w:pPr>
        <w:pStyle w:val="BodyText"/>
      </w:pPr>
      <w:r>
        <w:t>On psychosocial supports, State and Territory Governments reported spending $226 million on programs in 2019-20. However, this likely represents an understatement, given jurisdictions provided little</w:t>
      </w:r>
      <w:r w:rsidR="00C360C9">
        <w:t xml:space="preserve"> program</w:t>
      </w:r>
      <w:r>
        <w:t xml:space="preserve"> data from community services portfolios </w:t>
      </w:r>
      <w:r w:rsidR="00DF663F">
        <w:t xml:space="preserve">(discussed above) </w:t>
      </w:r>
      <w:r w:rsidR="00AA25A6">
        <w:t xml:space="preserve">— </w:t>
      </w:r>
      <w:bookmarkStart w:id="5" w:name="_Hlk70596136"/>
      <w:r>
        <w:t xml:space="preserve">the Productivity Commission’s </w:t>
      </w:r>
      <w:r w:rsidR="00F41ACF">
        <w:t xml:space="preserve">2020 </w:t>
      </w:r>
      <w:r>
        <w:t>Mental Health inquiry estimated this area of expenditure was approximately $452 million in 2018</w:t>
      </w:r>
      <w:r>
        <w:noBreakHyphen/>
        <w:t xml:space="preserve">19 </w:t>
      </w:r>
      <w:r w:rsidR="00AA25A6">
        <w:t>(</w:t>
      </w:r>
      <w:r>
        <w:t>box 1.</w:t>
      </w:r>
      <w:bookmarkEnd w:id="5"/>
      <w:r>
        <w:t>2</w:t>
      </w:r>
      <w:r w:rsidR="00AA25A6">
        <w:t>)</w:t>
      </w:r>
      <w:r>
        <w:t xml:space="preserve">. </w:t>
      </w:r>
    </w:p>
    <w:p w14:paraId="4C8A10FA" w14:textId="3DB25FB9" w:rsidR="00931D57" w:rsidRDefault="00931D57" w:rsidP="00931D57">
      <w:pPr>
        <w:pStyle w:val="BodyText"/>
      </w:pPr>
      <w:r>
        <w:t>In contrast</w:t>
      </w:r>
      <w:r w:rsidR="00F62710">
        <w:t xml:space="preserve"> to </w:t>
      </w:r>
      <w:r w:rsidR="00B92764">
        <w:t>S</w:t>
      </w:r>
      <w:r w:rsidR="00F62710">
        <w:t xml:space="preserve">tate and </w:t>
      </w:r>
      <w:r w:rsidR="00B92764">
        <w:t>T</w:t>
      </w:r>
      <w:r w:rsidR="00D12EBD">
        <w:t>erritor</w:t>
      </w:r>
      <w:r w:rsidR="00B92764">
        <w:t>y Governments</w:t>
      </w:r>
      <w:r>
        <w:t xml:space="preserve">, the Australian Government’s reported </w:t>
      </w:r>
      <w:r w:rsidR="008E4DED">
        <w:t xml:space="preserve">program </w:t>
      </w:r>
      <w:r>
        <w:t>expenditure was more heavily weighted towards primary mental health care (</w:t>
      </w:r>
      <w:r w:rsidRPr="00A6542B">
        <w:t>4</w:t>
      </w:r>
      <w:r w:rsidR="00864C15" w:rsidRPr="00A6542B">
        <w:t>1</w:t>
      </w:r>
      <w:r>
        <w:t> per cent</w:t>
      </w:r>
      <w:r w:rsidR="00201036">
        <w:t xml:space="preserve"> or $</w:t>
      </w:r>
      <w:r w:rsidR="00201036" w:rsidRPr="00A6542B">
        <w:t>2.9 billion</w:t>
      </w:r>
      <w:r w:rsidR="00201036">
        <w:t xml:space="preserve"> in 2019</w:t>
      </w:r>
      <w:r w:rsidR="00201036">
        <w:noBreakHyphen/>
        <w:t>20</w:t>
      </w:r>
      <w:r>
        <w:t xml:space="preserve">), with specialist mental health services accounting for around </w:t>
      </w:r>
      <w:r w:rsidR="00A03509" w:rsidRPr="00E01223">
        <w:t>30</w:t>
      </w:r>
      <w:r>
        <w:t> per cent (figure</w:t>
      </w:r>
      <w:r w:rsidR="00A14F6A">
        <w:t> </w:t>
      </w:r>
      <w:r>
        <w:t>2.7). This divergence in focus reflects the specific funding responsibilities of different levels of government.</w:t>
      </w:r>
      <w:r w:rsidRPr="00AE2592">
        <w:rPr>
          <w:rStyle w:val="FootnoteReference"/>
        </w:rPr>
        <w:footnoteReference w:id="11"/>
      </w:r>
      <w:r>
        <w:t xml:space="preserve"> </w:t>
      </w:r>
    </w:p>
    <w:p w14:paraId="09398F10" w14:textId="3E922024" w:rsidR="00306D02" w:rsidRDefault="00931D57" w:rsidP="00931D57">
      <w:pPr>
        <w:pStyle w:val="BodyText"/>
      </w:pPr>
      <w:r>
        <w:t>Within primary care, the Australian Government’s largest spending items were for mental health services provided through the Medicare Benefits Schedule (MBS)</w:t>
      </w:r>
      <w:r>
        <w:rPr>
          <w:rStyle w:val="FootnoteReference"/>
        </w:rPr>
        <w:footnoteReference w:id="12"/>
      </w:r>
      <w:r>
        <w:t xml:space="preserve"> (including the Better Access program</w:t>
      </w:r>
      <w:r w:rsidRPr="00073143">
        <w:t xml:space="preserve">) and subsidised mental health-related prescriptions via the Pharmaceutical Benefits Scheme </w:t>
      </w:r>
      <w:r>
        <w:t xml:space="preserve">— </w:t>
      </w:r>
      <w:r w:rsidRPr="00073143">
        <w:t>collectively totalling around $2 billion in 2019</w:t>
      </w:r>
      <w:r w:rsidRPr="00073143">
        <w:noBreakHyphen/>
        <w:t>20</w:t>
      </w:r>
      <w:r>
        <w:t xml:space="preserve"> (figure 2.8</w:t>
      </w:r>
      <w:r w:rsidRPr="00073143">
        <w:t xml:space="preserve">). </w:t>
      </w:r>
      <w:r w:rsidR="00803078">
        <w:t>However</w:t>
      </w:r>
      <w:r w:rsidR="00D7767C">
        <w:t xml:space="preserve">, </w:t>
      </w:r>
      <w:r w:rsidR="00306D02" w:rsidRPr="00306D02">
        <w:t>using MBS data to estimate expenditure on mental health services provided by general practitioners</w:t>
      </w:r>
      <w:r w:rsidR="00380BB5">
        <w:t>, who play a significant gatekeeper role in the mental health system,</w:t>
      </w:r>
      <w:r w:rsidR="00306D02" w:rsidRPr="00306D02">
        <w:t xml:space="preserve"> is likely to understate the extent of these services. For example, in 2015</w:t>
      </w:r>
      <w:r w:rsidR="00F94C8D">
        <w:t>-</w:t>
      </w:r>
      <w:r w:rsidR="00306D02" w:rsidRPr="00306D02">
        <w:t xml:space="preserve">16, the </w:t>
      </w:r>
      <w:r w:rsidR="00306D02" w:rsidRPr="00390CA2">
        <w:rPr>
          <w:i/>
          <w:iCs/>
        </w:rPr>
        <w:t>Bettering the Evaluation and Care of Health</w:t>
      </w:r>
      <w:r w:rsidR="00306D02" w:rsidRPr="00306D02">
        <w:t xml:space="preserve"> survey reported that there were almost 18 million mental health-related </w:t>
      </w:r>
      <w:r w:rsidR="00DB5BC1">
        <w:t>consultations</w:t>
      </w:r>
      <w:r w:rsidR="00DB5BC1" w:rsidRPr="00306D02">
        <w:t xml:space="preserve"> </w:t>
      </w:r>
      <w:r w:rsidR="00306D02" w:rsidRPr="00306D02">
        <w:t>with general practitioners</w:t>
      </w:r>
      <w:r w:rsidR="00A755F9">
        <w:t xml:space="preserve">, </w:t>
      </w:r>
      <w:r w:rsidR="00F031EC">
        <w:t xml:space="preserve">yet </w:t>
      </w:r>
      <w:r w:rsidR="00306D02" w:rsidRPr="00306D02">
        <w:t>MBS data</w:t>
      </w:r>
      <w:r w:rsidR="00F031EC">
        <w:t xml:space="preserve"> suggested </w:t>
      </w:r>
      <w:r w:rsidR="00306D02" w:rsidRPr="00306D02">
        <w:t xml:space="preserve">only 3.2 million </w:t>
      </w:r>
      <w:r w:rsidR="004337CF">
        <w:t xml:space="preserve">Medicare-subsidised </w:t>
      </w:r>
      <w:r w:rsidR="00306D02" w:rsidRPr="00306D02">
        <w:t xml:space="preserve">mental health-specific services were delivered by general practitioners </w:t>
      </w:r>
      <w:r w:rsidR="00530620" w:rsidRPr="00530620">
        <w:rPr>
          <w:szCs w:val="24"/>
        </w:rPr>
        <w:t>(AIHW 2021b)</w:t>
      </w:r>
      <w:r w:rsidR="00306D02" w:rsidRPr="00306D02">
        <w:t>.</w:t>
      </w:r>
      <w:r w:rsidR="007A7021">
        <w:t xml:space="preserve"> </w:t>
      </w:r>
    </w:p>
    <w:p w14:paraId="6BBFF6D7" w14:textId="4D16B4DE" w:rsidR="00931D57" w:rsidRDefault="00931D57" w:rsidP="00931D5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4D2C6221" w14:textId="77777777" w:rsidTr="00721FBA">
        <w:trPr>
          <w:tblHeader/>
        </w:trPr>
        <w:tc>
          <w:tcPr>
            <w:tcW w:w="5000" w:type="pct"/>
            <w:tcBorders>
              <w:top w:val="single" w:sz="6" w:space="0" w:color="78A22F" w:themeColor="accent1"/>
              <w:left w:val="nil"/>
              <w:bottom w:val="nil"/>
              <w:right w:val="nil"/>
            </w:tcBorders>
            <w:shd w:val="clear" w:color="auto" w:fill="auto"/>
          </w:tcPr>
          <w:p w14:paraId="3E6D768A" w14:textId="77777777" w:rsidR="00931D57" w:rsidRDefault="00931D57" w:rsidP="00721FBA">
            <w:pPr>
              <w:pStyle w:val="FigureTitle"/>
            </w:pPr>
            <w:r w:rsidRPr="00784A05">
              <w:rPr>
                <w:b w:val="0"/>
              </w:rPr>
              <w:t>Figure</w:t>
            </w:r>
            <w:r>
              <w:rPr>
                <w:b w:val="0"/>
              </w:rPr>
              <w:t xml:space="preserve"> 2.8</w:t>
            </w:r>
            <w:r>
              <w:tab/>
            </w:r>
            <w:r w:rsidRPr="001B740E">
              <w:t>F</w:t>
            </w:r>
            <w:r>
              <w:t>ive</w:t>
            </w:r>
            <w:r w:rsidRPr="001B740E">
              <w:t xml:space="preserve"> programs make up the bulk of Australian Government spend</w:t>
            </w:r>
            <w:proofErr w:type="spellStart"/>
            <w:r w:rsidRPr="001B740E">
              <w:rPr>
                <w:rStyle w:val="NoteLabel"/>
                <w:b/>
                <w:bCs/>
              </w:rPr>
              <w:t>a,b</w:t>
            </w:r>
            <w:r>
              <w:rPr>
                <w:rStyle w:val="NoteLabel"/>
                <w:b/>
                <w:bCs/>
              </w:rPr>
              <w:t>,</w:t>
            </w:r>
            <w:r w:rsidRPr="002776CF">
              <w:rPr>
                <w:rStyle w:val="NoteLabel"/>
                <w:b/>
              </w:rPr>
              <w:t>c</w:t>
            </w:r>
            <w:proofErr w:type="spellEnd"/>
          </w:p>
          <w:p w14:paraId="08695D49" w14:textId="77777777" w:rsidR="00931D57" w:rsidRPr="00176D3F" w:rsidRDefault="00931D57" w:rsidP="00721FBA">
            <w:pPr>
              <w:pStyle w:val="Subtitle"/>
            </w:pPr>
            <w:r>
              <w:t>Australian G</w:t>
            </w:r>
            <w:r w:rsidRPr="00CF5E3B">
              <w:t>overnment spend on mental</w:t>
            </w:r>
            <w:r w:rsidRPr="003250F5">
              <w:t xml:space="preserve"> health and suicide prevention programs</w:t>
            </w:r>
            <w:r>
              <w:t>, 2019</w:t>
            </w:r>
            <w:r>
              <w:noBreakHyphen/>
              <w:t>20</w:t>
            </w:r>
          </w:p>
        </w:tc>
      </w:tr>
      <w:tr w:rsidR="00931D57" w14:paraId="47B9E760" w14:textId="77777777" w:rsidTr="00721FB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31D57" w:rsidRPr="00B1465D" w14:paraId="118D69F2" w14:textId="77777777" w:rsidTr="00721FBA">
              <w:trPr>
                <w:tblHeader/>
                <w:jc w:val="center"/>
              </w:trPr>
              <w:tc>
                <w:tcPr>
                  <w:tcW w:w="5000" w:type="pct"/>
                  <w:tcBorders>
                    <w:top w:val="nil"/>
                    <w:bottom w:val="nil"/>
                  </w:tcBorders>
                </w:tcPr>
                <w:p w14:paraId="3ABD7710" w14:textId="47B2ABC0" w:rsidR="00931D57" w:rsidRPr="00B1465D" w:rsidRDefault="00BC2D20" w:rsidP="00721FBA">
                  <w:pPr>
                    <w:pStyle w:val="Figure"/>
                    <w:spacing w:before="60" w:after="60"/>
                    <w:rPr>
                      <w:rFonts w:ascii="Arial" w:hAnsi="Arial" w:cs="Arial"/>
                      <w:sz w:val="18"/>
                      <w:szCs w:val="18"/>
                    </w:rPr>
                  </w:pPr>
                  <w:r w:rsidRPr="00BC2D20">
                    <w:rPr>
                      <w:rFonts w:ascii="Arial" w:hAnsi="Arial" w:cs="Arial"/>
                      <w:noProof/>
                      <w:sz w:val="18"/>
                      <w:szCs w:val="18"/>
                    </w:rPr>
                    <w:drawing>
                      <wp:inline distT="0" distB="0" distL="0" distR="0" wp14:anchorId="76FDBDDF" wp14:editId="6679CD94">
                        <wp:extent cx="5265420" cy="2994660"/>
                        <wp:effectExtent l="0" t="0" r="0" b="0"/>
                        <wp:docPr id="25" name="Picture 25" descr="Figure 2.8 This is a pie chart showing Australian Government spend on mental health and suicide prevention programs in 2019-20. Major programs are: public hospitals $2011 million, Medicare Benefits Schedule (including Better Access) $1460 million, National Disability Insurance Scheme $1246 million, Pharmaceutical Benefits Scheme $554 million. Other programs had expenditure of $1062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Figure 2.8 This is a pie chart showing Australian Government spend on mental health and suicide prevention programs in 2019-20. Major programs are: public hospitals $2011 million, Medicare Benefits Schedule (including Better Access) $1460 million, National Disability Insurance Scheme $1246 million, Pharmaceutical Benefits Scheme $554 million. Other programs had expenditure of $1062 millio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65420" cy="2994660"/>
                                </a:xfrm>
                                <a:prstGeom prst="rect">
                                  <a:avLst/>
                                </a:prstGeom>
                                <a:noFill/>
                                <a:ln>
                                  <a:noFill/>
                                </a:ln>
                              </pic:spPr>
                            </pic:pic>
                          </a:graphicData>
                        </a:graphic>
                      </wp:inline>
                    </w:drawing>
                  </w:r>
                </w:p>
              </w:tc>
            </w:tr>
          </w:tbl>
          <w:p w14:paraId="7926272D" w14:textId="77777777" w:rsidR="00931D57" w:rsidRDefault="00931D57" w:rsidP="00721FBA">
            <w:pPr>
              <w:pStyle w:val="Figure"/>
            </w:pPr>
          </w:p>
        </w:tc>
      </w:tr>
      <w:tr w:rsidR="00931D57" w:rsidRPr="00176D3F" w14:paraId="6B78C67E" w14:textId="77777777" w:rsidTr="00721FBA">
        <w:tc>
          <w:tcPr>
            <w:tcW w:w="5000" w:type="pct"/>
            <w:tcBorders>
              <w:top w:val="nil"/>
              <w:left w:val="nil"/>
              <w:bottom w:val="nil"/>
              <w:right w:val="nil"/>
            </w:tcBorders>
            <w:shd w:val="clear" w:color="auto" w:fill="auto"/>
          </w:tcPr>
          <w:p w14:paraId="41EE3BCC" w14:textId="77777777" w:rsidR="00931D57" w:rsidRPr="00176D3F" w:rsidRDefault="00931D57" w:rsidP="00721FBA">
            <w:pPr>
              <w:pStyle w:val="Note"/>
            </w:pPr>
            <w:r>
              <w:rPr>
                <w:rStyle w:val="NoteLabel"/>
              </w:rPr>
              <w:t>a</w:t>
            </w:r>
            <w:r>
              <w:t xml:space="preserve"> The Australian Government provides funding to State and Territory Governments for public hospitals under the National Health Reform Agreement. </w:t>
            </w:r>
            <w:r>
              <w:rPr>
                <w:rStyle w:val="NoteLabel"/>
              </w:rPr>
              <w:t>b</w:t>
            </w:r>
            <w:r>
              <w:t xml:space="preserve"> Expenditure under the MBS includes Medicare rebates for mental health services provided by psychiatrists, psychologists and general practitioners as reported through relevant MBS </w:t>
            </w:r>
            <w:proofErr w:type="gramStart"/>
            <w:r>
              <w:t>items, and</w:t>
            </w:r>
            <w:proofErr w:type="gramEnd"/>
            <w:r>
              <w:t xml:space="preserve"> captures the Better Access program. </w:t>
            </w:r>
            <w:r>
              <w:rPr>
                <w:rStyle w:val="NoteLabel"/>
              </w:rPr>
              <w:t>c</w:t>
            </w:r>
            <w:r>
              <w:t> Expenditure under the Pharmaceutical Benefits Scheme is for mental health-related prescriptions only.</w:t>
            </w:r>
          </w:p>
        </w:tc>
      </w:tr>
      <w:tr w:rsidR="00931D57" w:rsidRPr="00176D3F" w14:paraId="7293F097" w14:textId="77777777" w:rsidTr="00721FBA">
        <w:tc>
          <w:tcPr>
            <w:tcW w:w="5000" w:type="pct"/>
            <w:tcBorders>
              <w:top w:val="nil"/>
              <w:left w:val="nil"/>
              <w:bottom w:val="nil"/>
              <w:right w:val="nil"/>
            </w:tcBorders>
            <w:shd w:val="clear" w:color="auto" w:fill="auto"/>
          </w:tcPr>
          <w:p w14:paraId="1363B142" w14:textId="77777777" w:rsidR="00931D57" w:rsidRPr="00176D3F" w:rsidRDefault="00931D57" w:rsidP="00721FBA">
            <w:pPr>
              <w:pStyle w:val="Source"/>
            </w:pPr>
            <w:r w:rsidRPr="00784A05">
              <w:rPr>
                <w:i/>
              </w:rPr>
              <w:t>Data source</w:t>
            </w:r>
            <w:r w:rsidRPr="00176D3F">
              <w:t xml:space="preserve">: </w:t>
            </w:r>
            <w:r>
              <w:t>Data provided by the Australian Government.</w:t>
            </w:r>
          </w:p>
        </w:tc>
      </w:tr>
      <w:tr w:rsidR="00931D57" w14:paraId="7AB7923C" w14:textId="77777777" w:rsidTr="00721FBA">
        <w:tc>
          <w:tcPr>
            <w:tcW w:w="5000" w:type="pct"/>
            <w:tcBorders>
              <w:top w:val="nil"/>
              <w:left w:val="nil"/>
              <w:bottom w:val="single" w:sz="6" w:space="0" w:color="78A22F" w:themeColor="accent1"/>
              <w:right w:val="nil"/>
            </w:tcBorders>
            <w:shd w:val="clear" w:color="auto" w:fill="auto"/>
          </w:tcPr>
          <w:p w14:paraId="3081B2DD" w14:textId="77777777" w:rsidR="00931D57" w:rsidRDefault="00931D57" w:rsidP="00721FBA">
            <w:pPr>
              <w:pStyle w:val="Figurespace"/>
            </w:pPr>
          </w:p>
        </w:tc>
      </w:tr>
      <w:tr w:rsidR="00931D57" w:rsidRPr="000863A5" w14:paraId="0644C755" w14:textId="77777777" w:rsidTr="00721FBA">
        <w:tc>
          <w:tcPr>
            <w:tcW w:w="5000" w:type="pct"/>
            <w:tcBorders>
              <w:top w:val="single" w:sz="6" w:space="0" w:color="78A22F" w:themeColor="accent1"/>
              <w:left w:val="nil"/>
              <w:bottom w:val="nil"/>
              <w:right w:val="nil"/>
            </w:tcBorders>
          </w:tcPr>
          <w:p w14:paraId="6F7212B6" w14:textId="7B259178" w:rsidR="00931D57" w:rsidRPr="00626D32" w:rsidRDefault="00931D57" w:rsidP="00721FBA">
            <w:pPr>
              <w:pStyle w:val="BoxSpaceBelow"/>
            </w:pPr>
          </w:p>
        </w:tc>
      </w:tr>
    </w:tbl>
    <w:p w14:paraId="179FBB0F" w14:textId="7D629B6D" w:rsidR="005E7A38" w:rsidRPr="005E7A38" w:rsidRDefault="0087734E" w:rsidP="005E7A38">
      <w:pPr>
        <w:pStyle w:val="BodyText"/>
      </w:pPr>
      <w:r w:rsidRPr="00073143">
        <w:t>There ha</w:t>
      </w:r>
      <w:r>
        <w:t>ve</w:t>
      </w:r>
      <w:r w:rsidRPr="00073143">
        <w:t xml:space="preserve"> been sizeable increases in the Australian Government’s funding for psychosocial supports over recent years (figure 2.</w:t>
      </w:r>
      <w:r>
        <w:t>9</w:t>
      </w:r>
      <w:r w:rsidRPr="00073143">
        <w:t>), driven by growth in mental</w:t>
      </w:r>
      <w:r>
        <w:noBreakHyphen/>
      </w:r>
      <w:r w:rsidRPr="00073143">
        <w:t>health related funding for the NDIS.</w:t>
      </w:r>
      <w:r w:rsidR="00D92458">
        <w:t xml:space="preserve"> </w:t>
      </w:r>
      <w:r w:rsidR="009A5D43">
        <w:t xml:space="preserve">While this is a substantial amount of </w:t>
      </w:r>
      <w:r w:rsidR="0010597E">
        <w:t xml:space="preserve">government expenditure </w:t>
      </w:r>
      <w:r w:rsidR="002D6DEF">
        <w:t>on supports</w:t>
      </w:r>
      <w:r w:rsidR="0010597E">
        <w:t xml:space="preserve"> for </w:t>
      </w:r>
      <w:r w:rsidR="007751E0">
        <w:t xml:space="preserve">many </w:t>
      </w:r>
      <w:r w:rsidR="0010597E">
        <w:t xml:space="preserve">people with psychiatric disability, </w:t>
      </w:r>
      <w:r w:rsidR="00B16918">
        <w:t>it by no means cov</w:t>
      </w:r>
      <w:r w:rsidR="00AD3534">
        <w:t xml:space="preserve">ers the full extent of people with serious psychiatric illnesses who may </w:t>
      </w:r>
      <w:proofErr w:type="gramStart"/>
      <w:r w:rsidR="00AD3534">
        <w:t>be in need of</w:t>
      </w:r>
      <w:proofErr w:type="gramEnd"/>
      <w:r w:rsidR="00AD3534">
        <w:t xml:space="preserve"> broader support services.</w:t>
      </w:r>
      <w:r w:rsidR="005B28F4">
        <w:t xml:space="preserve"> </w:t>
      </w:r>
      <w:r w:rsidR="001B640E">
        <w:t xml:space="preserve">Outside of the NDIS, the Australian Government reported spending $229 million on psychosocial support </w:t>
      </w:r>
      <w:r w:rsidR="00E53078">
        <w:t>programs</w:t>
      </w:r>
      <w:r w:rsidR="001B640E">
        <w:t xml:space="preserve"> in 2019-20. </w:t>
      </w:r>
      <w:r w:rsidR="00EE2D3D">
        <w:t>Similar to State and Territory Government expenditures on psychosocial supports</w:t>
      </w:r>
      <w:r w:rsidR="001B640E">
        <w:t xml:space="preserve">, this may well </w:t>
      </w:r>
      <w:r w:rsidR="0083389F">
        <w:t xml:space="preserve">understate </w:t>
      </w:r>
      <w:r w:rsidR="001B640E">
        <w:t xml:space="preserve">actual spend — </w:t>
      </w:r>
      <w:r w:rsidR="001B640E" w:rsidRPr="001B640E">
        <w:t xml:space="preserve">the Productivity Commission’s </w:t>
      </w:r>
      <w:r w:rsidR="00F41ACF">
        <w:t xml:space="preserve">2020 </w:t>
      </w:r>
      <w:r w:rsidR="001B640E" w:rsidRPr="001B640E">
        <w:t>Mental Health inquiry estimated th</w:t>
      </w:r>
      <w:r w:rsidR="00ED3438">
        <w:t>at the Australian Government spen</w:t>
      </w:r>
      <w:r w:rsidR="00B4255E">
        <w:t>t</w:t>
      </w:r>
      <w:r w:rsidR="00ED3438">
        <w:t xml:space="preserve"> around </w:t>
      </w:r>
      <w:r w:rsidR="001B640E" w:rsidRPr="001B640E">
        <w:t>$4</w:t>
      </w:r>
      <w:r w:rsidR="001110B4">
        <w:t>03</w:t>
      </w:r>
      <w:r w:rsidR="001B640E" w:rsidRPr="001B640E">
        <w:t xml:space="preserve"> million </w:t>
      </w:r>
      <w:r w:rsidR="00B4255E">
        <w:t xml:space="preserve">on non-NDIS </w:t>
      </w:r>
      <w:r w:rsidR="00B35070">
        <w:t>psychosocial</w:t>
      </w:r>
      <w:r w:rsidR="00B4255E">
        <w:t xml:space="preserve"> supports</w:t>
      </w:r>
      <w:r w:rsidR="001B640E" w:rsidRPr="001B640E">
        <w:t xml:space="preserve"> in 2018</w:t>
      </w:r>
      <w:r w:rsidR="001110B4">
        <w:noBreakHyphen/>
      </w:r>
      <w:r w:rsidR="001B640E" w:rsidRPr="001B640E">
        <w:t>19</w:t>
      </w:r>
      <w:r w:rsidR="00E53078">
        <w:t xml:space="preserve"> (</w:t>
      </w:r>
      <w:r w:rsidR="001B640E" w:rsidRPr="001B640E">
        <w:t>box 1.</w:t>
      </w:r>
      <w:r w:rsidR="00E64CE9">
        <w:t>2</w:t>
      </w:r>
      <w:r w:rsidR="001110B4">
        <w:t>).</w:t>
      </w:r>
    </w:p>
    <w:p w14:paraId="2E542A1A" w14:textId="4FA8AC83" w:rsidR="0092205F" w:rsidRPr="008D26C8" w:rsidRDefault="0092205F" w:rsidP="005D1DE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397ABB91" w14:textId="77777777" w:rsidTr="00721FBA">
        <w:trPr>
          <w:tblHeader/>
        </w:trPr>
        <w:tc>
          <w:tcPr>
            <w:tcW w:w="5000" w:type="pct"/>
            <w:tcBorders>
              <w:top w:val="single" w:sz="6" w:space="0" w:color="78A22F" w:themeColor="accent1"/>
              <w:left w:val="nil"/>
              <w:bottom w:val="nil"/>
              <w:right w:val="nil"/>
            </w:tcBorders>
            <w:shd w:val="clear" w:color="auto" w:fill="auto"/>
          </w:tcPr>
          <w:p w14:paraId="65D7E43F" w14:textId="2F76C9BE" w:rsidR="00931D57" w:rsidRDefault="00931D57" w:rsidP="00721FBA">
            <w:pPr>
              <w:pStyle w:val="FigureTitle"/>
            </w:pPr>
            <w:r w:rsidRPr="00784A05">
              <w:rPr>
                <w:b w:val="0"/>
              </w:rPr>
              <w:t>Figure</w:t>
            </w:r>
            <w:r>
              <w:rPr>
                <w:b w:val="0"/>
              </w:rPr>
              <w:t xml:space="preserve"> 2.9</w:t>
            </w:r>
            <w:r>
              <w:tab/>
              <w:t>Australian Government spend on psychosocial support</w:t>
            </w:r>
            <w:r w:rsidR="003A3580">
              <w:t xml:space="preserve"> program</w:t>
            </w:r>
            <w:r>
              <w:t>s has increased significantly</w:t>
            </w:r>
          </w:p>
          <w:p w14:paraId="265C2EC3" w14:textId="33676BD4" w:rsidR="00931D57" w:rsidRPr="00176D3F" w:rsidRDefault="00931D57" w:rsidP="00721FBA">
            <w:pPr>
              <w:pStyle w:val="Subtitle"/>
            </w:pPr>
            <w:r w:rsidRPr="009C11D9">
              <w:t xml:space="preserve">Australian Government </w:t>
            </w:r>
            <w:r w:rsidR="00FF4C9C">
              <w:t xml:space="preserve">program </w:t>
            </w:r>
            <w:r w:rsidRPr="009C11D9">
              <w:t>expenditure by service category, 2018</w:t>
            </w:r>
            <w:r>
              <w:noBreakHyphen/>
            </w:r>
            <w:r w:rsidRPr="009C11D9">
              <w:t>19 to 2020</w:t>
            </w:r>
            <w:r>
              <w:noBreakHyphen/>
            </w:r>
            <w:r w:rsidRPr="009C11D9">
              <w:t>21</w:t>
            </w:r>
            <w:r w:rsidRPr="00CC3A4E">
              <w:rPr>
                <w:rStyle w:val="NoteLabel"/>
              </w:rPr>
              <w:t>a</w:t>
            </w:r>
          </w:p>
        </w:tc>
      </w:tr>
      <w:tr w:rsidR="00931D57" w14:paraId="291CED2E" w14:textId="77777777" w:rsidTr="00721FB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31D57" w:rsidRPr="00B1465D" w14:paraId="5B1430A0" w14:textId="77777777" w:rsidTr="00721FBA">
              <w:trPr>
                <w:tblHeader/>
                <w:jc w:val="center"/>
              </w:trPr>
              <w:tc>
                <w:tcPr>
                  <w:tcW w:w="5000" w:type="pct"/>
                  <w:tcBorders>
                    <w:top w:val="nil"/>
                    <w:bottom w:val="nil"/>
                  </w:tcBorders>
                </w:tcPr>
                <w:p w14:paraId="347A8384" w14:textId="647B879C" w:rsidR="00931D57" w:rsidRPr="00B1465D" w:rsidRDefault="003D1330" w:rsidP="00721FBA">
                  <w:pPr>
                    <w:pStyle w:val="Figure"/>
                    <w:spacing w:before="60" w:after="60"/>
                    <w:rPr>
                      <w:rFonts w:ascii="Arial" w:hAnsi="Arial" w:cs="Arial"/>
                      <w:sz w:val="18"/>
                      <w:szCs w:val="18"/>
                    </w:rPr>
                  </w:pPr>
                  <w:r w:rsidRPr="003D1330">
                    <w:rPr>
                      <w:rFonts w:ascii="Arial" w:hAnsi="Arial" w:cs="Arial"/>
                      <w:noProof/>
                      <w:sz w:val="18"/>
                      <w:szCs w:val="18"/>
                    </w:rPr>
                    <w:drawing>
                      <wp:inline distT="0" distB="0" distL="0" distR="0" wp14:anchorId="5E28F73B" wp14:editId="1A92B04D">
                        <wp:extent cx="5248910" cy="3372485"/>
                        <wp:effectExtent l="0" t="0" r="8890" b="0"/>
                        <wp:docPr id="6" name="Picture 6" descr="This is a bar chart showing Australian Government expenditure by service category from 2018-19 to 2020-21. The greatest expenditure is in primary mental health care, specialist mental health services and psychosocial supports. There have been sizeable increases in the Australian Government’s funding for psychosocial supports over recent years, driven by growth in mental health related funding for the NDIS. The NDIS was the largest component of psychosocial support expenditure — representing 88 per cent of total expenditure in 2018-19, 84 per cent in 2019-20 and 94 per cent in 20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is a bar chart showing Australian Government expenditure by service category from 2018-19 to 2020-21. The greatest expenditure is in primary mental health care, specialist mental health services and psychosocial supports. There have been sizeable increases in the Australian Government’s funding for psychosocial supports over recent years, driven by growth in mental health related funding for the NDIS. The NDIS was the largest component of psychosocial support expenditure — representing 88 per cent of total expenditure in 2018-19, 84 per cent in 2019-20 and 94 per cent in 2020-21.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48910" cy="3372485"/>
                                </a:xfrm>
                                <a:prstGeom prst="rect">
                                  <a:avLst/>
                                </a:prstGeom>
                                <a:noFill/>
                                <a:ln>
                                  <a:noFill/>
                                </a:ln>
                              </pic:spPr>
                            </pic:pic>
                          </a:graphicData>
                        </a:graphic>
                      </wp:inline>
                    </w:drawing>
                  </w:r>
                </w:p>
              </w:tc>
            </w:tr>
          </w:tbl>
          <w:p w14:paraId="309A4384" w14:textId="77777777" w:rsidR="00931D57" w:rsidRDefault="00931D57" w:rsidP="00721FBA">
            <w:pPr>
              <w:pStyle w:val="Figure"/>
            </w:pPr>
          </w:p>
        </w:tc>
      </w:tr>
      <w:tr w:rsidR="00931D57" w:rsidRPr="00176D3F" w14:paraId="5314A635" w14:textId="77777777" w:rsidTr="00721FBA">
        <w:tc>
          <w:tcPr>
            <w:tcW w:w="5000" w:type="pct"/>
            <w:tcBorders>
              <w:top w:val="nil"/>
              <w:left w:val="nil"/>
              <w:bottom w:val="nil"/>
              <w:right w:val="nil"/>
            </w:tcBorders>
            <w:shd w:val="clear" w:color="auto" w:fill="auto"/>
          </w:tcPr>
          <w:p w14:paraId="55C3C976" w14:textId="77777777" w:rsidR="00931D57" w:rsidRPr="00784A05" w:rsidRDefault="00931D57" w:rsidP="00721FBA">
            <w:pPr>
              <w:pStyle w:val="Source"/>
              <w:rPr>
                <w:i/>
              </w:rPr>
            </w:pPr>
            <w:r w:rsidRPr="008E77FE">
              <w:rPr>
                <w:rStyle w:val="NoteLabel"/>
              </w:rPr>
              <w:t>a</w:t>
            </w:r>
            <w:r>
              <w:t> Data reported for 2018-19 and 2019-20 are actual expenditure; data for 2020</w:t>
            </w:r>
            <w:r>
              <w:noBreakHyphen/>
              <w:t>21 are budgeted funding.</w:t>
            </w:r>
          </w:p>
        </w:tc>
      </w:tr>
      <w:tr w:rsidR="00931D57" w:rsidRPr="00176D3F" w14:paraId="5C92B33C" w14:textId="77777777" w:rsidTr="00721FBA">
        <w:tc>
          <w:tcPr>
            <w:tcW w:w="5000" w:type="pct"/>
            <w:tcBorders>
              <w:top w:val="nil"/>
              <w:left w:val="nil"/>
              <w:bottom w:val="nil"/>
              <w:right w:val="nil"/>
            </w:tcBorders>
            <w:shd w:val="clear" w:color="auto" w:fill="auto"/>
          </w:tcPr>
          <w:p w14:paraId="5A392023" w14:textId="2D074F20" w:rsidR="00931D57" w:rsidRPr="00176D3F" w:rsidRDefault="00931D57" w:rsidP="00721FBA">
            <w:pPr>
              <w:pStyle w:val="Source"/>
            </w:pPr>
            <w:r w:rsidRPr="00784A05">
              <w:rPr>
                <w:i/>
              </w:rPr>
              <w:t>Data source</w:t>
            </w:r>
            <w:r w:rsidRPr="00176D3F">
              <w:t xml:space="preserve">: </w:t>
            </w:r>
            <w:r>
              <w:t>Data provided by</w:t>
            </w:r>
            <w:r w:rsidR="00FF4C9C">
              <w:t xml:space="preserve"> the</w:t>
            </w:r>
            <w:r>
              <w:t xml:space="preserve"> Australian Government.</w:t>
            </w:r>
          </w:p>
        </w:tc>
      </w:tr>
      <w:tr w:rsidR="00931D57" w14:paraId="39B2EC21" w14:textId="77777777" w:rsidTr="00721FBA">
        <w:tc>
          <w:tcPr>
            <w:tcW w:w="5000" w:type="pct"/>
            <w:tcBorders>
              <w:top w:val="nil"/>
              <w:left w:val="nil"/>
              <w:bottom w:val="single" w:sz="6" w:space="0" w:color="78A22F" w:themeColor="accent1"/>
              <w:right w:val="nil"/>
            </w:tcBorders>
            <w:shd w:val="clear" w:color="auto" w:fill="auto"/>
          </w:tcPr>
          <w:p w14:paraId="02F2DA72" w14:textId="77777777" w:rsidR="00931D57" w:rsidRDefault="00931D57" w:rsidP="00721FBA">
            <w:pPr>
              <w:pStyle w:val="Figurespace"/>
            </w:pPr>
          </w:p>
        </w:tc>
      </w:tr>
      <w:tr w:rsidR="00931D57" w:rsidRPr="000863A5" w14:paraId="0E82786F" w14:textId="77777777" w:rsidTr="00721FBA">
        <w:tc>
          <w:tcPr>
            <w:tcW w:w="5000" w:type="pct"/>
            <w:tcBorders>
              <w:top w:val="single" w:sz="6" w:space="0" w:color="78A22F" w:themeColor="accent1"/>
              <w:left w:val="nil"/>
              <w:bottom w:val="nil"/>
              <w:right w:val="nil"/>
            </w:tcBorders>
          </w:tcPr>
          <w:p w14:paraId="201987FB" w14:textId="6B4AAD37" w:rsidR="00931D57" w:rsidRPr="00626D32" w:rsidRDefault="00931D57" w:rsidP="00721FBA">
            <w:pPr>
              <w:pStyle w:val="BoxSpaceBelow"/>
            </w:pPr>
          </w:p>
        </w:tc>
      </w:tr>
    </w:tbl>
    <w:p w14:paraId="11901F95" w14:textId="7795B4E5" w:rsidR="00931D57" w:rsidRDefault="00931D57" w:rsidP="00931D57">
      <w:pPr>
        <w:pStyle w:val="BodyText"/>
      </w:pPr>
      <w:bookmarkStart w:id="6" w:name="_Hlk70002432"/>
      <w:r>
        <w:t xml:space="preserve">Notwithstanding the different funding responsibilities of the Australian and State and Territory Governments, reported </w:t>
      </w:r>
      <w:r w:rsidR="001561DD">
        <w:t xml:space="preserve">program </w:t>
      </w:r>
      <w:r>
        <w:t xml:space="preserve">data suggest there are several areas where both levels of government fund similar services. These include student emotional wellbeing services, </w:t>
      </w:r>
      <w:r w:rsidR="00772EA4">
        <w:t xml:space="preserve">Aboriginal and Torres Strait Islander </w:t>
      </w:r>
      <w:r>
        <w:t>wellbeing and empowerment programs, psychosocial supports in the community (such as rehabilitation services and transition supports for recovery), and multiple programs designed to respond to specific disasters (such as bushfires, drought and COVID</w:t>
      </w:r>
      <w:r>
        <w:noBreakHyphen/>
        <w:t>19). While this is not necessarily evidence of any duplication or overlap in service delivery, it does underscore the importance of coordination between different levels of government</w:t>
      </w:r>
      <w:r w:rsidR="003E538E">
        <w:t>, which</w:t>
      </w:r>
      <w:r>
        <w:t xml:space="preserve"> is of particular relevance to the development of the </w:t>
      </w:r>
      <w:r w:rsidRPr="0089782E">
        <w:t>new National Mental Health and Suicide Prevention Agreemen</w:t>
      </w:r>
      <w:r>
        <w:t>t.</w:t>
      </w:r>
    </w:p>
    <w:bookmarkEnd w:id="6"/>
    <w:p w14:paraId="61185BC3" w14:textId="77777777" w:rsidR="00931D57" w:rsidRDefault="00931D57" w:rsidP="00931D57">
      <w:pPr>
        <w:pStyle w:val="Heading3"/>
        <w:rPr>
          <w:rStyle w:val="DraftingNote"/>
        </w:rPr>
      </w:pPr>
      <w:r>
        <w:t>Education portfolios generally focus on prevention and primary care</w:t>
      </w:r>
    </w:p>
    <w:p w14:paraId="569D4889" w14:textId="6830AEBA" w:rsidR="00931D57" w:rsidRDefault="00931D57" w:rsidP="00931D57">
      <w:pPr>
        <w:pStyle w:val="BodyText"/>
      </w:pPr>
      <w:r>
        <w:t xml:space="preserve">Unsurprisingly, agencies in the health portfolio predominantly funded programs in the specialist and acute care service categories, with primary care featuring prominently in </w:t>
      </w:r>
      <w:r w:rsidR="006C338D">
        <w:t xml:space="preserve">reported </w:t>
      </w:r>
      <w:r>
        <w:t xml:space="preserve">health expenditure at the Commonwealth level (as discussed above) (figure 2.10). </w:t>
      </w:r>
    </w:p>
    <w:p w14:paraId="6AF48735" w14:textId="0885D86A" w:rsidR="00931D57" w:rsidRDefault="00931D57" w:rsidP="00931D5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4A8584E6" w14:textId="77777777" w:rsidTr="00721FBA">
        <w:trPr>
          <w:tblHeader/>
        </w:trPr>
        <w:tc>
          <w:tcPr>
            <w:tcW w:w="5000" w:type="pct"/>
            <w:tcBorders>
              <w:top w:val="single" w:sz="6" w:space="0" w:color="78A22F" w:themeColor="accent1"/>
              <w:left w:val="nil"/>
              <w:bottom w:val="nil"/>
              <w:right w:val="nil"/>
            </w:tcBorders>
            <w:shd w:val="clear" w:color="auto" w:fill="auto"/>
          </w:tcPr>
          <w:p w14:paraId="41F3FB7B" w14:textId="30874576" w:rsidR="00931D57" w:rsidRDefault="00931D57" w:rsidP="00721FBA">
            <w:pPr>
              <w:pStyle w:val="FigureTitle"/>
            </w:pPr>
            <w:r w:rsidRPr="00784A05">
              <w:rPr>
                <w:b w:val="0"/>
              </w:rPr>
              <w:t xml:space="preserve">Figure </w:t>
            </w:r>
            <w:r>
              <w:rPr>
                <w:b w:val="0"/>
              </w:rPr>
              <w:t>2.10</w:t>
            </w:r>
            <w:r>
              <w:tab/>
              <w:t xml:space="preserve">Health portfolio </w:t>
            </w:r>
            <w:r w:rsidR="006C338D">
              <w:t xml:space="preserve">programs are </w:t>
            </w:r>
            <w:r>
              <w:t>primarily in specialist mental health services and acute care</w:t>
            </w:r>
          </w:p>
          <w:p w14:paraId="48038802" w14:textId="77777777" w:rsidR="00931D57" w:rsidRPr="00176D3F" w:rsidRDefault="00931D57" w:rsidP="00721FBA">
            <w:pPr>
              <w:pStyle w:val="Subtitle"/>
            </w:pPr>
            <w:r>
              <w:t>Distribution of each jurisdiction’s health portfolio spend by service categories, 2019-20</w:t>
            </w:r>
          </w:p>
        </w:tc>
      </w:tr>
      <w:tr w:rsidR="00931D57" w14:paraId="0F4D837B" w14:textId="77777777" w:rsidTr="00721FB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4"/>
            </w:tblGrid>
            <w:tr w:rsidR="00931D57" w:rsidRPr="00B1465D" w14:paraId="14A62DD4" w14:textId="77777777" w:rsidTr="00721FBA">
              <w:trPr>
                <w:tblHeader/>
                <w:jc w:val="center"/>
              </w:trPr>
              <w:tc>
                <w:tcPr>
                  <w:tcW w:w="8504" w:type="dxa"/>
                  <w:tcBorders>
                    <w:top w:val="nil"/>
                    <w:bottom w:val="nil"/>
                  </w:tcBorders>
                </w:tcPr>
                <w:p w14:paraId="7F485307" w14:textId="384A2871" w:rsidR="00931D57" w:rsidRPr="00B1465D" w:rsidRDefault="007144E9" w:rsidP="00721FBA">
                  <w:pPr>
                    <w:pStyle w:val="Figure"/>
                    <w:spacing w:before="60" w:after="60"/>
                    <w:rPr>
                      <w:rFonts w:ascii="Arial" w:hAnsi="Arial" w:cs="Arial"/>
                      <w:sz w:val="18"/>
                      <w:szCs w:val="18"/>
                    </w:rPr>
                  </w:pPr>
                  <w:r w:rsidRPr="007144E9">
                    <w:rPr>
                      <w:rFonts w:ascii="Arial" w:hAnsi="Arial" w:cs="Arial"/>
                      <w:noProof/>
                      <w:sz w:val="18"/>
                      <w:szCs w:val="18"/>
                    </w:rPr>
                    <w:drawing>
                      <wp:inline distT="0" distB="0" distL="0" distR="0" wp14:anchorId="32C9911C" wp14:editId="2D1C9BE0">
                        <wp:extent cx="5196840" cy="3573780"/>
                        <wp:effectExtent l="0" t="0" r="3810" b="7620"/>
                        <wp:docPr id="27" name="Picture 27" descr="Figure 2.10 This is a stacked bar chart showing the distribution of each jurisdiction’s health portfolio spend by service categories in 2019-20. Agencies in the health portfolio predominantly funded programs in the specialist and acute care service categories, with primary care featuring prominently in health expenditure at the Commonwealth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Figure 2.10 This is a stacked bar chart showing the distribution of each jurisdiction’s health portfolio spend by service categories in 2019-20. Agencies in the health portfolio predominantly funded programs in the specialist and acute care service categories, with primary care featuring prominently in health expenditure at the Commonwealth leve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96840" cy="3573780"/>
                                </a:xfrm>
                                <a:prstGeom prst="rect">
                                  <a:avLst/>
                                </a:prstGeom>
                                <a:noFill/>
                                <a:ln>
                                  <a:noFill/>
                                </a:ln>
                              </pic:spPr>
                            </pic:pic>
                          </a:graphicData>
                        </a:graphic>
                      </wp:inline>
                    </w:drawing>
                  </w:r>
                </w:p>
              </w:tc>
            </w:tr>
          </w:tbl>
          <w:p w14:paraId="4638E246" w14:textId="77777777" w:rsidR="00931D57" w:rsidRDefault="00931D57" w:rsidP="00721FBA">
            <w:pPr>
              <w:pStyle w:val="Figure"/>
            </w:pPr>
          </w:p>
        </w:tc>
      </w:tr>
      <w:tr w:rsidR="00931D57" w:rsidRPr="00176D3F" w14:paraId="0E93F07C" w14:textId="77777777" w:rsidTr="00721FBA">
        <w:tc>
          <w:tcPr>
            <w:tcW w:w="5000" w:type="pct"/>
            <w:tcBorders>
              <w:top w:val="nil"/>
              <w:left w:val="nil"/>
              <w:bottom w:val="nil"/>
              <w:right w:val="nil"/>
            </w:tcBorders>
            <w:shd w:val="clear" w:color="auto" w:fill="auto"/>
          </w:tcPr>
          <w:p w14:paraId="2BB9B650" w14:textId="77777777" w:rsidR="00931D57" w:rsidRPr="00176D3F" w:rsidRDefault="00931D57" w:rsidP="00721FBA">
            <w:pPr>
              <w:pStyle w:val="Source"/>
            </w:pPr>
            <w:r w:rsidRPr="00784A05">
              <w:rPr>
                <w:i/>
              </w:rPr>
              <w:t>Data source</w:t>
            </w:r>
            <w:r w:rsidRPr="00176D3F">
              <w:t>:</w:t>
            </w:r>
            <w:r>
              <w:t xml:space="preserve"> Data provided by Australian, State and Territory Governments</w:t>
            </w:r>
            <w:r w:rsidRPr="00176D3F">
              <w:t xml:space="preserve"> </w:t>
            </w:r>
          </w:p>
        </w:tc>
      </w:tr>
      <w:tr w:rsidR="00931D57" w14:paraId="54ECF9B2" w14:textId="77777777" w:rsidTr="00721FBA">
        <w:tc>
          <w:tcPr>
            <w:tcW w:w="5000" w:type="pct"/>
            <w:tcBorders>
              <w:top w:val="nil"/>
              <w:left w:val="nil"/>
              <w:bottom w:val="single" w:sz="6" w:space="0" w:color="78A22F" w:themeColor="accent1"/>
              <w:right w:val="nil"/>
            </w:tcBorders>
            <w:shd w:val="clear" w:color="auto" w:fill="auto"/>
          </w:tcPr>
          <w:p w14:paraId="5C7D7B38" w14:textId="77777777" w:rsidR="00931D57" w:rsidRDefault="00931D57" w:rsidP="00721FBA">
            <w:pPr>
              <w:pStyle w:val="Figurespace"/>
            </w:pPr>
          </w:p>
        </w:tc>
      </w:tr>
      <w:tr w:rsidR="00931D57" w:rsidRPr="000863A5" w14:paraId="3FF68D84" w14:textId="77777777" w:rsidTr="00721FBA">
        <w:tc>
          <w:tcPr>
            <w:tcW w:w="5000" w:type="pct"/>
            <w:tcBorders>
              <w:top w:val="single" w:sz="6" w:space="0" w:color="78A22F" w:themeColor="accent1"/>
              <w:left w:val="nil"/>
              <w:bottom w:val="nil"/>
              <w:right w:val="nil"/>
            </w:tcBorders>
          </w:tcPr>
          <w:p w14:paraId="22340027" w14:textId="11CC1734" w:rsidR="00931D57" w:rsidRPr="00626D32" w:rsidRDefault="00931D57" w:rsidP="00721FBA">
            <w:pPr>
              <w:pStyle w:val="BoxSpaceBelow"/>
            </w:pPr>
          </w:p>
        </w:tc>
      </w:tr>
    </w:tbl>
    <w:p w14:paraId="0C721FE4" w14:textId="6ED51A99" w:rsidR="00B858F4" w:rsidRDefault="00931D57" w:rsidP="00931D57">
      <w:pPr>
        <w:pStyle w:val="BodyText"/>
      </w:pPr>
      <w:r>
        <w:t xml:space="preserve">In contrast, </w:t>
      </w:r>
      <w:r w:rsidR="00A053A2">
        <w:t xml:space="preserve">reported programs </w:t>
      </w:r>
      <w:r>
        <w:t>from the education portfolio w</w:t>
      </w:r>
      <w:r w:rsidR="00A053A2">
        <w:t>ere</w:t>
      </w:r>
      <w:r>
        <w:t xml:space="preserve"> primarily concentrated in prevention and promotion activities (such as teacher training to support student wellbeing), early intervention (such as guidance officers to assist students with complex mental health needs) and primary care (such as school counselling services and psychologists) (figure</w:t>
      </w:r>
      <w:r w:rsidR="00407144">
        <w:t> </w:t>
      </w:r>
      <w:r>
        <w:t xml:space="preserve">2.11). Moreover, while the distribution of health expenditure by </w:t>
      </w:r>
      <w:r w:rsidR="00F57AE1">
        <w:t xml:space="preserve">service </w:t>
      </w:r>
      <w:r>
        <w:t>category was reasonably consistent across jurisdictions, there was considerably more variation in how spending was allocated in the education portfolio.</w:t>
      </w:r>
      <w:r w:rsidR="00EB1C25">
        <w:rPr>
          <w:rStyle w:val="FootnoteReference"/>
        </w:rPr>
        <w:footnoteReference w:id="13"/>
      </w:r>
      <w:r w:rsidR="001A4C93">
        <w:t xml:space="preserve"> </w:t>
      </w:r>
    </w:p>
    <w:p w14:paraId="417C59B1" w14:textId="77777777" w:rsidR="00931D57" w:rsidRDefault="00931D57" w:rsidP="00931D5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60D7C533" w14:textId="77777777" w:rsidTr="00721FBA">
        <w:trPr>
          <w:tblHeader/>
        </w:trPr>
        <w:tc>
          <w:tcPr>
            <w:tcW w:w="5000" w:type="pct"/>
            <w:tcBorders>
              <w:top w:val="single" w:sz="6" w:space="0" w:color="78A22F" w:themeColor="accent1"/>
              <w:left w:val="nil"/>
              <w:bottom w:val="nil"/>
              <w:right w:val="nil"/>
            </w:tcBorders>
            <w:shd w:val="clear" w:color="auto" w:fill="auto"/>
          </w:tcPr>
          <w:p w14:paraId="5A89B30A" w14:textId="006A560C" w:rsidR="00931D57" w:rsidRDefault="00931D57" w:rsidP="00721FBA">
            <w:pPr>
              <w:pStyle w:val="FigureTitle"/>
            </w:pPr>
            <w:r w:rsidRPr="00784A05">
              <w:rPr>
                <w:b w:val="0"/>
              </w:rPr>
              <w:t xml:space="preserve">Figure </w:t>
            </w:r>
            <w:r>
              <w:rPr>
                <w:b w:val="0"/>
              </w:rPr>
              <w:t>2.11</w:t>
            </w:r>
            <w:r>
              <w:tab/>
              <w:t xml:space="preserve">Education portfolio </w:t>
            </w:r>
            <w:r w:rsidR="006C338D">
              <w:t xml:space="preserve">programs are </w:t>
            </w:r>
            <w:r>
              <w:t>primarily in prevention and promotion, early intervention and primary care</w:t>
            </w:r>
          </w:p>
          <w:p w14:paraId="6FA67B5E" w14:textId="77777777" w:rsidR="00931D57" w:rsidRPr="00176D3F" w:rsidRDefault="00931D57" w:rsidP="00721FBA">
            <w:pPr>
              <w:pStyle w:val="Subtitle"/>
            </w:pPr>
            <w:r>
              <w:t>Distribution of each jurisdiction’s education portfolio spend by service categories, 2019</w:t>
            </w:r>
            <w:r>
              <w:noBreakHyphen/>
              <w:t>20</w:t>
            </w:r>
          </w:p>
        </w:tc>
      </w:tr>
      <w:tr w:rsidR="00931D57" w14:paraId="6D0C12E1" w14:textId="77777777" w:rsidTr="00721FB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31D57" w:rsidRPr="00B1465D" w14:paraId="156E2FD9" w14:textId="77777777" w:rsidTr="00721FBA">
              <w:trPr>
                <w:tblHeader/>
                <w:jc w:val="center"/>
              </w:trPr>
              <w:tc>
                <w:tcPr>
                  <w:tcW w:w="5000" w:type="pct"/>
                  <w:tcBorders>
                    <w:top w:val="nil"/>
                    <w:bottom w:val="nil"/>
                  </w:tcBorders>
                </w:tcPr>
                <w:p w14:paraId="50B51FB3" w14:textId="5F999099" w:rsidR="00931D57" w:rsidRDefault="005C5A84" w:rsidP="00721FBA">
                  <w:pPr>
                    <w:pStyle w:val="Figure"/>
                    <w:spacing w:before="60" w:after="60"/>
                    <w:rPr>
                      <w:rFonts w:ascii="Arial" w:hAnsi="Arial" w:cs="Arial"/>
                      <w:sz w:val="18"/>
                      <w:szCs w:val="18"/>
                    </w:rPr>
                  </w:pPr>
                  <w:r w:rsidRPr="005C5A84">
                    <w:rPr>
                      <w:rFonts w:ascii="Arial" w:hAnsi="Arial" w:cs="Arial"/>
                      <w:noProof/>
                      <w:sz w:val="18"/>
                      <w:szCs w:val="18"/>
                    </w:rPr>
                    <w:drawing>
                      <wp:inline distT="0" distB="0" distL="0" distR="0" wp14:anchorId="6B82A465" wp14:editId="16EA45D6">
                        <wp:extent cx="5166360" cy="3573780"/>
                        <wp:effectExtent l="0" t="0" r="0" b="7620"/>
                        <wp:docPr id="29" name="Picture 29" descr="Figure 2.11 This is a stacked bar chart showing the distribution of each jurisdiction’s portfolio spend by service categories in 2019-20. Funding from the education portfolio was primarily concentrated in prevention and promotion activities, early intervention, and primary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Figure 2.11 This is a stacked bar chart showing the distribution of each jurisdiction’s portfolio spend by service categories in 2019-20. Funding from the education portfolio was primarily concentrated in prevention and promotion activities, early intervention, and primary car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66360" cy="3573780"/>
                                </a:xfrm>
                                <a:prstGeom prst="rect">
                                  <a:avLst/>
                                </a:prstGeom>
                                <a:noFill/>
                                <a:ln>
                                  <a:noFill/>
                                </a:ln>
                              </pic:spPr>
                            </pic:pic>
                          </a:graphicData>
                        </a:graphic>
                      </wp:inline>
                    </w:drawing>
                  </w:r>
                </w:p>
                <w:p w14:paraId="4F8DFEA0" w14:textId="77777777" w:rsidR="00931D57" w:rsidRPr="00B1465D" w:rsidRDefault="00931D57" w:rsidP="00721FBA">
                  <w:pPr>
                    <w:pStyle w:val="Figure"/>
                    <w:spacing w:before="60" w:after="60"/>
                    <w:rPr>
                      <w:rFonts w:ascii="Arial" w:hAnsi="Arial" w:cs="Arial"/>
                      <w:sz w:val="18"/>
                      <w:szCs w:val="18"/>
                    </w:rPr>
                  </w:pPr>
                </w:p>
              </w:tc>
            </w:tr>
          </w:tbl>
          <w:p w14:paraId="3F2E44A4" w14:textId="77777777" w:rsidR="00931D57" w:rsidRDefault="00931D57" w:rsidP="00721FBA">
            <w:pPr>
              <w:pStyle w:val="Figure"/>
            </w:pPr>
          </w:p>
        </w:tc>
      </w:tr>
      <w:tr w:rsidR="00931D57" w:rsidRPr="00176D3F" w14:paraId="5D7F8A18" w14:textId="77777777" w:rsidTr="00721FBA">
        <w:tc>
          <w:tcPr>
            <w:tcW w:w="5000" w:type="pct"/>
            <w:tcBorders>
              <w:top w:val="nil"/>
              <w:left w:val="nil"/>
              <w:bottom w:val="nil"/>
              <w:right w:val="nil"/>
            </w:tcBorders>
            <w:shd w:val="clear" w:color="auto" w:fill="auto"/>
          </w:tcPr>
          <w:p w14:paraId="033D30A3" w14:textId="77777777" w:rsidR="00931D57" w:rsidRPr="00176D3F" w:rsidRDefault="00931D57" w:rsidP="00721FBA">
            <w:pPr>
              <w:pStyle w:val="Source"/>
            </w:pPr>
            <w:r w:rsidRPr="00784A05">
              <w:rPr>
                <w:i/>
              </w:rPr>
              <w:t>Data source</w:t>
            </w:r>
            <w:r w:rsidRPr="00176D3F">
              <w:t xml:space="preserve">: </w:t>
            </w:r>
            <w:r>
              <w:t>Data provided by Australian, State and Territory Governments</w:t>
            </w:r>
          </w:p>
        </w:tc>
      </w:tr>
      <w:tr w:rsidR="00931D57" w14:paraId="6DAA8578" w14:textId="77777777" w:rsidTr="00721FBA">
        <w:tc>
          <w:tcPr>
            <w:tcW w:w="5000" w:type="pct"/>
            <w:tcBorders>
              <w:top w:val="nil"/>
              <w:left w:val="nil"/>
              <w:bottom w:val="single" w:sz="6" w:space="0" w:color="78A22F" w:themeColor="accent1"/>
              <w:right w:val="nil"/>
            </w:tcBorders>
            <w:shd w:val="clear" w:color="auto" w:fill="auto"/>
          </w:tcPr>
          <w:p w14:paraId="00E1B35C" w14:textId="77777777" w:rsidR="00931D57" w:rsidRDefault="00931D57" w:rsidP="00721FBA">
            <w:pPr>
              <w:pStyle w:val="Figurespace"/>
            </w:pPr>
          </w:p>
        </w:tc>
      </w:tr>
      <w:tr w:rsidR="00931D57" w:rsidRPr="000863A5" w14:paraId="4677A5C7" w14:textId="77777777" w:rsidTr="00721FBA">
        <w:tc>
          <w:tcPr>
            <w:tcW w:w="5000" w:type="pct"/>
            <w:tcBorders>
              <w:top w:val="single" w:sz="6" w:space="0" w:color="78A22F" w:themeColor="accent1"/>
              <w:left w:val="nil"/>
              <w:bottom w:val="nil"/>
              <w:right w:val="nil"/>
            </w:tcBorders>
          </w:tcPr>
          <w:p w14:paraId="41CF3D83" w14:textId="5DA2DE4F" w:rsidR="00931D57" w:rsidRPr="00626D32" w:rsidRDefault="00931D57" w:rsidP="00721FBA">
            <w:pPr>
              <w:pStyle w:val="BoxSpaceBelow"/>
            </w:pPr>
          </w:p>
        </w:tc>
      </w:tr>
    </w:tbl>
    <w:p w14:paraId="771F9F4D" w14:textId="77777777" w:rsidR="00931D57" w:rsidRPr="006D365C" w:rsidRDefault="00931D57" w:rsidP="00931D57">
      <w:pPr>
        <w:pStyle w:val="Heading3"/>
        <w:rPr>
          <w:rStyle w:val="DraftingNote"/>
          <w:b/>
          <w:color w:val="auto"/>
          <w:sz w:val="26"/>
          <w:u w:val="none"/>
        </w:rPr>
      </w:pPr>
      <w:r>
        <w:t>Evidence of targeted funding to vulnerable groups was limited</w:t>
      </w:r>
    </w:p>
    <w:p w14:paraId="489A5D8F" w14:textId="0A73C495" w:rsidR="009D1F60" w:rsidRDefault="00931D57" w:rsidP="00931D57">
      <w:pPr>
        <w:pStyle w:val="BodyText"/>
      </w:pPr>
      <w:r>
        <w:t xml:space="preserve">Individuals’ mental health care needs can vary significantly depending on their age, background and other personal circumstances, and many jurisdictions fund programs and services that </w:t>
      </w:r>
      <w:r w:rsidR="007A4982">
        <w:t xml:space="preserve">are targeted </w:t>
      </w:r>
      <w:r>
        <w:t>to support</w:t>
      </w:r>
      <w:r w:rsidR="007A4982">
        <w:t>ing</w:t>
      </w:r>
      <w:r>
        <w:t xml:space="preserve"> particular cohorts. </w:t>
      </w:r>
      <w:r w:rsidR="009D1F60">
        <w:t xml:space="preserve">While there is no single ‘optimal’ </w:t>
      </w:r>
      <w:r w:rsidR="00D36E9F">
        <w:t xml:space="preserve">level </w:t>
      </w:r>
      <w:r w:rsidR="007A4982">
        <w:t xml:space="preserve">of </w:t>
      </w:r>
      <w:r w:rsidR="00F85413">
        <w:t>targeting for mental health and suicide prevention programs,</w:t>
      </w:r>
      <w:r w:rsidR="002F57C2">
        <w:rPr>
          <w:rStyle w:val="FootnoteReference"/>
        </w:rPr>
        <w:footnoteReference w:id="14"/>
      </w:r>
      <w:r w:rsidR="00F85413">
        <w:t xml:space="preserve"> shedding </w:t>
      </w:r>
      <w:proofErr w:type="gramStart"/>
      <w:r w:rsidR="00F85413">
        <w:t>more light</w:t>
      </w:r>
      <w:proofErr w:type="gramEnd"/>
      <w:r w:rsidR="00F85413">
        <w:t xml:space="preserve"> on the extent to which programs are currently targeted can provide a better understanding of the existing landscape of </w:t>
      </w:r>
      <w:r w:rsidR="005102A5">
        <w:t>government</w:t>
      </w:r>
      <w:r w:rsidR="002F57C2">
        <w:t xml:space="preserve"> funding</w:t>
      </w:r>
      <w:r w:rsidR="005102A5">
        <w:t>.</w:t>
      </w:r>
    </w:p>
    <w:p w14:paraId="4F3B97F1" w14:textId="25BD658F" w:rsidR="00E72521" w:rsidRDefault="00F82A38" w:rsidP="00931D57">
      <w:pPr>
        <w:pStyle w:val="BodyText"/>
      </w:pPr>
      <w:r>
        <w:t>For this stocktake, j</w:t>
      </w:r>
      <w:r w:rsidR="00931D57" w:rsidRPr="00E72521">
        <w:t xml:space="preserve">urisdictions </w:t>
      </w:r>
      <w:r w:rsidR="00465585" w:rsidRPr="00E72521">
        <w:t>generally</w:t>
      </w:r>
      <w:r w:rsidR="00465585">
        <w:t xml:space="preserve"> </w:t>
      </w:r>
      <w:r w:rsidR="00931D57">
        <w:t xml:space="preserve">had difficulties reporting if and how their </w:t>
      </w:r>
      <w:r w:rsidR="003A1A56">
        <w:t>mental health and suicide prevention</w:t>
      </w:r>
      <w:r w:rsidR="00931D57">
        <w:t xml:space="preserve"> programs were targeted towards the severity of specific needs (such as the at-risk population versus people with severe illness)</w:t>
      </w:r>
      <w:r>
        <w:t>.</w:t>
      </w:r>
      <w:r>
        <w:rPr>
          <w:rStyle w:val="FootnoteReference"/>
        </w:rPr>
        <w:footnoteReference w:id="15"/>
      </w:r>
      <w:r>
        <w:t xml:space="preserve"> </w:t>
      </w:r>
      <w:r w:rsidRPr="00F82A38">
        <w:t xml:space="preserve">While </w:t>
      </w:r>
      <w:r w:rsidR="00E973FE">
        <w:t xml:space="preserve">this </w:t>
      </w:r>
      <w:r w:rsidRPr="00F82A38">
        <w:t>suggest</w:t>
      </w:r>
      <w:r w:rsidR="00E973FE">
        <w:t>s</w:t>
      </w:r>
      <w:r w:rsidRPr="00F82A38">
        <w:t xml:space="preserve"> the data should be interpreted with caution, all jurisdictions reported that </w:t>
      </w:r>
      <w:r w:rsidR="00573E6B">
        <w:t>around</w:t>
      </w:r>
      <w:r w:rsidRPr="00F82A38">
        <w:t xml:space="preserve"> 5</w:t>
      </w:r>
      <w:r w:rsidR="00573E6B">
        <w:t>–</w:t>
      </w:r>
      <w:r w:rsidRPr="00F82A38">
        <w:t>20</w:t>
      </w:r>
      <w:r w:rsidR="00573E6B">
        <w:t> per cent</w:t>
      </w:r>
      <w:r w:rsidRPr="00F82A38">
        <w:t xml:space="preserve"> of </w:t>
      </w:r>
      <w:r w:rsidR="006F64D6">
        <w:t xml:space="preserve">program </w:t>
      </w:r>
      <w:r w:rsidRPr="00F82A38">
        <w:t xml:space="preserve">expenditures were targeted towards the well population, and </w:t>
      </w:r>
      <w:r w:rsidR="00573E6B">
        <w:t xml:space="preserve">around </w:t>
      </w:r>
      <w:r w:rsidRPr="00F82A38">
        <w:t>75</w:t>
      </w:r>
      <w:r w:rsidR="00573E6B">
        <w:t>–</w:t>
      </w:r>
      <w:r w:rsidRPr="00F82A38">
        <w:t>99</w:t>
      </w:r>
      <w:r w:rsidR="00573E6B">
        <w:t> per cent</w:t>
      </w:r>
      <w:r w:rsidRPr="00F82A38">
        <w:t xml:space="preserve"> were targeted to people with severe illnesses.</w:t>
      </w:r>
    </w:p>
    <w:p w14:paraId="132F4F47" w14:textId="20AE8F2E" w:rsidR="00931D57" w:rsidRPr="00DC3A9D" w:rsidRDefault="003A1A56" w:rsidP="00931D57">
      <w:pPr>
        <w:pStyle w:val="BodyText"/>
        <w:rPr>
          <w:spacing w:val="-2"/>
        </w:rPr>
      </w:pPr>
      <w:r w:rsidRPr="00DC3A9D">
        <w:rPr>
          <w:spacing w:val="-2"/>
        </w:rPr>
        <w:t>Jurisdictions reported</w:t>
      </w:r>
      <w:r w:rsidR="00931D57" w:rsidRPr="00DC3A9D">
        <w:rPr>
          <w:spacing w:val="-2"/>
        </w:rPr>
        <w:t xml:space="preserve"> some </w:t>
      </w:r>
      <w:r w:rsidRPr="00DC3A9D">
        <w:rPr>
          <w:spacing w:val="-2"/>
        </w:rPr>
        <w:t xml:space="preserve">targeting of their mental health and suicide prevention </w:t>
      </w:r>
      <w:r w:rsidR="006F64D6" w:rsidRPr="00DC3A9D">
        <w:rPr>
          <w:spacing w:val="-2"/>
        </w:rPr>
        <w:t xml:space="preserve">programs </w:t>
      </w:r>
      <w:r w:rsidR="00931D57" w:rsidRPr="00DC3A9D">
        <w:rPr>
          <w:spacing w:val="-2"/>
        </w:rPr>
        <w:t>based on demographic characteristics. For example, children and adolescents currently receive some targeted funding, though to varying extents across the jurisdictions (figure</w:t>
      </w:r>
      <w:r w:rsidR="006F64D6" w:rsidRPr="00DC3A9D">
        <w:rPr>
          <w:spacing w:val="-2"/>
        </w:rPr>
        <w:t> </w:t>
      </w:r>
      <w:r w:rsidR="00931D57" w:rsidRPr="00DC3A9D">
        <w:rPr>
          <w:spacing w:val="-2"/>
        </w:rPr>
        <w:t>2.12).</w:t>
      </w:r>
    </w:p>
    <w:p w14:paraId="1901057A" w14:textId="4C377449" w:rsidR="00931D57" w:rsidRDefault="00931D57" w:rsidP="00931D5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030349FA" w14:textId="77777777" w:rsidTr="00721FBA">
        <w:trPr>
          <w:tblHeader/>
        </w:trPr>
        <w:tc>
          <w:tcPr>
            <w:tcW w:w="5000" w:type="pct"/>
            <w:tcBorders>
              <w:top w:val="single" w:sz="6" w:space="0" w:color="78A22F" w:themeColor="accent1"/>
              <w:left w:val="nil"/>
              <w:bottom w:val="nil"/>
              <w:right w:val="nil"/>
            </w:tcBorders>
            <w:shd w:val="clear" w:color="auto" w:fill="auto"/>
          </w:tcPr>
          <w:p w14:paraId="573BD304" w14:textId="77777777" w:rsidR="00931D57" w:rsidRDefault="00931D57" w:rsidP="00721FBA">
            <w:pPr>
              <w:pStyle w:val="FigureTitle"/>
            </w:pPr>
            <w:r w:rsidRPr="00784A05">
              <w:rPr>
                <w:b w:val="0"/>
              </w:rPr>
              <w:t xml:space="preserve">Figure </w:t>
            </w:r>
            <w:r>
              <w:rPr>
                <w:b w:val="0"/>
              </w:rPr>
              <w:t>2.12</w:t>
            </w:r>
            <w:r>
              <w:tab/>
              <w:t>Children and adolescents receive relatively more targeted funding, with considerable variation between jurisdictions</w:t>
            </w:r>
          </w:p>
          <w:p w14:paraId="2D1B150C" w14:textId="04E5D7C6" w:rsidR="00931D57" w:rsidRPr="00176D3F" w:rsidRDefault="00931D57" w:rsidP="00721FBA">
            <w:pPr>
              <w:pStyle w:val="Subtitle"/>
            </w:pPr>
            <w:r>
              <w:t>Distribution of all jurisdictions’ proportion of</w:t>
            </w:r>
            <w:r w:rsidR="000E6331">
              <w:t xml:space="preserve"> program</w:t>
            </w:r>
            <w:r>
              <w:t xml:space="preserve"> expenditure targeted to particular age groups, 2019</w:t>
            </w:r>
            <w:r>
              <w:noBreakHyphen/>
              <w:t>2</w:t>
            </w:r>
            <w:r w:rsidRPr="00847380">
              <w:t>0</w:t>
            </w:r>
            <w:r w:rsidRPr="00847380">
              <w:rPr>
                <w:rStyle w:val="NoteLabel"/>
              </w:rPr>
              <w:t>a</w:t>
            </w:r>
          </w:p>
        </w:tc>
      </w:tr>
      <w:tr w:rsidR="00931D57" w14:paraId="28388D49" w14:textId="77777777" w:rsidTr="00721FB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31D57" w:rsidRPr="00B1465D" w14:paraId="2D3268E0" w14:textId="77777777" w:rsidTr="00721FBA">
              <w:trPr>
                <w:tblHeader/>
                <w:jc w:val="center"/>
              </w:trPr>
              <w:tc>
                <w:tcPr>
                  <w:tcW w:w="5000" w:type="pct"/>
                  <w:tcBorders>
                    <w:top w:val="nil"/>
                    <w:bottom w:val="nil"/>
                  </w:tcBorders>
                </w:tcPr>
                <w:p w14:paraId="30399C6A" w14:textId="0BB190E8" w:rsidR="00931D57" w:rsidRPr="00B1465D" w:rsidRDefault="00A631D9" w:rsidP="00721FBA">
                  <w:pPr>
                    <w:pStyle w:val="Figure"/>
                    <w:spacing w:before="60" w:after="60"/>
                    <w:rPr>
                      <w:rFonts w:ascii="Arial" w:hAnsi="Arial" w:cs="Arial"/>
                      <w:sz w:val="18"/>
                      <w:szCs w:val="18"/>
                    </w:rPr>
                  </w:pPr>
                  <w:r w:rsidRPr="00A631D9">
                    <w:rPr>
                      <w:rFonts w:ascii="Arial" w:hAnsi="Arial" w:cs="Arial"/>
                      <w:noProof/>
                      <w:sz w:val="18"/>
                      <w:szCs w:val="18"/>
                    </w:rPr>
                    <w:drawing>
                      <wp:inline distT="0" distB="0" distL="0" distR="0" wp14:anchorId="16274996" wp14:editId="775B909F">
                        <wp:extent cx="5074920" cy="2994660"/>
                        <wp:effectExtent l="0" t="0" r="0" b="0"/>
                        <wp:docPr id="30" name="Picture 30" descr="Figure 2.12 This is a box-and-whisker chart showing the distribution of all jurisdictions’ proportion of expenditure targeted to particular age groups in 2019-20. The charts shows that children and adolescents (0-17 years) were the most likely (although varying across jurisdictions) age group to receive targeted funding, followed by youth (16-24 years) and older people (6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Figure 2.12 This is a box-and-whisker chart showing the distribution of all jurisdictions’ proportion of expenditure targeted to particular age groups in 2019-20. The charts shows that children and adolescents (0-17 years) were the most likely (although varying across jurisdictions) age group to receive targeted funding, followed by youth (16-24 years) and older people (65+ year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74920" cy="2994660"/>
                                </a:xfrm>
                                <a:prstGeom prst="rect">
                                  <a:avLst/>
                                </a:prstGeom>
                                <a:noFill/>
                                <a:ln>
                                  <a:noFill/>
                                </a:ln>
                              </pic:spPr>
                            </pic:pic>
                          </a:graphicData>
                        </a:graphic>
                      </wp:inline>
                    </w:drawing>
                  </w:r>
                </w:p>
              </w:tc>
            </w:tr>
          </w:tbl>
          <w:p w14:paraId="01EE261B" w14:textId="77777777" w:rsidR="00931D57" w:rsidRDefault="00931D57" w:rsidP="00721FBA">
            <w:pPr>
              <w:pStyle w:val="Figure"/>
            </w:pPr>
          </w:p>
        </w:tc>
      </w:tr>
      <w:tr w:rsidR="00931D57" w:rsidRPr="00176D3F" w14:paraId="01017733" w14:textId="77777777" w:rsidTr="00721FBA">
        <w:tc>
          <w:tcPr>
            <w:tcW w:w="5000" w:type="pct"/>
            <w:tcBorders>
              <w:top w:val="nil"/>
              <w:left w:val="nil"/>
              <w:bottom w:val="nil"/>
              <w:right w:val="nil"/>
            </w:tcBorders>
            <w:shd w:val="clear" w:color="auto" w:fill="auto"/>
          </w:tcPr>
          <w:p w14:paraId="1C90FB32" w14:textId="77777777" w:rsidR="00931D57" w:rsidRPr="00784A05" w:rsidRDefault="00931D57" w:rsidP="00721FBA">
            <w:pPr>
              <w:pStyle w:val="Source"/>
              <w:rPr>
                <w:i/>
              </w:rPr>
            </w:pPr>
            <w:r w:rsidRPr="008E77FE">
              <w:rPr>
                <w:rStyle w:val="NoteLabel"/>
              </w:rPr>
              <w:t>a</w:t>
            </w:r>
            <w:r>
              <w:t> This ‘box and whisker’ plot illustrates the spread of the proportion of jurisdictions’ expenditure targeted to each age group. The middle horizontal line represents the median proportion across all jurisdictions. The bottom and top of the ‘box’ respectively illustrate the first and third quartiles (which have been calculated inclusive of the median). The bottom and top of the ‘whiskers’ respectively illustrate the minimum and maximum proportions across all jurisdictions, with dots indicating outliers that are more than 1.5 times the interquartile range above the third quartile.</w:t>
            </w:r>
          </w:p>
        </w:tc>
      </w:tr>
      <w:tr w:rsidR="00931D57" w:rsidRPr="00176D3F" w14:paraId="1B6902BC" w14:textId="77777777" w:rsidTr="00721FBA">
        <w:tc>
          <w:tcPr>
            <w:tcW w:w="5000" w:type="pct"/>
            <w:tcBorders>
              <w:top w:val="nil"/>
              <w:left w:val="nil"/>
              <w:bottom w:val="nil"/>
              <w:right w:val="nil"/>
            </w:tcBorders>
            <w:shd w:val="clear" w:color="auto" w:fill="auto"/>
          </w:tcPr>
          <w:p w14:paraId="30467E53" w14:textId="77777777" w:rsidR="00931D57" w:rsidRPr="00176D3F" w:rsidRDefault="00931D57" w:rsidP="00721FBA">
            <w:pPr>
              <w:pStyle w:val="Source"/>
            </w:pPr>
            <w:r w:rsidRPr="00784A05">
              <w:rPr>
                <w:i/>
              </w:rPr>
              <w:t>Data source</w:t>
            </w:r>
            <w:r w:rsidRPr="00176D3F">
              <w:t xml:space="preserve">: </w:t>
            </w:r>
            <w:r>
              <w:t>Data provided by Australian, State and Territory Governments.</w:t>
            </w:r>
          </w:p>
        </w:tc>
      </w:tr>
      <w:tr w:rsidR="00931D57" w14:paraId="13ACA6CF" w14:textId="77777777" w:rsidTr="00721FBA">
        <w:tc>
          <w:tcPr>
            <w:tcW w:w="5000" w:type="pct"/>
            <w:tcBorders>
              <w:top w:val="nil"/>
              <w:left w:val="nil"/>
              <w:bottom w:val="single" w:sz="6" w:space="0" w:color="78A22F" w:themeColor="accent1"/>
              <w:right w:val="nil"/>
            </w:tcBorders>
            <w:shd w:val="clear" w:color="auto" w:fill="auto"/>
          </w:tcPr>
          <w:p w14:paraId="269A9757" w14:textId="77777777" w:rsidR="00931D57" w:rsidRDefault="00931D57" w:rsidP="00721FBA">
            <w:pPr>
              <w:pStyle w:val="Figurespace"/>
            </w:pPr>
          </w:p>
        </w:tc>
      </w:tr>
      <w:tr w:rsidR="00931D57" w:rsidRPr="000863A5" w14:paraId="3A56BDE1" w14:textId="77777777" w:rsidTr="00721FBA">
        <w:tc>
          <w:tcPr>
            <w:tcW w:w="5000" w:type="pct"/>
            <w:tcBorders>
              <w:top w:val="single" w:sz="6" w:space="0" w:color="78A22F" w:themeColor="accent1"/>
              <w:left w:val="nil"/>
              <w:bottom w:val="nil"/>
              <w:right w:val="nil"/>
            </w:tcBorders>
          </w:tcPr>
          <w:p w14:paraId="618805E3" w14:textId="0674EA77" w:rsidR="00931D57" w:rsidRPr="00626D32" w:rsidRDefault="00931D57" w:rsidP="00721FBA">
            <w:pPr>
              <w:pStyle w:val="BoxSpaceBelow"/>
            </w:pPr>
          </w:p>
        </w:tc>
      </w:tr>
    </w:tbl>
    <w:p w14:paraId="30B08D62" w14:textId="77777777" w:rsidR="00BF24F1" w:rsidRDefault="00BF24F1" w:rsidP="00BF24F1">
      <w:pPr>
        <w:pStyle w:val="BodyText"/>
      </w:pPr>
      <w:r>
        <w:t xml:space="preserve">The stocktake revealed little evidence of targeted mental health and suicide prevention programs for </w:t>
      </w:r>
      <w:r w:rsidRPr="000C4D90">
        <w:t xml:space="preserve">other </w:t>
      </w:r>
      <w:r>
        <w:t>vulnerable</w:t>
      </w:r>
      <w:r w:rsidRPr="000C4D90">
        <w:t xml:space="preserve"> subgroups</w:t>
      </w:r>
      <w:r>
        <w:t>,</w:t>
      </w:r>
      <w:r w:rsidRPr="000C4D90">
        <w:t xml:space="preserve"> </w:t>
      </w:r>
      <w:r>
        <w:t>such as</w:t>
      </w:r>
      <w:r w:rsidRPr="000C4D90">
        <w:t xml:space="preserve"> people experiencing homelessness and children in the child protection system (figure 2.1</w:t>
      </w:r>
      <w:r>
        <w:t>3</w:t>
      </w:r>
      <w:r w:rsidRPr="000C4D90">
        <w:t>).</w:t>
      </w:r>
      <w:r>
        <w:t xml:space="preserve"> That said, the reported data do highlight useful examples of the types of programs that some governments currently fund to benefit particular subgroups. For instance, across all jurisdictions in 2019</w:t>
      </w:r>
      <w:r>
        <w:noBreakHyphen/>
        <w:t>20:</w:t>
      </w:r>
    </w:p>
    <w:p w14:paraId="002CB58F" w14:textId="77777777" w:rsidR="00BF24F1" w:rsidRDefault="00BF24F1" w:rsidP="00BF24F1">
      <w:pPr>
        <w:pStyle w:val="ListBullet"/>
      </w:pPr>
      <w:r w:rsidRPr="00654336">
        <w:t xml:space="preserve">a median of </w:t>
      </w:r>
      <w:r w:rsidRPr="002E6A46">
        <w:rPr>
          <w:rStyle w:val="BodyTextChar"/>
        </w:rPr>
        <w:t>14.2 per</w:t>
      </w:r>
      <w:r w:rsidRPr="00654336">
        <w:t xml:space="preserve"> cent of </w:t>
      </w:r>
      <w:r>
        <w:t>program expenditure</w:t>
      </w:r>
      <w:r w:rsidRPr="00654336">
        <w:t xml:space="preserve"> was </w:t>
      </w:r>
      <w:r>
        <w:t xml:space="preserve">reported to be </w:t>
      </w:r>
      <w:r w:rsidRPr="00654336">
        <w:t xml:space="preserve">targeted towards children and adolescents, but this ranged from </w:t>
      </w:r>
      <w:r w:rsidRPr="002E6A46">
        <w:rPr>
          <w:rStyle w:val="BodyTextChar"/>
        </w:rPr>
        <w:t>6.6 to 27.2 per</w:t>
      </w:r>
      <w:r w:rsidRPr="00654336">
        <w:t xml:space="preserve"> cent</w:t>
      </w:r>
    </w:p>
    <w:p w14:paraId="4E3DD0F7" w14:textId="77777777" w:rsidR="00BF24F1" w:rsidRDefault="00BF24F1" w:rsidP="00BF24F1">
      <w:pPr>
        <w:pStyle w:val="ListBullet2"/>
      </w:pPr>
      <w:r>
        <w:t xml:space="preserve">examples of programs funded by </w:t>
      </w:r>
      <w:r w:rsidRPr="00654336">
        <w:t xml:space="preserve">State and Territory Governments </w:t>
      </w:r>
      <w:r>
        <w:t>included the provision of</w:t>
      </w:r>
      <w:r w:rsidRPr="00654336">
        <w:t xml:space="preserve"> student wellbeing leaders, school psychologists and guidance officers</w:t>
      </w:r>
    </w:p>
    <w:p w14:paraId="34867F68" w14:textId="77777777" w:rsidR="00BF24F1" w:rsidRDefault="00BF24F1" w:rsidP="00BF24F1">
      <w:pPr>
        <w:pStyle w:val="ListBullet2"/>
      </w:pPr>
      <w:r>
        <w:t>t</w:t>
      </w:r>
      <w:r w:rsidRPr="00654336">
        <w:t xml:space="preserve">he Australian Government also had large expenditures targeted towards children and adolescents, including youth mental health services (such as those commissioned by PHNs, </w:t>
      </w:r>
      <w:r>
        <w:t>box 2.1</w:t>
      </w:r>
      <w:r w:rsidRPr="00654336">
        <w:t>) and the National School Chaplaincy Program to support students’ emotional wellbeing</w:t>
      </w:r>
    </w:p>
    <w:p w14:paraId="1156C84D" w14:textId="0E4495AC" w:rsidR="00120945" w:rsidRDefault="00120945" w:rsidP="00120945">
      <w:pPr>
        <w:pStyle w:val="ListBullet"/>
      </w:pPr>
      <w:r w:rsidRPr="00654336">
        <w:t xml:space="preserve">a median </w:t>
      </w:r>
      <w:r w:rsidRPr="002E6A46">
        <w:rPr>
          <w:rStyle w:val="BodyTextChar"/>
        </w:rPr>
        <w:t>of 1.6 per</w:t>
      </w:r>
      <w:r w:rsidRPr="00654336">
        <w:t xml:space="preserve"> cent of</w:t>
      </w:r>
      <w:r>
        <w:t xml:space="preserve"> program</w:t>
      </w:r>
      <w:r w:rsidRPr="00654336">
        <w:t xml:space="preserve"> </w:t>
      </w:r>
      <w:r>
        <w:t>expenditure</w:t>
      </w:r>
      <w:r w:rsidRPr="00654336">
        <w:t xml:space="preserve"> was </w:t>
      </w:r>
      <w:r>
        <w:t xml:space="preserve">reported to be </w:t>
      </w:r>
      <w:r w:rsidRPr="00654336">
        <w:t xml:space="preserve">targeted towards Aboriginal and Torres Strait Islander people, and this ranged </w:t>
      </w:r>
      <w:r w:rsidRPr="00352386">
        <w:rPr>
          <w:rStyle w:val="BodyTextChar"/>
        </w:rPr>
        <w:t>from 0 to 8.0 per</w:t>
      </w:r>
      <w:r w:rsidRPr="00654336">
        <w:t xml:space="preserve"> cent</w:t>
      </w:r>
    </w:p>
    <w:p w14:paraId="494EE513" w14:textId="77777777" w:rsidR="00120945" w:rsidRDefault="00120945" w:rsidP="00120945">
      <w:pPr>
        <w:pStyle w:val="ListBullet2"/>
      </w:pPr>
      <w:r>
        <w:t>examples of t</w:t>
      </w:r>
      <w:r w:rsidRPr="00654336">
        <w:t xml:space="preserve">hese programs </w:t>
      </w:r>
      <w:r>
        <w:t>included</w:t>
      </w:r>
      <w:r w:rsidRPr="00654336">
        <w:t xml:space="preserve"> youth networks for prevention and promotion purposes, social and emotional wellbeing support for local communities, and mental health-related components of Aboriginal Medical Services</w:t>
      </w:r>
    </w:p>
    <w:p w14:paraId="6C9989B6" w14:textId="6157D692" w:rsidR="00120945" w:rsidRPr="00654336" w:rsidRDefault="00120945" w:rsidP="00120945">
      <w:pPr>
        <w:pStyle w:val="ListBullet2"/>
      </w:pPr>
      <w:r>
        <w:t>t</w:t>
      </w:r>
      <w:r w:rsidRPr="00654336">
        <w:t xml:space="preserve">he extent to which this expenditure is used to deliver culturally competent care </w:t>
      </w:r>
      <w:r>
        <w:t>wa</w:t>
      </w:r>
      <w:r w:rsidRPr="00654336">
        <w:t>s unclear in the data received for the stocktake</w:t>
      </w:r>
      <w:r>
        <w:t>. However, o</w:t>
      </w:r>
      <w:r w:rsidRPr="00654336">
        <w:t xml:space="preserve">nly a very small number of programs were reported to provide funding to Aboriginal Community Controlled Organisations and other </w:t>
      </w:r>
      <w:r>
        <w:t>Aboriginal or Torres Strait Islander</w:t>
      </w:r>
      <w:r w:rsidRPr="00654336">
        <w:t>-owned or controlled service providers</w:t>
      </w:r>
      <w:r>
        <w:rPr>
          <w:rStyle w:val="FootnoteReference"/>
        </w:rPr>
        <w:footnoteReference w:id="16"/>
      </w:r>
    </w:p>
    <w:p w14:paraId="5944FDD5" w14:textId="77777777" w:rsidR="00120945" w:rsidRPr="00BF24F1" w:rsidRDefault="00120945" w:rsidP="00120945">
      <w:pPr>
        <w:pStyle w:val="ListBullet"/>
        <w:rPr>
          <w:spacing w:val="-2"/>
        </w:rPr>
      </w:pPr>
      <w:r w:rsidRPr="00BF24F1">
        <w:rPr>
          <w:spacing w:val="-2"/>
        </w:rPr>
        <w:t xml:space="preserve">a median </w:t>
      </w:r>
      <w:r w:rsidRPr="00BF24F1">
        <w:rPr>
          <w:rStyle w:val="BodyTextChar"/>
          <w:spacing w:val="-2"/>
        </w:rPr>
        <w:t>of 0.6 per</w:t>
      </w:r>
      <w:r w:rsidRPr="00BF24F1">
        <w:rPr>
          <w:spacing w:val="-2"/>
        </w:rPr>
        <w:t xml:space="preserve"> cent of program expenditure was reported to be targeted towards people experiencing homelessness or in unstable housing, and this ranged from </w:t>
      </w:r>
      <w:r w:rsidRPr="00BF24F1">
        <w:rPr>
          <w:rStyle w:val="BodyTextChar"/>
          <w:spacing w:val="-2"/>
        </w:rPr>
        <w:t>0 to 5.7 per</w:t>
      </w:r>
      <w:r w:rsidRPr="00BF24F1">
        <w:rPr>
          <w:spacing w:val="-2"/>
        </w:rPr>
        <w:t xml:space="preserve"> cent</w:t>
      </w:r>
    </w:p>
    <w:p w14:paraId="46CAB1D0" w14:textId="77777777" w:rsidR="00120945" w:rsidRPr="00654336" w:rsidRDefault="00120945" w:rsidP="00120945">
      <w:pPr>
        <w:pStyle w:val="ListBullet2"/>
      </w:pPr>
      <w:r>
        <w:t>t</w:t>
      </w:r>
      <w:r w:rsidRPr="00654336">
        <w:t>he limited</w:t>
      </w:r>
      <w:r>
        <w:t xml:space="preserve"> reported programs</w:t>
      </w:r>
      <w:r w:rsidRPr="00654336">
        <w:t xml:space="preserve"> w</w:t>
      </w:r>
      <w:r>
        <w:t>ere</w:t>
      </w:r>
      <w:r w:rsidRPr="00654336">
        <w:t xml:space="preserve"> predominantly comprised of psychosocial supports, such as personalised housing support services delivered in the community, with a small amount of specialist services (for example, residential programs that assist with recovery following an acute episode of mental illness)</w:t>
      </w:r>
    </w:p>
    <w:p w14:paraId="691465CE" w14:textId="77777777" w:rsidR="00120945" w:rsidRDefault="00120945" w:rsidP="00120945">
      <w:pPr>
        <w:pStyle w:val="ListBullet"/>
      </w:pPr>
      <w:r w:rsidRPr="00654336">
        <w:t xml:space="preserve">a median of </w:t>
      </w:r>
      <w:r w:rsidRPr="00854084">
        <w:rPr>
          <w:rStyle w:val="BodyTextChar"/>
        </w:rPr>
        <w:t>2.5 per</w:t>
      </w:r>
      <w:r w:rsidRPr="00B2135D">
        <w:t xml:space="preserve"> cent of </w:t>
      </w:r>
      <w:r>
        <w:t>program expenditure</w:t>
      </w:r>
      <w:r w:rsidRPr="00654336">
        <w:t xml:space="preserve"> </w:t>
      </w:r>
      <w:r w:rsidRPr="00B2135D">
        <w:t xml:space="preserve">was </w:t>
      </w:r>
      <w:r>
        <w:t xml:space="preserve">reported to be </w:t>
      </w:r>
      <w:r w:rsidRPr="00B2135D">
        <w:t xml:space="preserve">targeted toward people with post-traumatic stress disorder or experiencing trauma, and this ranged </w:t>
      </w:r>
      <w:r w:rsidRPr="006D365C">
        <w:rPr>
          <w:rStyle w:val="BodyTextChar"/>
        </w:rPr>
        <w:t>from 0.2 to 6.7 per cent</w:t>
      </w:r>
    </w:p>
    <w:p w14:paraId="2CBF2BD1" w14:textId="01391040" w:rsidR="00931D57" w:rsidRDefault="00120945" w:rsidP="00931D57">
      <w:pPr>
        <w:pStyle w:val="ListBullet2"/>
      </w:pPr>
      <w:r>
        <w:t>examples of these programs included training to support first responders; counselling for survivors of torture, family and domestic violence; integrated specialist services for adult survivors of child sex abuse; mental health-related assistance for asylum seekers and refugees; and supports for people affected by road trauma.</w:t>
      </w:r>
    </w:p>
    <w:p w14:paraId="3D00CAEA" w14:textId="4E5397D1" w:rsidR="00931D57" w:rsidRDefault="00931D57" w:rsidP="00931D5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7BBEF1D5" w14:textId="77777777" w:rsidTr="00721FBA">
        <w:trPr>
          <w:tblHeader/>
        </w:trPr>
        <w:tc>
          <w:tcPr>
            <w:tcW w:w="5000" w:type="pct"/>
            <w:tcBorders>
              <w:top w:val="single" w:sz="6" w:space="0" w:color="78A22F" w:themeColor="accent1"/>
              <w:left w:val="nil"/>
              <w:bottom w:val="nil"/>
              <w:right w:val="nil"/>
            </w:tcBorders>
            <w:shd w:val="clear" w:color="auto" w:fill="auto"/>
          </w:tcPr>
          <w:p w14:paraId="6275529D" w14:textId="77777777" w:rsidR="00931D57" w:rsidRDefault="00931D57" w:rsidP="00721FBA">
            <w:pPr>
              <w:pStyle w:val="FigureTitle"/>
            </w:pPr>
            <w:r w:rsidRPr="00784A05">
              <w:rPr>
                <w:b w:val="0"/>
              </w:rPr>
              <w:t>Figure</w:t>
            </w:r>
            <w:r>
              <w:rPr>
                <w:b w:val="0"/>
              </w:rPr>
              <w:t xml:space="preserve"> 2.13</w:t>
            </w:r>
            <w:r>
              <w:tab/>
              <w:t>Vulnerable cohorts generally do not receive much targeted funding</w:t>
            </w:r>
          </w:p>
          <w:p w14:paraId="49EF488C" w14:textId="75BC60B6" w:rsidR="00931D57" w:rsidRPr="00176D3F" w:rsidRDefault="00931D57" w:rsidP="00721FBA">
            <w:pPr>
              <w:pStyle w:val="Subtitle"/>
            </w:pPr>
            <w:r>
              <w:t xml:space="preserve">Distribution of all jurisdictions’ proportion of </w:t>
            </w:r>
            <w:r w:rsidR="000E6331">
              <w:t xml:space="preserve">program </w:t>
            </w:r>
            <w:r>
              <w:t>expenditure targeted to particular vulnerable cohorts, 2019</w:t>
            </w:r>
            <w:r>
              <w:noBreakHyphen/>
              <w:t>20</w:t>
            </w:r>
            <w:r w:rsidRPr="00847380">
              <w:rPr>
                <w:rStyle w:val="NoteLabel"/>
              </w:rPr>
              <w:t>a</w:t>
            </w:r>
          </w:p>
        </w:tc>
      </w:tr>
      <w:tr w:rsidR="00931D57" w14:paraId="63F90F38" w14:textId="77777777" w:rsidTr="00721FB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31D57" w:rsidRPr="00B1465D" w14:paraId="12042259" w14:textId="77777777" w:rsidTr="00721FBA">
              <w:trPr>
                <w:tblHeader/>
                <w:jc w:val="center"/>
              </w:trPr>
              <w:tc>
                <w:tcPr>
                  <w:tcW w:w="5000" w:type="pct"/>
                  <w:tcBorders>
                    <w:top w:val="nil"/>
                    <w:bottom w:val="nil"/>
                  </w:tcBorders>
                </w:tcPr>
                <w:p w14:paraId="67506373" w14:textId="5EB3D3ED" w:rsidR="00931D57" w:rsidRPr="00B1465D" w:rsidRDefault="00931D57" w:rsidP="00721FBA">
                  <w:pPr>
                    <w:pStyle w:val="Figure"/>
                    <w:spacing w:before="60" w:after="60"/>
                    <w:rPr>
                      <w:rFonts w:ascii="Arial" w:hAnsi="Arial" w:cs="Arial"/>
                      <w:sz w:val="18"/>
                      <w:szCs w:val="18"/>
                    </w:rPr>
                  </w:pPr>
                  <w:r>
                    <w:rPr>
                      <w:rFonts w:ascii="Arial" w:hAnsi="Arial" w:cs="Arial"/>
                      <w:sz w:val="18"/>
                      <w:szCs w:val="18"/>
                    </w:rPr>
                    <w:t xml:space="preserve"> </w:t>
                  </w:r>
                  <w:r w:rsidR="00A631D9" w:rsidRPr="00A631D9">
                    <w:rPr>
                      <w:rFonts w:ascii="Arial" w:hAnsi="Arial" w:cs="Arial"/>
                      <w:noProof/>
                      <w:sz w:val="18"/>
                      <w:szCs w:val="18"/>
                    </w:rPr>
                    <w:drawing>
                      <wp:inline distT="0" distB="0" distL="0" distR="0" wp14:anchorId="60321DE4" wp14:editId="17F0C351">
                        <wp:extent cx="5120640" cy="3246120"/>
                        <wp:effectExtent l="0" t="0" r="3810" b="0"/>
                        <wp:docPr id="31" name="Picture 31" descr="Figure 2.13 This is a box-and-whisker chart showing the distribution of all jurisdictions’ proportion of expenditure targeted to particular vulnerable cohorts in 2019-20. Examples of expenditure that benefits particular vulnerable groups are mention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Figure 2.13 This is a box-and-whisker chart showing the distribution of all jurisdictions’ proportion of expenditure targeted to particular vulnerable cohorts in 2019-20. Examples of expenditure that benefits particular vulnerable groups are mentioned in the tex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20640" cy="3246120"/>
                                </a:xfrm>
                                <a:prstGeom prst="rect">
                                  <a:avLst/>
                                </a:prstGeom>
                                <a:noFill/>
                                <a:ln>
                                  <a:noFill/>
                                </a:ln>
                              </pic:spPr>
                            </pic:pic>
                          </a:graphicData>
                        </a:graphic>
                      </wp:inline>
                    </w:drawing>
                  </w:r>
                </w:p>
              </w:tc>
            </w:tr>
          </w:tbl>
          <w:p w14:paraId="43A67591" w14:textId="77777777" w:rsidR="00931D57" w:rsidRDefault="00931D57" w:rsidP="00721FBA">
            <w:pPr>
              <w:pStyle w:val="Figure"/>
            </w:pPr>
          </w:p>
        </w:tc>
      </w:tr>
      <w:tr w:rsidR="00931D57" w:rsidRPr="00176D3F" w14:paraId="2BAA26B3" w14:textId="77777777" w:rsidTr="00721FBA">
        <w:tc>
          <w:tcPr>
            <w:tcW w:w="5000" w:type="pct"/>
            <w:tcBorders>
              <w:top w:val="nil"/>
              <w:left w:val="nil"/>
              <w:bottom w:val="nil"/>
              <w:right w:val="nil"/>
            </w:tcBorders>
            <w:shd w:val="clear" w:color="auto" w:fill="auto"/>
          </w:tcPr>
          <w:p w14:paraId="64C9C57D" w14:textId="77777777" w:rsidR="00931D57" w:rsidRPr="00784A05" w:rsidRDefault="00931D57" w:rsidP="00721FBA">
            <w:pPr>
              <w:pStyle w:val="Source"/>
              <w:rPr>
                <w:i/>
              </w:rPr>
            </w:pPr>
            <w:r w:rsidRPr="008E77FE">
              <w:rPr>
                <w:rStyle w:val="NoteLabel"/>
              </w:rPr>
              <w:t>a</w:t>
            </w:r>
            <w:r>
              <w:t> This ‘box and whisker’ plot illustrates the spread of the proportion of jurisdictions’ expenditure targeted to each vulnerable cohort. The middle horizontal line represents the median proportion across all jurisdictions. The bottom and top of the ‘box’ respectively illustrate the first and third quartiles (which have been calculated inclusive of the median). The bottom and top of the ‘whiskers’ respectively illustrate the minimum and maximum proportions across all jurisdictions, with dots indicating outliers that are more than 1.5 times the interquartile range above the third quartile.</w:t>
            </w:r>
          </w:p>
        </w:tc>
      </w:tr>
      <w:tr w:rsidR="00931D57" w:rsidRPr="00176D3F" w14:paraId="1C105078" w14:textId="77777777" w:rsidTr="00721FBA">
        <w:tc>
          <w:tcPr>
            <w:tcW w:w="5000" w:type="pct"/>
            <w:tcBorders>
              <w:top w:val="nil"/>
              <w:left w:val="nil"/>
              <w:bottom w:val="nil"/>
              <w:right w:val="nil"/>
            </w:tcBorders>
            <w:shd w:val="clear" w:color="auto" w:fill="auto"/>
          </w:tcPr>
          <w:p w14:paraId="399B7626" w14:textId="77777777" w:rsidR="00931D57" w:rsidRPr="00176D3F" w:rsidRDefault="00931D57" w:rsidP="00721FBA">
            <w:pPr>
              <w:pStyle w:val="Source"/>
            </w:pPr>
            <w:r w:rsidRPr="00784A05">
              <w:rPr>
                <w:i/>
              </w:rPr>
              <w:t>Data source</w:t>
            </w:r>
            <w:r w:rsidRPr="00176D3F">
              <w:t xml:space="preserve">: </w:t>
            </w:r>
            <w:r>
              <w:t>Data provided by Australian, State and Territory Governments.</w:t>
            </w:r>
          </w:p>
        </w:tc>
      </w:tr>
      <w:tr w:rsidR="00931D57" w14:paraId="4B665529" w14:textId="77777777" w:rsidTr="00721FBA">
        <w:tc>
          <w:tcPr>
            <w:tcW w:w="5000" w:type="pct"/>
            <w:tcBorders>
              <w:top w:val="nil"/>
              <w:left w:val="nil"/>
              <w:bottom w:val="single" w:sz="6" w:space="0" w:color="78A22F" w:themeColor="accent1"/>
              <w:right w:val="nil"/>
            </w:tcBorders>
            <w:shd w:val="clear" w:color="auto" w:fill="auto"/>
          </w:tcPr>
          <w:p w14:paraId="38EBDC11" w14:textId="77777777" w:rsidR="00931D57" w:rsidRDefault="00931D57" w:rsidP="00721FBA">
            <w:pPr>
              <w:pStyle w:val="Figurespace"/>
            </w:pPr>
          </w:p>
        </w:tc>
      </w:tr>
      <w:tr w:rsidR="00931D57" w:rsidRPr="000863A5" w14:paraId="7041456B" w14:textId="77777777" w:rsidTr="00721FBA">
        <w:tc>
          <w:tcPr>
            <w:tcW w:w="5000" w:type="pct"/>
            <w:tcBorders>
              <w:top w:val="single" w:sz="6" w:space="0" w:color="78A22F" w:themeColor="accent1"/>
              <w:left w:val="nil"/>
              <w:bottom w:val="nil"/>
              <w:right w:val="nil"/>
            </w:tcBorders>
          </w:tcPr>
          <w:p w14:paraId="2FDDEFB2" w14:textId="77F41CCA" w:rsidR="00931D57" w:rsidRPr="00626D32" w:rsidRDefault="00931D57" w:rsidP="00721FBA">
            <w:pPr>
              <w:pStyle w:val="BoxSpaceBelow"/>
            </w:pPr>
          </w:p>
        </w:tc>
      </w:tr>
    </w:tbl>
    <w:p w14:paraId="701D1EC2" w14:textId="3E5D8726" w:rsidR="00931D57" w:rsidRDefault="00BD51F1" w:rsidP="00931D57">
      <w:pPr>
        <w:pStyle w:val="BodyText"/>
      </w:pPr>
      <w:r>
        <w:t xml:space="preserve">Moreover, </w:t>
      </w:r>
      <w:r w:rsidR="00931D57">
        <w:t xml:space="preserve">people in rural, regional and remote communities </w:t>
      </w:r>
      <w:r>
        <w:t xml:space="preserve">are </w:t>
      </w:r>
      <w:r w:rsidR="00931D57">
        <w:t xml:space="preserve">a specific subgroup of the population that can face barriers in accessing mental health and suicide prevention services. </w:t>
      </w:r>
      <w:r w:rsidR="00ED58BA">
        <w:t>While limited in</w:t>
      </w:r>
      <w:r w:rsidR="00171C40">
        <w:t xml:space="preserve"> its granularity</w:t>
      </w:r>
      <w:r w:rsidR="00ED58BA">
        <w:t>, t</w:t>
      </w:r>
      <w:r w:rsidR="00931D57">
        <w:t xml:space="preserve">he </w:t>
      </w:r>
      <w:r w:rsidR="00171C40">
        <w:t>information</w:t>
      </w:r>
      <w:r w:rsidR="00931D57">
        <w:t xml:space="preserve"> reported to this stocktake included a handful of programs specifically targeted at these localities, such as:</w:t>
      </w:r>
    </w:p>
    <w:p w14:paraId="2831DDC8" w14:textId="7FDF0999" w:rsidR="00931D57" w:rsidRDefault="00931D57" w:rsidP="00931D57">
      <w:pPr>
        <w:pStyle w:val="ListBullet"/>
      </w:pPr>
      <w:r>
        <w:t>emergency mental health telehealth services provided in regional and remote areas</w:t>
      </w:r>
    </w:p>
    <w:p w14:paraId="1C160B50" w14:textId="77777777" w:rsidR="00931D57" w:rsidRDefault="00931D57" w:rsidP="00931D57">
      <w:pPr>
        <w:pStyle w:val="ListBullet"/>
      </w:pPr>
      <w:r>
        <w:t>counselling support programs in regional and remote hospitals</w:t>
      </w:r>
    </w:p>
    <w:p w14:paraId="14BCC4BF" w14:textId="77777777" w:rsidR="00931D57" w:rsidRDefault="00931D57" w:rsidP="00931D57">
      <w:pPr>
        <w:pStyle w:val="ListBullet"/>
      </w:pPr>
      <w:r>
        <w:t xml:space="preserve">initiatives to improve the emotional wellbeing of support workers in remote areas. </w:t>
      </w:r>
    </w:p>
    <w:p w14:paraId="28D48E35" w14:textId="77777777" w:rsidR="00931D57" w:rsidRDefault="00931D57" w:rsidP="00931D57">
      <w:pPr>
        <w:pStyle w:val="BodyText"/>
      </w:pPr>
      <w:r>
        <w:t>In addition, even if they are not targeted towards people living in rural, regional and remote areas, mental health services that are delivered over the phone or online — box 2.3 — can also assist in supporting these communities.</w:t>
      </w:r>
    </w:p>
    <w:p w14:paraId="7D605148" w14:textId="6B0178DA" w:rsidR="00931D57" w:rsidRDefault="00931D57" w:rsidP="00931D5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rsidRPr="00160060" w14:paraId="730E39DC" w14:textId="77777777" w:rsidTr="00721FBA">
        <w:trPr>
          <w:tblHeader/>
        </w:trPr>
        <w:tc>
          <w:tcPr>
            <w:tcW w:w="5000" w:type="pct"/>
            <w:tcBorders>
              <w:top w:val="single" w:sz="6" w:space="0" w:color="78A22F"/>
              <w:left w:val="nil"/>
              <w:bottom w:val="nil"/>
              <w:right w:val="nil"/>
            </w:tcBorders>
            <w:shd w:val="clear" w:color="auto" w:fill="F2F2F2"/>
          </w:tcPr>
          <w:p w14:paraId="731B22AD" w14:textId="77777777" w:rsidR="00931D57" w:rsidRPr="00160060" w:rsidRDefault="00931D57" w:rsidP="00721FBA">
            <w:pPr>
              <w:pStyle w:val="BoxTitle"/>
            </w:pPr>
            <w:r w:rsidRPr="00160060">
              <w:rPr>
                <w:b w:val="0"/>
              </w:rPr>
              <w:t>Box 2.3</w:t>
            </w:r>
            <w:r w:rsidRPr="00160060">
              <w:tab/>
              <w:t xml:space="preserve">How were programs delivered over the phone or online reported in the stocktake? </w:t>
            </w:r>
          </w:p>
        </w:tc>
      </w:tr>
      <w:tr w:rsidR="00931D57" w:rsidRPr="00160060" w14:paraId="50B13476" w14:textId="77777777" w:rsidTr="00721FBA">
        <w:tc>
          <w:tcPr>
            <w:tcW w:w="5000" w:type="pct"/>
            <w:tcBorders>
              <w:top w:val="nil"/>
              <w:left w:val="nil"/>
              <w:bottom w:val="nil"/>
              <w:right w:val="nil"/>
            </w:tcBorders>
            <w:shd w:val="clear" w:color="auto" w:fill="F2F2F2"/>
          </w:tcPr>
          <w:p w14:paraId="03CEA63C" w14:textId="6A8E990B" w:rsidR="00931D57" w:rsidRPr="00160060" w:rsidRDefault="00931D57" w:rsidP="00721FBA">
            <w:pPr>
              <w:pStyle w:val="Box"/>
            </w:pPr>
            <w:r w:rsidRPr="00160060">
              <w:t xml:space="preserve">Online and telehealth services play </w:t>
            </w:r>
            <w:r>
              <w:t xml:space="preserve">an important </w:t>
            </w:r>
            <w:r w:rsidRPr="00160060">
              <w:t xml:space="preserve">role in </w:t>
            </w:r>
            <w:r>
              <w:t xml:space="preserve">providing access to </w:t>
            </w:r>
            <w:r w:rsidRPr="00160060">
              <w:t xml:space="preserve">mental health </w:t>
            </w:r>
            <w:r>
              <w:t xml:space="preserve">and suicide prevention </w:t>
            </w:r>
            <w:r w:rsidRPr="00160060">
              <w:t xml:space="preserve">services, given resource constraints and prevailing service gaps (particularly </w:t>
            </w:r>
            <w:r>
              <w:t xml:space="preserve">for </w:t>
            </w:r>
            <w:r w:rsidRPr="00160060">
              <w:t>low</w:t>
            </w:r>
            <w:r>
              <w:noBreakHyphen/>
            </w:r>
            <w:r w:rsidRPr="00160060">
              <w:t xml:space="preserve">intensity </w:t>
            </w:r>
            <w:r>
              <w:t>services</w:t>
            </w:r>
            <w:r w:rsidRPr="00160060">
              <w:t xml:space="preserve">). </w:t>
            </w:r>
            <w:r w:rsidR="00EE1758">
              <w:t xml:space="preserve">They </w:t>
            </w:r>
            <w:r w:rsidRPr="00160060">
              <w:t>also improve consumer choice and provide a convenient</w:t>
            </w:r>
            <w:r>
              <w:t xml:space="preserve"> and</w:t>
            </w:r>
            <w:r w:rsidRPr="00160060">
              <w:t xml:space="preserve"> low</w:t>
            </w:r>
            <w:r>
              <w:noBreakHyphen/>
            </w:r>
            <w:r w:rsidRPr="00160060">
              <w:t>cost way for consumers to manage their mental ill</w:t>
            </w:r>
            <w:r>
              <w:noBreakHyphen/>
            </w:r>
            <w:r w:rsidRPr="00160060">
              <w:t>health,</w:t>
            </w:r>
            <w:r>
              <w:t xml:space="preserve"> by</w:t>
            </w:r>
            <w:r w:rsidRPr="00160060">
              <w:t xml:space="preserve"> enabling people to undertake treatment at a place and time that is suitable for them. They </w:t>
            </w:r>
            <w:r>
              <w:t xml:space="preserve">can have </w:t>
            </w:r>
            <w:r w:rsidRPr="00160060">
              <w:t>particular</w:t>
            </w:r>
            <w:r>
              <w:t xml:space="preserve"> benefits</w:t>
            </w:r>
            <w:r w:rsidRPr="00160060">
              <w:t xml:space="preserve"> </w:t>
            </w:r>
            <w:r>
              <w:t xml:space="preserve">in </w:t>
            </w:r>
            <w:r w:rsidRPr="00160060">
              <w:t xml:space="preserve">meeting the needs of rural, regional and remote communities where access to quality care </w:t>
            </w:r>
            <w:r>
              <w:t xml:space="preserve">may </w:t>
            </w:r>
            <w:r w:rsidRPr="00160060">
              <w:t>otherwise be limited</w:t>
            </w:r>
            <w:r>
              <w:t xml:space="preserve"> (for example, due to a local shortage of mental health professionals)</w:t>
            </w:r>
            <w:r w:rsidRPr="00160060">
              <w:t>.</w:t>
            </w:r>
          </w:p>
          <w:p w14:paraId="29CC0245" w14:textId="77777777" w:rsidR="00931D57" w:rsidRPr="00160060" w:rsidRDefault="00931D57" w:rsidP="00721FBA">
            <w:pPr>
              <w:pStyle w:val="Box"/>
            </w:pPr>
            <w:r>
              <w:t xml:space="preserve">A range of mental health and suicide prevention </w:t>
            </w:r>
            <w:r w:rsidRPr="00160060">
              <w:t xml:space="preserve">programs </w:t>
            </w:r>
            <w:r>
              <w:t xml:space="preserve">reported to this stocktake were </w:t>
            </w:r>
            <w:r w:rsidRPr="00160060">
              <w:t xml:space="preserve">delivered online or </w:t>
            </w:r>
            <w:r>
              <w:t xml:space="preserve">over the </w:t>
            </w:r>
            <w:r w:rsidRPr="00160060">
              <w:t>telephone</w:t>
            </w:r>
            <w:r>
              <w:t>. Many of these were provided</w:t>
            </w:r>
            <w:r w:rsidRPr="00160060">
              <w:t xml:space="preserve"> by general practitioners or other private </w:t>
            </w:r>
            <w:r>
              <w:t>mental health professionals</w:t>
            </w:r>
            <w:r w:rsidRPr="00160060">
              <w:t xml:space="preserve">, so </w:t>
            </w:r>
            <w:r>
              <w:t xml:space="preserve">were </w:t>
            </w:r>
            <w:r w:rsidRPr="00160060">
              <w:t>largely funded</w:t>
            </w:r>
            <w:r>
              <w:t xml:space="preserve"> by the Australian Government</w:t>
            </w:r>
            <w:r w:rsidRPr="00160060">
              <w:t>. These programs include</w:t>
            </w:r>
            <w:r>
              <w:t>d</w:t>
            </w:r>
            <w:r w:rsidRPr="00160060">
              <w:t xml:space="preserve"> the Digital Mental Health Services Program</w:t>
            </w:r>
            <w:r>
              <w:t>;</w:t>
            </w:r>
            <w:r w:rsidRPr="00160060">
              <w:t xml:space="preserve"> </w:t>
            </w:r>
            <w:r>
              <w:t xml:space="preserve">elements of </w:t>
            </w:r>
            <w:r w:rsidRPr="00160060">
              <w:t>the COVID</w:t>
            </w:r>
            <w:r>
              <w:noBreakHyphen/>
            </w:r>
            <w:r w:rsidRPr="00160060">
              <w:t>19 Emergency Response</w:t>
            </w:r>
            <w:r>
              <w:t>;</w:t>
            </w:r>
            <w:r w:rsidRPr="00160060">
              <w:t xml:space="preserve"> Better Access to Psychiatrists, Psychologists and General Practitioners through the </w:t>
            </w:r>
            <w:r>
              <w:t>Medicare Benefits Schedule;</w:t>
            </w:r>
            <w:r w:rsidRPr="00160060">
              <w:t xml:space="preserve"> and Better Access Telehealth Services</w:t>
            </w:r>
            <w:r>
              <w:t>.</w:t>
            </w:r>
            <w:r w:rsidRPr="00160060">
              <w:t xml:space="preserve"> The</w:t>
            </w:r>
            <w:r>
              <w:t xml:space="preserve">re has been increased funding and focus on online and telehealth services during and following </w:t>
            </w:r>
            <w:r w:rsidRPr="00160060">
              <w:t>the COVID</w:t>
            </w:r>
            <w:r>
              <w:noBreakHyphen/>
            </w:r>
            <w:r w:rsidRPr="00160060">
              <w:t xml:space="preserve">19 pandemic, </w:t>
            </w:r>
            <w:r>
              <w:t xml:space="preserve">given the reduced </w:t>
            </w:r>
            <w:r w:rsidRPr="00160060">
              <w:t xml:space="preserve">access to face-to-face services </w:t>
            </w:r>
            <w:r>
              <w:t>over this period.</w:t>
            </w:r>
          </w:p>
          <w:p w14:paraId="127FECEE" w14:textId="2F17F61E" w:rsidR="00931D57" w:rsidRPr="00160060" w:rsidRDefault="00931D57" w:rsidP="00721FBA">
            <w:pPr>
              <w:pStyle w:val="Box"/>
            </w:pPr>
            <w:r w:rsidRPr="00160060">
              <w:t>State and Territory</w:t>
            </w:r>
            <w:r>
              <w:t xml:space="preserve"> Governments’</w:t>
            </w:r>
            <w:r w:rsidRPr="00160060">
              <w:t xml:space="preserve"> expenditure on programs delivered online</w:t>
            </w:r>
            <w:r>
              <w:t xml:space="preserve"> or over the telephone </w:t>
            </w:r>
            <w:r w:rsidRPr="00160060">
              <w:t>appears to be relatively small</w:t>
            </w:r>
            <w:r>
              <w:t xml:space="preserve">er — examples reported in the stocktake </w:t>
            </w:r>
            <w:r w:rsidRPr="00160060">
              <w:t>include</w:t>
            </w:r>
            <w:r>
              <w:t>d</w:t>
            </w:r>
            <w:r w:rsidRPr="00160060">
              <w:t xml:space="preserve"> </w:t>
            </w:r>
            <w:r>
              <w:t xml:space="preserve">funding for </w:t>
            </w:r>
            <w:r w:rsidRPr="00160060">
              <w:t xml:space="preserve">mental health services helplines and </w:t>
            </w:r>
            <w:r>
              <w:t xml:space="preserve">digital programs to support employee mental health (such as an online hub for mentally healthy workplaces and a wellbeing app). However, </w:t>
            </w:r>
            <w:r w:rsidRPr="00160060">
              <w:t xml:space="preserve">State and Territory Governments </w:t>
            </w:r>
            <w:r>
              <w:t xml:space="preserve">may fund other services delivered </w:t>
            </w:r>
            <w:r w:rsidRPr="00160060">
              <w:t xml:space="preserve">online or by telephone that were not </w:t>
            </w:r>
            <w:r>
              <w:t xml:space="preserve">able to be </w:t>
            </w:r>
            <w:r w:rsidRPr="00160060">
              <w:t>captured by the stocktake</w:t>
            </w:r>
            <w:r>
              <w:t>,</w:t>
            </w:r>
            <w:r w:rsidRPr="00160060">
              <w:t xml:space="preserve"> due to the limited information provided regarding individua</w:t>
            </w:r>
            <w:r>
              <w:t>l programs.</w:t>
            </w:r>
            <w:r w:rsidRPr="00160060">
              <w:t xml:space="preserve"> </w:t>
            </w:r>
            <w:r>
              <w:t>N</w:t>
            </w:r>
            <w:r w:rsidRPr="00160060">
              <w:t xml:space="preserve">otwithstanding this </w:t>
            </w:r>
            <w:r>
              <w:t xml:space="preserve">limitation, </w:t>
            </w:r>
            <w:r w:rsidRPr="00160060">
              <w:t xml:space="preserve">there is </w:t>
            </w:r>
            <w:r>
              <w:t xml:space="preserve">likely to be </w:t>
            </w:r>
            <w:r w:rsidRPr="00160060">
              <w:t xml:space="preserve">room for increased online </w:t>
            </w:r>
            <w:r>
              <w:t>delivery</w:t>
            </w:r>
            <w:r w:rsidRPr="00160060">
              <w:t xml:space="preserve"> of </w:t>
            </w:r>
            <w:r>
              <w:t xml:space="preserve">mental health and suicide prevention </w:t>
            </w:r>
            <w:r w:rsidRPr="00160060">
              <w:t>programs.</w:t>
            </w:r>
          </w:p>
        </w:tc>
      </w:tr>
      <w:tr w:rsidR="00931D57" w14:paraId="7876879A" w14:textId="77777777" w:rsidTr="00721FBA">
        <w:tc>
          <w:tcPr>
            <w:tcW w:w="5000" w:type="pct"/>
            <w:tcBorders>
              <w:top w:val="nil"/>
              <w:left w:val="nil"/>
              <w:bottom w:val="nil"/>
              <w:right w:val="nil"/>
            </w:tcBorders>
            <w:shd w:val="clear" w:color="auto" w:fill="F2F2F2"/>
          </w:tcPr>
          <w:p w14:paraId="39367014" w14:textId="4AEF9F7D" w:rsidR="00931D57" w:rsidRDefault="00931D57" w:rsidP="00721FBA">
            <w:pPr>
              <w:pStyle w:val="BoxSource"/>
            </w:pPr>
            <w:r>
              <w:rPr>
                <w:i/>
              </w:rPr>
              <w:t>Sources</w:t>
            </w:r>
            <w:r w:rsidRPr="00167F06">
              <w:t>:</w:t>
            </w:r>
            <w:r>
              <w:t xml:space="preserve"> D</w:t>
            </w:r>
            <w:r w:rsidRPr="00453218">
              <w:t>ata provided by Australian, State and Territory Governments</w:t>
            </w:r>
            <w:r>
              <w:t>.</w:t>
            </w:r>
          </w:p>
        </w:tc>
      </w:tr>
      <w:tr w:rsidR="00931D57" w14:paraId="22C3DC69" w14:textId="77777777" w:rsidTr="00721FBA">
        <w:tc>
          <w:tcPr>
            <w:tcW w:w="5000" w:type="pct"/>
            <w:tcBorders>
              <w:top w:val="nil"/>
              <w:left w:val="nil"/>
              <w:bottom w:val="single" w:sz="6" w:space="0" w:color="78A22F"/>
              <w:right w:val="nil"/>
            </w:tcBorders>
            <w:shd w:val="clear" w:color="auto" w:fill="F2F2F2"/>
          </w:tcPr>
          <w:p w14:paraId="763D2510" w14:textId="77777777" w:rsidR="00931D57" w:rsidRDefault="00931D57" w:rsidP="00721FBA">
            <w:pPr>
              <w:pStyle w:val="Box"/>
              <w:spacing w:before="0" w:line="120" w:lineRule="exact"/>
            </w:pPr>
          </w:p>
        </w:tc>
      </w:tr>
      <w:tr w:rsidR="00931D57" w:rsidRPr="000863A5" w14:paraId="3B22FB03" w14:textId="77777777" w:rsidTr="00721FBA">
        <w:tc>
          <w:tcPr>
            <w:tcW w:w="5000" w:type="pct"/>
            <w:tcBorders>
              <w:top w:val="single" w:sz="6" w:space="0" w:color="78A22F"/>
              <w:left w:val="nil"/>
              <w:bottom w:val="nil"/>
              <w:right w:val="nil"/>
            </w:tcBorders>
          </w:tcPr>
          <w:p w14:paraId="4EEB7CE3" w14:textId="32862C9F" w:rsidR="00931D57" w:rsidRPr="00626D32" w:rsidRDefault="00931D57" w:rsidP="00721FBA">
            <w:pPr>
              <w:pStyle w:val="BoxSpaceBelow"/>
            </w:pPr>
          </w:p>
        </w:tc>
      </w:tr>
    </w:tbl>
    <w:p w14:paraId="00EDA319" w14:textId="77777777" w:rsidR="000A5B31" w:rsidRDefault="00926411" w:rsidP="00931D57">
      <w:pPr>
        <w:pStyle w:val="BodyText"/>
      </w:pPr>
      <w:r>
        <w:t xml:space="preserve">Overall, the </w:t>
      </w:r>
      <w:r w:rsidR="005D2C3B">
        <w:t>difficulties</w:t>
      </w:r>
      <w:r w:rsidR="00F74082">
        <w:t xml:space="preserve"> that jurisdictions experienced in reporting </w:t>
      </w:r>
      <w:r w:rsidR="00527B37">
        <w:t xml:space="preserve">data on how mental health and suicide prevention </w:t>
      </w:r>
      <w:r w:rsidR="009C3A60">
        <w:t xml:space="preserve">programs </w:t>
      </w:r>
      <w:r w:rsidR="00527B37">
        <w:t xml:space="preserve">are targeted to particular groups </w:t>
      </w:r>
      <w:r w:rsidR="00F74082">
        <w:t xml:space="preserve">suggest that </w:t>
      </w:r>
      <w:r w:rsidR="005D2C3B">
        <w:t xml:space="preserve">it is a challenge for governments to </w:t>
      </w:r>
      <w:r w:rsidR="00770BE5">
        <w:t xml:space="preserve">identify </w:t>
      </w:r>
      <w:r w:rsidR="003515EF">
        <w:t>the different t</w:t>
      </w:r>
      <w:r w:rsidR="0087285D">
        <w:t xml:space="preserve">ypes of consumers </w:t>
      </w:r>
      <w:r w:rsidR="00CA6B1D">
        <w:t xml:space="preserve">that their services are aimed at. </w:t>
      </w:r>
      <w:r w:rsidR="003A0416">
        <w:t xml:space="preserve">Governments generally </w:t>
      </w:r>
      <w:r w:rsidR="00CD1C5F" w:rsidRPr="00CD1C5F">
        <w:t xml:space="preserve">demonstrated a good awareness </w:t>
      </w:r>
      <w:r w:rsidR="0091108C">
        <w:t xml:space="preserve">of </w:t>
      </w:r>
      <w:r w:rsidR="004F6654">
        <w:t xml:space="preserve">the </w:t>
      </w:r>
      <w:r w:rsidR="00CE762A">
        <w:t xml:space="preserve">types of </w:t>
      </w:r>
      <w:r w:rsidR="004F6654">
        <w:t>programs that are being funded</w:t>
      </w:r>
      <w:r w:rsidR="0091108C">
        <w:t xml:space="preserve"> in this stocktake.</w:t>
      </w:r>
      <w:r w:rsidR="002C45A0">
        <w:t xml:space="preserve"> </w:t>
      </w:r>
      <w:r w:rsidR="0091108C">
        <w:t>H</w:t>
      </w:r>
      <w:r w:rsidR="002C45A0">
        <w:t xml:space="preserve">owever, the limited understanding of </w:t>
      </w:r>
      <w:r w:rsidR="009C40C6">
        <w:t xml:space="preserve">target groups </w:t>
      </w:r>
      <w:r w:rsidR="002F4A8C">
        <w:t xml:space="preserve">(such as by severity of care needs or geography) </w:t>
      </w:r>
      <w:r w:rsidR="00770BE5">
        <w:t xml:space="preserve">appears to be </w:t>
      </w:r>
      <w:r w:rsidR="00ED153B">
        <w:t>a barrier</w:t>
      </w:r>
      <w:r w:rsidR="00C3737B">
        <w:t xml:space="preserve"> to </w:t>
      </w:r>
      <w:r w:rsidR="00597301">
        <w:t>implement</w:t>
      </w:r>
      <w:r w:rsidR="00ED153B">
        <w:t>ing</w:t>
      </w:r>
      <w:r w:rsidR="00C3737B">
        <w:t xml:space="preserve"> consumer</w:t>
      </w:r>
      <w:r w:rsidR="00C3737B">
        <w:noBreakHyphen/>
        <w:t>focused strateg</w:t>
      </w:r>
      <w:r w:rsidR="00524CA9">
        <w:t>ies</w:t>
      </w:r>
      <w:r w:rsidR="00C3737B">
        <w:t xml:space="preserve"> </w:t>
      </w:r>
      <w:r w:rsidR="006A27AD">
        <w:t xml:space="preserve">that </w:t>
      </w:r>
      <w:r w:rsidR="00C3737B">
        <w:t xml:space="preserve">reach </w:t>
      </w:r>
      <w:r w:rsidR="001621B6">
        <w:t xml:space="preserve">segments of the population in </w:t>
      </w:r>
      <w:r w:rsidR="00D45407">
        <w:t>the most suitable</w:t>
      </w:r>
      <w:r w:rsidR="001621B6">
        <w:t xml:space="preserve"> ways.</w:t>
      </w:r>
    </w:p>
    <w:p w14:paraId="70C257BB" w14:textId="22004F44" w:rsidR="00931D57" w:rsidRPr="000A5B31" w:rsidRDefault="00931D57" w:rsidP="000A5B31">
      <w:pPr>
        <w:pStyle w:val="BodyText"/>
      </w:pPr>
      <w:r w:rsidRPr="000A5B31">
        <w:br w:type="page"/>
      </w:r>
    </w:p>
    <w:p w14:paraId="6AAC9C57" w14:textId="77777777" w:rsidR="00931D57" w:rsidRPr="00094979" w:rsidRDefault="00931D57" w:rsidP="00C64F15">
      <w:pPr>
        <w:pStyle w:val="Heading1"/>
      </w:pPr>
      <w:r w:rsidRPr="00094979">
        <w:t>3</w:t>
      </w:r>
      <w:r w:rsidRPr="00094979">
        <w:tab/>
        <w:t xml:space="preserve">Implications for developing the National Agreement </w:t>
      </w:r>
    </w:p>
    <w:p w14:paraId="7AF695BC" w14:textId="470C6610" w:rsidR="00931D57" w:rsidRDefault="00931D57" w:rsidP="00931D57">
      <w:pPr>
        <w:pStyle w:val="BodyText"/>
      </w:pPr>
      <w:r>
        <w:t xml:space="preserve">The </w:t>
      </w:r>
      <w:r w:rsidR="007A4832" w:rsidRPr="0089782E">
        <w:t xml:space="preserve">Productivity </w:t>
      </w:r>
      <w:r>
        <w:t xml:space="preserve">Commission’s 2020 Mental Health inquiry recommended a National Mental Health and Suicide Prevention Agreement should be developed to ‘clarify the roles and responsibilities of the Australian Government and State and Territory Governments and establish funding commitments by both levels of government’ </w:t>
      </w:r>
      <w:r w:rsidRPr="005E5ADA">
        <w:rPr>
          <w:szCs w:val="24"/>
        </w:rPr>
        <w:t>(PC 2020, p. 57)</w:t>
      </w:r>
      <w:r>
        <w:t xml:space="preserve">. Governments have committed to finalising an agreement by November 2021. </w:t>
      </w:r>
    </w:p>
    <w:p w14:paraId="60DB4F39" w14:textId="30AEF58F" w:rsidR="00931D57" w:rsidRDefault="00D8208B" w:rsidP="00931D57">
      <w:pPr>
        <w:pStyle w:val="BodyText"/>
      </w:pPr>
      <w:r>
        <w:t xml:space="preserve">Despite the challenges inherent in </w:t>
      </w:r>
      <w:r w:rsidR="00296041">
        <w:t xml:space="preserve">undertaking </w:t>
      </w:r>
      <w:r>
        <w:t xml:space="preserve">this stocktake, it </w:t>
      </w:r>
      <w:r w:rsidR="00931D57">
        <w:t xml:space="preserve">has provided insights on Australia’s mental health and suicide prevention system that will be useful for informing the </w:t>
      </w:r>
      <w:r w:rsidR="0017627A">
        <w:t xml:space="preserve">National </w:t>
      </w:r>
      <w:r w:rsidR="00C71786">
        <w:t>A</w:t>
      </w:r>
      <w:r w:rsidR="00931D57">
        <w:t>greement. It has demonstrated that both the Australian and State and Territory Governments play significant roles in mental health and suicide prevention funding, and while the two levels of government generally fund different types of programs, the need for coordination remains strong given the importance of integration across the system.</w:t>
      </w:r>
    </w:p>
    <w:p w14:paraId="6A421705" w14:textId="19998B6B" w:rsidR="00B00560" w:rsidRDefault="00931D57" w:rsidP="001C1183">
      <w:pPr>
        <w:pStyle w:val="BodyText"/>
      </w:pPr>
      <w:r>
        <w:t xml:space="preserve">A significant portion of expenditure on mental health and suicide prevention </w:t>
      </w:r>
      <w:r w:rsidR="009812F7">
        <w:t xml:space="preserve">programs </w:t>
      </w:r>
      <w:r>
        <w:t>is allocated to activity</w:t>
      </w:r>
      <w:r>
        <w:noBreakHyphen/>
        <w:t>based or demand</w:t>
      </w:r>
      <w:r>
        <w:noBreakHyphen/>
        <w:t xml:space="preserve">driven health services. </w:t>
      </w:r>
      <w:r w:rsidR="003168DC">
        <w:t xml:space="preserve">Based on stocktake data, the </w:t>
      </w:r>
      <w:r w:rsidR="007A4832" w:rsidRPr="0089782E">
        <w:t xml:space="preserve">Productivity </w:t>
      </w:r>
      <w:r w:rsidR="003168DC">
        <w:t>Commission estimates that i</w:t>
      </w:r>
      <w:r>
        <w:t>n 2019</w:t>
      </w:r>
      <w:r>
        <w:noBreakHyphen/>
        <w:t>20, $</w:t>
      </w:r>
      <w:r w:rsidRPr="00912319">
        <w:t>7.</w:t>
      </w:r>
      <w:r w:rsidR="00E002D8" w:rsidRPr="00912319">
        <w:t>9</w:t>
      </w:r>
      <w:r w:rsidRPr="00912319">
        <w:t xml:space="preserve"> billion </w:t>
      </w:r>
      <w:r>
        <w:t>was spent on hospital beds, emergency and first response services, MBS items for primary mental health care (including the Better Access program), and subsidised mental health-related prescriptions.</w:t>
      </w:r>
      <w:r>
        <w:rPr>
          <w:rStyle w:val="FootnoteReference"/>
        </w:rPr>
        <w:footnoteReference w:id="17"/>
      </w:r>
      <w:r>
        <w:t xml:space="preserve"> This expenditure is effectively incurred (and recurs) automatically as mentally unwell people access care and treatment</w:t>
      </w:r>
      <w:r w:rsidR="00C57006">
        <w:t>, almost entirely in the health system</w:t>
      </w:r>
      <w:r w:rsidR="00CD29F5">
        <w:t xml:space="preserve"> — funding for mental health and suicide prevention programs outside of health portfolios is largely not </w:t>
      </w:r>
      <w:r w:rsidR="00986E5F">
        <w:t>activity based</w:t>
      </w:r>
      <w:r>
        <w:t xml:space="preserve">. </w:t>
      </w:r>
    </w:p>
    <w:p w14:paraId="28AA6385" w14:textId="1AE31FF2" w:rsidR="00042698" w:rsidRDefault="00B069C1" w:rsidP="00931D57">
      <w:pPr>
        <w:pStyle w:val="BodyText"/>
      </w:pPr>
      <w:r>
        <w:t xml:space="preserve">However, the large amount of funding for </w:t>
      </w:r>
      <w:r w:rsidR="00986E5F">
        <w:t>activity</w:t>
      </w:r>
      <w:r w:rsidR="00986E5F">
        <w:noBreakHyphen/>
        <w:t>based</w:t>
      </w:r>
      <w:r>
        <w:t xml:space="preserve"> programs does not necessarily mean that people with mental ill</w:t>
      </w:r>
      <w:r>
        <w:noBreakHyphen/>
        <w:t>health are receiving the services they need.</w:t>
      </w:r>
      <w:r w:rsidR="00B00560">
        <w:t xml:space="preserve"> </w:t>
      </w:r>
      <w:r w:rsidR="00E110FA">
        <w:t>M</w:t>
      </w:r>
      <w:r w:rsidR="005F1349">
        <w:t>any</w:t>
      </w:r>
      <w:r w:rsidR="00B9539F">
        <w:t xml:space="preserve"> </w:t>
      </w:r>
      <w:r w:rsidR="00092C81">
        <w:t>individual</w:t>
      </w:r>
      <w:r w:rsidR="009C7597">
        <w:t xml:space="preserve"> </w:t>
      </w:r>
      <w:r w:rsidR="005F1349">
        <w:t xml:space="preserve">aspects of these programs are </w:t>
      </w:r>
      <w:r w:rsidR="009C7597">
        <w:t>driven by decentralised decision</w:t>
      </w:r>
      <w:r w:rsidR="004E1AB4">
        <w:t xml:space="preserve">s </w:t>
      </w:r>
      <w:r w:rsidR="001A664F">
        <w:t xml:space="preserve">— for example, </w:t>
      </w:r>
      <w:r w:rsidR="00827A01">
        <w:t>practitioners deci</w:t>
      </w:r>
      <w:r w:rsidR="00AD2188">
        <w:t>de</w:t>
      </w:r>
      <w:r w:rsidR="00827A01">
        <w:t xml:space="preserve"> to admit a patient into hospital, </w:t>
      </w:r>
      <w:r w:rsidR="00980584">
        <w:t xml:space="preserve">items on the MBS and Pharmaceutical Benefits Scheme </w:t>
      </w:r>
      <w:r w:rsidR="00945064">
        <w:t>are individually</w:t>
      </w:r>
      <w:r w:rsidR="005E7ECE">
        <w:t xml:space="preserve"> assessed before they are listed, and </w:t>
      </w:r>
      <w:r w:rsidR="000519BC">
        <w:t xml:space="preserve">general practitioners </w:t>
      </w:r>
      <w:r w:rsidR="005366AA">
        <w:t>refer patients to psychologist or psychiatrist services to receive MBS funding.</w:t>
      </w:r>
      <w:r>
        <w:t xml:space="preserve"> </w:t>
      </w:r>
      <w:r w:rsidR="00D25B55">
        <w:t>These ‘bottom</w:t>
      </w:r>
      <w:r w:rsidR="00D25B55">
        <w:noBreakHyphen/>
        <w:t>up’ decisions are</w:t>
      </w:r>
      <w:r w:rsidR="008D7454">
        <w:t xml:space="preserve"> important elements of a consumer</w:t>
      </w:r>
      <w:r w:rsidR="008D7454">
        <w:noBreakHyphen/>
        <w:t>focused approach to mental health care.</w:t>
      </w:r>
      <w:r w:rsidR="00B00560">
        <w:t xml:space="preserve"> </w:t>
      </w:r>
    </w:p>
    <w:p w14:paraId="12E02908" w14:textId="63514EF0" w:rsidR="00C6071B" w:rsidRDefault="00B00560" w:rsidP="00931D57">
      <w:pPr>
        <w:pStyle w:val="BodyText"/>
      </w:pPr>
      <w:r>
        <w:t>But</w:t>
      </w:r>
      <w:r w:rsidR="008D7454">
        <w:t xml:space="preserve"> </w:t>
      </w:r>
      <w:r w:rsidR="00215BE2">
        <w:t xml:space="preserve">decision making can be distorted if there </w:t>
      </w:r>
      <w:r w:rsidR="004C5838">
        <w:t xml:space="preserve">are </w:t>
      </w:r>
      <w:r w:rsidR="001C4185">
        <w:t xml:space="preserve">gaps in the services provided across the mental health and suicide prevention system. </w:t>
      </w:r>
      <w:r w:rsidR="00AD2188">
        <w:t>For example,</w:t>
      </w:r>
      <w:r w:rsidR="00931D57">
        <w:t xml:space="preserve"> the </w:t>
      </w:r>
      <w:r w:rsidR="0078022F" w:rsidRPr="0089782E">
        <w:t xml:space="preserve">Productivity </w:t>
      </w:r>
      <w:r w:rsidR="00931D57">
        <w:t xml:space="preserve">Commission’s 2020 inquiry </w:t>
      </w:r>
      <w:r w:rsidR="00AD2188">
        <w:t xml:space="preserve">highlighted a lack of mental health services </w:t>
      </w:r>
      <w:r w:rsidR="00931D57">
        <w:t xml:space="preserve">with regards to both the ‘low intensity gap’ and the ‘missing middle’ </w:t>
      </w:r>
      <w:r w:rsidR="00931D57" w:rsidRPr="00B0366E">
        <w:t>(box 3.1).</w:t>
      </w:r>
      <w:r w:rsidR="00207384">
        <w:t xml:space="preserve"> </w:t>
      </w:r>
      <w:r w:rsidR="004802F6">
        <w:t xml:space="preserve">Where these gaps exist, </w:t>
      </w:r>
      <w:r w:rsidR="00F37E9B">
        <w:t>activity</w:t>
      </w:r>
      <w:r w:rsidR="00F37E9B">
        <w:noBreakHyphen/>
        <w:t xml:space="preserve">based </w:t>
      </w:r>
      <w:r w:rsidR="007F6631">
        <w:t xml:space="preserve">funding mechanisms </w:t>
      </w:r>
      <w:r w:rsidR="000C11A1">
        <w:t xml:space="preserve">that </w:t>
      </w:r>
      <w:r w:rsidR="00443964">
        <w:t xml:space="preserve">effectively allocate funding in line with apparent demand </w:t>
      </w:r>
      <w:r w:rsidR="00AA1B5F">
        <w:t xml:space="preserve">will </w:t>
      </w:r>
      <w:r w:rsidR="005A7D1E">
        <w:t xml:space="preserve">not </w:t>
      </w:r>
      <w:r w:rsidR="003B6C14">
        <w:t xml:space="preserve">result in </w:t>
      </w:r>
      <w:r w:rsidR="004A1E05">
        <w:t xml:space="preserve">the best </w:t>
      </w:r>
      <w:r w:rsidR="00383495">
        <w:t>cons</w:t>
      </w:r>
      <w:r w:rsidR="00F7240F">
        <w:t xml:space="preserve">umer outcomes or value for money. </w:t>
      </w:r>
      <w:r w:rsidR="00BC2F71">
        <w:t>They can</w:t>
      </w:r>
      <w:r w:rsidR="003D58ED">
        <w:t xml:space="preserve"> lead to imbalances in the services that are funded across the system, </w:t>
      </w:r>
      <w:r w:rsidR="0056392E">
        <w:t xml:space="preserve">and </w:t>
      </w:r>
      <w:r w:rsidR="000C2522">
        <w:t xml:space="preserve">as such, </w:t>
      </w:r>
      <w:r w:rsidR="0056392E">
        <w:t xml:space="preserve">what the system delivers may not necessarily be the </w:t>
      </w:r>
      <w:r w:rsidR="00443964">
        <w:t xml:space="preserve">optimal mix of </w:t>
      </w:r>
      <w:r w:rsidR="0056392E">
        <w:t>services that people need</w:t>
      </w:r>
      <w:r w:rsidR="0006759F">
        <w:t xml:space="preserve">. </w:t>
      </w:r>
      <w:r w:rsidR="001A60C5">
        <w:t>Overall, the significant share of government</w:t>
      </w:r>
      <w:r w:rsidR="006E7FA4">
        <w:t>s’ mental health and suicide prevention</w:t>
      </w:r>
      <w:r w:rsidR="001A60C5">
        <w:t xml:space="preserve"> </w:t>
      </w:r>
      <w:r w:rsidR="00C24496">
        <w:t xml:space="preserve">funding </w:t>
      </w:r>
      <w:r w:rsidR="00FC4229">
        <w:t>allocated to</w:t>
      </w:r>
      <w:r w:rsidR="00C24496">
        <w:t xml:space="preserve"> </w:t>
      </w:r>
      <w:r w:rsidR="002D6DC6">
        <w:t>activity</w:t>
      </w:r>
      <w:r w:rsidR="002D6DC6">
        <w:noBreakHyphen/>
        <w:t xml:space="preserve">based services </w:t>
      </w:r>
      <w:r w:rsidR="00336519">
        <w:t xml:space="preserve">suggests that </w:t>
      </w:r>
      <w:r w:rsidR="001965E5">
        <w:t xml:space="preserve">such imbalances are </w:t>
      </w:r>
      <w:r w:rsidR="001A3A22">
        <w:t>worth further examination</w:t>
      </w:r>
      <w:r w:rsidR="005C2735">
        <w:t xml:space="preserve">, to </w:t>
      </w:r>
      <w:r w:rsidR="00D11561">
        <w:t xml:space="preserve">better understand whether the </w:t>
      </w:r>
      <w:r w:rsidR="00C24496">
        <w:t>expenditure is producing the right mix of services to meet consumers’ needs.</w:t>
      </w:r>
    </w:p>
    <w:p w14:paraId="17E9C78C" w14:textId="606A991D" w:rsidR="00931D57" w:rsidRDefault="00931D57" w:rsidP="00931D5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31D57" w14:paraId="50BE6617" w14:textId="77777777" w:rsidTr="00721FBA">
        <w:trPr>
          <w:tblHeader/>
        </w:trPr>
        <w:tc>
          <w:tcPr>
            <w:tcW w:w="5000" w:type="pct"/>
            <w:tcBorders>
              <w:top w:val="single" w:sz="6" w:space="0" w:color="78A22F" w:themeColor="accent1"/>
              <w:left w:val="nil"/>
              <w:bottom w:val="nil"/>
              <w:right w:val="nil"/>
            </w:tcBorders>
            <w:shd w:val="clear" w:color="auto" w:fill="F2F2F2" w:themeFill="background1" w:themeFillShade="F2"/>
          </w:tcPr>
          <w:p w14:paraId="7E990E16" w14:textId="77777777" w:rsidR="00931D57" w:rsidRDefault="00931D57" w:rsidP="00721FBA">
            <w:pPr>
              <w:pStyle w:val="BoxTitle"/>
            </w:pPr>
            <w:r>
              <w:rPr>
                <w:b w:val="0"/>
              </w:rPr>
              <w:t>Box 3.1</w:t>
            </w:r>
            <w:r>
              <w:tab/>
              <w:t>Low intensity services and the missing middle are key gaps in the mental health system</w:t>
            </w:r>
          </w:p>
        </w:tc>
      </w:tr>
      <w:tr w:rsidR="00931D57" w14:paraId="191EE3AC" w14:textId="77777777" w:rsidTr="00721FBA">
        <w:tc>
          <w:tcPr>
            <w:tcW w:w="5000" w:type="pct"/>
            <w:tcBorders>
              <w:top w:val="nil"/>
              <w:left w:val="nil"/>
              <w:bottom w:val="nil"/>
              <w:right w:val="nil"/>
            </w:tcBorders>
            <w:shd w:val="clear" w:color="auto" w:fill="F2F2F2" w:themeFill="background1" w:themeFillShade="F2"/>
          </w:tcPr>
          <w:p w14:paraId="335F6330" w14:textId="5F76295E" w:rsidR="00931D57" w:rsidRPr="00383C93" w:rsidRDefault="00931D57" w:rsidP="00721FBA">
            <w:pPr>
              <w:pStyle w:val="Box"/>
            </w:pPr>
            <w:r w:rsidRPr="00383C93">
              <w:t xml:space="preserve">The </w:t>
            </w:r>
            <w:r w:rsidR="00EA6A6E" w:rsidRPr="00EA6A6E">
              <w:t xml:space="preserve">Productivity </w:t>
            </w:r>
            <w:r w:rsidRPr="00383C93">
              <w:t xml:space="preserve">Commission specifically identified two key gaps in clinical mental health services in its 2020 Mental Health inquiry </w:t>
            </w:r>
            <w:r>
              <w:t>—</w:t>
            </w:r>
            <w:r w:rsidRPr="00383C93">
              <w:t xml:space="preserve"> the low intensity gap and the missing middle</w:t>
            </w:r>
            <w:r w:rsidR="009362A5">
              <w:t xml:space="preserve"> (figure below)</w:t>
            </w:r>
            <w:r w:rsidRPr="00383C93">
              <w:t>.</w:t>
            </w:r>
          </w:p>
          <w:p w14:paraId="6D6CF250" w14:textId="77777777" w:rsidR="00931D57" w:rsidRPr="00383C93" w:rsidRDefault="00931D57" w:rsidP="00721FBA">
            <w:pPr>
              <w:pStyle w:val="Box"/>
            </w:pPr>
            <w:r w:rsidRPr="00383C93">
              <w:rPr>
                <w:noProof/>
              </w:rPr>
              <w:drawing>
                <wp:inline distT="0" distB="0" distL="0" distR="0" wp14:anchorId="42CD288F" wp14:editId="7C90DF93">
                  <wp:extent cx="5367656" cy="3740785"/>
                  <wp:effectExtent l="0" t="0" r="0" b="0"/>
                  <wp:docPr id="9" name="Picture 9" descr="Box 3.1 This is a diagram showing that too many people are using medication or individual psychological therapy when other services would better meet their needs. There is a low-intensity gap — the need to encourage help-seeking; support self-help; provide more accessible low-intensity treatments; and support for consumers to choose low-intensity services. There is also a missing middle — community ambulatory services, therapy sessions and non-acute bed-bas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ox 3.1 This is a diagram showing that too many people are using medication or individual psychological therapy when other services would better meet their needs. There is a low-intensity gap — the need to encourage help-seeking; support self-help; provide more accessible low-intensity treatments; and support for consumers to choose low-intensity services. There is also a missing middle — community ambulatory services, therapy sessions and non-acute bed-based car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367656" cy="3740785"/>
                          </a:xfrm>
                          <a:prstGeom prst="rect">
                            <a:avLst/>
                          </a:prstGeom>
                        </pic:spPr>
                      </pic:pic>
                    </a:graphicData>
                  </a:graphic>
                </wp:inline>
              </w:drawing>
            </w:r>
          </w:p>
          <w:p w14:paraId="0798EB04" w14:textId="77777777" w:rsidR="00931D57" w:rsidRDefault="00931D57" w:rsidP="00721FBA">
            <w:pPr>
              <w:pStyle w:val="Box"/>
            </w:pPr>
            <w:r w:rsidRPr="00383C93">
              <w:t xml:space="preserve">The low intensity gap is a shortfall in the utilisation of low cost, low risk and easy to access mental health services. This gap affects two groups: </w:t>
            </w:r>
            <w:r>
              <w:t xml:space="preserve">people </w:t>
            </w:r>
            <w:r w:rsidRPr="00383C93">
              <w:t xml:space="preserve">who are not accessing any mental health services but could benefit from services matched to their needs (as they may have a mental </w:t>
            </w:r>
            <w:proofErr w:type="gramStart"/>
            <w:r w:rsidRPr="00383C93">
              <w:t>illness, or</w:t>
            </w:r>
            <w:proofErr w:type="gramEnd"/>
            <w:r w:rsidRPr="00383C93">
              <w:t xml:space="preserve"> be at risk of developing one)</w:t>
            </w:r>
            <w:r>
              <w:t>;</w:t>
            </w:r>
            <w:r w:rsidRPr="00383C93">
              <w:t xml:space="preserve"> and </w:t>
            </w:r>
            <w:r>
              <w:t xml:space="preserve">people </w:t>
            </w:r>
            <w:r w:rsidRPr="00383C93">
              <w:t xml:space="preserve">who are taking mental health medication, or accessing individual psychological therapy, but would be better served by low-intensity options. </w:t>
            </w:r>
          </w:p>
          <w:p w14:paraId="107CA6FD" w14:textId="2B945638" w:rsidR="00931D57" w:rsidRPr="00383C93" w:rsidRDefault="00931D57" w:rsidP="00721FBA">
            <w:pPr>
              <w:pStyle w:val="Box"/>
            </w:pPr>
            <w:r w:rsidRPr="00383C93">
              <w:t xml:space="preserve">The missing middle </w:t>
            </w:r>
            <w:r>
              <w:t xml:space="preserve">captures </w:t>
            </w:r>
            <w:r w:rsidRPr="00383C93">
              <w:t xml:space="preserve">Australians whose illnesses are too complex, too severe or too enduring to be treated by primary care services alone, but who are deemed ‘not sick enough’ to access specialist mental health services, or who access some care but not enough. </w:t>
            </w:r>
            <w:r>
              <w:t xml:space="preserve">It </w:t>
            </w:r>
            <w:r w:rsidRPr="00383C93">
              <w:t>largely reflects a lack of community mental health services</w:t>
            </w:r>
            <w:r>
              <w:t xml:space="preserve"> to meet these individuals’ care needs</w:t>
            </w:r>
            <w:r w:rsidRPr="00383C93">
              <w:t xml:space="preserve">. </w:t>
            </w:r>
          </w:p>
        </w:tc>
      </w:tr>
      <w:tr w:rsidR="00931D57" w14:paraId="126BD9DE" w14:textId="77777777" w:rsidTr="00721FBA">
        <w:tc>
          <w:tcPr>
            <w:tcW w:w="5000" w:type="pct"/>
            <w:tcBorders>
              <w:top w:val="nil"/>
              <w:left w:val="nil"/>
              <w:bottom w:val="nil"/>
              <w:right w:val="nil"/>
            </w:tcBorders>
            <w:shd w:val="clear" w:color="auto" w:fill="F2F2F2" w:themeFill="background1" w:themeFillShade="F2"/>
          </w:tcPr>
          <w:p w14:paraId="5110F3F5" w14:textId="4E7D0CB4" w:rsidR="00931D57" w:rsidRPr="00383C93" w:rsidRDefault="00931D57" w:rsidP="00721FBA">
            <w:pPr>
              <w:pStyle w:val="BoxSource"/>
            </w:pPr>
            <w:r w:rsidRPr="00383C93">
              <w:rPr>
                <w:i/>
                <w:iCs/>
              </w:rPr>
              <w:t>Source</w:t>
            </w:r>
            <w:r w:rsidRPr="00383C93">
              <w:t xml:space="preserve">: PC </w:t>
            </w:r>
            <w:r w:rsidRPr="00383C93">
              <w:rPr>
                <w:rFonts w:cs="Arial"/>
              </w:rPr>
              <w:t>(2020)</w:t>
            </w:r>
            <w:r w:rsidRPr="00383C93">
              <w:t>.</w:t>
            </w:r>
          </w:p>
        </w:tc>
      </w:tr>
      <w:tr w:rsidR="00931D57" w14:paraId="4E70A884" w14:textId="77777777" w:rsidTr="00721FBA">
        <w:tc>
          <w:tcPr>
            <w:tcW w:w="5000" w:type="pct"/>
            <w:tcBorders>
              <w:top w:val="nil"/>
              <w:left w:val="nil"/>
              <w:bottom w:val="single" w:sz="6" w:space="0" w:color="78A22F" w:themeColor="accent1"/>
              <w:right w:val="nil"/>
            </w:tcBorders>
            <w:shd w:val="clear" w:color="auto" w:fill="F2F2F2" w:themeFill="background1" w:themeFillShade="F2"/>
          </w:tcPr>
          <w:p w14:paraId="4E91E7A6" w14:textId="77777777" w:rsidR="00931D57" w:rsidRDefault="00931D57" w:rsidP="00721FBA">
            <w:pPr>
              <w:pStyle w:val="Box"/>
              <w:spacing w:before="0" w:line="120" w:lineRule="exact"/>
            </w:pPr>
          </w:p>
        </w:tc>
      </w:tr>
      <w:tr w:rsidR="00931D57" w:rsidRPr="000863A5" w14:paraId="682E2501" w14:textId="77777777" w:rsidTr="00721FBA">
        <w:tc>
          <w:tcPr>
            <w:tcW w:w="5000" w:type="pct"/>
            <w:tcBorders>
              <w:top w:val="single" w:sz="6" w:space="0" w:color="78A22F" w:themeColor="accent1"/>
              <w:left w:val="nil"/>
              <w:bottom w:val="nil"/>
              <w:right w:val="nil"/>
            </w:tcBorders>
          </w:tcPr>
          <w:p w14:paraId="52FDA84B" w14:textId="7480E711" w:rsidR="00931D57" w:rsidRPr="00626D32" w:rsidRDefault="00931D57" w:rsidP="00721FBA">
            <w:pPr>
              <w:pStyle w:val="BoxSpaceBelow"/>
            </w:pPr>
          </w:p>
        </w:tc>
      </w:tr>
    </w:tbl>
    <w:p w14:paraId="32B94792" w14:textId="414E4646" w:rsidR="00026ED5" w:rsidRDefault="00931D57" w:rsidP="007367D9">
      <w:pPr>
        <w:pStyle w:val="BodyText"/>
      </w:pPr>
      <w:r>
        <w:t xml:space="preserve">In this context, a National Mental Health and Suicide Prevention Agreement provides an opportunity to be more purposeful and strategic in how government funding is allocated across the system. This stocktake has revealed that jurisdictions are not starting from zero when it comes to funding proactive and deliberately directed programs. While expenditures on areas such as prevention and promotion, early intervention and suicide prevention are low as a proportion of total spend, the </w:t>
      </w:r>
      <w:r w:rsidRPr="00CD719D">
        <w:t>types of programs currently being funded by education portfolios</w:t>
      </w:r>
      <w:r>
        <w:t xml:space="preserve"> —</w:t>
      </w:r>
      <w:r w:rsidRPr="00CD719D">
        <w:t xml:space="preserve"> and by justice and police portfolios in some states and territories</w:t>
      </w:r>
      <w:r w:rsidRPr="00CD719D" w:rsidDel="00A57B77">
        <w:t xml:space="preserve"> </w:t>
      </w:r>
      <w:r>
        <w:t xml:space="preserve">— are a solid basis on which future expenditure can build. </w:t>
      </w:r>
    </w:p>
    <w:p w14:paraId="4D4E7672" w14:textId="72EAB348" w:rsidR="007367D9" w:rsidRPr="007367D9" w:rsidRDefault="009A7704" w:rsidP="007367D9">
      <w:pPr>
        <w:pStyle w:val="BodyText"/>
      </w:pPr>
      <w:r>
        <w:t xml:space="preserve">Current programs in the education sector are particularly </w:t>
      </w:r>
      <w:r w:rsidR="000C2104">
        <w:t xml:space="preserve">important to build upon, as the </w:t>
      </w:r>
      <w:r w:rsidR="00EA6A6E" w:rsidRPr="0089782E">
        <w:t xml:space="preserve">Productivity </w:t>
      </w:r>
      <w:r w:rsidR="000C2104">
        <w:t xml:space="preserve">Commission has previously </w:t>
      </w:r>
      <w:r w:rsidR="004E061A">
        <w:t xml:space="preserve">identified </w:t>
      </w:r>
      <w:r w:rsidR="00574840">
        <w:t xml:space="preserve">that </w:t>
      </w:r>
      <w:r w:rsidR="00E16234">
        <w:t>further</w:t>
      </w:r>
      <w:r w:rsidR="004E061A">
        <w:t xml:space="preserve"> </w:t>
      </w:r>
      <w:r w:rsidR="0074099A">
        <w:t>investment in school</w:t>
      </w:r>
      <w:r w:rsidR="0074099A">
        <w:noBreakHyphen/>
        <w:t>age</w:t>
      </w:r>
      <w:r w:rsidR="00560987">
        <w:t xml:space="preserve"> mental health and wellbeing supports </w:t>
      </w:r>
      <w:r w:rsidR="00574840">
        <w:t xml:space="preserve">would lead to </w:t>
      </w:r>
      <w:r w:rsidR="00637503">
        <w:t xml:space="preserve">a </w:t>
      </w:r>
      <w:r w:rsidR="00574840">
        <w:t xml:space="preserve">significant increase in </w:t>
      </w:r>
      <w:proofErr w:type="gramStart"/>
      <w:r w:rsidR="001A61FE">
        <w:t>quality of life</w:t>
      </w:r>
      <w:proofErr w:type="gramEnd"/>
      <w:r w:rsidR="001A61FE">
        <w:t xml:space="preserve"> years</w:t>
      </w:r>
      <w:r w:rsidR="00156E21">
        <w:t>,</w:t>
      </w:r>
      <w:r w:rsidR="001A61FE">
        <w:t xml:space="preserve"> due to </w:t>
      </w:r>
      <w:r w:rsidR="00C325C2">
        <w:t>the resulting</w:t>
      </w:r>
      <w:r w:rsidR="001A61FE">
        <w:t xml:space="preserve"> reduction in the duration and severity of mental illness</w:t>
      </w:r>
      <w:r w:rsidR="00235B42">
        <w:t xml:space="preserve"> (figure</w:t>
      </w:r>
      <w:r w:rsidR="00026ED5">
        <w:t> </w:t>
      </w:r>
      <w:r w:rsidR="00235B42">
        <w:t>3.1)</w:t>
      </w:r>
      <w:r w:rsidR="001A61FE">
        <w:t>.</w:t>
      </w:r>
      <w:r w:rsidR="000E381A">
        <w:t xml:space="preserve"> The Commission’s 2020 inquiry </w:t>
      </w:r>
      <w:r w:rsidR="003167A1">
        <w:t>als</w:t>
      </w:r>
      <w:r w:rsidR="00711CB5">
        <w:t xml:space="preserve">o highlighted the potential value in a range of other </w:t>
      </w:r>
      <w:r w:rsidR="008C3BE0">
        <w:t>government</w:t>
      </w:r>
      <w:r w:rsidR="008C3BE0">
        <w:noBreakHyphen/>
        <w:t xml:space="preserve">funded services </w:t>
      </w:r>
      <w:r w:rsidR="007579AC">
        <w:t>that would assist in</w:t>
      </w:r>
      <w:r w:rsidR="00907A84">
        <w:t xml:space="preserve"> meeting consumers’ needs in the</w:t>
      </w:r>
      <w:r w:rsidR="007579AC">
        <w:t xml:space="preserve"> </w:t>
      </w:r>
      <w:r w:rsidR="007579AC" w:rsidRPr="007579AC">
        <w:t>‘low intensity gap’ and the ‘missing middle’</w:t>
      </w:r>
      <w:r w:rsidR="004566F7">
        <w:t xml:space="preserve">, but that </w:t>
      </w:r>
      <w:r w:rsidR="00E4464A">
        <w:t xml:space="preserve">would require more conscious investment decisions at a system level </w:t>
      </w:r>
      <w:r w:rsidR="001957EB">
        <w:t>(as compared with the demand</w:t>
      </w:r>
      <w:r w:rsidR="001957EB">
        <w:noBreakHyphen/>
        <w:t xml:space="preserve">driven </w:t>
      </w:r>
      <w:r w:rsidR="00225546">
        <w:t xml:space="preserve">services discussed above). These include </w:t>
      </w:r>
      <w:r w:rsidR="00322125">
        <w:t xml:space="preserve">suicide prevention initiatives, </w:t>
      </w:r>
      <w:r w:rsidR="00EF7B02">
        <w:t>supported online treatments</w:t>
      </w:r>
      <w:r w:rsidR="00952404">
        <w:t xml:space="preserve"> and community</w:t>
      </w:r>
      <w:r w:rsidR="00952404">
        <w:noBreakHyphen/>
        <w:t>based ambulatory services (figure 3.1).</w:t>
      </w:r>
    </w:p>
    <w:p w14:paraId="4D23A196" w14:textId="585BF787" w:rsidR="00D247C9" w:rsidRDefault="00931D57" w:rsidP="00931D57">
      <w:pPr>
        <w:pStyle w:val="BodyText"/>
      </w:pPr>
      <w:r>
        <w:t xml:space="preserve">The development of a National Agreement also provides an opportunity to clarify the roles and responsibilities of </w:t>
      </w:r>
      <w:r w:rsidRPr="00DB165D">
        <w:rPr>
          <w:i/>
        </w:rPr>
        <w:t>all</w:t>
      </w:r>
      <w:r>
        <w:t xml:space="preserve"> areas of government — both health and non-health portfolios. This will be critical in enabling a holistic and integrated approach to managing mental </w:t>
      </w:r>
      <w:proofErr w:type="gramStart"/>
      <w:r>
        <w:t>ill-health, and</w:t>
      </w:r>
      <w:proofErr w:type="gramEnd"/>
      <w:r>
        <w:t xml:space="preserve"> improving mental health and suicide prevention outcomes. Indeed, this stocktake has revealed that many portfolios that should — and often do — have a role in supporting mental health do not always regard themselves as part of the system</w:t>
      </w:r>
      <w:r w:rsidR="00310ED6">
        <w:t>, and</w:t>
      </w:r>
      <w:r w:rsidR="007C6F5F">
        <w:t>/or</w:t>
      </w:r>
      <w:r w:rsidR="00310ED6">
        <w:t xml:space="preserve"> </w:t>
      </w:r>
      <w:r w:rsidR="00350CA5">
        <w:t xml:space="preserve">do not have a good understanding of </w:t>
      </w:r>
      <w:r w:rsidR="00CA0698">
        <w:t>the</w:t>
      </w:r>
      <w:r w:rsidR="007F74B3">
        <w:t>ir consumers’</w:t>
      </w:r>
      <w:r w:rsidR="00CA0698">
        <w:t xml:space="preserve"> needs.</w:t>
      </w:r>
      <w:r>
        <w:t xml:space="preserve"> This was </w:t>
      </w:r>
      <w:r w:rsidR="00EA4D4E">
        <w:t>indicated</w:t>
      </w:r>
      <w:r>
        <w:t xml:space="preserve"> by a dearth of data on</w:t>
      </w:r>
      <w:r w:rsidR="00D247C9">
        <w:t>:</w:t>
      </w:r>
    </w:p>
    <w:p w14:paraId="6AFAE4CF" w14:textId="449A8ABE" w:rsidR="00D247C9" w:rsidRDefault="00632458" w:rsidP="005156A4">
      <w:pPr>
        <w:pStyle w:val="ListBullet"/>
      </w:pPr>
      <w:r>
        <w:t xml:space="preserve">mental-health related </w:t>
      </w:r>
      <w:r w:rsidR="00797128">
        <w:t xml:space="preserve">expenditure </w:t>
      </w:r>
      <w:r w:rsidR="00FD57F1">
        <w:t>in</w:t>
      </w:r>
      <w:r>
        <w:t xml:space="preserve"> </w:t>
      </w:r>
      <w:r w:rsidR="00570B0A">
        <w:t xml:space="preserve">areas such as </w:t>
      </w:r>
      <w:r>
        <w:t xml:space="preserve">housing, justice and community services (chapter </w:t>
      </w:r>
      <w:r w:rsidR="00847735">
        <w:t>1</w:t>
      </w:r>
      <w:r>
        <w:t>)</w:t>
      </w:r>
      <w:r w:rsidR="0097106A">
        <w:t xml:space="preserve"> — despite estimates from the Productivity Commission’s</w:t>
      </w:r>
      <w:r w:rsidR="001878D7">
        <w:t xml:space="preserve"> 2020</w:t>
      </w:r>
      <w:r w:rsidR="0097106A">
        <w:t xml:space="preserve"> </w:t>
      </w:r>
      <w:r w:rsidR="00E34C65">
        <w:t>M</w:t>
      </w:r>
      <w:r w:rsidR="0097106A">
        <w:t xml:space="preserve">ental </w:t>
      </w:r>
      <w:r w:rsidR="00E34C65">
        <w:t>H</w:t>
      </w:r>
      <w:r w:rsidR="0097106A">
        <w:t xml:space="preserve">ealth inquiry </w:t>
      </w:r>
      <w:r w:rsidR="0058343C">
        <w:t>suggesting</w:t>
      </w:r>
      <w:r w:rsidR="0097106A">
        <w:t xml:space="preserve"> that governments spend significant amount</w:t>
      </w:r>
      <w:r w:rsidR="00227D4E">
        <w:t>s</w:t>
      </w:r>
      <w:r w:rsidR="0097106A">
        <w:t xml:space="preserve"> in these areas (box 1.</w:t>
      </w:r>
      <w:r w:rsidR="00F625E4">
        <w:t>2</w:t>
      </w:r>
      <w:r w:rsidR="0097106A">
        <w:t xml:space="preserve">) </w:t>
      </w:r>
    </w:p>
    <w:p w14:paraId="3628D9ED" w14:textId="4BE1227F" w:rsidR="00BD2177" w:rsidRDefault="00931D57" w:rsidP="00BD2177">
      <w:pPr>
        <w:pStyle w:val="ListBullet"/>
      </w:pPr>
      <w:r>
        <w:t xml:space="preserve">the targeted beneficiaries </w:t>
      </w:r>
      <w:r w:rsidR="00B26674">
        <w:t xml:space="preserve">or consumers </w:t>
      </w:r>
      <w:r>
        <w:t xml:space="preserve">(in terms of severity of condition, location and so on) of programs </w:t>
      </w:r>
      <w:r w:rsidR="00CB59D1">
        <w:t xml:space="preserve">that </w:t>
      </w:r>
      <w:r>
        <w:t>focus on mental health or suicide prevention</w:t>
      </w:r>
      <w:r w:rsidR="00CB59D1">
        <w:t xml:space="preserve"> (chapter 2)</w:t>
      </w:r>
      <w:r>
        <w:t>.</w:t>
      </w:r>
    </w:p>
    <w:p w14:paraId="1F0CC0EB" w14:textId="3BB28235" w:rsidR="000E6617" w:rsidRDefault="00B60B13" w:rsidP="00BD2177">
      <w:pPr>
        <w:pStyle w:val="BodyText"/>
      </w:pPr>
      <w:r>
        <w:t>I</w:t>
      </w:r>
      <w:r w:rsidR="003A52A7">
        <w:t xml:space="preserve">n </w:t>
      </w:r>
      <w:r>
        <w:t>some ways,</w:t>
      </w:r>
      <w:r w:rsidR="003A52A7">
        <w:t xml:space="preserve"> this stocktake</w:t>
      </w:r>
      <w:r w:rsidR="008D5C54">
        <w:t xml:space="preserve"> </w:t>
      </w:r>
      <w:r w:rsidR="00C46DCB">
        <w:t xml:space="preserve">— which </w:t>
      </w:r>
      <w:r w:rsidR="00DC2D85">
        <w:t>finds</w:t>
      </w:r>
      <w:r w:rsidR="00C46DCB">
        <w:t xml:space="preserve"> that the </w:t>
      </w:r>
      <w:r w:rsidR="00DC2D85">
        <w:t>large bulk of reported</w:t>
      </w:r>
      <w:r w:rsidR="0058343C">
        <w:t xml:space="preserve"> program</w:t>
      </w:r>
      <w:r w:rsidR="00DC2D85">
        <w:t xml:space="preserve"> expenditure stems from health </w:t>
      </w:r>
      <w:r w:rsidR="00311F79">
        <w:t>portfolios</w:t>
      </w:r>
      <w:r w:rsidR="00DC2D85">
        <w:t xml:space="preserve"> — </w:t>
      </w:r>
      <w:r w:rsidR="00102941">
        <w:t xml:space="preserve">highlights the risk of an overly </w:t>
      </w:r>
      <w:r w:rsidR="008D5C54">
        <w:t>health-centric approach</w:t>
      </w:r>
      <w:r w:rsidR="003C0A72">
        <w:t>, which</w:t>
      </w:r>
      <w:r w:rsidR="008D5C54">
        <w:t xml:space="preserve"> </w:t>
      </w:r>
      <w:r w:rsidR="00722044">
        <w:t>governments</w:t>
      </w:r>
      <w:r w:rsidR="008D5C54">
        <w:t xml:space="preserve"> have </w:t>
      </w:r>
      <w:r w:rsidR="00722044">
        <w:t>traditionally</w:t>
      </w:r>
      <w:r w:rsidR="008D5C54">
        <w:t xml:space="preserve"> </w:t>
      </w:r>
      <w:r w:rsidR="001949AC">
        <w:t xml:space="preserve">taken to </w:t>
      </w:r>
      <w:r w:rsidR="00ED6FB1">
        <w:t xml:space="preserve">improving </w:t>
      </w:r>
      <w:r w:rsidR="00722044">
        <w:t>mental health and suicide prevention</w:t>
      </w:r>
      <w:r w:rsidR="00ED6FB1">
        <w:t xml:space="preserve"> outcomes</w:t>
      </w:r>
      <w:r w:rsidR="00722044">
        <w:t>.</w:t>
      </w:r>
      <w:r w:rsidR="00F205B5">
        <w:t xml:space="preserve"> </w:t>
      </w:r>
      <w:r w:rsidR="003C0A72">
        <w:t>S</w:t>
      </w:r>
      <w:r w:rsidR="000E6617">
        <w:t xml:space="preserve">ystem </w:t>
      </w:r>
      <w:r w:rsidR="001878D7">
        <w:t xml:space="preserve">improvement </w:t>
      </w:r>
      <w:r w:rsidR="000E6617">
        <w:t xml:space="preserve">will require broad commitment and reform across </w:t>
      </w:r>
      <w:r w:rsidR="000E6617" w:rsidRPr="0073197A">
        <w:rPr>
          <w:i/>
        </w:rPr>
        <w:t>all</w:t>
      </w:r>
      <w:r w:rsidR="000E6617">
        <w:t xml:space="preserve"> areas of government</w:t>
      </w:r>
      <w:r w:rsidR="00F924CE">
        <w:t>, not just health</w:t>
      </w:r>
      <w:r w:rsidR="000E6617">
        <w:t xml:space="preserve">. </w:t>
      </w:r>
    </w:p>
    <w:p w14:paraId="583D3555" w14:textId="1E8A86D1" w:rsidR="00FD7C2F" w:rsidRDefault="00FD7C2F" w:rsidP="00BD2177">
      <w:pPr>
        <w:pStyle w:val="BodyText"/>
      </w:pPr>
    </w:p>
    <w:p w14:paraId="346B33D3" w14:textId="102D68D8" w:rsidR="006713E0" w:rsidRDefault="006713E0" w:rsidP="008B4B1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713E0" w14:paraId="37AB16B9" w14:textId="77777777" w:rsidTr="008B4B1F">
        <w:trPr>
          <w:tblHeader/>
        </w:trPr>
        <w:tc>
          <w:tcPr>
            <w:tcW w:w="5000" w:type="pct"/>
            <w:tcBorders>
              <w:top w:val="single" w:sz="6" w:space="0" w:color="78A22F"/>
              <w:left w:val="nil"/>
              <w:bottom w:val="nil"/>
              <w:right w:val="nil"/>
            </w:tcBorders>
            <w:shd w:val="clear" w:color="auto" w:fill="auto"/>
          </w:tcPr>
          <w:p w14:paraId="0FAFF754" w14:textId="49D7B9AB" w:rsidR="006713E0" w:rsidRDefault="006713E0" w:rsidP="008B4B1F">
            <w:pPr>
              <w:pStyle w:val="FigureTitle"/>
            </w:pPr>
            <w:r w:rsidRPr="00784A05">
              <w:rPr>
                <w:b w:val="0"/>
              </w:rPr>
              <w:t>Figure</w:t>
            </w:r>
            <w:r>
              <w:rPr>
                <w:b w:val="0"/>
              </w:rPr>
              <w:t xml:space="preserve"> 3.1</w:t>
            </w:r>
            <w:r>
              <w:tab/>
            </w:r>
            <w:r w:rsidR="001D2AEB">
              <w:t>Investing in s</w:t>
            </w:r>
            <w:r w:rsidR="00235B42">
              <w:t>chool-age supports</w:t>
            </w:r>
            <w:r w:rsidR="001D2AEB">
              <w:t xml:space="preserve"> can lead to large gains</w:t>
            </w:r>
          </w:p>
          <w:p w14:paraId="6CB0048A" w14:textId="0941352E" w:rsidR="006713E0" w:rsidRPr="00176D3F" w:rsidRDefault="0053032E" w:rsidP="008B4B1F">
            <w:pPr>
              <w:pStyle w:val="Subtitle"/>
            </w:pPr>
            <w:r>
              <w:t>Recommended reform</w:t>
            </w:r>
            <w:r w:rsidR="00871D26">
              <w:t>s</w:t>
            </w:r>
            <w:r>
              <w:t xml:space="preserve"> from the</w:t>
            </w:r>
            <w:r w:rsidR="00FA6457">
              <w:t xml:space="preserve"> </w:t>
            </w:r>
            <w:r w:rsidR="00FA6457" w:rsidRPr="00FA6457">
              <w:t>Productivity</w:t>
            </w:r>
            <w:r>
              <w:t xml:space="preserve"> Commission’s 2020 inquiry</w:t>
            </w:r>
            <w:proofErr w:type="spellStart"/>
            <w:r w:rsidRPr="004E6332">
              <w:rPr>
                <w:rStyle w:val="NoteLabel"/>
                <w:position w:val="8"/>
              </w:rPr>
              <w:t>a,b</w:t>
            </w:r>
            <w:proofErr w:type="spellEnd"/>
          </w:p>
        </w:tc>
      </w:tr>
      <w:tr w:rsidR="006713E0" w14:paraId="70398AC9" w14:textId="77777777" w:rsidTr="008B4B1F">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6713E0" w:rsidRPr="00B1465D" w14:paraId="6B13E358" w14:textId="77777777" w:rsidTr="008B4B1F">
              <w:trPr>
                <w:tblHeader/>
                <w:jc w:val="center"/>
              </w:trPr>
              <w:tc>
                <w:tcPr>
                  <w:tcW w:w="5000" w:type="pct"/>
                  <w:tcBorders>
                    <w:top w:val="nil"/>
                    <w:bottom w:val="nil"/>
                  </w:tcBorders>
                </w:tcPr>
                <w:p w14:paraId="399382F6" w14:textId="5FEE8C37" w:rsidR="006713E0" w:rsidRPr="00B1465D" w:rsidRDefault="00AD410A" w:rsidP="008B4B1F">
                  <w:pPr>
                    <w:pStyle w:val="Figure"/>
                    <w:spacing w:before="60" w:after="60"/>
                    <w:rPr>
                      <w:rFonts w:ascii="Arial" w:hAnsi="Arial" w:cs="Arial"/>
                      <w:sz w:val="18"/>
                      <w:szCs w:val="18"/>
                    </w:rPr>
                  </w:pPr>
                  <w:r w:rsidRPr="00AA119A">
                    <w:rPr>
                      <w:noProof/>
                    </w:rPr>
                    <w:drawing>
                      <wp:inline distT="0" distB="0" distL="0" distR="0" wp14:anchorId="5D85FCE2" wp14:editId="390CDB44">
                        <wp:extent cx="5384800" cy="5367655"/>
                        <wp:effectExtent l="0" t="0" r="0" b="4445"/>
                        <wp:docPr id="12" name="Picture 12" descr="Figure 3.1 This is a diagram showing the cost effectiveness of a range of reform areas from the Commission’s 2020 inquiry. It shows the net benefits or costs of various reform areas and the likely additional quality of life years arising from them. Of all the reforms shown, school-age support had the greatest benefit in terms of increased quality of life years. Reforms with net financial benefits included: suicide prevention, group therapy, telehealth, workplace reforms, stigma reduction, perinatal health and supported online treatment. The most cost-effective reforms with financial costs included: pre-school support, community ambulatory and school-age support. Less cost effective reforms included: young adults, psychosocial support, bed-based service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3.1 This is a diagram showing the cost effectiveness of a range of reform areas from the Commission’s 2020 inquiry. It shows the net benefits or costs of various reform areas and the likely additional quality of life years arising from them. Of all the reforms shown, school-age support had the greatest benefit in terms of increased quality of life years. Reforms with net financial benefits included: suicide prevention, group therapy, telehealth, workplace reforms, stigma reduction, perinatal health and supported online treatment. The most cost-effective reforms with financial costs included: pre-school support, community ambulatory and school-age support. Less cost effective reforms included: young adults, psychosocial support, bed-based services and housi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84800" cy="5367655"/>
                                </a:xfrm>
                                <a:prstGeom prst="rect">
                                  <a:avLst/>
                                </a:prstGeom>
                                <a:noFill/>
                                <a:ln>
                                  <a:noFill/>
                                </a:ln>
                              </pic:spPr>
                            </pic:pic>
                          </a:graphicData>
                        </a:graphic>
                      </wp:inline>
                    </w:drawing>
                  </w:r>
                </w:p>
              </w:tc>
            </w:tr>
          </w:tbl>
          <w:p w14:paraId="750587D9" w14:textId="77777777" w:rsidR="006713E0" w:rsidRDefault="006713E0" w:rsidP="008B4B1F">
            <w:pPr>
              <w:pStyle w:val="Figure"/>
            </w:pPr>
          </w:p>
        </w:tc>
      </w:tr>
      <w:tr w:rsidR="006713E0" w:rsidRPr="00176D3F" w14:paraId="6ED63489" w14:textId="77777777" w:rsidTr="008B4B1F">
        <w:tc>
          <w:tcPr>
            <w:tcW w:w="5000" w:type="pct"/>
            <w:tcBorders>
              <w:top w:val="nil"/>
              <w:left w:val="nil"/>
              <w:bottom w:val="nil"/>
              <w:right w:val="nil"/>
            </w:tcBorders>
            <w:shd w:val="clear" w:color="auto" w:fill="auto"/>
          </w:tcPr>
          <w:p w14:paraId="6A8E4411" w14:textId="1DE2ED95" w:rsidR="006713E0" w:rsidRPr="00176D3F" w:rsidRDefault="00673683" w:rsidP="008B4B1F">
            <w:pPr>
              <w:pStyle w:val="Note"/>
            </w:pPr>
            <w:r>
              <w:rPr>
                <w:rStyle w:val="NoteLabel"/>
                <w:szCs w:val="18"/>
              </w:rPr>
              <w:t>a</w:t>
            </w:r>
            <w:r w:rsidRPr="009D1380">
              <w:t xml:space="preserve"> </w:t>
            </w:r>
            <w:r>
              <w:t xml:space="preserve">Chart shows only those reforms that were able to be quantified. Dotted orbits represent uncertainty in estimates for each reform, showing the range of simulated estimates between the </w:t>
            </w:r>
            <w:r w:rsidRPr="00B10F18">
              <w:t xml:space="preserve">5th and 95th percentiles </w:t>
            </w:r>
            <w:r>
              <w:t>for</w:t>
            </w:r>
            <w:r w:rsidRPr="00B10F18">
              <w:t xml:space="preserve"> changes in costs and </w:t>
            </w:r>
            <w:r>
              <w:t>quality-adjusted life years (</w:t>
            </w:r>
            <w:r w:rsidRPr="00B10F18">
              <w:t>QALY</w:t>
            </w:r>
            <w:r>
              <w:t xml:space="preserve">s). </w:t>
            </w:r>
            <w:r w:rsidRPr="009D1380">
              <w:rPr>
                <w:rStyle w:val="NoteLabel"/>
              </w:rPr>
              <w:t>b</w:t>
            </w:r>
            <w:r>
              <w:t xml:space="preserve"> Shaded areas show thresholds of cost effectiveness — darker shading indicates lower cost effectiveness (appendix I). Reforms that sit above zero are cost saving. Reforms that sit below zero and outside the shaded areas cost less than $33 000 per QALY gained. Reforms that sit in the lightest shaded area cost $33 000–$64 000 per QALY gained. Reforms that sit in the medium shaded area cost $64 000–$96 000 per QALY gained and are considered marginally cost effective. Reforms that sit in the darkest shaded area cost more than $96 000 per QALY gained and are considered not cost effective. </w:t>
            </w:r>
            <w:r w:rsidRPr="009D1380">
              <w:rPr>
                <w:rStyle w:val="NoteLabel"/>
              </w:rPr>
              <w:t>c</w:t>
            </w:r>
            <w:r>
              <w:t xml:space="preserve"> ‘Net benefit’ is the estimated cost savings and additional employment income generated by the reform that exceeds the estimated cost of implementing the reform (every dollar spent will generate a benefit of more than one dollar). </w:t>
            </w:r>
            <w:r w:rsidRPr="009D1380">
              <w:rPr>
                <w:rStyle w:val="NoteLabel"/>
              </w:rPr>
              <w:t>d</w:t>
            </w:r>
            <w:r>
              <w:t xml:space="preserve"> ‘Net cost’ means the estimated cost of implementing the reform is larger than the estimated cost savings and additional employment income generated by the reform (every dollar spent will generate a benefit of less than one dollar). </w:t>
            </w:r>
            <w:r w:rsidRPr="009D1380">
              <w:rPr>
                <w:rStyle w:val="NoteLabel"/>
              </w:rPr>
              <w:t>e</w:t>
            </w:r>
            <w:r>
              <w:t xml:space="preserve"> QALYs measure the improvement in health experienced by reductions in the duration and severity of illness.</w:t>
            </w:r>
          </w:p>
        </w:tc>
      </w:tr>
      <w:tr w:rsidR="006713E0" w:rsidRPr="00176D3F" w14:paraId="677E5B4F" w14:textId="77777777" w:rsidTr="008B4B1F">
        <w:tc>
          <w:tcPr>
            <w:tcW w:w="5000" w:type="pct"/>
            <w:tcBorders>
              <w:top w:val="nil"/>
              <w:left w:val="nil"/>
              <w:bottom w:val="nil"/>
              <w:right w:val="nil"/>
            </w:tcBorders>
            <w:shd w:val="clear" w:color="auto" w:fill="auto"/>
          </w:tcPr>
          <w:p w14:paraId="2AAA6F58" w14:textId="702F044B" w:rsidR="006713E0" w:rsidRPr="00176D3F" w:rsidRDefault="006713E0" w:rsidP="008B4B1F">
            <w:pPr>
              <w:pStyle w:val="Source"/>
            </w:pPr>
            <w:r w:rsidRPr="00784A05">
              <w:rPr>
                <w:i/>
              </w:rPr>
              <w:t>Data source</w:t>
            </w:r>
            <w:r w:rsidRPr="00176D3F">
              <w:t xml:space="preserve">: </w:t>
            </w:r>
            <w:r w:rsidR="00672C84" w:rsidRPr="00383C93">
              <w:t xml:space="preserve">PC </w:t>
            </w:r>
            <w:r w:rsidR="00530620" w:rsidRPr="00530620">
              <w:rPr>
                <w:rFonts w:cs="Arial"/>
              </w:rPr>
              <w:t>(2020)</w:t>
            </w:r>
            <w:r w:rsidR="00672C84">
              <w:t>.</w:t>
            </w:r>
          </w:p>
        </w:tc>
      </w:tr>
      <w:tr w:rsidR="006713E0" w14:paraId="0E80F897" w14:textId="77777777" w:rsidTr="008B4B1F">
        <w:tc>
          <w:tcPr>
            <w:tcW w:w="5000" w:type="pct"/>
            <w:tcBorders>
              <w:top w:val="nil"/>
              <w:left w:val="nil"/>
              <w:bottom w:val="single" w:sz="6" w:space="0" w:color="78A22F"/>
              <w:right w:val="nil"/>
            </w:tcBorders>
            <w:shd w:val="clear" w:color="auto" w:fill="auto"/>
          </w:tcPr>
          <w:p w14:paraId="7581C574" w14:textId="77777777" w:rsidR="006713E0" w:rsidRDefault="006713E0" w:rsidP="008B4B1F">
            <w:pPr>
              <w:pStyle w:val="Figurespace"/>
            </w:pPr>
          </w:p>
        </w:tc>
      </w:tr>
      <w:tr w:rsidR="006713E0" w:rsidRPr="000863A5" w14:paraId="5AA7692F" w14:textId="77777777" w:rsidTr="008B4B1F">
        <w:tc>
          <w:tcPr>
            <w:tcW w:w="5000" w:type="pct"/>
            <w:tcBorders>
              <w:top w:val="single" w:sz="6" w:space="0" w:color="78A22F"/>
              <w:left w:val="nil"/>
              <w:bottom w:val="nil"/>
              <w:right w:val="nil"/>
            </w:tcBorders>
          </w:tcPr>
          <w:p w14:paraId="04CD7FAB" w14:textId="391BEF13" w:rsidR="006713E0" w:rsidRPr="00626D32" w:rsidRDefault="006713E0" w:rsidP="008B4B1F">
            <w:pPr>
              <w:pStyle w:val="BoxSpaceBelow"/>
            </w:pPr>
          </w:p>
        </w:tc>
      </w:tr>
    </w:tbl>
    <w:p w14:paraId="0F76477D" w14:textId="77777777" w:rsidR="00952404" w:rsidRDefault="00952404" w:rsidP="00E94010">
      <w:pPr>
        <w:pStyle w:val="BodyText"/>
      </w:pPr>
      <w:bookmarkStart w:id="7" w:name="_Toc36203017"/>
      <w:r>
        <w:t xml:space="preserve">The National Agreement also represents a chance </w:t>
      </w:r>
      <w:r w:rsidRPr="00FD7C2F">
        <w:t xml:space="preserve">for governments to </w:t>
      </w:r>
      <w:proofErr w:type="gramStart"/>
      <w:r w:rsidRPr="00FD7C2F">
        <w:t>more actively</w:t>
      </w:r>
      <w:r>
        <w:t xml:space="preserve"> and explicitly </w:t>
      </w:r>
      <w:r w:rsidRPr="00FD7C2F">
        <w:t>identify the mental health and suicide prevention outcomes</w:t>
      </w:r>
      <w:proofErr w:type="gramEnd"/>
      <w:r w:rsidRPr="00FD7C2F">
        <w:t xml:space="preserve"> being sought </w:t>
      </w:r>
      <w:r>
        <w:t>via their expenditures</w:t>
      </w:r>
      <w:r w:rsidRPr="00FD7C2F">
        <w:t xml:space="preserve">, and design programs with the </w:t>
      </w:r>
      <w:r>
        <w:t xml:space="preserve">characteristics and </w:t>
      </w:r>
      <w:r w:rsidRPr="00FD7C2F">
        <w:t xml:space="preserve">needs of </w:t>
      </w:r>
      <w:r>
        <w:t>consumers</w:t>
      </w:r>
      <w:r w:rsidRPr="00FD7C2F">
        <w:t xml:space="preserve"> </w:t>
      </w:r>
      <w:r>
        <w:t>front of</w:t>
      </w:r>
      <w:r w:rsidRPr="00FD7C2F">
        <w:t xml:space="preserve"> mind.</w:t>
      </w:r>
      <w:r>
        <w:t xml:space="preserve"> This does not necessarily mean devising more programs explicitly badged as being ‘about mental health’, or re-branding existing programs with this focus. Rather, it is about harnessing all areas of government to work towards a shared aim of improving mental health and suicide prevention outcomes. </w:t>
      </w:r>
    </w:p>
    <w:p w14:paraId="55B36D35" w14:textId="69D79B86" w:rsidR="001E1C33" w:rsidRDefault="00E94010" w:rsidP="00E94010">
      <w:pPr>
        <w:pStyle w:val="BodyText"/>
      </w:pPr>
      <w:r>
        <w:t>This stocktake has uncovered a range of programs and types of services funded by different jurisdictions</w:t>
      </w:r>
      <w:r w:rsidR="001E1C33">
        <w:t>, which highlights the importance of several other desirable features of a National Mental Health and Suicide Prevention Agreement, including that it:</w:t>
      </w:r>
    </w:p>
    <w:p w14:paraId="62E84EC8" w14:textId="77777777" w:rsidR="00B4181B" w:rsidRDefault="00B4181B" w:rsidP="005F610A">
      <w:pPr>
        <w:pStyle w:val="ListBullet"/>
      </w:pPr>
      <w:r>
        <w:t xml:space="preserve">provides some impetus for jurisdictions to learn from each other on what (and how) programs could be funded in different areas </w:t>
      </w:r>
    </w:p>
    <w:p w14:paraId="05233AEE" w14:textId="4C0AAF82" w:rsidR="00B4181B" w:rsidRDefault="00B4181B" w:rsidP="005F610A">
      <w:pPr>
        <w:pStyle w:val="ListBullet"/>
      </w:pPr>
      <w:r>
        <w:t xml:space="preserve">embeds a greater commitment to program evaluation into the mental health </w:t>
      </w:r>
      <w:r w:rsidR="00573DC3">
        <w:t xml:space="preserve">and suicide prevention </w:t>
      </w:r>
      <w:r>
        <w:t>system (chapter 4)</w:t>
      </w:r>
    </w:p>
    <w:p w14:paraId="339881FF" w14:textId="05EDCE28" w:rsidR="00B4181B" w:rsidRDefault="00B4181B" w:rsidP="005F610A">
      <w:pPr>
        <w:pStyle w:val="ListBullet"/>
      </w:pPr>
      <w:r>
        <w:t>is sufficiently flexible to accommodate the diversity of needs across different jurisdictions, and allow</w:t>
      </w:r>
      <w:r w:rsidR="007D4C90">
        <w:t>s</w:t>
      </w:r>
      <w:r>
        <w:t xml:space="preserve"> for localised agreements and decision making within the national arrangements</w:t>
      </w:r>
    </w:p>
    <w:p w14:paraId="1E054847" w14:textId="7CBFDCB0" w:rsidR="001E1C33" w:rsidRDefault="00B4181B" w:rsidP="005F610A">
      <w:pPr>
        <w:pStyle w:val="ListBullet"/>
      </w:pPr>
      <w:r>
        <w:t>pursues further opportunities to refine data gathering efforts and share information (chapter 4).</w:t>
      </w:r>
    </w:p>
    <w:p w14:paraId="1CDBC1B8" w14:textId="77777777" w:rsidR="00E94010" w:rsidRPr="000A5B31" w:rsidRDefault="00E94010" w:rsidP="000A5B31">
      <w:pPr>
        <w:pStyle w:val="BodyText"/>
      </w:pPr>
      <w:r w:rsidRPr="000A5B31">
        <w:br w:type="page"/>
      </w:r>
    </w:p>
    <w:p w14:paraId="5A97CB5D" w14:textId="77777777" w:rsidR="00931D57" w:rsidRDefault="00931D57" w:rsidP="00931D57">
      <w:pPr>
        <w:pStyle w:val="Heading1"/>
        <w:spacing w:before="0" w:after="1080"/>
      </w:pPr>
      <w:r>
        <w:t>4</w:t>
      </w:r>
      <w:r>
        <w:tab/>
      </w:r>
      <w:bookmarkEnd w:id="7"/>
      <w:r>
        <w:t>Future opportunities</w:t>
      </w:r>
    </w:p>
    <w:p w14:paraId="0C618BD9" w14:textId="523FCFA6" w:rsidR="00931D57" w:rsidRDefault="00931D57" w:rsidP="00931D57">
      <w:pPr>
        <w:pStyle w:val="BodyText"/>
      </w:pPr>
      <w:r>
        <w:t xml:space="preserve">In undertaking this stocktake, the </w:t>
      </w:r>
      <w:r w:rsidR="00EA6A6E" w:rsidRPr="0089782E">
        <w:t xml:space="preserve">Productivity </w:t>
      </w:r>
      <w:r>
        <w:t xml:space="preserve">Commission encountered information gaps that limited its ability to </w:t>
      </w:r>
      <w:r w:rsidRPr="00D319EC">
        <w:t xml:space="preserve">compile a </w:t>
      </w:r>
      <w:r>
        <w:t xml:space="preserve">complete </w:t>
      </w:r>
      <w:r w:rsidRPr="00D319EC">
        <w:t xml:space="preserve">and consistent dataset </w:t>
      </w:r>
      <w:r>
        <w:t>(chapter 1).</w:t>
      </w:r>
      <w:r w:rsidRPr="00D319EC">
        <w:t xml:space="preserve"> </w:t>
      </w:r>
      <w:r>
        <w:t xml:space="preserve">Furthermore, even if the stocktake data had been more comprehensive, there is a limit to the usefulness of expenditure information alone for targeting and implementing future reforms to Australia’s mental health and suicide prevention system. </w:t>
      </w:r>
      <w:r w:rsidRPr="00D319EC">
        <w:t xml:space="preserve">This </w:t>
      </w:r>
      <w:r>
        <w:t>chapter</w:t>
      </w:r>
      <w:r w:rsidRPr="00D319EC">
        <w:t xml:space="preserve"> </w:t>
      </w:r>
      <w:r>
        <w:t>outlines some opportunities for further data collection and research that have been illuminated by the stocktake.</w:t>
      </w:r>
      <w:r w:rsidR="00362D0C">
        <w:t xml:space="preserve"> These future opportunities </w:t>
      </w:r>
      <w:r w:rsidR="00FB3F44">
        <w:t xml:space="preserve">can be pursued as part of the </w:t>
      </w:r>
      <w:r w:rsidR="00601B59">
        <w:t>National Mental Health and Suicide Prevention Agreement</w:t>
      </w:r>
      <w:r w:rsidR="00386865">
        <w:t xml:space="preserve">, and </w:t>
      </w:r>
      <w:r w:rsidR="00601B59">
        <w:t xml:space="preserve">do not necessarily need to take place </w:t>
      </w:r>
      <w:r w:rsidR="00353A23">
        <w:t>prior to its development</w:t>
      </w:r>
      <w:r w:rsidR="00386865">
        <w:t>.</w:t>
      </w:r>
    </w:p>
    <w:p w14:paraId="153ECE3D" w14:textId="77777777" w:rsidR="00931D57" w:rsidRDefault="00931D57" w:rsidP="00931D57">
      <w:pPr>
        <w:pStyle w:val="Heading2"/>
        <w:ind w:left="0" w:firstLine="0"/>
      </w:pPr>
      <w:r>
        <w:t>Improving the quality of program data</w:t>
      </w:r>
    </w:p>
    <w:p w14:paraId="257ABBCD" w14:textId="77777777" w:rsidR="00931D57" w:rsidRDefault="00931D57" w:rsidP="00931D57">
      <w:pPr>
        <w:pStyle w:val="BodyText"/>
      </w:pPr>
      <w:r>
        <w:t xml:space="preserve">Comprehensive data on governments’ expenditures on mental health and suicide prevention programs — across </w:t>
      </w:r>
      <w:r w:rsidRPr="009408A5">
        <w:rPr>
          <w:i/>
          <w:iCs/>
        </w:rPr>
        <w:t>all</w:t>
      </w:r>
      <w:r>
        <w:t xml:space="preserve"> levels of government, portfolios and target groups — are required to inform and coordinate future reform efforts. For this stocktake, some jurisdictions experienced challenges in providing information on relevant expenditure, including:</w:t>
      </w:r>
    </w:p>
    <w:p w14:paraId="70835F71" w14:textId="77777777" w:rsidR="00931D57" w:rsidRDefault="00931D57" w:rsidP="00931D57">
      <w:pPr>
        <w:pStyle w:val="ListBullet"/>
      </w:pPr>
      <w:r>
        <w:t>limited ability to identify and/or estimate funding for mental health and suicide prevention programs, particularly outside the health portfolio</w:t>
      </w:r>
    </w:p>
    <w:p w14:paraId="7AF16630" w14:textId="7766732F" w:rsidR="00931D57" w:rsidRPr="000A5B31" w:rsidRDefault="00931D57" w:rsidP="00931D57">
      <w:pPr>
        <w:pStyle w:val="ListBullet2"/>
        <w:rPr>
          <w:spacing w:val="-4"/>
        </w:rPr>
      </w:pPr>
      <w:r w:rsidRPr="000A5B31">
        <w:rPr>
          <w:spacing w:val="-4"/>
        </w:rPr>
        <w:t xml:space="preserve">for example, an inability to provide expenditure on mental health-related training for police or corrections services, or to estimate the portion of overall funding for </w:t>
      </w:r>
      <w:r w:rsidR="0016103A" w:rsidRPr="000A5B31">
        <w:rPr>
          <w:spacing w:val="-4"/>
        </w:rPr>
        <w:t xml:space="preserve">some programs </w:t>
      </w:r>
      <w:r w:rsidRPr="000A5B31">
        <w:rPr>
          <w:spacing w:val="-4"/>
        </w:rPr>
        <w:t xml:space="preserve">(such as school nurses or general supports) that was </w:t>
      </w:r>
      <w:r w:rsidR="0016103A" w:rsidRPr="000A5B31">
        <w:rPr>
          <w:spacing w:val="-4"/>
        </w:rPr>
        <w:t xml:space="preserve">dedicated to </w:t>
      </w:r>
      <w:r w:rsidRPr="000A5B31">
        <w:rPr>
          <w:spacing w:val="-4"/>
        </w:rPr>
        <w:t>mental health</w:t>
      </w:r>
    </w:p>
    <w:p w14:paraId="19EA2E42" w14:textId="77777777" w:rsidR="00931D57" w:rsidRDefault="00931D57" w:rsidP="00931D57">
      <w:pPr>
        <w:pStyle w:val="ListBullet"/>
      </w:pPr>
      <w:r>
        <w:t>difficulty reporting details of identified expenditures, including limitations on the extent to which aggregated funding could be meaningfully split into separate programs</w:t>
      </w:r>
    </w:p>
    <w:p w14:paraId="47FD6654" w14:textId="77777777" w:rsidR="00931D57" w:rsidRDefault="00931D57" w:rsidP="00931D57">
      <w:pPr>
        <w:pStyle w:val="ListBullet2"/>
      </w:pPr>
      <w:r>
        <w:t>for example, reporting combined spend on hospital- and community-based specialist mental health services, or grants provided to organisations that deliver programs across multiple service categories.</w:t>
      </w:r>
    </w:p>
    <w:p w14:paraId="5F4B81E0" w14:textId="49D68638" w:rsidR="00931D57" w:rsidRDefault="00931D57" w:rsidP="00931D57">
      <w:pPr>
        <w:pStyle w:val="BodyText"/>
      </w:pPr>
      <w:r>
        <w:t xml:space="preserve">More granular information is needed </w:t>
      </w:r>
      <w:r w:rsidR="00867F1D">
        <w:t xml:space="preserve">for a detailed </w:t>
      </w:r>
      <w:r>
        <w:t>understand</w:t>
      </w:r>
      <w:r w:rsidR="00867F1D">
        <w:t>ing of</w:t>
      </w:r>
      <w:r>
        <w:t xml:space="preserve"> where governments’ current funding efforts are concentrated</w:t>
      </w:r>
      <w:r w:rsidR="00867F1D" w:rsidRPr="00867F1D">
        <w:t xml:space="preserve"> </w:t>
      </w:r>
      <w:r w:rsidR="00867F1D">
        <w:t>in the mental health and suicide prevention system</w:t>
      </w:r>
      <w:r>
        <w:t>, and to be able to deliberately target programs and services towards addressing individual and community needs. In addition, a holistic and integrated approach to improving mental health and suicide prevention outcomes requires visibility over these data across the system, including from portfolios that may not currently regard themselves as playing a role in supporting mental health (chapter 3).</w:t>
      </w:r>
    </w:p>
    <w:p w14:paraId="6EC254A6" w14:textId="30CF904D" w:rsidR="00931D57" w:rsidRDefault="00931D57" w:rsidP="00931D57">
      <w:pPr>
        <w:pStyle w:val="BodyText"/>
      </w:pPr>
      <w:r>
        <w:t xml:space="preserve">The </w:t>
      </w:r>
      <w:r w:rsidR="00EA6A6E" w:rsidRPr="0089782E">
        <w:t xml:space="preserve">Productivity </w:t>
      </w:r>
      <w:r>
        <w:t xml:space="preserve">Commission notes that jurisdictions varied in their ability to identify and report relevant programs and services. For example, some jurisdictions were able to </w:t>
      </w:r>
      <w:r w:rsidR="00BF577D">
        <w:t xml:space="preserve">separately identify community-based specialist services (from hospital-based services), or to </w:t>
      </w:r>
      <w:r>
        <w:t xml:space="preserve">apportion the mental health component of broader programs using other available </w:t>
      </w:r>
      <w:r w:rsidRPr="002B19FC">
        <w:t>data</w:t>
      </w:r>
      <w:r w:rsidR="00BF577D">
        <w:t xml:space="preserve"> (</w:t>
      </w:r>
      <w:r>
        <w:t>such as</w:t>
      </w:r>
      <w:r w:rsidRPr="002B19FC">
        <w:t xml:space="preserve"> the number of service users with mental ill</w:t>
      </w:r>
      <w:r w:rsidR="00732719">
        <w:t>ness</w:t>
      </w:r>
      <w:r w:rsidR="00BF577D">
        <w:t>)</w:t>
      </w:r>
      <w:r w:rsidRPr="002B19FC">
        <w:t xml:space="preserve">. </w:t>
      </w:r>
      <w:r>
        <w:t xml:space="preserve">This suggests that jurisdictions could learn from each other regarding how to improve their monitoring and reporting of government expenditure on mental health and suicide prevention, in order to better understand </w:t>
      </w:r>
      <w:r w:rsidRPr="00D75C41">
        <w:t>the funding landscape</w:t>
      </w:r>
      <w:r>
        <w:t xml:space="preserve"> across all sectors. </w:t>
      </w:r>
    </w:p>
    <w:p w14:paraId="3036622F" w14:textId="77777777" w:rsidR="00931D57" w:rsidRDefault="00931D57" w:rsidP="00931D57">
      <w:pPr>
        <w:pStyle w:val="Heading2nosectionno"/>
      </w:pPr>
      <w:r>
        <w:t>Assessing what works in improving mental health outcomes</w:t>
      </w:r>
    </w:p>
    <w:p w14:paraId="316184E9" w14:textId="77777777" w:rsidR="00931D57" w:rsidRDefault="00931D57" w:rsidP="00931D57">
      <w:pPr>
        <w:pStyle w:val="BodyText"/>
      </w:pPr>
      <w:r>
        <w:t>Evaluations are an important part of the policymaking process. They help policymakers understand whether funding has improved outcomes and met community needs, as well as identify lessons about whether and why particular elements were successful. However, the stocktake revealed that only a small proportion of mental health and suicide prevention programs had been evaluated — less than 10 per cent of reported program expenditures in most jurisdictions. A key contributing factor was that many programs that had significant allocated funding had not been evaluated, both in and outside the health portfolio. Smaller programs were more likely to have undergone evaluation — however, evaluation completion rates for even these programs were patchy across jurisdictions and agencies.</w:t>
      </w:r>
    </w:p>
    <w:p w14:paraId="05349E56" w14:textId="3FC43B84" w:rsidR="00931D57" w:rsidRDefault="00931D57" w:rsidP="00931D57">
      <w:pPr>
        <w:pStyle w:val="BodyText"/>
      </w:pPr>
      <w:r>
        <w:t>Given the critical role evaluations play in improving the design and implementation of government-funded programs, mental health and suicide prevention programs should be evaluated more regularly. This is particularly the case for programs and services that represent a relatively large share of expenditure, as these have the potential to significantly impact outcomes (or to represent poor value for money if ineffective).</w:t>
      </w:r>
    </w:p>
    <w:p w14:paraId="4EAB0BDA" w14:textId="77777777" w:rsidR="00931D57" w:rsidRDefault="00931D57" w:rsidP="00931D57">
      <w:pPr>
        <w:pStyle w:val="Heading2nosectionno"/>
      </w:pPr>
      <w:r>
        <w:t>Bringing together a full picture of the system</w:t>
      </w:r>
    </w:p>
    <w:p w14:paraId="12F29665" w14:textId="77777777" w:rsidR="00931D57" w:rsidRDefault="00931D57" w:rsidP="00931D57">
      <w:pPr>
        <w:pStyle w:val="BodyText"/>
      </w:pPr>
      <w:r>
        <w:t>There are various opportunities for jurisdictions to undertake further research that would complement the findings of this stocktake, by gathering and analysing data that were unable to be captured here given time and scope constraints. For instance:</w:t>
      </w:r>
    </w:p>
    <w:p w14:paraId="7F805F41" w14:textId="77777777" w:rsidR="00931D57" w:rsidRDefault="00931D57" w:rsidP="00931D57">
      <w:pPr>
        <w:pStyle w:val="ListBullet"/>
      </w:pPr>
      <w:r>
        <w:t>A range of other stakeholders outside of governments also fund mental health and suicide prevention programs. These include local governments, non-government organisations such as charities or community groups, and private sources of funding (including payments by individual consumers). Compiling expenditure data from these other sources would provide a more complete picture of the funding landscape.</w:t>
      </w:r>
    </w:p>
    <w:p w14:paraId="7AD33426" w14:textId="662C088C" w:rsidR="00931D57" w:rsidRDefault="00931D57" w:rsidP="00931D57">
      <w:pPr>
        <w:pStyle w:val="ListBullet"/>
      </w:pPr>
      <w:r>
        <w:t>Examining what is commissioned and delivered ‘on the ground’ using government funding would enable a better understanding of whether community needs are being met. This could include, for example, investigating the services that are commissioned with the Australian Government funding provided to PHNs, and understanding who receives grants from State and Territory Governments and what services they deliver with this funding.</w:t>
      </w:r>
      <w:r w:rsidR="008B5224">
        <w:t xml:space="preserve"> This would</w:t>
      </w:r>
      <w:r w:rsidR="008E0AF1">
        <w:t xml:space="preserve"> </w:t>
      </w:r>
      <w:r w:rsidR="00513722">
        <w:t xml:space="preserve">enable more </w:t>
      </w:r>
      <w:r w:rsidR="008B5224">
        <w:t xml:space="preserve">detailed insights on </w:t>
      </w:r>
      <w:r w:rsidR="008E0AF1">
        <w:t>what community-based mental health services are delivered</w:t>
      </w:r>
      <w:r w:rsidR="00F2495F">
        <w:t xml:space="preserve"> with funding provided by governments</w:t>
      </w:r>
      <w:r w:rsidR="001809E0">
        <w:t>, and where.</w:t>
      </w:r>
    </w:p>
    <w:p w14:paraId="1384999B" w14:textId="4ECB39E6" w:rsidR="00931D57" w:rsidRDefault="00931D57" w:rsidP="00931D57">
      <w:pPr>
        <w:pStyle w:val="ListBullet"/>
      </w:pPr>
      <w:r>
        <w:t xml:space="preserve">Identifying gaps in the mental health and suicide prevention system requires measuring service demand at a local level. This is necessary to determine whether the services being funded and delivered align with the needs of particular communities and target groups. Estimating demand and service shortfalls was also recommended in the </w:t>
      </w:r>
      <w:r w:rsidR="00EA6A6E" w:rsidRPr="0089782E">
        <w:t xml:space="preserve">Productivity </w:t>
      </w:r>
      <w:r>
        <w:t xml:space="preserve">Commission’s 2020 inquiry, in areas such as community ambulatory services, bed-based mental health services and psychosocial supports </w:t>
      </w:r>
      <w:r w:rsidRPr="009F62C1">
        <w:rPr>
          <w:szCs w:val="24"/>
        </w:rPr>
        <w:t>(PC 2020, pp. 71–72, 76)</w:t>
      </w:r>
      <w:r>
        <w:t>.</w:t>
      </w:r>
    </w:p>
    <w:p w14:paraId="61059644" w14:textId="559FEEC6" w:rsidR="00931D57" w:rsidRDefault="00EA6A6E" w:rsidP="00931D57">
      <w:pPr>
        <w:pStyle w:val="BodyText"/>
      </w:pPr>
      <w:r>
        <w:t>This</w:t>
      </w:r>
      <w:r w:rsidR="00931D57">
        <w:t xml:space="preserve"> stocktake of government-funded mental health and suicide prevention programs represents </w:t>
      </w:r>
      <w:r w:rsidR="00574BFD">
        <w:t xml:space="preserve">an important </w:t>
      </w:r>
      <w:r w:rsidR="00931D57">
        <w:t xml:space="preserve">piece of </w:t>
      </w:r>
      <w:r w:rsidR="00574BFD">
        <w:t xml:space="preserve">a larger </w:t>
      </w:r>
      <w:r w:rsidR="00931D57">
        <w:t xml:space="preserve">puzzle in </w:t>
      </w:r>
      <w:r w:rsidR="00702EFE">
        <w:t>developing a</w:t>
      </w:r>
      <w:r w:rsidR="00931D57">
        <w:t xml:space="preserve"> collective understanding of the system. </w:t>
      </w:r>
      <w:r w:rsidR="00D66AB4">
        <w:t>A National Mental Health and Suicide Prevention Agreement could entrench f</w:t>
      </w:r>
      <w:r w:rsidR="00931D57">
        <w:t>urther data collection and research that complements this stocktake and builds on its findings</w:t>
      </w:r>
      <w:r w:rsidR="009032F4">
        <w:t>. This</w:t>
      </w:r>
      <w:r w:rsidR="00931D57">
        <w:t xml:space="preserve"> will assist in </w:t>
      </w:r>
      <w:r w:rsidR="00DD7FD4">
        <w:t xml:space="preserve">promoting continuous improvement in </w:t>
      </w:r>
      <w:r w:rsidR="005B7DF8">
        <w:t>develop</w:t>
      </w:r>
      <w:r w:rsidR="00DD7FD4">
        <w:t>ing</w:t>
      </w:r>
      <w:r w:rsidR="005B7DF8">
        <w:t xml:space="preserve">, </w:t>
      </w:r>
      <w:r w:rsidR="00931D57">
        <w:t>target</w:t>
      </w:r>
      <w:r w:rsidR="00DD7FD4">
        <w:t>ing</w:t>
      </w:r>
      <w:r w:rsidR="00931D57">
        <w:t xml:space="preserve"> and implement</w:t>
      </w:r>
      <w:r w:rsidR="00DD7FD4">
        <w:t>ing</w:t>
      </w:r>
      <w:r w:rsidR="00931D57">
        <w:t xml:space="preserve"> future reforms.</w:t>
      </w:r>
    </w:p>
    <w:p w14:paraId="70E91014" w14:textId="77777777" w:rsidR="00FD6FF9" w:rsidRPr="000A5B31" w:rsidRDefault="00FD6FF9" w:rsidP="000A5B31">
      <w:pPr>
        <w:pStyle w:val="BodyText"/>
      </w:pPr>
      <w:r w:rsidRPr="000A5B31">
        <w:br w:type="page"/>
      </w:r>
    </w:p>
    <w:p w14:paraId="600DC59F" w14:textId="003AF581" w:rsidR="00DE416F" w:rsidRDefault="00530620" w:rsidP="00530620">
      <w:pPr>
        <w:pStyle w:val="Heading1nochapterno"/>
      </w:pPr>
      <w:r>
        <w:t>References</w:t>
      </w:r>
    </w:p>
    <w:p w14:paraId="35717556" w14:textId="2B2D6B09" w:rsidR="00986D69" w:rsidRPr="00986D69" w:rsidRDefault="00986D69" w:rsidP="00C1061B">
      <w:pPr>
        <w:pStyle w:val="Reference"/>
      </w:pPr>
      <w:r w:rsidRPr="00986D69">
        <w:t xml:space="preserve">AIHW (Australian Institute of Health and Welfare) 2021a, </w:t>
      </w:r>
      <w:r w:rsidRPr="00986D69">
        <w:rPr>
          <w:i/>
          <w:iCs/>
        </w:rPr>
        <w:t>Mental Health Services in Australia: Expenditure on mental health services</w:t>
      </w:r>
      <w:r w:rsidRPr="00986D69">
        <w:t>, Canberra.</w:t>
      </w:r>
    </w:p>
    <w:p w14:paraId="5CAF45A6" w14:textId="77777777" w:rsidR="00986D69" w:rsidRPr="00C1061B" w:rsidRDefault="00986D69" w:rsidP="00C1061B">
      <w:pPr>
        <w:pStyle w:val="Reference"/>
        <w:rPr>
          <w:spacing w:val="-4"/>
        </w:rPr>
      </w:pPr>
      <w:r w:rsidRPr="00C1061B">
        <w:rPr>
          <w:spacing w:val="-4"/>
        </w:rPr>
        <w:t xml:space="preserve">—— (Australian Institute of Health and Welfare) 2021b, </w:t>
      </w:r>
      <w:r w:rsidRPr="00C1061B">
        <w:rPr>
          <w:i/>
          <w:iCs/>
          <w:spacing w:val="-4"/>
        </w:rPr>
        <w:t>Mental Health Services in Australia: General Practice</w:t>
      </w:r>
      <w:r w:rsidRPr="00C1061B">
        <w:rPr>
          <w:spacing w:val="-4"/>
        </w:rPr>
        <w:t>, https://www.aihw.gov.au/reports/mental-health-services/mental-health-services-in-australia/report-contents/general-practice (accessed 22 April 2021).</w:t>
      </w:r>
    </w:p>
    <w:p w14:paraId="4B0FD03D" w14:textId="77777777" w:rsidR="00986D69" w:rsidRPr="00986D69" w:rsidRDefault="00986D69" w:rsidP="00C1061B">
      <w:pPr>
        <w:pStyle w:val="Reference"/>
      </w:pPr>
      <w:r w:rsidRPr="00986D69">
        <w:t xml:space="preserve">Cook, L. 2019, </w:t>
      </w:r>
      <w:r w:rsidRPr="00986D69">
        <w:rPr>
          <w:i/>
          <w:iCs/>
        </w:rPr>
        <w:t>Mental Health in Australia: A Quick Guide</w:t>
      </w:r>
      <w:r w:rsidRPr="00986D69">
        <w:t>, Research Paper Series, 2018-19, Parliament of Australia, Canberra.</w:t>
      </w:r>
    </w:p>
    <w:p w14:paraId="38B49352" w14:textId="77777777" w:rsidR="00986D69" w:rsidRPr="00986D69" w:rsidRDefault="00986D69" w:rsidP="00C1061B">
      <w:pPr>
        <w:pStyle w:val="Reference"/>
      </w:pPr>
      <w:r w:rsidRPr="00986D69">
        <w:t xml:space="preserve">DoH (Department of Health) 2019, </w:t>
      </w:r>
      <w:r w:rsidRPr="00986D69">
        <w:rPr>
          <w:i/>
          <w:iCs/>
        </w:rPr>
        <w:t>PHN Primary Mental Health Care Flexible Funding Pool Programme Guidance</w:t>
      </w:r>
      <w:r w:rsidRPr="00986D69">
        <w:t>, Canberra.</w:t>
      </w:r>
    </w:p>
    <w:p w14:paraId="02847E7E" w14:textId="125684DC" w:rsidR="00986D69" w:rsidRPr="00986D69" w:rsidRDefault="00986D69" w:rsidP="00C1061B">
      <w:pPr>
        <w:pStyle w:val="Reference"/>
      </w:pPr>
      <w:r w:rsidRPr="00986D69">
        <w:t>——</w:t>
      </w:r>
      <w:r w:rsidR="002238DE">
        <w:t> </w:t>
      </w:r>
      <w:r w:rsidRPr="00986D69">
        <w:t xml:space="preserve">2021, </w:t>
      </w:r>
      <w:r w:rsidRPr="00986D69">
        <w:rPr>
          <w:i/>
          <w:iCs/>
        </w:rPr>
        <w:t>National Suicide Prevention Adviser Final Advice</w:t>
      </w:r>
      <w:r w:rsidRPr="00986D69">
        <w:t>, April, Canberra.</w:t>
      </w:r>
    </w:p>
    <w:p w14:paraId="2FF5691D" w14:textId="77777777" w:rsidR="00986D69" w:rsidRPr="00986D69" w:rsidRDefault="00986D69" w:rsidP="00C1061B">
      <w:pPr>
        <w:pStyle w:val="Reference"/>
      </w:pPr>
      <w:r w:rsidRPr="00986D69">
        <w:t xml:space="preserve">Health Direct 2021, </w:t>
      </w:r>
      <w:r w:rsidRPr="00986D69">
        <w:rPr>
          <w:i/>
          <w:iCs/>
        </w:rPr>
        <w:t>Primary Health Networks</w:t>
      </w:r>
      <w:r w:rsidRPr="00986D69">
        <w:t>, https://www.healthdirect.gov.au/primary-health-networks-phns (accessed 17 April 2021).</w:t>
      </w:r>
    </w:p>
    <w:p w14:paraId="74CE3FFF" w14:textId="77777777" w:rsidR="00986D69" w:rsidRPr="00986D69" w:rsidRDefault="00986D69" w:rsidP="00C1061B">
      <w:pPr>
        <w:pStyle w:val="Reference"/>
      </w:pPr>
      <w:r w:rsidRPr="00986D69">
        <w:t xml:space="preserve">PC (Productivity Commission) 2020, </w:t>
      </w:r>
      <w:r w:rsidRPr="00986D69">
        <w:rPr>
          <w:i/>
          <w:iCs/>
        </w:rPr>
        <w:t>Mental Health</w:t>
      </w:r>
      <w:r w:rsidRPr="00986D69">
        <w:t>, Report no. 95, Canberra.</w:t>
      </w:r>
    </w:p>
    <w:p w14:paraId="277A0EE7" w14:textId="77777777" w:rsidR="00986D69" w:rsidRPr="00986D69" w:rsidRDefault="00986D69" w:rsidP="00C1061B">
      <w:pPr>
        <w:pStyle w:val="Reference"/>
      </w:pPr>
      <w:r w:rsidRPr="00986D69">
        <w:t xml:space="preserve">State of Victoria 2019, </w:t>
      </w:r>
      <w:r w:rsidRPr="00986D69">
        <w:rPr>
          <w:i/>
          <w:iCs/>
        </w:rPr>
        <w:t>Royal Commission into Victoria’s Mental Health System: Interim Report</w:t>
      </w:r>
      <w:r w:rsidRPr="00986D69">
        <w:t>, Parliamentary Paper, 87, Melbourne.</w:t>
      </w:r>
    </w:p>
    <w:p w14:paraId="109A71BD" w14:textId="77777777" w:rsidR="00986D69" w:rsidRPr="00986D69" w:rsidRDefault="00986D69" w:rsidP="00C1061B">
      <w:pPr>
        <w:pStyle w:val="Reference"/>
      </w:pPr>
      <w:r w:rsidRPr="00986D69">
        <w:t xml:space="preserve">—— 2021, </w:t>
      </w:r>
      <w:r w:rsidRPr="00986D69">
        <w:rPr>
          <w:i/>
          <w:iCs/>
        </w:rPr>
        <w:t>Royal Commission into Victoria’s Mental Health System: Final Report, Summary and Recommendations</w:t>
      </w:r>
      <w:r w:rsidRPr="00986D69">
        <w:t>, Parliamentary Paper, 202, Melbourne.</w:t>
      </w:r>
    </w:p>
    <w:p w14:paraId="100A0D85" w14:textId="77777777" w:rsidR="00986D69" w:rsidRPr="00986D69" w:rsidRDefault="00986D69" w:rsidP="00C1061B">
      <w:pPr>
        <w:pStyle w:val="Reference"/>
      </w:pPr>
      <w:r w:rsidRPr="00986D69">
        <w:t xml:space="preserve">UQ (The University of Queensland) 2019, </w:t>
      </w:r>
      <w:r w:rsidRPr="00986D69">
        <w:rPr>
          <w:i/>
          <w:iCs/>
        </w:rPr>
        <w:t>Introduction to the National Mental Health Service Planning Framework</w:t>
      </w:r>
      <w:r w:rsidRPr="00986D69">
        <w:t>, Brisbane.</w:t>
      </w:r>
    </w:p>
    <w:p w14:paraId="011F2D2F" w14:textId="6C404C66" w:rsidR="001723C6" w:rsidRPr="005E2075" w:rsidRDefault="00986D69" w:rsidP="00C1061B">
      <w:pPr>
        <w:pStyle w:val="Reference"/>
      </w:pPr>
      <w:r w:rsidRPr="00986D69">
        <w:t xml:space="preserve">Vic DHHS (Victorian Department of Health and Human Services) 2021, </w:t>
      </w:r>
      <w:r w:rsidRPr="00986D69">
        <w:rPr>
          <w:i/>
          <w:iCs/>
        </w:rPr>
        <w:t>CMI/ODS</w:t>
      </w:r>
      <w:r w:rsidRPr="00986D69">
        <w:t>, https://www2.health.vic.gov.au:443/mental-health/research-and-reporting/reporting-requirements-for-clinical-mental-health-services/cmi-ods (accessed 16 April 2021).</w:t>
      </w:r>
    </w:p>
    <w:sectPr w:rsidR="001723C6" w:rsidRPr="005E2075" w:rsidSect="005E2075">
      <w:headerReference w:type="even" r:id="rId31"/>
      <w:headerReference w:type="default" r:id="rId32"/>
      <w:footerReference w:type="even" r:id="rId33"/>
      <w:footerReference w:type="default" r:id="rId34"/>
      <w:pgSz w:w="11907" w:h="16840" w:code="9"/>
      <w:pgMar w:top="1985" w:right="1304" w:bottom="1247" w:left="1814" w:header="1701" w:footer="397" w:gutter="0"/>
      <w:pgNumType w:start="1" w:chapStyle="1" w:chapSep="period"/>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EFBA9" w14:textId="77777777" w:rsidR="00094979" w:rsidRDefault="00094979">
      <w:r>
        <w:separator/>
      </w:r>
    </w:p>
  </w:endnote>
  <w:endnote w:type="continuationSeparator" w:id="0">
    <w:p w14:paraId="779A3BAC" w14:textId="77777777" w:rsidR="00094979" w:rsidRDefault="00094979">
      <w:r>
        <w:continuationSeparator/>
      </w:r>
    </w:p>
  </w:endnote>
  <w:endnote w:type="continuationNotice" w:id="1">
    <w:p w14:paraId="033D1ECA" w14:textId="77777777" w:rsidR="00094979" w:rsidRDefault="0009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94979" w14:paraId="524B3BDA" w14:textId="77777777" w:rsidTr="005F48ED">
      <w:trPr>
        <w:trHeight w:hRule="exact" w:val="567"/>
      </w:trPr>
      <w:tc>
        <w:tcPr>
          <w:tcW w:w="510" w:type="dxa"/>
        </w:tcPr>
        <w:p w14:paraId="1F39E1A3" w14:textId="77777777" w:rsidR="00094979" w:rsidRPr="00A24443" w:rsidRDefault="0009497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35D48">
            <w:rPr>
              <w:rStyle w:val="PageNumber"/>
              <w:caps w:val="0"/>
              <w:noProof/>
            </w:rPr>
            <w:t>30</w:t>
          </w:r>
          <w:r w:rsidRPr="00A24443">
            <w:rPr>
              <w:rStyle w:val="PageNumber"/>
              <w:caps w:val="0"/>
            </w:rPr>
            <w:fldChar w:fldCharType="end"/>
          </w:r>
        </w:p>
      </w:tc>
      <w:tc>
        <w:tcPr>
          <w:tcW w:w="7767" w:type="dxa"/>
        </w:tcPr>
        <w:p w14:paraId="0A91E749" w14:textId="702833D8" w:rsidR="00094979" w:rsidRPr="0013739A" w:rsidRDefault="00D35D48" w:rsidP="00BA62C5">
          <w:pPr>
            <w:pStyle w:val="Footer"/>
            <w:rPr>
              <w:rFonts w:cs="Arial"/>
            </w:rPr>
          </w:pPr>
          <w:r>
            <w:rPr>
              <w:rFonts w:cs="Arial"/>
            </w:rPr>
            <w:t>MENTAL HEALTH AND SUICIDE PREVENTION STOCKTAKE</w:t>
          </w:r>
          <w:bookmarkStart w:id="8" w:name="DraftReportEven"/>
          <w:bookmarkEnd w:id="8"/>
        </w:p>
      </w:tc>
      <w:tc>
        <w:tcPr>
          <w:tcW w:w="510" w:type="dxa"/>
        </w:tcPr>
        <w:p w14:paraId="1A62906C" w14:textId="77777777" w:rsidR="00094979" w:rsidRDefault="00094979" w:rsidP="0019293B">
          <w:pPr>
            <w:pStyle w:val="Footer"/>
          </w:pPr>
        </w:p>
      </w:tc>
    </w:tr>
  </w:tbl>
  <w:p w14:paraId="2B43F203" w14:textId="77777777" w:rsidR="00094979" w:rsidRDefault="00094979"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94979" w14:paraId="56D06EDD" w14:textId="77777777" w:rsidTr="005F48ED">
      <w:trPr>
        <w:trHeight w:hRule="exact" w:val="567"/>
      </w:trPr>
      <w:tc>
        <w:tcPr>
          <w:tcW w:w="510" w:type="dxa"/>
        </w:tcPr>
        <w:p w14:paraId="17A3A1E5" w14:textId="77777777" w:rsidR="00094979" w:rsidRDefault="00094979">
          <w:pPr>
            <w:pStyle w:val="Footer"/>
            <w:ind w:right="360" w:firstLine="360"/>
          </w:pPr>
        </w:p>
      </w:tc>
      <w:tc>
        <w:tcPr>
          <w:tcW w:w="7767" w:type="dxa"/>
        </w:tcPr>
        <w:p w14:paraId="7B86924C" w14:textId="1E81E916" w:rsidR="00094979" w:rsidRPr="00BA5B14" w:rsidRDefault="00D35D48" w:rsidP="0013739A">
          <w:pPr>
            <w:pStyle w:val="Footer"/>
            <w:jc w:val="right"/>
            <w:rPr>
              <w:rFonts w:cs="Arial"/>
            </w:rPr>
          </w:pPr>
          <w:bookmarkStart w:id="9" w:name="DraftReportOdd"/>
          <w:bookmarkEnd w:id="9"/>
          <w:r>
            <w:rPr>
              <w:rFonts w:cs="Arial"/>
            </w:rPr>
            <w:t>MENTAL HEALTH AND SUICIDE PREVENTION STOCKTAKE</w:t>
          </w:r>
        </w:p>
      </w:tc>
      <w:tc>
        <w:tcPr>
          <w:tcW w:w="510" w:type="dxa"/>
        </w:tcPr>
        <w:p w14:paraId="74A77214" w14:textId="77777777" w:rsidR="00094979" w:rsidRPr="00A24443" w:rsidRDefault="0009497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35D48">
            <w:rPr>
              <w:rStyle w:val="PageNumber"/>
              <w:caps w:val="0"/>
              <w:noProof/>
            </w:rPr>
            <w:t>31</w:t>
          </w:r>
          <w:r w:rsidRPr="00A24443">
            <w:rPr>
              <w:rStyle w:val="PageNumber"/>
              <w:caps w:val="0"/>
            </w:rPr>
            <w:fldChar w:fldCharType="end"/>
          </w:r>
        </w:p>
      </w:tc>
    </w:tr>
  </w:tbl>
  <w:p w14:paraId="1539E908" w14:textId="77777777" w:rsidR="00094979" w:rsidRDefault="00094979">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57618" w14:textId="77777777" w:rsidR="00094979" w:rsidRDefault="00094979">
      <w:r>
        <w:separator/>
      </w:r>
    </w:p>
  </w:footnote>
  <w:footnote w:type="continuationSeparator" w:id="0">
    <w:p w14:paraId="4051BD97" w14:textId="77777777" w:rsidR="00094979" w:rsidRDefault="00094979">
      <w:r>
        <w:continuationSeparator/>
      </w:r>
    </w:p>
  </w:footnote>
  <w:footnote w:type="continuationNotice" w:id="1">
    <w:p w14:paraId="179DCCAD" w14:textId="77777777" w:rsidR="00094979" w:rsidRDefault="00094979"/>
  </w:footnote>
  <w:footnote w:id="2">
    <w:p w14:paraId="4CBFE155" w14:textId="2ED9E917" w:rsidR="00094979" w:rsidRPr="00D62284" w:rsidRDefault="00094979" w:rsidP="00931D57">
      <w:pPr>
        <w:pStyle w:val="FootnoteText"/>
        <w:rPr>
          <w:spacing w:val="-4"/>
        </w:rPr>
      </w:pPr>
      <w:r w:rsidRPr="00D62284">
        <w:rPr>
          <w:rStyle w:val="FootnoteReference"/>
          <w:spacing w:val="-4"/>
        </w:rPr>
        <w:footnoteRef/>
      </w:r>
      <w:r w:rsidRPr="00D62284">
        <w:rPr>
          <w:spacing w:val="-4"/>
        </w:rPr>
        <w:tab/>
        <w:t xml:space="preserve">For example, this included reclassifying misallocated expenditures and — where jurisdictions were unable to separately report dedicated spend on the mental health component of broader programs — applying an assumption that 8 per cent of the broader program’s overall expenditure was dedicated to mental health. This proxy for the mental health-related share of overall program spend was based on the Australian Institute of Health and Welfare’s estimate that in the decade to 2018-19, government mental health-related expenditure as a share of total government health expenditure varied between 7.48 and 7.82 per cent </w:t>
      </w:r>
      <w:r w:rsidRPr="00D62284">
        <w:rPr>
          <w:spacing w:val="-4"/>
          <w:szCs w:val="24"/>
        </w:rPr>
        <w:t>(AIHW 2021a, table EXP.35)</w:t>
      </w:r>
      <w:r w:rsidRPr="00D62284">
        <w:rPr>
          <w:spacing w:val="-4"/>
        </w:rPr>
        <w:t>.</w:t>
      </w:r>
    </w:p>
  </w:footnote>
  <w:footnote w:id="3">
    <w:p w14:paraId="0C59B60D" w14:textId="429695F3" w:rsidR="00094979" w:rsidRDefault="00094979" w:rsidP="00931D57">
      <w:pPr>
        <w:pStyle w:val="FootnoteText"/>
      </w:pPr>
      <w:r>
        <w:rPr>
          <w:rStyle w:val="FootnoteReference"/>
        </w:rPr>
        <w:footnoteRef/>
      </w:r>
      <w:r>
        <w:tab/>
        <w:t xml:space="preserve">The Productivity Commission made an adjustment to expenditures for programs that were funded by the Australian Government but also reported by State and Territory Governments, to remove double counting. However, many State and Territory Governments reported public hospital expenditure at a relatively aggregated level — and in combination with other specialist mental health and acute services — so the Commission was unable to identify how much of this was funding provided by the Australian Government. High-level comparisons between the Australian Government’s reported transfers to State and Territory Governments for public hospitals, the expenditure reported by jurisdictions in specialist mental health and acute services, and AIHW data on public hospital expenditure related to mental health suggest that the magnitude of any double counting in the </w:t>
      </w:r>
      <w:r>
        <w:t>stocktake’s estimates of total expenditure is likely to be small.</w:t>
      </w:r>
    </w:p>
  </w:footnote>
  <w:footnote w:id="4">
    <w:p w14:paraId="68A9CA31" w14:textId="0FA1BE55" w:rsidR="00094979" w:rsidRDefault="00094979" w:rsidP="00931D57">
      <w:pPr>
        <w:pStyle w:val="FootnoteText"/>
      </w:pPr>
      <w:r w:rsidRPr="00896F24">
        <w:rPr>
          <w:rStyle w:val="FootnoteReference"/>
        </w:rPr>
        <w:footnoteRef/>
      </w:r>
      <w:r>
        <w:tab/>
        <w:t xml:space="preserve">The total spend on mental health and suicide prevention programs captured in this stocktake was higher than the $10.6 billion of expenditure on </w:t>
      </w:r>
      <w:r w:rsidRPr="00FB4B18">
        <w:t xml:space="preserve">mental health services </w:t>
      </w:r>
      <w:r>
        <w:t xml:space="preserve">reported by the </w:t>
      </w:r>
      <w:r>
        <w:t>AIHW in 2018</w:t>
      </w:r>
      <w:r>
        <w:noBreakHyphen/>
        <w:t xml:space="preserve">19 </w:t>
      </w:r>
      <w:r w:rsidRPr="00530620">
        <w:rPr>
          <w:szCs w:val="24"/>
        </w:rPr>
        <w:t>(AIHW 2021a, p. 2)</w:t>
      </w:r>
      <w:r>
        <w:t>. The AIHW data also showed slightly different shares of funding between Australian, State and Territory Governments. These discrepancies reflect both the broader scope of this stocktake (chapter 1), and the likelihood that jurisdictions took varying approaches</w:t>
      </w:r>
      <w:r w:rsidRPr="008C2ED0">
        <w:t xml:space="preserve"> in providing data for the stocktake</w:t>
      </w:r>
      <w:r>
        <w:t>.</w:t>
      </w:r>
    </w:p>
  </w:footnote>
  <w:footnote w:id="5">
    <w:p w14:paraId="54BE9FDA" w14:textId="421594A9" w:rsidR="00094979" w:rsidRDefault="00094979" w:rsidP="00931D57">
      <w:pPr>
        <w:pStyle w:val="FootnoteText"/>
      </w:pPr>
      <w:r>
        <w:rPr>
          <w:rStyle w:val="FootnoteReference"/>
        </w:rPr>
        <w:footnoteRef/>
      </w:r>
      <w:r>
        <w:tab/>
        <w:t>This is likely to be partly attributable to different geographic and population characteristics across jurisdictions, and partly due to variations in the approach each jurisdiction has taken to capturing relevant expenditures for the stocktake.</w:t>
      </w:r>
    </w:p>
  </w:footnote>
  <w:footnote w:id="6">
    <w:p w14:paraId="3007572C" w14:textId="77777777" w:rsidR="00094979" w:rsidRDefault="00094979" w:rsidP="00931D57">
      <w:pPr>
        <w:pStyle w:val="FootnoteText"/>
      </w:pPr>
      <w:r>
        <w:rPr>
          <w:rStyle w:val="FootnoteReference"/>
        </w:rPr>
        <w:footnoteRef/>
      </w:r>
      <w:r>
        <w:tab/>
        <w:t>While this could partly reflect the different configurations of jurisdictions’ mental health and suicide prevention systems, it is also likely to have been influenced by the varying extent to which jurisdictions were able to report on programs outside of the health portfolio for the stocktake.</w:t>
      </w:r>
    </w:p>
  </w:footnote>
  <w:footnote w:id="7">
    <w:p w14:paraId="24A7F8D2" w14:textId="77777777" w:rsidR="00094979" w:rsidRDefault="00094979" w:rsidP="00931D57">
      <w:pPr>
        <w:pStyle w:val="FootnoteText"/>
      </w:pPr>
      <w:r>
        <w:rPr>
          <w:rStyle w:val="FootnoteReference"/>
        </w:rPr>
        <w:footnoteRef/>
      </w:r>
      <w:r>
        <w:tab/>
        <w:t xml:space="preserve">As outlined in chapter 1, this category </w:t>
      </w:r>
      <w:r w:rsidRPr="00E42966">
        <w:t>includes admitted patient care in public hospitals and community</w:t>
      </w:r>
      <w:r>
        <w:noBreakHyphen/>
      </w:r>
      <w:r w:rsidRPr="00E42966">
        <w:t>based care (provided by ambulatory care services, outpatient clinics and outreach services into homes and aged care facilities</w:t>
      </w:r>
      <w:r>
        <w:t xml:space="preserve">). </w:t>
      </w:r>
    </w:p>
  </w:footnote>
  <w:footnote w:id="8">
    <w:p w14:paraId="01204353" w14:textId="7F0D4B1F" w:rsidR="00094979" w:rsidRDefault="00094979">
      <w:pPr>
        <w:pStyle w:val="FootnoteText"/>
      </w:pPr>
      <w:r>
        <w:rPr>
          <w:rStyle w:val="FootnoteReference"/>
        </w:rPr>
        <w:footnoteRef/>
      </w:r>
      <w:r>
        <w:tab/>
        <w:t xml:space="preserve">The AIHW’s specialised mental health services category represents </w:t>
      </w:r>
      <w:r w:rsidRPr="00CB4AC6">
        <w:t>a reasonable proxy for the specialist mental health service category used in the stocktake</w:t>
      </w:r>
      <w:r>
        <w:t>.</w:t>
      </w:r>
    </w:p>
  </w:footnote>
  <w:footnote w:id="9">
    <w:p w14:paraId="5B014EDA" w14:textId="11AA52B1" w:rsidR="00094979" w:rsidRPr="005D1DE0" w:rsidRDefault="00094979" w:rsidP="00931D57">
      <w:pPr>
        <w:pStyle w:val="FootnoteText"/>
        <w:rPr>
          <w:spacing w:val="-4"/>
        </w:rPr>
      </w:pPr>
      <w:r w:rsidRPr="005D1DE0">
        <w:rPr>
          <w:rStyle w:val="FootnoteReference"/>
          <w:spacing w:val="-4"/>
        </w:rPr>
        <w:footnoteRef/>
      </w:r>
      <w:r w:rsidRPr="005D1DE0">
        <w:rPr>
          <w:spacing w:val="-4"/>
        </w:rPr>
        <w:tab/>
        <w:t>While the breakdown of expenditure by service category varied considerably across jurisdictions, it is important not to over-interpret these results. In particular, much of this variation can likely be explained by the different approaches taken by jurisdictions in providing data for the stocktake — for example, some jurisdictions categorised virtually all hospital-related mental health spending as specialist mental health services, while others allocated the bulk of this type of spending to acute care. Because the data were sometimes reported at an aggregated level (for instance, a single item on specialist mental health services and/or acute care), it was difficult for the Productivity Commission to identify and alter how reported expenditures are allocated.</w:t>
      </w:r>
    </w:p>
  </w:footnote>
  <w:footnote w:id="10">
    <w:p w14:paraId="6C2A4BC6" w14:textId="19139DB3" w:rsidR="00094979" w:rsidRDefault="00094979">
      <w:pPr>
        <w:pStyle w:val="FootnoteText"/>
      </w:pPr>
      <w:r>
        <w:rPr>
          <w:rStyle w:val="FootnoteReference"/>
        </w:rPr>
        <w:footnoteRef/>
      </w:r>
      <w:r>
        <w:tab/>
      </w:r>
      <w:r w:rsidRPr="007B3991">
        <w:t>This estimate includes all expenditure reported as acute care, the Australian Government’s transfers for public hospitals and half of State and Territory Governments’ reported expenditure on specialist mental health services (using the rough assumption that State and Territory Governments’ expenditures on specialist mental health services are about evenly split between hospital- and community-based services).</w:t>
      </w:r>
    </w:p>
  </w:footnote>
  <w:footnote w:id="11">
    <w:p w14:paraId="5C3AF4BC" w14:textId="1ED9E523" w:rsidR="00094979" w:rsidRDefault="00094979" w:rsidP="00931D57">
      <w:pPr>
        <w:pStyle w:val="FootnoteText"/>
      </w:pPr>
      <w:r w:rsidRPr="00AE2592">
        <w:rPr>
          <w:rStyle w:val="FootnoteReference"/>
        </w:rPr>
        <w:footnoteRef/>
      </w:r>
      <w:r>
        <w:tab/>
      </w:r>
      <w:r w:rsidRPr="00371437">
        <w:t>The Australian Government is responsible for Medicare</w:t>
      </w:r>
      <w:r>
        <w:noBreakHyphen/>
      </w:r>
      <w:r w:rsidRPr="00371437">
        <w:t xml:space="preserve">subsidised mental health services, subsidised mental health prescription medications, veteran’s mental health services, </w:t>
      </w:r>
      <w:r>
        <w:t xml:space="preserve">mental healthcare services delivered by general practitioners, </w:t>
      </w:r>
      <w:r w:rsidRPr="00371437">
        <w:t xml:space="preserve">primary care quality and access through </w:t>
      </w:r>
      <w:r>
        <w:t>PHNs</w:t>
      </w:r>
      <w:r w:rsidRPr="00371437">
        <w:t xml:space="preserve"> and social security payments.</w:t>
      </w:r>
      <w:r>
        <w:t xml:space="preserve"> State and Territory Governments are responsible for the management and administration of public hospitals, and funding and managing community</w:t>
      </w:r>
      <w:r>
        <w:noBreakHyphen/>
        <w:t xml:space="preserve">based mental health services </w:t>
      </w:r>
      <w:r w:rsidRPr="00530620">
        <w:rPr>
          <w:szCs w:val="24"/>
        </w:rPr>
        <w:t>(Cook 2019, p. 3)</w:t>
      </w:r>
      <w:r>
        <w:t>.</w:t>
      </w:r>
    </w:p>
  </w:footnote>
  <w:footnote w:id="12">
    <w:p w14:paraId="5CCBAD95" w14:textId="5193B93E" w:rsidR="00094979" w:rsidRDefault="00094979" w:rsidP="00931D57">
      <w:pPr>
        <w:pStyle w:val="FootnoteText"/>
      </w:pPr>
      <w:r>
        <w:rPr>
          <w:rStyle w:val="FootnoteReference"/>
        </w:rPr>
        <w:footnoteRef/>
      </w:r>
      <w:r>
        <w:tab/>
        <w:t xml:space="preserve">This captures mental health-related MBS items, including those provided by general practitioners, psychologists and psychiatrists. </w:t>
      </w:r>
    </w:p>
  </w:footnote>
  <w:footnote w:id="13">
    <w:p w14:paraId="7B3146A7" w14:textId="1B68C979" w:rsidR="00094979" w:rsidRPr="00DC3A9D" w:rsidRDefault="00094979">
      <w:pPr>
        <w:pStyle w:val="FootnoteText"/>
        <w:rPr>
          <w:spacing w:val="-4"/>
        </w:rPr>
      </w:pPr>
      <w:r w:rsidRPr="00DC3A9D">
        <w:rPr>
          <w:rStyle w:val="FootnoteReference"/>
          <w:spacing w:val="-4"/>
        </w:rPr>
        <w:footnoteRef/>
      </w:r>
      <w:r w:rsidRPr="00DC3A9D">
        <w:rPr>
          <w:spacing w:val="-4"/>
        </w:rPr>
        <w:tab/>
        <w:t>The reasonably consistent distribution of health expenditure is notwithstanding some differences in the split between specialist services and acute care, as discussed above. Some of the variation in the allocation of education spend likely reflects differences in how jurisdictions interpreted the stocktake’s services taxonomy.</w:t>
      </w:r>
    </w:p>
  </w:footnote>
  <w:footnote w:id="14">
    <w:p w14:paraId="23FF2412" w14:textId="286663DA" w:rsidR="00094979" w:rsidRDefault="00094979">
      <w:pPr>
        <w:pStyle w:val="FootnoteText"/>
      </w:pPr>
      <w:r>
        <w:rPr>
          <w:rStyle w:val="FootnoteReference"/>
        </w:rPr>
        <w:footnoteRef/>
      </w:r>
      <w:r>
        <w:tab/>
        <w:t>The appropriate amount of funding for different cohorts would vary across jurisdictions based on differences in population characteristics and the associated services demanded, and such a demand assessment has not been undertaken in this stocktake (chapter 4). In addition, it is not necessarily the case that higher rates of targeted funding are better — general programs that are not directed towards particular cohorts may, of course, still be consumed by these people.</w:t>
      </w:r>
    </w:p>
  </w:footnote>
  <w:footnote w:id="15">
    <w:p w14:paraId="79FAAD8A" w14:textId="7E59EDEA" w:rsidR="00094979" w:rsidRPr="00DC3A9D" w:rsidRDefault="00094979">
      <w:pPr>
        <w:pStyle w:val="FootnoteText"/>
        <w:rPr>
          <w:spacing w:val="-4"/>
        </w:rPr>
      </w:pPr>
      <w:r w:rsidRPr="00DC3A9D">
        <w:rPr>
          <w:rStyle w:val="FootnoteReference"/>
          <w:spacing w:val="-4"/>
        </w:rPr>
        <w:footnoteRef/>
      </w:r>
      <w:r w:rsidRPr="00DC3A9D">
        <w:rPr>
          <w:spacing w:val="-4"/>
        </w:rPr>
        <w:tab/>
        <w:t>Target groups by severity of care needs were not required to be mutually exclusive, recognising that some programs may be targeted to more than one cohort. However, most jurisdictions had challenges in separately identifying targeted spend towards the at</w:t>
      </w:r>
      <w:r w:rsidRPr="00DC3A9D">
        <w:rPr>
          <w:spacing w:val="-4"/>
        </w:rPr>
        <w:noBreakHyphen/>
        <w:t>risk population, people with mild conditions and/or people with moderate conditions — for much of the reported expenditure, multiple target groups were selected (or not selected) in an identical manner across many of a jurisdiction’s programs. Moreover, in some cases, the highly aggregated nature of reported programs contributed to an inability to identify specific target groups (chapter 4).</w:t>
      </w:r>
    </w:p>
  </w:footnote>
  <w:footnote w:id="16">
    <w:p w14:paraId="66B56C6D" w14:textId="77777777" w:rsidR="00094979" w:rsidRDefault="00094979" w:rsidP="00120945">
      <w:pPr>
        <w:pStyle w:val="FootnoteText"/>
      </w:pPr>
      <w:r>
        <w:rPr>
          <w:rStyle w:val="FootnoteReference"/>
        </w:rPr>
        <w:footnoteRef/>
      </w:r>
      <w:r>
        <w:tab/>
        <w:t>T</w:t>
      </w:r>
      <w:r w:rsidRPr="00654336">
        <w:t>hese data were likely to be incomplete as several larger jurisdictions reported few or no such programs</w:t>
      </w:r>
      <w:r>
        <w:t>.</w:t>
      </w:r>
    </w:p>
  </w:footnote>
  <w:footnote w:id="17">
    <w:p w14:paraId="39A24F9D" w14:textId="5D402487" w:rsidR="00094979" w:rsidRDefault="00094979" w:rsidP="00931D57">
      <w:pPr>
        <w:pStyle w:val="FootnoteText"/>
      </w:pPr>
      <w:r>
        <w:rPr>
          <w:rStyle w:val="FootnoteReference"/>
        </w:rPr>
        <w:footnoteRef/>
      </w:r>
      <w:r>
        <w:tab/>
        <w:t>This estimate includes all expenditure reported by State and Territory Governments as acute care, and half of their reported expenditure on specialist mental health services (using the rough assumption that State and Territory Governments’ expenditures on specialist mental health services are about evenly split between hospital- and community-based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5"/>
      <w:gridCol w:w="6634"/>
    </w:tblGrid>
    <w:tr w:rsidR="00094979" w14:paraId="4D4EEB48" w14:textId="77777777">
      <w:tc>
        <w:tcPr>
          <w:tcW w:w="2155" w:type="dxa"/>
          <w:tcBorders>
            <w:top w:val="single" w:sz="24" w:space="0" w:color="auto"/>
          </w:tcBorders>
        </w:tcPr>
        <w:p w14:paraId="448A38ED" w14:textId="77777777" w:rsidR="00094979" w:rsidRDefault="00094979" w:rsidP="0019293B">
          <w:pPr>
            <w:pStyle w:val="HeaderEven"/>
          </w:pPr>
        </w:p>
      </w:tc>
      <w:tc>
        <w:tcPr>
          <w:tcW w:w="6634" w:type="dxa"/>
          <w:tcBorders>
            <w:top w:val="single" w:sz="6" w:space="0" w:color="auto"/>
          </w:tcBorders>
        </w:tcPr>
        <w:p w14:paraId="05B6B51E" w14:textId="77777777" w:rsidR="00094979" w:rsidRDefault="00094979" w:rsidP="0019293B">
          <w:pPr>
            <w:pStyle w:val="HeaderEven"/>
          </w:pPr>
        </w:p>
      </w:tc>
    </w:tr>
  </w:tbl>
  <w:p w14:paraId="67A50983" w14:textId="77777777" w:rsidR="00094979" w:rsidRDefault="00094979" w:rsidP="0019293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94979" w14:paraId="2A498AFC" w14:textId="77777777">
      <w:tc>
        <w:tcPr>
          <w:tcW w:w="6634" w:type="dxa"/>
          <w:tcBorders>
            <w:top w:val="single" w:sz="6" w:space="0" w:color="auto"/>
          </w:tcBorders>
        </w:tcPr>
        <w:p w14:paraId="3AC92694" w14:textId="77777777" w:rsidR="00094979" w:rsidRDefault="00094979" w:rsidP="00E669E2">
          <w:pPr>
            <w:pStyle w:val="HeaderOdd"/>
          </w:pPr>
        </w:p>
      </w:tc>
      <w:tc>
        <w:tcPr>
          <w:tcW w:w="2155" w:type="dxa"/>
          <w:tcBorders>
            <w:top w:val="single" w:sz="24" w:space="0" w:color="auto"/>
          </w:tcBorders>
        </w:tcPr>
        <w:p w14:paraId="51D9C438" w14:textId="77777777" w:rsidR="00094979" w:rsidRDefault="00094979" w:rsidP="00E669E2">
          <w:pPr>
            <w:pStyle w:val="HeaderOdd"/>
          </w:pPr>
        </w:p>
      </w:tc>
    </w:tr>
  </w:tbl>
  <w:p w14:paraId="6265BBF0" w14:textId="65A4FF28" w:rsidR="00094979" w:rsidRDefault="00094979" w:rsidP="00D2538C">
    <w:pPr>
      <w:pStyle w:val="HeaderEnd"/>
      <w:tabs>
        <w:tab w:val="clear" w:pos="4394"/>
        <w:tab w:val="clear" w:pos="8789"/>
        <w:tab w:val="left" w:pos="357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184DC3"/>
    <w:multiLevelType w:val="hybridMultilevel"/>
    <w:tmpl w:val="F56A63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6"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7" w15:restartNumberingAfterBreak="0">
    <w:nsid w:val="066A363B"/>
    <w:multiLevelType w:val="hybridMultilevel"/>
    <w:tmpl w:val="0906AE16"/>
    <w:lvl w:ilvl="0" w:tplc="19F0603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EF45FC2"/>
    <w:multiLevelType w:val="hybridMultilevel"/>
    <w:tmpl w:val="B07402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FB6049"/>
    <w:multiLevelType w:val="hybridMultilevel"/>
    <w:tmpl w:val="FDEAC64C"/>
    <w:lvl w:ilvl="0" w:tplc="0698504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9"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0"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1"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60A27097"/>
    <w:multiLevelType w:val="hybridMultilevel"/>
    <w:tmpl w:val="7C22C79C"/>
    <w:lvl w:ilvl="0" w:tplc="27823146">
      <w:start w:val="1"/>
      <w:numFmt w:val="bullet"/>
      <w:pStyle w:val="KeyPointsListBullet"/>
      <w:lvlText w:val=""/>
      <w:lvlJc w:val="left"/>
      <w:pPr>
        <w:ind w:left="720" w:hanging="360"/>
      </w:pPr>
      <w:rPr>
        <w:rFonts w:ascii="Symbol" w:hAnsi="Symbol"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074D16"/>
    <w:multiLevelType w:val="multilevel"/>
    <w:tmpl w:val="144E41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5" w15:restartNumberingAfterBreak="0">
    <w:nsid w:val="65925FDE"/>
    <w:multiLevelType w:val="hybridMultilevel"/>
    <w:tmpl w:val="52C84EEE"/>
    <w:lvl w:ilvl="0" w:tplc="DA94234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2B25FB"/>
    <w:multiLevelType w:val="hybridMultilevel"/>
    <w:tmpl w:val="DA10501A"/>
    <w:lvl w:ilvl="0" w:tplc="B6A44A18">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001342A"/>
    <w:multiLevelType w:val="hybridMultilevel"/>
    <w:tmpl w:val="95D0ED4A"/>
    <w:lvl w:ilvl="0" w:tplc="2776519E">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9"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16cid:durableId="1208682374">
    <w:abstractNumId w:val="15"/>
  </w:num>
  <w:num w:numId="2" w16cid:durableId="541747150">
    <w:abstractNumId w:val="3"/>
  </w:num>
  <w:num w:numId="3" w16cid:durableId="341511712">
    <w:abstractNumId w:val="18"/>
  </w:num>
  <w:num w:numId="4" w16cid:durableId="2136827444">
    <w:abstractNumId w:val="5"/>
  </w:num>
  <w:num w:numId="5" w16cid:durableId="1212307793">
    <w:abstractNumId w:val="24"/>
  </w:num>
  <w:num w:numId="6" w16cid:durableId="449936944">
    <w:abstractNumId w:val="20"/>
  </w:num>
  <w:num w:numId="7" w16cid:durableId="937716338">
    <w:abstractNumId w:val="11"/>
  </w:num>
  <w:num w:numId="8" w16cid:durableId="558370701">
    <w:abstractNumId w:val="19"/>
  </w:num>
  <w:num w:numId="9" w16cid:durableId="615795500">
    <w:abstractNumId w:val="9"/>
  </w:num>
  <w:num w:numId="10" w16cid:durableId="8257721">
    <w:abstractNumId w:val="8"/>
  </w:num>
  <w:num w:numId="11" w16cid:durableId="665882">
    <w:abstractNumId w:val="13"/>
  </w:num>
  <w:num w:numId="12" w16cid:durableId="1650327966">
    <w:abstractNumId w:val="14"/>
  </w:num>
  <w:num w:numId="13" w16cid:durableId="414546495">
    <w:abstractNumId w:val="6"/>
  </w:num>
  <w:num w:numId="14" w16cid:durableId="161892659">
    <w:abstractNumId w:val="21"/>
  </w:num>
  <w:num w:numId="15" w16cid:durableId="230388768">
    <w:abstractNumId w:val="28"/>
  </w:num>
  <w:num w:numId="16" w16cid:durableId="1716004997">
    <w:abstractNumId w:val="16"/>
  </w:num>
  <w:num w:numId="17" w16cid:durableId="1932546595">
    <w:abstractNumId w:val="29"/>
  </w:num>
  <w:num w:numId="18" w16cid:durableId="742337923">
    <w:abstractNumId w:val="0"/>
  </w:num>
  <w:num w:numId="19" w16cid:durableId="396827394">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16cid:durableId="1075930908">
    <w:abstractNumId w:val="22"/>
  </w:num>
  <w:num w:numId="21" w16cid:durableId="2128573352">
    <w:abstractNumId w:val="12"/>
  </w:num>
  <w:num w:numId="22" w16cid:durableId="9200198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0751290">
    <w:abstractNumId w:val="7"/>
  </w:num>
  <w:num w:numId="24" w16cid:durableId="1339692386">
    <w:abstractNumId w:val="18"/>
  </w:num>
  <w:num w:numId="25" w16cid:durableId="1636642505">
    <w:abstractNumId w:val="18"/>
  </w:num>
  <w:num w:numId="26" w16cid:durableId="1497956532">
    <w:abstractNumId w:val="27"/>
  </w:num>
  <w:num w:numId="27" w16cid:durableId="341472363">
    <w:abstractNumId w:val="15"/>
  </w:num>
  <w:num w:numId="28" w16cid:durableId="34428015">
    <w:abstractNumId w:val="15"/>
  </w:num>
  <w:num w:numId="29" w16cid:durableId="700545201">
    <w:abstractNumId w:val="12"/>
  </w:num>
  <w:num w:numId="30" w16cid:durableId="1395397651">
    <w:abstractNumId w:val="15"/>
  </w:num>
  <w:num w:numId="31" w16cid:durableId="935554298">
    <w:abstractNumId w:val="15"/>
  </w:num>
  <w:num w:numId="32" w16cid:durableId="1421364773">
    <w:abstractNumId w:val="15"/>
  </w:num>
  <w:num w:numId="33" w16cid:durableId="2134901118">
    <w:abstractNumId w:val="15"/>
  </w:num>
  <w:num w:numId="34" w16cid:durableId="1488206891">
    <w:abstractNumId w:val="15"/>
  </w:num>
  <w:num w:numId="35" w16cid:durableId="254704573">
    <w:abstractNumId w:val="17"/>
  </w:num>
  <w:num w:numId="36" w16cid:durableId="222370923">
    <w:abstractNumId w:val="26"/>
  </w:num>
  <w:num w:numId="37" w16cid:durableId="611254311">
    <w:abstractNumId w:val="26"/>
  </w:num>
  <w:num w:numId="38" w16cid:durableId="1363358316">
    <w:abstractNumId w:val="18"/>
  </w:num>
  <w:num w:numId="39" w16cid:durableId="1961761060">
    <w:abstractNumId w:val="18"/>
  </w:num>
  <w:num w:numId="40" w16cid:durableId="1284382270">
    <w:abstractNumId w:val="18"/>
  </w:num>
  <w:num w:numId="41" w16cid:durableId="659965276">
    <w:abstractNumId w:val="1"/>
  </w:num>
  <w:num w:numId="42" w16cid:durableId="2102334909">
    <w:abstractNumId w:val="23"/>
  </w:num>
  <w:num w:numId="43" w16cid:durableId="392168346">
    <w:abstractNumId w:val="4"/>
  </w:num>
  <w:num w:numId="44" w16cid:durableId="1179349161">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Overview"/>
    <w:docVar w:name="ShortReportTitle" w:val="Regulatory technology: applications in the public sector"/>
  </w:docVars>
  <w:rsids>
    <w:rsidRoot w:val="001723C6"/>
    <w:rsid w:val="000003F5"/>
    <w:rsid w:val="00000AA8"/>
    <w:rsid w:val="00000B6D"/>
    <w:rsid w:val="00000C67"/>
    <w:rsid w:val="00000F17"/>
    <w:rsid w:val="00000F41"/>
    <w:rsid w:val="0000106C"/>
    <w:rsid w:val="00001395"/>
    <w:rsid w:val="00001617"/>
    <w:rsid w:val="00001896"/>
    <w:rsid w:val="00001A74"/>
    <w:rsid w:val="00001E1F"/>
    <w:rsid w:val="00001E30"/>
    <w:rsid w:val="00001EEB"/>
    <w:rsid w:val="00003709"/>
    <w:rsid w:val="000037E1"/>
    <w:rsid w:val="000037FE"/>
    <w:rsid w:val="0000380C"/>
    <w:rsid w:val="00003A4F"/>
    <w:rsid w:val="00003BA7"/>
    <w:rsid w:val="00003D3C"/>
    <w:rsid w:val="00004180"/>
    <w:rsid w:val="00004481"/>
    <w:rsid w:val="0000490C"/>
    <w:rsid w:val="00004941"/>
    <w:rsid w:val="00004A1D"/>
    <w:rsid w:val="00005140"/>
    <w:rsid w:val="0000523C"/>
    <w:rsid w:val="00006463"/>
    <w:rsid w:val="0000666C"/>
    <w:rsid w:val="000071E1"/>
    <w:rsid w:val="00007552"/>
    <w:rsid w:val="000078A1"/>
    <w:rsid w:val="00007EDF"/>
    <w:rsid w:val="00010248"/>
    <w:rsid w:val="000106B1"/>
    <w:rsid w:val="000106F5"/>
    <w:rsid w:val="000107E1"/>
    <w:rsid w:val="00010E0B"/>
    <w:rsid w:val="00010E48"/>
    <w:rsid w:val="00010EE7"/>
    <w:rsid w:val="00010F20"/>
    <w:rsid w:val="00011141"/>
    <w:rsid w:val="00011333"/>
    <w:rsid w:val="00011449"/>
    <w:rsid w:val="0001173F"/>
    <w:rsid w:val="00011C06"/>
    <w:rsid w:val="00011CF5"/>
    <w:rsid w:val="00011E48"/>
    <w:rsid w:val="00011F51"/>
    <w:rsid w:val="00012133"/>
    <w:rsid w:val="0001247E"/>
    <w:rsid w:val="0001338D"/>
    <w:rsid w:val="000134FD"/>
    <w:rsid w:val="00013692"/>
    <w:rsid w:val="00013F4E"/>
    <w:rsid w:val="000146A9"/>
    <w:rsid w:val="00014996"/>
    <w:rsid w:val="00014A63"/>
    <w:rsid w:val="000150FE"/>
    <w:rsid w:val="0001513A"/>
    <w:rsid w:val="00015165"/>
    <w:rsid w:val="00015253"/>
    <w:rsid w:val="0001573B"/>
    <w:rsid w:val="00015896"/>
    <w:rsid w:val="000158AB"/>
    <w:rsid w:val="00015C1B"/>
    <w:rsid w:val="00015C4C"/>
    <w:rsid w:val="00016144"/>
    <w:rsid w:val="00016172"/>
    <w:rsid w:val="000165BA"/>
    <w:rsid w:val="000169E0"/>
    <w:rsid w:val="00016B12"/>
    <w:rsid w:val="00016CD6"/>
    <w:rsid w:val="00016EF8"/>
    <w:rsid w:val="000172C6"/>
    <w:rsid w:val="000177A7"/>
    <w:rsid w:val="0001794A"/>
    <w:rsid w:val="00017B1A"/>
    <w:rsid w:val="00017DA2"/>
    <w:rsid w:val="00017F34"/>
    <w:rsid w:val="000201FC"/>
    <w:rsid w:val="000203DB"/>
    <w:rsid w:val="000204B0"/>
    <w:rsid w:val="0002084F"/>
    <w:rsid w:val="00020C7E"/>
    <w:rsid w:val="00020D6F"/>
    <w:rsid w:val="00020E66"/>
    <w:rsid w:val="00020E86"/>
    <w:rsid w:val="00020EB7"/>
    <w:rsid w:val="00021440"/>
    <w:rsid w:val="00021485"/>
    <w:rsid w:val="00021672"/>
    <w:rsid w:val="000216EC"/>
    <w:rsid w:val="000216FA"/>
    <w:rsid w:val="0002193C"/>
    <w:rsid w:val="00021C5B"/>
    <w:rsid w:val="00021DAA"/>
    <w:rsid w:val="00021DD2"/>
    <w:rsid w:val="000227D5"/>
    <w:rsid w:val="000231F9"/>
    <w:rsid w:val="0002337F"/>
    <w:rsid w:val="00023844"/>
    <w:rsid w:val="00023A45"/>
    <w:rsid w:val="00023D89"/>
    <w:rsid w:val="00023DBA"/>
    <w:rsid w:val="0002437E"/>
    <w:rsid w:val="000245AA"/>
    <w:rsid w:val="000247C7"/>
    <w:rsid w:val="000248DB"/>
    <w:rsid w:val="000249F7"/>
    <w:rsid w:val="00024C76"/>
    <w:rsid w:val="00024D42"/>
    <w:rsid w:val="00024E3E"/>
    <w:rsid w:val="00024EE5"/>
    <w:rsid w:val="000251DF"/>
    <w:rsid w:val="00025233"/>
    <w:rsid w:val="00025C09"/>
    <w:rsid w:val="00025C98"/>
    <w:rsid w:val="00025EAB"/>
    <w:rsid w:val="00026054"/>
    <w:rsid w:val="000260FB"/>
    <w:rsid w:val="000263AA"/>
    <w:rsid w:val="00026AAA"/>
    <w:rsid w:val="00026C9B"/>
    <w:rsid w:val="00026ED5"/>
    <w:rsid w:val="000270C5"/>
    <w:rsid w:val="00027325"/>
    <w:rsid w:val="0002736A"/>
    <w:rsid w:val="00027434"/>
    <w:rsid w:val="000279AC"/>
    <w:rsid w:val="00027AD8"/>
    <w:rsid w:val="00027B10"/>
    <w:rsid w:val="00027C49"/>
    <w:rsid w:val="00030042"/>
    <w:rsid w:val="00030D7F"/>
    <w:rsid w:val="000310D5"/>
    <w:rsid w:val="00031277"/>
    <w:rsid w:val="00031578"/>
    <w:rsid w:val="000316F7"/>
    <w:rsid w:val="00031898"/>
    <w:rsid w:val="00031C55"/>
    <w:rsid w:val="00032067"/>
    <w:rsid w:val="00032741"/>
    <w:rsid w:val="00032866"/>
    <w:rsid w:val="00032BBD"/>
    <w:rsid w:val="00033557"/>
    <w:rsid w:val="00033633"/>
    <w:rsid w:val="00033BBC"/>
    <w:rsid w:val="00034A2D"/>
    <w:rsid w:val="00034EF3"/>
    <w:rsid w:val="00034F62"/>
    <w:rsid w:val="00035F1A"/>
    <w:rsid w:val="000363B6"/>
    <w:rsid w:val="0003664B"/>
    <w:rsid w:val="00036A13"/>
    <w:rsid w:val="00036EA0"/>
    <w:rsid w:val="00037259"/>
    <w:rsid w:val="00037C61"/>
    <w:rsid w:val="00037CD9"/>
    <w:rsid w:val="00037EC0"/>
    <w:rsid w:val="00037FC0"/>
    <w:rsid w:val="0004000E"/>
    <w:rsid w:val="00040878"/>
    <w:rsid w:val="000409C1"/>
    <w:rsid w:val="00040E27"/>
    <w:rsid w:val="00040ED9"/>
    <w:rsid w:val="0004111F"/>
    <w:rsid w:val="00041243"/>
    <w:rsid w:val="000415D1"/>
    <w:rsid w:val="000416AC"/>
    <w:rsid w:val="00041B35"/>
    <w:rsid w:val="00041BFE"/>
    <w:rsid w:val="00041DEB"/>
    <w:rsid w:val="00041EBC"/>
    <w:rsid w:val="0004253D"/>
    <w:rsid w:val="00042652"/>
    <w:rsid w:val="00042698"/>
    <w:rsid w:val="00042970"/>
    <w:rsid w:val="00042980"/>
    <w:rsid w:val="00042AC7"/>
    <w:rsid w:val="00042BA5"/>
    <w:rsid w:val="00042DBE"/>
    <w:rsid w:val="000433BD"/>
    <w:rsid w:val="0004398C"/>
    <w:rsid w:val="00043DF7"/>
    <w:rsid w:val="00043E27"/>
    <w:rsid w:val="000440F3"/>
    <w:rsid w:val="00044817"/>
    <w:rsid w:val="00044998"/>
    <w:rsid w:val="00044B06"/>
    <w:rsid w:val="00044B40"/>
    <w:rsid w:val="000459F4"/>
    <w:rsid w:val="00045A82"/>
    <w:rsid w:val="00045CFD"/>
    <w:rsid w:val="0004600C"/>
    <w:rsid w:val="000463CC"/>
    <w:rsid w:val="000467B2"/>
    <w:rsid w:val="000474F0"/>
    <w:rsid w:val="000479EB"/>
    <w:rsid w:val="00047A31"/>
    <w:rsid w:val="00047BC9"/>
    <w:rsid w:val="00047ED7"/>
    <w:rsid w:val="00047FC9"/>
    <w:rsid w:val="00047FD4"/>
    <w:rsid w:val="000500EE"/>
    <w:rsid w:val="00050167"/>
    <w:rsid w:val="00050320"/>
    <w:rsid w:val="000504E1"/>
    <w:rsid w:val="00050957"/>
    <w:rsid w:val="00050FDE"/>
    <w:rsid w:val="000511D0"/>
    <w:rsid w:val="0005141D"/>
    <w:rsid w:val="0005142C"/>
    <w:rsid w:val="000515F4"/>
    <w:rsid w:val="00051710"/>
    <w:rsid w:val="000517E2"/>
    <w:rsid w:val="00051811"/>
    <w:rsid w:val="0005187E"/>
    <w:rsid w:val="000519BC"/>
    <w:rsid w:val="00051B00"/>
    <w:rsid w:val="00051C81"/>
    <w:rsid w:val="00051E05"/>
    <w:rsid w:val="00051ECD"/>
    <w:rsid w:val="00052204"/>
    <w:rsid w:val="000523BB"/>
    <w:rsid w:val="00052B15"/>
    <w:rsid w:val="00052E0D"/>
    <w:rsid w:val="000530D7"/>
    <w:rsid w:val="0005332C"/>
    <w:rsid w:val="000533A8"/>
    <w:rsid w:val="00053805"/>
    <w:rsid w:val="0005391B"/>
    <w:rsid w:val="00053B1F"/>
    <w:rsid w:val="00053BA1"/>
    <w:rsid w:val="00053E0B"/>
    <w:rsid w:val="00053E28"/>
    <w:rsid w:val="00053F17"/>
    <w:rsid w:val="00054573"/>
    <w:rsid w:val="0005463F"/>
    <w:rsid w:val="000546A2"/>
    <w:rsid w:val="00054D34"/>
    <w:rsid w:val="00055077"/>
    <w:rsid w:val="00055280"/>
    <w:rsid w:val="000552D5"/>
    <w:rsid w:val="0005555E"/>
    <w:rsid w:val="000556FF"/>
    <w:rsid w:val="000559A4"/>
    <w:rsid w:val="00055F01"/>
    <w:rsid w:val="0005624F"/>
    <w:rsid w:val="00056348"/>
    <w:rsid w:val="000565B3"/>
    <w:rsid w:val="000565BA"/>
    <w:rsid w:val="00056602"/>
    <w:rsid w:val="0005666B"/>
    <w:rsid w:val="000567A2"/>
    <w:rsid w:val="00056FB9"/>
    <w:rsid w:val="00057209"/>
    <w:rsid w:val="00057DE0"/>
    <w:rsid w:val="000602F2"/>
    <w:rsid w:val="000605AD"/>
    <w:rsid w:val="00060D62"/>
    <w:rsid w:val="00060DFA"/>
    <w:rsid w:val="00060FE1"/>
    <w:rsid w:val="00061615"/>
    <w:rsid w:val="0006168C"/>
    <w:rsid w:val="00061EF0"/>
    <w:rsid w:val="000621EC"/>
    <w:rsid w:val="000626CC"/>
    <w:rsid w:val="00062B61"/>
    <w:rsid w:val="00062F1C"/>
    <w:rsid w:val="0006347D"/>
    <w:rsid w:val="00063AE4"/>
    <w:rsid w:val="00063FB0"/>
    <w:rsid w:val="000642BB"/>
    <w:rsid w:val="000644D0"/>
    <w:rsid w:val="00064650"/>
    <w:rsid w:val="00064874"/>
    <w:rsid w:val="000648E8"/>
    <w:rsid w:val="00064AF5"/>
    <w:rsid w:val="00064D3F"/>
    <w:rsid w:val="00064D76"/>
    <w:rsid w:val="000654C8"/>
    <w:rsid w:val="00065AB0"/>
    <w:rsid w:val="00065B6A"/>
    <w:rsid w:val="00065D72"/>
    <w:rsid w:val="00065F33"/>
    <w:rsid w:val="00065F35"/>
    <w:rsid w:val="00065FDD"/>
    <w:rsid w:val="00066541"/>
    <w:rsid w:val="00066635"/>
    <w:rsid w:val="000668F5"/>
    <w:rsid w:val="00066EEF"/>
    <w:rsid w:val="0006712F"/>
    <w:rsid w:val="0006713C"/>
    <w:rsid w:val="0006759F"/>
    <w:rsid w:val="000677D8"/>
    <w:rsid w:val="0007029C"/>
    <w:rsid w:val="000709D4"/>
    <w:rsid w:val="00070A17"/>
    <w:rsid w:val="00070C55"/>
    <w:rsid w:val="00071027"/>
    <w:rsid w:val="0007118C"/>
    <w:rsid w:val="0007124D"/>
    <w:rsid w:val="00071327"/>
    <w:rsid w:val="000713CB"/>
    <w:rsid w:val="0007150B"/>
    <w:rsid w:val="00071F02"/>
    <w:rsid w:val="00071F84"/>
    <w:rsid w:val="00072051"/>
    <w:rsid w:val="00072103"/>
    <w:rsid w:val="0007233F"/>
    <w:rsid w:val="0007268F"/>
    <w:rsid w:val="00072959"/>
    <w:rsid w:val="00072AEA"/>
    <w:rsid w:val="00072C05"/>
    <w:rsid w:val="00072CD0"/>
    <w:rsid w:val="00072D54"/>
    <w:rsid w:val="00073443"/>
    <w:rsid w:val="000738F4"/>
    <w:rsid w:val="000739DF"/>
    <w:rsid w:val="00073B28"/>
    <w:rsid w:val="00073BCE"/>
    <w:rsid w:val="000742DC"/>
    <w:rsid w:val="00074924"/>
    <w:rsid w:val="00074A31"/>
    <w:rsid w:val="00074CCB"/>
    <w:rsid w:val="000753F6"/>
    <w:rsid w:val="000756B0"/>
    <w:rsid w:val="00075745"/>
    <w:rsid w:val="00075984"/>
    <w:rsid w:val="00076039"/>
    <w:rsid w:val="0007626E"/>
    <w:rsid w:val="000762AF"/>
    <w:rsid w:val="0007646C"/>
    <w:rsid w:val="000766C1"/>
    <w:rsid w:val="00076ABC"/>
    <w:rsid w:val="00076CC3"/>
    <w:rsid w:val="00077384"/>
    <w:rsid w:val="00077908"/>
    <w:rsid w:val="00077A8B"/>
    <w:rsid w:val="00077BFD"/>
    <w:rsid w:val="00077C67"/>
    <w:rsid w:val="00080184"/>
    <w:rsid w:val="00080237"/>
    <w:rsid w:val="000808C1"/>
    <w:rsid w:val="0008095A"/>
    <w:rsid w:val="00080A9A"/>
    <w:rsid w:val="000811A2"/>
    <w:rsid w:val="0008180E"/>
    <w:rsid w:val="00081CFB"/>
    <w:rsid w:val="000821BB"/>
    <w:rsid w:val="00082333"/>
    <w:rsid w:val="0008246F"/>
    <w:rsid w:val="00082763"/>
    <w:rsid w:val="0008281A"/>
    <w:rsid w:val="000829B4"/>
    <w:rsid w:val="00082EBE"/>
    <w:rsid w:val="00083376"/>
    <w:rsid w:val="00083406"/>
    <w:rsid w:val="000834F2"/>
    <w:rsid w:val="00083541"/>
    <w:rsid w:val="00083703"/>
    <w:rsid w:val="00083AC9"/>
    <w:rsid w:val="00083C8D"/>
    <w:rsid w:val="00083FAB"/>
    <w:rsid w:val="0008438E"/>
    <w:rsid w:val="0008463B"/>
    <w:rsid w:val="00084A36"/>
    <w:rsid w:val="00084D23"/>
    <w:rsid w:val="00085988"/>
    <w:rsid w:val="00085CFB"/>
    <w:rsid w:val="00086076"/>
    <w:rsid w:val="000861DF"/>
    <w:rsid w:val="00086CFC"/>
    <w:rsid w:val="00087A4E"/>
    <w:rsid w:val="00087D10"/>
    <w:rsid w:val="00087D19"/>
    <w:rsid w:val="00087E36"/>
    <w:rsid w:val="0009018D"/>
    <w:rsid w:val="000907CE"/>
    <w:rsid w:val="000908FB"/>
    <w:rsid w:val="00090F7B"/>
    <w:rsid w:val="00090FBF"/>
    <w:rsid w:val="000913BE"/>
    <w:rsid w:val="000914DE"/>
    <w:rsid w:val="00091565"/>
    <w:rsid w:val="000915D8"/>
    <w:rsid w:val="0009188A"/>
    <w:rsid w:val="00091D8A"/>
    <w:rsid w:val="00091E5A"/>
    <w:rsid w:val="00092008"/>
    <w:rsid w:val="000920F4"/>
    <w:rsid w:val="00092505"/>
    <w:rsid w:val="00092C81"/>
    <w:rsid w:val="000930F0"/>
    <w:rsid w:val="000937D6"/>
    <w:rsid w:val="000938F5"/>
    <w:rsid w:val="000939BA"/>
    <w:rsid w:val="00093BC7"/>
    <w:rsid w:val="00093BEA"/>
    <w:rsid w:val="00093CFE"/>
    <w:rsid w:val="00093F19"/>
    <w:rsid w:val="00093FAB"/>
    <w:rsid w:val="000942C4"/>
    <w:rsid w:val="000945AF"/>
    <w:rsid w:val="000946C7"/>
    <w:rsid w:val="00094816"/>
    <w:rsid w:val="00094979"/>
    <w:rsid w:val="00094A14"/>
    <w:rsid w:val="00094A2E"/>
    <w:rsid w:val="00094A55"/>
    <w:rsid w:val="00094C93"/>
    <w:rsid w:val="000951FD"/>
    <w:rsid w:val="000953F7"/>
    <w:rsid w:val="00095662"/>
    <w:rsid w:val="00095663"/>
    <w:rsid w:val="00095833"/>
    <w:rsid w:val="00095D58"/>
    <w:rsid w:val="00095D8C"/>
    <w:rsid w:val="0009605F"/>
    <w:rsid w:val="000961C8"/>
    <w:rsid w:val="000962A2"/>
    <w:rsid w:val="0009633F"/>
    <w:rsid w:val="00096610"/>
    <w:rsid w:val="00096762"/>
    <w:rsid w:val="00096BD5"/>
    <w:rsid w:val="00096D3A"/>
    <w:rsid w:val="00096E55"/>
    <w:rsid w:val="00097176"/>
    <w:rsid w:val="000971E1"/>
    <w:rsid w:val="000972E2"/>
    <w:rsid w:val="000975AE"/>
    <w:rsid w:val="0009783E"/>
    <w:rsid w:val="00097A11"/>
    <w:rsid w:val="00097D6E"/>
    <w:rsid w:val="000A016F"/>
    <w:rsid w:val="000A024F"/>
    <w:rsid w:val="000A02C0"/>
    <w:rsid w:val="000A0F3C"/>
    <w:rsid w:val="000A132A"/>
    <w:rsid w:val="000A158B"/>
    <w:rsid w:val="000A1B91"/>
    <w:rsid w:val="000A20A8"/>
    <w:rsid w:val="000A263D"/>
    <w:rsid w:val="000A26C0"/>
    <w:rsid w:val="000A2764"/>
    <w:rsid w:val="000A2A72"/>
    <w:rsid w:val="000A2E1F"/>
    <w:rsid w:val="000A32AC"/>
    <w:rsid w:val="000A35CD"/>
    <w:rsid w:val="000A35D1"/>
    <w:rsid w:val="000A36D2"/>
    <w:rsid w:val="000A36F4"/>
    <w:rsid w:val="000A385C"/>
    <w:rsid w:val="000A3983"/>
    <w:rsid w:val="000A3A0F"/>
    <w:rsid w:val="000A3EAB"/>
    <w:rsid w:val="000A41E2"/>
    <w:rsid w:val="000A43FC"/>
    <w:rsid w:val="000A4420"/>
    <w:rsid w:val="000A5065"/>
    <w:rsid w:val="000A5322"/>
    <w:rsid w:val="000A533D"/>
    <w:rsid w:val="000A536C"/>
    <w:rsid w:val="000A5B31"/>
    <w:rsid w:val="000A63B0"/>
    <w:rsid w:val="000A6A1F"/>
    <w:rsid w:val="000A6EB7"/>
    <w:rsid w:val="000A71E6"/>
    <w:rsid w:val="000A7458"/>
    <w:rsid w:val="000A7C21"/>
    <w:rsid w:val="000B0005"/>
    <w:rsid w:val="000B0027"/>
    <w:rsid w:val="000B0280"/>
    <w:rsid w:val="000B03F0"/>
    <w:rsid w:val="000B0487"/>
    <w:rsid w:val="000B04E9"/>
    <w:rsid w:val="000B05AB"/>
    <w:rsid w:val="000B0B1B"/>
    <w:rsid w:val="000B0DCF"/>
    <w:rsid w:val="000B1022"/>
    <w:rsid w:val="000B1814"/>
    <w:rsid w:val="000B19F1"/>
    <w:rsid w:val="000B1B75"/>
    <w:rsid w:val="000B1CC7"/>
    <w:rsid w:val="000B1E24"/>
    <w:rsid w:val="000B2016"/>
    <w:rsid w:val="000B28EF"/>
    <w:rsid w:val="000B2B00"/>
    <w:rsid w:val="000B2FF4"/>
    <w:rsid w:val="000B305E"/>
    <w:rsid w:val="000B3225"/>
    <w:rsid w:val="000B36A9"/>
    <w:rsid w:val="000B3861"/>
    <w:rsid w:val="000B3ABD"/>
    <w:rsid w:val="000B3BBE"/>
    <w:rsid w:val="000B4428"/>
    <w:rsid w:val="000B4B4A"/>
    <w:rsid w:val="000B4F38"/>
    <w:rsid w:val="000B4FE1"/>
    <w:rsid w:val="000B5080"/>
    <w:rsid w:val="000B54BE"/>
    <w:rsid w:val="000B54DE"/>
    <w:rsid w:val="000B5998"/>
    <w:rsid w:val="000B601B"/>
    <w:rsid w:val="000B611D"/>
    <w:rsid w:val="000B6584"/>
    <w:rsid w:val="000B67F1"/>
    <w:rsid w:val="000B684B"/>
    <w:rsid w:val="000B6D8D"/>
    <w:rsid w:val="000B723F"/>
    <w:rsid w:val="000B740F"/>
    <w:rsid w:val="000B75C1"/>
    <w:rsid w:val="000B77D5"/>
    <w:rsid w:val="000B785D"/>
    <w:rsid w:val="000B7917"/>
    <w:rsid w:val="000B7A3D"/>
    <w:rsid w:val="000B7CD1"/>
    <w:rsid w:val="000B7E49"/>
    <w:rsid w:val="000B7EC0"/>
    <w:rsid w:val="000B7EF9"/>
    <w:rsid w:val="000C06AB"/>
    <w:rsid w:val="000C09A7"/>
    <w:rsid w:val="000C0FBE"/>
    <w:rsid w:val="000C11A1"/>
    <w:rsid w:val="000C1A06"/>
    <w:rsid w:val="000C1A95"/>
    <w:rsid w:val="000C2067"/>
    <w:rsid w:val="000C207E"/>
    <w:rsid w:val="000C2104"/>
    <w:rsid w:val="000C2522"/>
    <w:rsid w:val="000C26D7"/>
    <w:rsid w:val="000C2BE3"/>
    <w:rsid w:val="000C2EF3"/>
    <w:rsid w:val="000C30AA"/>
    <w:rsid w:val="000C311E"/>
    <w:rsid w:val="000C3B52"/>
    <w:rsid w:val="000C3EC1"/>
    <w:rsid w:val="000C4112"/>
    <w:rsid w:val="000C424F"/>
    <w:rsid w:val="000C45B6"/>
    <w:rsid w:val="000C45FC"/>
    <w:rsid w:val="000C48BC"/>
    <w:rsid w:val="000C4AFE"/>
    <w:rsid w:val="000C4BE1"/>
    <w:rsid w:val="000C4C80"/>
    <w:rsid w:val="000C4D72"/>
    <w:rsid w:val="000C4DD3"/>
    <w:rsid w:val="000C50D1"/>
    <w:rsid w:val="000C571B"/>
    <w:rsid w:val="000C5B51"/>
    <w:rsid w:val="000C62DF"/>
    <w:rsid w:val="000C63C6"/>
    <w:rsid w:val="000C63CA"/>
    <w:rsid w:val="000C654F"/>
    <w:rsid w:val="000C6703"/>
    <w:rsid w:val="000C70BB"/>
    <w:rsid w:val="000C73C2"/>
    <w:rsid w:val="000C7793"/>
    <w:rsid w:val="000C7B1B"/>
    <w:rsid w:val="000C7B3C"/>
    <w:rsid w:val="000C7CC9"/>
    <w:rsid w:val="000C7D22"/>
    <w:rsid w:val="000C7DB6"/>
    <w:rsid w:val="000D02C1"/>
    <w:rsid w:val="000D09FF"/>
    <w:rsid w:val="000D0C0F"/>
    <w:rsid w:val="000D0C9A"/>
    <w:rsid w:val="000D0D04"/>
    <w:rsid w:val="000D0E40"/>
    <w:rsid w:val="000D0F20"/>
    <w:rsid w:val="000D1431"/>
    <w:rsid w:val="000D16BD"/>
    <w:rsid w:val="000D1D2A"/>
    <w:rsid w:val="000D2327"/>
    <w:rsid w:val="000D23B6"/>
    <w:rsid w:val="000D28E5"/>
    <w:rsid w:val="000D2B30"/>
    <w:rsid w:val="000D2F1A"/>
    <w:rsid w:val="000D2F84"/>
    <w:rsid w:val="000D2FE7"/>
    <w:rsid w:val="000D3240"/>
    <w:rsid w:val="000D331A"/>
    <w:rsid w:val="000D35B4"/>
    <w:rsid w:val="000D3606"/>
    <w:rsid w:val="000D372E"/>
    <w:rsid w:val="000D3A25"/>
    <w:rsid w:val="000D3F8F"/>
    <w:rsid w:val="000D4051"/>
    <w:rsid w:val="000D41E9"/>
    <w:rsid w:val="000D41F8"/>
    <w:rsid w:val="000D4772"/>
    <w:rsid w:val="000D50F9"/>
    <w:rsid w:val="000D5151"/>
    <w:rsid w:val="000D5953"/>
    <w:rsid w:val="000D5981"/>
    <w:rsid w:val="000D59A3"/>
    <w:rsid w:val="000D59C3"/>
    <w:rsid w:val="000D5A5A"/>
    <w:rsid w:val="000D5BE1"/>
    <w:rsid w:val="000D5E61"/>
    <w:rsid w:val="000D5E86"/>
    <w:rsid w:val="000D6558"/>
    <w:rsid w:val="000D6B3A"/>
    <w:rsid w:val="000D7110"/>
    <w:rsid w:val="000D7317"/>
    <w:rsid w:val="000D7506"/>
    <w:rsid w:val="000E0260"/>
    <w:rsid w:val="000E02ED"/>
    <w:rsid w:val="000E031C"/>
    <w:rsid w:val="000E04B9"/>
    <w:rsid w:val="000E0520"/>
    <w:rsid w:val="000E071C"/>
    <w:rsid w:val="000E0820"/>
    <w:rsid w:val="000E0CE2"/>
    <w:rsid w:val="000E0EBF"/>
    <w:rsid w:val="000E1DDE"/>
    <w:rsid w:val="000E1F37"/>
    <w:rsid w:val="000E27A8"/>
    <w:rsid w:val="000E2A13"/>
    <w:rsid w:val="000E2BAF"/>
    <w:rsid w:val="000E2E06"/>
    <w:rsid w:val="000E302E"/>
    <w:rsid w:val="000E31E5"/>
    <w:rsid w:val="000E3599"/>
    <w:rsid w:val="000E36C7"/>
    <w:rsid w:val="000E381A"/>
    <w:rsid w:val="000E3C06"/>
    <w:rsid w:val="000E401D"/>
    <w:rsid w:val="000E4B06"/>
    <w:rsid w:val="000E4DAA"/>
    <w:rsid w:val="000E4DCB"/>
    <w:rsid w:val="000E4E71"/>
    <w:rsid w:val="000E50A2"/>
    <w:rsid w:val="000E5860"/>
    <w:rsid w:val="000E5D36"/>
    <w:rsid w:val="000E5D99"/>
    <w:rsid w:val="000E6080"/>
    <w:rsid w:val="000E6105"/>
    <w:rsid w:val="000E6331"/>
    <w:rsid w:val="000E641A"/>
    <w:rsid w:val="000E647D"/>
    <w:rsid w:val="000E6617"/>
    <w:rsid w:val="000E68D9"/>
    <w:rsid w:val="000E6CDA"/>
    <w:rsid w:val="000E6FDD"/>
    <w:rsid w:val="000E7090"/>
    <w:rsid w:val="000E7482"/>
    <w:rsid w:val="000E7CC6"/>
    <w:rsid w:val="000E7FD3"/>
    <w:rsid w:val="000F0035"/>
    <w:rsid w:val="000F0172"/>
    <w:rsid w:val="000F04E7"/>
    <w:rsid w:val="000F05E0"/>
    <w:rsid w:val="000F060A"/>
    <w:rsid w:val="000F08A1"/>
    <w:rsid w:val="000F08B2"/>
    <w:rsid w:val="000F0AFE"/>
    <w:rsid w:val="000F1050"/>
    <w:rsid w:val="000F13A1"/>
    <w:rsid w:val="000F15D0"/>
    <w:rsid w:val="000F227B"/>
    <w:rsid w:val="000F237B"/>
    <w:rsid w:val="000F277C"/>
    <w:rsid w:val="000F2AB9"/>
    <w:rsid w:val="000F2D8D"/>
    <w:rsid w:val="000F2F00"/>
    <w:rsid w:val="000F325C"/>
    <w:rsid w:val="000F3715"/>
    <w:rsid w:val="000F3AD7"/>
    <w:rsid w:val="000F3FA9"/>
    <w:rsid w:val="000F420B"/>
    <w:rsid w:val="000F459D"/>
    <w:rsid w:val="000F46B1"/>
    <w:rsid w:val="000F47EA"/>
    <w:rsid w:val="000F4828"/>
    <w:rsid w:val="000F48D2"/>
    <w:rsid w:val="000F5025"/>
    <w:rsid w:val="000F50DD"/>
    <w:rsid w:val="000F539C"/>
    <w:rsid w:val="000F570A"/>
    <w:rsid w:val="000F57FA"/>
    <w:rsid w:val="000F5B23"/>
    <w:rsid w:val="000F5B46"/>
    <w:rsid w:val="000F5D1F"/>
    <w:rsid w:val="000F5D87"/>
    <w:rsid w:val="000F6648"/>
    <w:rsid w:val="000F69E3"/>
    <w:rsid w:val="000F6DA3"/>
    <w:rsid w:val="000F6EEA"/>
    <w:rsid w:val="000F6F9B"/>
    <w:rsid w:val="000F7617"/>
    <w:rsid w:val="000F7C73"/>
    <w:rsid w:val="001002CE"/>
    <w:rsid w:val="001002FB"/>
    <w:rsid w:val="00100363"/>
    <w:rsid w:val="001007F4"/>
    <w:rsid w:val="00100801"/>
    <w:rsid w:val="00100B9C"/>
    <w:rsid w:val="00100FEB"/>
    <w:rsid w:val="00101222"/>
    <w:rsid w:val="001012BF"/>
    <w:rsid w:val="001019B4"/>
    <w:rsid w:val="00101CFD"/>
    <w:rsid w:val="001021DF"/>
    <w:rsid w:val="001026A0"/>
    <w:rsid w:val="001028A8"/>
    <w:rsid w:val="0010292F"/>
    <w:rsid w:val="00102941"/>
    <w:rsid w:val="00102BB0"/>
    <w:rsid w:val="00102E9C"/>
    <w:rsid w:val="00103012"/>
    <w:rsid w:val="0010312D"/>
    <w:rsid w:val="0010323D"/>
    <w:rsid w:val="0010325E"/>
    <w:rsid w:val="001032CF"/>
    <w:rsid w:val="00103C53"/>
    <w:rsid w:val="00103EAB"/>
    <w:rsid w:val="001042AD"/>
    <w:rsid w:val="0010452B"/>
    <w:rsid w:val="0010456A"/>
    <w:rsid w:val="001045E2"/>
    <w:rsid w:val="0010468A"/>
    <w:rsid w:val="00104B23"/>
    <w:rsid w:val="00104CE6"/>
    <w:rsid w:val="00105355"/>
    <w:rsid w:val="0010575C"/>
    <w:rsid w:val="001058D2"/>
    <w:rsid w:val="0010597E"/>
    <w:rsid w:val="00105D8C"/>
    <w:rsid w:val="00105F32"/>
    <w:rsid w:val="001060B3"/>
    <w:rsid w:val="001064FC"/>
    <w:rsid w:val="001069EA"/>
    <w:rsid w:val="00106A82"/>
    <w:rsid w:val="00106DFA"/>
    <w:rsid w:val="00106ED1"/>
    <w:rsid w:val="00106F40"/>
    <w:rsid w:val="00106F83"/>
    <w:rsid w:val="00106FF3"/>
    <w:rsid w:val="00107875"/>
    <w:rsid w:val="00107910"/>
    <w:rsid w:val="00107D5E"/>
    <w:rsid w:val="00110116"/>
    <w:rsid w:val="00110179"/>
    <w:rsid w:val="00110A80"/>
    <w:rsid w:val="00110C3A"/>
    <w:rsid w:val="00110CEE"/>
    <w:rsid w:val="001110B4"/>
    <w:rsid w:val="00111394"/>
    <w:rsid w:val="0011146E"/>
    <w:rsid w:val="001119C9"/>
    <w:rsid w:val="00111CF2"/>
    <w:rsid w:val="001121B2"/>
    <w:rsid w:val="0011248B"/>
    <w:rsid w:val="00112821"/>
    <w:rsid w:val="00112A33"/>
    <w:rsid w:val="00112D21"/>
    <w:rsid w:val="00112FCC"/>
    <w:rsid w:val="001133D4"/>
    <w:rsid w:val="001136AF"/>
    <w:rsid w:val="00113B62"/>
    <w:rsid w:val="0011449F"/>
    <w:rsid w:val="00114D84"/>
    <w:rsid w:val="0011520C"/>
    <w:rsid w:val="00115354"/>
    <w:rsid w:val="00115519"/>
    <w:rsid w:val="00115CBB"/>
    <w:rsid w:val="001164C8"/>
    <w:rsid w:val="001169D0"/>
    <w:rsid w:val="00117244"/>
    <w:rsid w:val="00117255"/>
    <w:rsid w:val="001179F0"/>
    <w:rsid w:val="00117BA4"/>
    <w:rsid w:val="00117D9C"/>
    <w:rsid w:val="00120072"/>
    <w:rsid w:val="001204F5"/>
    <w:rsid w:val="0012055A"/>
    <w:rsid w:val="00120945"/>
    <w:rsid w:val="001209D9"/>
    <w:rsid w:val="00120BCF"/>
    <w:rsid w:val="00120D68"/>
    <w:rsid w:val="00120ECF"/>
    <w:rsid w:val="00120F2A"/>
    <w:rsid w:val="00121246"/>
    <w:rsid w:val="00121A04"/>
    <w:rsid w:val="001221DC"/>
    <w:rsid w:val="00122302"/>
    <w:rsid w:val="00122482"/>
    <w:rsid w:val="00122C5F"/>
    <w:rsid w:val="00122D20"/>
    <w:rsid w:val="00122FA5"/>
    <w:rsid w:val="00123123"/>
    <w:rsid w:val="00123312"/>
    <w:rsid w:val="00123333"/>
    <w:rsid w:val="0012377D"/>
    <w:rsid w:val="0012390D"/>
    <w:rsid w:val="00123AE1"/>
    <w:rsid w:val="00123BA3"/>
    <w:rsid w:val="001240FC"/>
    <w:rsid w:val="00124299"/>
    <w:rsid w:val="00124381"/>
    <w:rsid w:val="00124478"/>
    <w:rsid w:val="001244EB"/>
    <w:rsid w:val="001245D4"/>
    <w:rsid w:val="00124C26"/>
    <w:rsid w:val="00125386"/>
    <w:rsid w:val="00125659"/>
    <w:rsid w:val="00125866"/>
    <w:rsid w:val="00126264"/>
    <w:rsid w:val="0012664B"/>
    <w:rsid w:val="00126860"/>
    <w:rsid w:val="001268DC"/>
    <w:rsid w:val="00126A50"/>
    <w:rsid w:val="00126CF0"/>
    <w:rsid w:val="00126E1E"/>
    <w:rsid w:val="00126E76"/>
    <w:rsid w:val="00126EB8"/>
    <w:rsid w:val="00126EDE"/>
    <w:rsid w:val="00126FDD"/>
    <w:rsid w:val="0012713C"/>
    <w:rsid w:val="001273F2"/>
    <w:rsid w:val="001274D4"/>
    <w:rsid w:val="001274E3"/>
    <w:rsid w:val="00127622"/>
    <w:rsid w:val="0012792A"/>
    <w:rsid w:val="00127AB0"/>
    <w:rsid w:val="00130423"/>
    <w:rsid w:val="00130DB2"/>
    <w:rsid w:val="00131078"/>
    <w:rsid w:val="0013125C"/>
    <w:rsid w:val="00131358"/>
    <w:rsid w:val="00131FEC"/>
    <w:rsid w:val="001323FE"/>
    <w:rsid w:val="0013254D"/>
    <w:rsid w:val="001327F2"/>
    <w:rsid w:val="00132E22"/>
    <w:rsid w:val="00133041"/>
    <w:rsid w:val="001330E0"/>
    <w:rsid w:val="0013319D"/>
    <w:rsid w:val="001331B9"/>
    <w:rsid w:val="00133323"/>
    <w:rsid w:val="0013358F"/>
    <w:rsid w:val="0013366A"/>
    <w:rsid w:val="00133A89"/>
    <w:rsid w:val="00133E10"/>
    <w:rsid w:val="00133ECF"/>
    <w:rsid w:val="00134125"/>
    <w:rsid w:val="00134B16"/>
    <w:rsid w:val="00134B19"/>
    <w:rsid w:val="00134BD4"/>
    <w:rsid w:val="00134CCA"/>
    <w:rsid w:val="00135230"/>
    <w:rsid w:val="0013535C"/>
    <w:rsid w:val="00135819"/>
    <w:rsid w:val="00135A12"/>
    <w:rsid w:val="00135C76"/>
    <w:rsid w:val="00136178"/>
    <w:rsid w:val="001363AA"/>
    <w:rsid w:val="00136676"/>
    <w:rsid w:val="00136FA3"/>
    <w:rsid w:val="0013717D"/>
    <w:rsid w:val="0013725E"/>
    <w:rsid w:val="0013739A"/>
    <w:rsid w:val="00137AB9"/>
    <w:rsid w:val="00137BBF"/>
    <w:rsid w:val="00137DE2"/>
    <w:rsid w:val="001401F7"/>
    <w:rsid w:val="001402CD"/>
    <w:rsid w:val="00140541"/>
    <w:rsid w:val="001405C7"/>
    <w:rsid w:val="001407E2"/>
    <w:rsid w:val="001409A4"/>
    <w:rsid w:val="00140DE7"/>
    <w:rsid w:val="001410BE"/>
    <w:rsid w:val="00141443"/>
    <w:rsid w:val="0014173C"/>
    <w:rsid w:val="00141BF9"/>
    <w:rsid w:val="00141C97"/>
    <w:rsid w:val="00141CDE"/>
    <w:rsid w:val="00142058"/>
    <w:rsid w:val="00142165"/>
    <w:rsid w:val="0014217B"/>
    <w:rsid w:val="00142185"/>
    <w:rsid w:val="00142384"/>
    <w:rsid w:val="00142856"/>
    <w:rsid w:val="001428BC"/>
    <w:rsid w:val="00142A96"/>
    <w:rsid w:val="001433D0"/>
    <w:rsid w:val="001435A9"/>
    <w:rsid w:val="00143792"/>
    <w:rsid w:val="0014400B"/>
    <w:rsid w:val="00144688"/>
    <w:rsid w:val="001446E3"/>
    <w:rsid w:val="001447EF"/>
    <w:rsid w:val="0014514C"/>
    <w:rsid w:val="0014566E"/>
    <w:rsid w:val="00145A46"/>
    <w:rsid w:val="00145D38"/>
    <w:rsid w:val="00145E47"/>
    <w:rsid w:val="0014652A"/>
    <w:rsid w:val="00146619"/>
    <w:rsid w:val="001466C2"/>
    <w:rsid w:val="00146CEB"/>
    <w:rsid w:val="0014767B"/>
    <w:rsid w:val="00147884"/>
    <w:rsid w:val="00147A37"/>
    <w:rsid w:val="00147A4E"/>
    <w:rsid w:val="00147D37"/>
    <w:rsid w:val="00147F4D"/>
    <w:rsid w:val="001502BF"/>
    <w:rsid w:val="001504EB"/>
    <w:rsid w:val="00150AFF"/>
    <w:rsid w:val="00150D05"/>
    <w:rsid w:val="00150D6B"/>
    <w:rsid w:val="00150E9E"/>
    <w:rsid w:val="0015126A"/>
    <w:rsid w:val="001516D2"/>
    <w:rsid w:val="00151858"/>
    <w:rsid w:val="00151DFA"/>
    <w:rsid w:val="0015256B"/>
    <w:rsid w:val="00152613"/>
    <w:rsid w:val="001528F9"/>
    <w:rsid w:val="00152A5B"/>
    <w:rsid w:val="00152CF5"/>
    <w:rsid w:val="0015301D"/>
    <w:rsid w:val="0015409F"/>
    <w:rsid w:val="0015430A"/>
    <w:rsid w:val="00154395"/>
    <w:rsid w:val="00154843"/>
    <w:rsid w:val="00154F81"/>
    <w:rsid w:val="0015500B"/>
    <w:rsid w:val="001561DD"/>
    <w:rsid w:val="0015621E"/>
    <w:rsid w:val="001569BF"/>
    <w:rsid w:val="00156E21"/>
    <w:rsid w:val="0015709B"/>
    <w:rsid w:val="001570A9"/>
    <w:rsid w:val="001571EB"/>
    <w:rsid w:val="001572BB"/>
    <w:rsid w:val="00157A75"/>
    <w:rsid w:val="00157AAF"/>
    <w:rsid w:val="00157ADE"/>
    <w:rsid w:val="00157E41"/>
    <w:rsid w:val="00157FCD"/>
    <w:rsid w:val="001601CB"/>
    <w:rsid w:val="001602FA"/>
    <w:rsid w:val="001604D2"/>
    <w:rsid w:val="0016050F"/>
    <w:rsid w:val="0016089E"/>
    <w:rsid w:val="00160B47"/>
    <w:rsid w:val="00160C24"/>
    <w:rsid w:val="00160F4B"/>
    <w:rsid w:val="00160F52"/>
    <w:rsid w:val="0016103A"/>
    <w:rsid w:val="00161088"/>
    <w:rsid w:val="00161229"/>
    <w:rsid w:val="0016173C"/>
    <w:rsid w:val="00161A28"/>
    <w:rsid w:val="001621B6"/>
    <w:rsid w:val="00162434"/>
    <w:rsid w:val="0016249B"/>
    <w:rsid w:val="00162805"/>
    <w:rsid w:val="00162A10"/>
    <w:rsid w:val="00162D09"/>
    <w:rsid w:val="00162F7F"/>
    <w:rsid w:val="00163282"/>
    <w:rsid w:val="00163473"/>
    <w:rsid w:val="00163B7A"/>
    <w:rsid w:val="00163D10"/>
    <w:rsid w:val="0016403A"/>
    <w:rsid w:val="00164636"/>
    <w:rsid w:val="00164687"/>
    <w:rsid w:val="001649FE"/>
    <w:rsid w:val="00164A67"/>
    <w:rsid w:val="00165A44"/>
    <w:rsid w:val="00165ACE"/>
    <w:rsid w:val="0016617E"/>
    <w:rsid w:val="0016647E"/>
    <w:rsid w:val="00166587"/>
    <w:rsid w:val="00166753"/>
    <w:rsid w:val="0016706C"/>
    <w:rsid w:val="0016713F"/>
    <w:rsid w:val="00167199"/>
    <w:rsid w:val="001671EF"/>
    <w:rsid w:val="001672D7"/>
    <w:rsid w:val="00167415"/>
    <w:rsid w:val="001674D8"/>
    <w:rsid w:val="00167554"/>
    <w:rsid w:val="0016762E"/>
    <w:rsid w:val="0016770F"/>
    <w:rsid w:val="00167AD3"/>
    <w:rsid w:val="00167C03"/>
    <w:rsid w:val="001703E2"/>
    <w:rsid w:val="00170AF7"/>
    <w:rsid w:val="00170BFC"/>
    <w:rsid w:val="00170F65"/>
    <w:rsid w:val="0017131C"/>
    <w:rsid w:val="00171A05"/>
    <w:rsid w:val="00171C40"/>
    <w:rsid w:val="00171F64"/>
    <w:rsid w:val="00172045"/>
    <w:rsid w:val="001723C6"/>
    <w:rsid w:val="00172601"/>
    <w:rsid w:val="00172B18"/>
    <w:rsid w:val="00172EA7"/>
    <w:rsid w:val="001730D4"/>
    <w:rsid w:val="00173346"/>
    <w:rsid w:val="00173896"/>
    <w:rsid w:val="00173950"/>
    <w:rsid w:val="00173DC1"/>
    <w:rsid w:val="00174759"/>
    <w:rsid w:val="00174982"/>
    <w:rsid w:val="00174C35"/>
    <w:rsid w:val="00174DD8"/>
    <w:rsid w:val="00175020"/>
    <w:rsid w:val="0017502F"/>
    <w:rsid w:val="00175222"/>
    <w:rsid w:val="00175723"/>
    <w:rsid w:val="00175849"/>
    <w:rsid w:val="001758C4"/>
    <w:rsid w:val="0017627A"/>
    <w:rsid w:val="001768B3"/>
    <w:rsid w:val="00176E59"/>
    <w:rsid w:val="0017701A"/>
    <w:rsid w:val="00177622"/>
    <w:rsid w:val="0017784E"/>
    <w:rsid w:val="001778D1"/>
    <w:rsid w:val="00177B00"/>
    <w:rsid w:val="00180006"/>
    <w:rsid w:val="001801B8"/>
    <w:rsid w:val="001809E0"/>
    <w:rsid w:val="00180BF0"/>
    <w:rsid w:val="00180EE8"/>
    <w:rsid w:val="0018109C"/>
    <w:rsid w:val="001810AF"/>
    <w:rsid w:val="001811A0"/>
    <w:rsid w:val="001815C5"/>
    <w:rsid w:val="00181C50"/>
    <w:rsid w:val="00181F23"/>
    <w:rsid w:val="00182230"/>
    <w:rsid w:val="00182324"/>
    <w:rsid w:val="001828D4"/>
    <w:rsid w:val="0018297C"/>
    <w:rsid w:val="00182DC4"/>
    <w:rsid w:val="00183082"/>
    <w:rsid w:val="00183556"/>
    <w:rsid w:val="00183576"/>
    <w:rsid w:val="001836B9"/>
    <w:rsid w:val="001836F4"/>
    <w:rsid w:val="00183E82"/>
    <w:rsid w:val="00184044"/>
    <w:rsid w:val="001840DF"/>
    <w:rsid w:val="00184903"/>
    <w:rsid w:val="00184936"/>
    <w:rsid w:val="001849D8"/>
    <w:rsid w:val="00184AD8"/>
    <w:rsid w:val="00184AEE"/>
    <w:rsid w:val="00184D0B"/>
    <w:rsid w:val="00184F74"/>
    <w:rsid w:val="001852B6"/>
    <w:rsid w:val="00185C05"/>
    <w:rsid w:val="00185E2A"/>
    <w:rsid w:val="00185F12"/>
    <w:rsid w:val="00185F91"/>
    <w:rsid w:val="00186061"/>
    <w:rsid w:val="0018631B"/>
    <w:rsid w:val="00186C93"/>
    <w:rsid w:val="00186D6B"/>
    <w:rsid w:val="00186F1A"/>
    <w:rsid w:val="001870D7"/>
    <w:rsid w:val="00187132"/>
    <w:rsid w:val="00187138"/>
    <w:rsid w:val="001873B7"/>
    <w:rsid w:val="00187663"/>
    <w:rsid w:val="0018766A"/>
    <w:rsid w:val="001878BB"/>
    <w:rsid w:val="001878D4"/>
    <w:rsid w:val="001878D7"/>
    <w:rsid w:val="00187DA7"/>
    <w:rsid w:val="00187E31"/>
    <w:rsid w:val="001900BF"/>
    <w:rsid w:val="0019031E"/>
    <w:rsid w:val="001906CB"/>
    <w:rsid w:val="00190AFF"/>
    <w:rsid w:val="00190CA8"/>
    <w:rsid w:val="0019102E"/>
    <w:rsid w:val="001912C5"/>
    <w:rsid w:val="001915C6"/>
    <w:rsid w:val="00191A1C"/>
    <w:rsid w:val="00191A2E"/>
    <w:rsid w:val="00191AE0"/>
    <w:rsid w:val="001920D9"/>
    <w:rsid w:val="001921BD"/>
    <w:rsid w:val="0019293B"/>
    <w:rsid w:val="00192DA5"/>
    <w:rsid w:val="00193592"/>
    <w:rsid w:val="0019381F"/>
    <w:rsid w:val="0019426B"/>
    <w:rsid w:val="0019493B"/>
    <w:rsid w:val="001949AC"/>
    <w:rsid w:val="00194B7B"/>
    <w:rsid w:val="00194D53"/>
    <w:rsid w:val="001950B0"/>
    <w:rsid w:val="001955F5"/>
    <w:rsid w:val="00195761"/>
    <w:rsid w:val="001957EB"/>
    <w:rsid w:val="00195A86"/>
    <w:rsid w:val="00195BE6"/>
    <w:rsid w:val="00195BF6"/>
    <w:rsid w:val="00195C9C"/>
    <w:rsid w:val="001961FB"/>
    <w:rsid w:val="001965E5"/>
    <w:rsid w:val="0019669A"/>
    <w:rsid w:val="001966CD"/>
    <w:rsid w:val="00196872"/>
    <w:rsid w:val="00196AA4"/>
    <w:rsid w:val="00196C89"/>
    <w:rsid w:val="0019703B"/>
    <w:rsid w:val="001970C8"/>
    <w:rsid w:val="0019724A"/>
    <w:rsid w:val="00197271"/>
    <w:rsid w:val="001974CC"/>
    <w:rsid w:val="0019769F"/>
    <w:rsid w:val="001977D3"/>
    <w:rsid w:val="001A02AF"/>
    <w:rsid w:val="001A0423"/>
    <w:rsid w:val="001A0DF3"/>
    <w:rsid w:val="001A0EE8"/>
    <w:rsid w:val="001A10DC"/>
    <w:rsid w:val="001A177F"/>
    <w:rsid w:val="001A2896"/>
    <w:rsid w:val="001A3354"/>
    <w:rsid w:val="001A33DC"/>
    <w:rsid w:val="001A351C"/>
    <w:rsid w:val="001A39B1"/>
    <w:rsid w:val="001A3A22"/>
    <w:rsid w:val="001A3C86"/>
    <w:rsid w:val="001A4165"/>
    <w:rsid w:val="001A4170"/>
    <w:rsid w:val="001A45AF"/>
    <w:rsid w:val="001A4887"/>
    <w:rsid w:val="001A49F1"/>
    <w:rsid w:val="001A4A3F"/>
    <w:rsid w:val="001A4C93"/>
    <w:rsid w:val="001A4DC5"/>
    <w:rsid w:val="001A510B"/>
    <w:rsid w:val="001A5179"/>
    <w:rsid w:val="001A520E"/>
    <w:rsid w:val="001A523D"/>
    <w:rsid w:val="001A55A1"/>
    <w:rsid w:val="001A5A58"/>
    <w:rsid w:val="001A5AFB"/>
    <w:rsid w:val="001A5E00"/>
    <w:rsid w:val="001A604C"/>
    <w:rsid w:val="001A60C5"/>
    <w:rsid w:val="001A61FE"/>
    <w:rsid w:val="001A645A"/>
    <w:rsid w:val="001A65E0"/>
    <w:rsid w:val="001A664F"/>
    <w:rsid w:val="001A67CC"/>
    <w:rsid w:val="001A697C"/>
    <w:rsid w:val="001A6A4B"/>
    <w:rsid w:val="001A7146"/>
    <w:rsid w:val="001A71C4"/>
    <w:rsid w:val="001A78A6"/>
    <w:rsid w:val="001A7E59"/>
    <w:rsid w:val="001B0132"/>
    <w:rsid w:val="001B0207"/>
    <w:rsid w:val="001B034B"/>
    <w:rsid w:val="001B05F1"/>
    <w:rsid w:val="001B0C2E"/>
    <w:rsid w:val="001B110F"/>
    <w:rsid w:val="001B1380"/>
    <w:rsid w:val="001B14AC"/>
    <w:rsid w:val="001B191A"/>
    <w:rsid w:val="001B1A36"/>
    <w:rsid w:val="001B2011"/>
    <w:rsid w:val="001B225F"/>
    <w:rsid w:val="001B24E0"/>
    <w:rsid w:val="001B2B13"/>
    <w:rsid w:val="001B2CCD"/>
    <w:rsid w:val="001B3B07"/>
    <w:rsid w:val="001B3BE1"/>
    <w:rsid w:val="001B3CBC"/>
    <w:rsid w:val="001B4222"/>
    <w:rsid w:val="001B43B0"/>
    <w:rsid w:val="001B459E"/>
    <w:rsid w:val="001B4FFE"/>
    <w:rsid w:val="001B5225"/>
    <w:rsid w:val="001B5282"/>
    <w:rsid w:val="001B5313"/>
    <w:rsid w:val="001B5689"/>
    <w:rsid w:val="001B5720"/>
    <w:rsid w:val="001B5A61"/>
    <w:rsid w:val="001B62B1"/>
    <w:rsid w:val="001B6304"/>
    <w:rsid w:val="001B640E"/>
    <w:rsid w:val="001B6436"/>
    <w:rsid w:val="001B64E1"/>
    <w:rsid w:val="001B67EE"/>
    <w:rsid w:val="001B695E"/>
    <w:rsid w:val="001B6B0D"/>
    <w:rsid w:val="001B6F98"/>
    <w:rsid w:val="001B77C3"/>
    <w:rsid w:val="001B79FE"/>
    <w:rsid w:val="001B7AF6"/>
    <w:rsid w:val="001B7D59"/>
    <w:rsid w:val="001B7F37"/>
    <w:rsid w:val="001C0174"/>
    <w:rsid w:val="001C0575"/>
    <w:rsid w:val="001C0865"/>
    <w:rsid w:val="001C0AED"/>
    <w:rsid w:val="001C1183"/>
    <w:rsid w:val="001C13CF"/>
    <w:rsid w:val="001C140D"/>
    <w:rsid w:val="001C197B"/>
    <w:rsid w:val="001C1A91"/>
    <w:rsid w:val="001C1ADD"/>
    <w:rsid w:val="001C21C3"/>
    <w:rsid w:val="001C2823"/>
    <w:rsid w:val="001C287B"/>
    <w:rsid w:val="001C2A3E"/>
    <w:rsid w:val="001C2DDE"/>
    <w:rsid w:val="001C31EA"/>
    <w:rsid w:val="001C32AC"/>
    <w:rsid w:val="001C361C"/>
    <w:rsid w:val="001C37C4"/>
    <w:rsid w:val="001C37FA"/>
    <w:rsid w:val="001C3A73"/>
    <w:rsid w:val="001C3ABA"/>
    <w:rsid w:val="001C3B53"/>
    <w:rsid w:val="001C3BEC"/>
    <w:rsid w:val="001C3E8C"/>
    <w:rsid w:val="001C4185"/>
    <w:rsid w:val="001C5034"/>
    <w:rsid w:val="001C50B5"/>
    <w:rsid w:val="001C5111"/>
    <w:rsid w:val="001C5763"/>
    <w:rsid w:val="001C5824"/>
    <w:rsid w:val="001C59A3"/>
    <w:rsid w:val="001C5D3B"/>
    <w:rsid w:val="001C6243"/>
    <w:rsid w:val="001C6611"/>
    <w:rsid w:val="001C66B4"/>
    <w:rsid w:val="001C68F7"/>
    <w:rsid w:val="001C733A"/>
    <w:rsid w:val="001C75A6"/>
    <w:rsid w:val="001C76D0"/>
    <w:rsid w:val="001C7892"/>
    <w:rsid w:val="001C7D20"/>
    <w:rsid w:val="001D0352"/>
    <w:rsid w:val="001D03AC"/>
    <w:rsid w:val="001D094D"/>
    <w:rsid w:val="001D0F64"/>
    <w:rsid w:val="001D1226"/>
    <w:rsid w:val="001D1242"/>
    <w:rsid w:val="001D180C"/>
    <w:rsid w:val="001D1A31"/>
    <w:rsid w:val="001D1DCF"/>
    <w:rsid w:val="001D1FBE"/>
    <w:rsid w:val="001D214A"/>
    <w:rsid w:val="001D222F"/>
    <w:rsid w:val="001D25C4"/>
    <w:rsid w:val="001D2652"/>
    <w:rsid w:val="001D2921"/>
    <w:rsid w:val="001D2AEB"/>
    <w:rsid w:val="001D2B3F"/>
    <w:rsid w:val="001D32BC"/>
    <w:rsid w:val="001D3534"/>
    <w:rsid w:val="001D3559"/>
    <w:rsid w:val="001D3A6D"/>
    <w:rsid w:val="001D3E7F"/>
    <w:rsid w:val="001D402C"/>
    <w:rsid w:val="001D4176"/>
    <w:rsid w:val="001D448D"/>
    <w:rsid w:val="001D45F8"/>
    <w:rsid w:val="001D4672"/>
    <w:rsid w:val="001D479F"/>
    <w:rsid w:val="001D4EB0"/>
    <w:rsid w:val="001D50BF"/>
    <w:rsid w:val="001D5F28"/>
    <w:rsid w:val="001D608A"/>
    <w:rsid w:val="001D62F4"/>
    <w:rsid w:val="001D6574"/>
    <w:rsid w:val="001D65C4"/>
    <w:rsid w:val="001D69A6"/>
    <w:rsid w:val="001D6DBE"/>
    <w:rsid w:val="001D7070"/>
    <w:rsid w:val="001D73F8"/>
    <w:rsid w:val="001D7678"/>
    <w:rsid w:val="001D772E"/>
    <w:rsid w:val="001D7A6F"/>
    <w:rsid w:val="001E03EF"/>
    <w:rsid w:val="001E068E"/>
    <w:rsid w:val="001E084A"/>
    <w:rsid w:val="001E09CF"/>
    <w:rsid w:val="001E0B9D"/>
    <w:rsid w:val="001E0BC0"/>
    <w:rsid w:val="001E0CA3"/>
    <w:rsid w:val="001E0DF9"/>
    <w:rsid w:val="001E1151"/>
    <w:rsid w:val="001E117E"/>
    <w:rsid w:val="001E1383"/>
    <w:rsid w:val="001E15D9"/>
    <w:rsid w:val="001E17DD"/>
    <w:rsid w:val="001E1C33"/>
    <w:rsid w:val="001E222C"/>
    <w:rsid w:val="001E2677"/>
    <w:rsid w:val="001E27D7"/>
    <w:rsid w:val="001E2910"/>
    <w:rsid w:val="001E3186"/>
    <w:rsid w:val="001E321F"/>
    <w:rsid w:val="001E4503"/>
    <w:rsid w:val="001E49B3"/>
    <w:rsid w:val="001E4CAB"/>
    <w:rsid w:val="001E5472"/>
    <w:rsid w:val="001E5761"/>
    <w:rsid w:val="001E5D74"/>
    <w:rsid w:val="001E6303"/>
    <w:rsid w:val="001E666A"/>
    <w:rsid w:val="001E6884"/>
    <w:rsid w:val="001E6A3E"/>
    <w:rsid w:val="001E6BA8"/>
    <w:rsid w:val="001E74A7"/>
    <w:rsid w:val="001E7BE8"/>
    <w:rsid w:val="001E7D7C"/>
    <w:rsid w:val="001E7D85"/>
    <w:rsid w:val="001F0248"/>
    <w:rsid w:val="001F049E"/>
    <w:rsid w:val="001F0A22"/>
    <w:rsid w:val="001F0EA0"/>
    <w:rsid w:val="001F0F7A"/>
    <w:rsid w:val="001F10A7"/>
    <w:rsid w:val="001F1C19"/>
    <w:rsid w:val="001F1C2C"/>
    <w:rsid w:val="001F1ECD"/>
    <w:rsid w:val="001F1FDC"/>
    <w:rsid w:val="001F23D6"/>
    <w:rsid w:val="001F267F"/>
    <w:rsid w:val="001F2CA4"/>
    <w:rsid w:val="001F3656"/>
    <w:rsid w:val="001F36E2"/>
    <w:rsid w:val="001F37FB"/>
    <w:rsid w:val="001F3907"/>
    <w:rsid w:val="001F3950"/>
    <w:rsid w:val="001F39CD"/>
    <w:rsid w:val="001F3BB3"/>
    <w:rsid w:val="001F3BF6"/>
    <w:rsid w:val="001F3EB3"/>
    <w:rsid w:val="001F40CA"/>
    <w:rsid w:val="001F430E"/>
    <w:rsid w:val="001F458F"/>
    <w:rsid w:val="001F48EE"/>
    <w:rsid w:val="001F4A1B"/>
    <w:rsid w:val="001F4F86"/>
    <w:rsid w:val="001F5EBB"/>
    <w:rsid w:val="001F6366"/>
    <w:rsid w:val="001F6993"/>
    <w:rsid w:val="001F6D9F"/>
    <w:rsid w:val="001F7273"/>
    <w:rsid w:val="001F745E"/>
    <w:rsid w:val="001F7697"/>
    <w:rsid w:val="001F7750"/>
    <w:rsid w:val="001F77C1"/>
    <w:rsid w:val="001F77C8"/>
    <w:rsid w:val="001F78FE"/>
    <w:rsid w:val="001F7902"/>
    <w:rsid w:val="001F7915"/>
    <w:rsid w:val="001F7B2D"/>
    <w:rsid w:val="001F7B9C"/>
    <w:rsid w:val="001F7E22"/>
    <w:rsid w:val="00200404"/>
    <w:rsid w:val="00200656"/>
    <w:rsid w:val="0020079F"/>
    <w:rsid w:val="0020088B"/>
    <w:rsid w:val="00200AD4"/>
    <w:rsid w:val="00200C3B"/>
    <w:rsid w:val="00201036"/>
    <w:rsid w:val="002010A1"/>
    <w:rsid w:val="0020135C"/>
    <w:rsid w:val="002015F7"/>
    <w:rsid w:val="002017A9"/>
    <w:rsid w:val="00201A0C"/>
    <w:rsid w:val="00201A8F"/>
    <w:rsid w:val="00201E70"/>
    <w:rsid w:val="00202085"/>
    <w:rsid w:val="0020217D"/>
    <w:rsid w:val="002021FA"/>
    <w:rsid w:val="00202782"/>
    <w:rsid w:val="00202B67"/>
    <w:rsid w:val="00202C2C"/>
    <w:rsid w:val="00202C53"/>
    <w:rsid w:val="00202E23"/>
    <w:rsid w:val="00202E80"/>
    <w:rsid w:val="00203050"/>
    <w:rsid w:val="0020317D"/>
    <w:rsid w:val="00203357"/>
    <w:rsid w:val="00203359"/>
    <w:rsid w:val="002033B3"/>
    <w:rsid w:val="002036C5"/>
    <w:rsid w:val="00203802"/>
    <w:rsid w:val="00203D72"/>
    <w:rsid w:val="00204447"/>
    <w:rsid w:val="00204AF8"/>
    <w:rsid w:val="00204B16"/>
    <w:rsid w:val="00204B28"/>
    <w:rsid w:val="00205680"/>
    <w:rsid w:val="0020593B"/>
    <w:rsid w:val="00205DD2"/>
    <w:rsid w:val="00206773"/>
    <w:rsid w:val="00206996"/>
    <w:rsid w:val="00206A2F"/>
    <w:rsid w:val="002071D4"/>
    <w:rsid w:val="0020732C"/>
    <w:rsid w:val="00207384"/>
    <w:rsid w:val="00207460"/>
    <w:rsid w:val="0020771F"/>
    <w:rsid w:val="00207949"/>
    <w:rsid w:val="00207F6A"/>
    <w:rsid w:val="00210115"/>
    <w:rsid w:val="002101C5"/>
    <w:rsid w:val="00210267"/>
    <w:rsid w:val="00210423"/>
    <w:rsid w:val="002109EA"/>
    <w:rsid w:val="00210AC7"/>
    <w:rsid w:val="00210CE6"/>
    <w:rsid w:val="00210D80"/>
    <w:rsid w:val="00210E09"/>
    <w:rsid w:val="00210E90"/>
    <w:rsid w:val="00210FE5"/>
    <w:rsid w:val="0021101E"/>
    <w:rsid w:val="002110A1"/>
    <w:rsid w:val="00211141"/>
    <w:rsid w:val="0021148B"/>
    <w:rsid w:val="00211662"/>
    <w:rsid w:val="0021272E"/>
    <w:rsid w:val="00212B9C"/>
    <w:rsid w:val="00212BE2"/>
    <w:rsid w:val="00212EC4"/>
    <w:rsid w:val="00212F50"/>
    <w:rsid w:val="002135AB"/>
    <w:rsid w:val="002136ED"/>
    <w:rsid w:val="002137B6"/>
    <w:rsid w:val="0021397E"/>
    <w:rsid w:val="00213BDF"/>
    <w:rsid w:val="00213F6A"/>
    <w:rsid w:val="002144BE"/>
    <w:rsid w:val="00214673"/>
    <w:rsid w:val="00214887"/>
    <w:rsid w:val="00214BC4"/>
    <w:rsid w:val="002152F8"/>
    <w:rsid w:val="0021554A"/>
    <w:rsid w:val="00215951"/>
    <w:rsid w:val="00215BE2"/>
    <w:rsid w:val="00215EE1"/>
    <w:rsid w:val="00216605"/>
    <w:rsid w:val="002167B5"/>
    <w:rsid w:val="002168F9"/>
    <w:rsid w:val="00217034"/>
    <w:rsid w:val="00217161"/>
    <w:rsid w:val="00217D1D"/>
    <w:rsid w:val="00217E3E"/>
    <w:rsid w:val="00217F61"/>
    <w:rsid w:val="002203EA"/>
    <w:rsid w:val="0022056C"/>
    <w:rsid w:val="002206BD"/>
    <w:rsid w:val="002208EB"/>
    <w:rsid w:val="00220928"/>
    <w:rsid w:val="00220947"/>
    <w:rsid w:val="002209B8"/>
    <w:rsid w:val="00220CBD"/>
    <w:rsid w:val="00220D17"/>
    <w:rsid w:val="00220D94"/>
    <w:rsid w:val="0022114B"/>
    <w:rsid w:val="00221153"/>
    <w:rsid w:val="002212A6"/>
    <w:rsid w:val="002215DF"/>
    <w:rsid w:val="0022164E"/>
    <w:rsid w:val="00221F1C"/>
    <w:rsid w:val="002222ED"/>
    <w:rsid w:val="002224BF"/>
    <w:rsid w:val="00222570"/>
    <w:rsid w:val="002225A5"/>
    <w:rsid w:val="00222BD9"/>
    <w:rsid w:val="00222E05"/>
    <w:rsid w:val="00222EDB"/>
    <w:rsid w:val="00223088"/>
    <w:rsid w:val="0022362D"/>
    <w:rsid w:val="002238DE"/>
    <w:rsid w:val="00223E2E"/>
    <w:rsid w:val="0022464D"/>
    <w:rsid w:val="00225546"/>
    <w:rsid w:val="00225863"/>
    <w:rsid w:val="002259AB"/>
    <w:rsid w:val="00226140"/>
    <w:rsid w:val="00226333"/>
    <w:rsid w:val="00226623"/>
    <w:rsid w:val="0022662C"/>
    <w:rsid w:val="002267B2"/>
    <w:rsid w:val="00226815"/>
    <w:rsid w:val="00226D43"/>
    <w:rsid w:val="00227529"/>
    <w:rsid w:val="00227724"/>
    <w:rsid w:val="00227850"/>
    <w:rsid w:val="00227D4E"/>
    <w:rsid w:val="00227DA6"/>
    <w:rsid w:val="00227EC6"/>
    <w:rsid w:val="00227F32"/>
    <w:rsid w:val="00230215"/>
    <w:rsid w:val="00230500"/>
    <w:rsid w:val="002305F2"/>
    <w:rsid w:val="0023060B"/>
    <w:rsid w:val="0023075C"/>
    <w:rsid w:val="00231252"/>
    <w:rsid w:val="0023125E"/>
    <w:rsid w:val="002319A4"/>
    <w:rsid w:val="00231FC9"/>
    <w:rsid w:val="002320B8"/>
    <w:rsid w:val="0023230D"/>
    <w:rsid w:val="00232326"/>
    <w:rsid w:val="00232346"/>
    <w:rsid w:val="0023287F"/>
    <w:rsid w:val="00232B2D"/>
    <w:rsid w:val="00232EAD"/>
    <w:rsid w:val="0023305C"/>
    <w:rsid w:val="002334CA"/>
    <w:rsid w:val="0023390A"/>
    <w:rsid w:val="00233D5D"/>
    <w:rsid w:val="00233E7C"/>
    <w:rsid w:val="00233F8F"/>
    <w:rsid w:val="0023409C"/>
    <w:rsid w:val="002344BD"/>
    <w:rsid w:val="00234827"/>
    <w:rsid w:val="00234C29"/>
    <w:rsid w:val="00234FC4"/>
    <w:rsid w:val="00235194"/>
    <w:rsid w:val="00235446"/>
    <w:rsid w:val="0023568E"/>
    <w:rsid w:val="00235750"/>
    <w:rsid w:val="002357D4"/>
    <w:rsid w:val="00235B42"/>
    <w:rsid w:val="00235FE8"/>
    <w:rsid w:val="0023611E"/>
    <w:rsid w:val="002361EA"/>
    <w:rsid w:val="002366AD"/>
    <w:rsid w:val="00236898"/>
    <w:rsid w:val="002369C5"/>
    <w:rsid w:val="00236C87"/>
    <w:rsid w:val="0023742D"/>
    <w:rsid w:val="00237674"/>
    <w:rsid w:val="00240056"/>
    <w:rsid w:val="00240221"/>
    <w:rsid w:val="00240322"/>
    <w:rsid w:val="00240D80"/>
    <w:rsid w:val="00240F5E"/>
    <w:rsid w:val="0024124E"/>
    <w:rsid w:val="002414A2"/>
    <w:rsid w:val="00241826"/>
    <w:rsid w:val="00241B2C"/>
    <w:rsid w:val="00241CA9"/>
    <w:rsid w:val="00241ED5"/>
    <w:rsid w:val="00242279"/>
    <w:rsid w:val="002422CF"/>
    <w:rsid w:val="002428A4"/>
    <w:rsid w:val="002428B5"/>
    <w:rsid w:val="00242B82"/>
    <w:rsid w:val="00242D3A"/>
    <w:rsid w:val="00243090"/>
    <w:rsid w:val="00243337"/>
    <w:rsid w:val="002434E4"/>
    <w:rsid w:val="00243914"/>
    <w:rsid w:val="00243997"/>
    <w:rsid w:val="00243A57"/>
    <w:rsid w:val="00243B0C"/>
    <w:rsid w:val="00243CC5"/>
    <w:rsid w:val="00244090"/>
    <w:rsid w:val="002440B5"/>
    <w:rsid w:val="002442DE"/>
    <w:rsid w:val="002449EE"/>
    <w:rsid w:val="00244BC2"/>
    <w:rsid w:val="00245095"/>
    <w:rsid w:val="0024516C"/>
    <w:rsid w:val="002451DC"/>
    <w:rsid w:val="002456EC"/>
    <w:rsid w:val="002458FF"/>
    <w:rsid w:val="00245AA7"/>
    <w:rsid w:val="00245C82"/>
    <w:rsid w:val="00245DE6"/>
    <w:rsid w:val="00245F2C"/>
    <w:rsid w:val="002463C9"/>
    <w:rsid w:val="002463CB"/>
    <w:rsid w:val="00246420"/>
    <w:rsid w:val="002466AA"/>
    <w:rsid w:val="002466B9"/>
    <w:rsid w:val="00246A1E"/>
    <w:rsid w:val="00247C59"/>
    <w:rsid w:val="00247C66"/>
    <w:rsid w:val="00247E7B"/>
    <w:rsid w:val="00247F51"/>
    <w:rsid w:val="00250069"/>
    <w:rsid w:val="0025029C"/>
    <w:rsid w:val="00250495"/>
    <w:rsid w:val="0025065C"/>
    <w:rsid w:val="00250965"/>
    <w:rsid w:val="00250F49"/>
    <w:rsid w:val="00250FE4"/>
    <w:rsid w:val="00251027"/>
    <w:rsid w:val="002511FF"/>
    <w:rsid w:val="00251200"/>
    <w:rsid w:val="0025145D"/>
    <w:rsid w:val="002514C0"/>
    <w:rsid w:val="002518CE"/>
    <w:rsid w:val="002519A1"/>
    <w:rsid w:val="00251DD8"/>
    <w:rsid w:val="002523C5"/>
    <w:rsid w:val="00252537"/>
    <w:rsid w:val="002529AB"/>
    <w:rsid w:val="00252E8F"/>
    <w:rsid w:val="00253021"/>
    <w:rsid w:val="00253740"/>
    <w:rsid w:val="00253BE0"/>
    <w:rsid w:val="00253D1D"/>
    <w:rsid w:val="002540D7"/>
    <w:rsid w:val="00254249"/>
    <w:rsid w:val="00254303"/>
    <w:rsid w:val="00254BFB"/>
    <w:rsid w:val="00254FD2"/>
    <w:rsid w:val="002554AE"/>
    <w:rsid w:val="00255658"/>
    <w:rsid w:val="0025566C"/>
    <w:rsid w:val="002558DB"/>
    <w:rsid w:val="00255A0B"/>
    <w:rsid w:val="00255A6C"/>
    <w:rsid w:val="00255ACB"/>
    <w:rsid w:val="00255CE2"/>
    <w:rsid w:val="002560FD"/>
    <w:rsid w:val="00256605"/>
    <w:rsid w:val="0025670E"/>
    <w:rsid w:val="0025681F"/>
    <w:rsid w:val="00256858"/>
    <w:rsid w:val="002568F3"/>
    <w:rsid w:val="002578CA"/>
    <w:rsid w:val="00257C9E"/>
    <w:rsid w:val="00257CA2"/>
    <w:rsid w:val="002600A6"/>
    <w:rsid w:val="00260557"/>
    <w:rsid w:val="002605CB"/>
    <w:rsid w:val="00260ACC"/>
    <w:rsid w:val="00260D55"/>
    <w:rsid w:val="00261D68"/>
    <w:rsid w:val="00261F2A"/>
    <w:rsid w:val="002623F7"/>
    <w:rsid w:val="00262511"/>
    <w:rsid w:val="002626CB"/>
    <w:rsid w:val="002633D0"/>
    <w:rsid w:val="002633EB"/>
    <w:rsid w:val="002634B6"/>
    <w:rsid w:val="002637DA"/>
    <w:rsid w:val="002637DC"/>
    <w:rsid w:val="00263A4D"/>
    <w:rsid w:val="00263D93"/>
    <w:rsid w:val="00263E12"/>
    <w:rsid w:val="00263EBD"/>
    <w:rsid w:val="00263EC6"/>
    <w:rsid w:val="00263EF0"/>
    <w:rsid w:val="00264B06"/>
    <w:rsid w:val="00264B96"/>
    <w:rsid w:val="00265288"/>
    <w:rsid w:val="00265A81"/>
    <w:rsid w:val="00265CB7"/>
    <w:rsid w:val="00265FDD"/>
    <w:rsid w:val="00266D48"/>
    <w:rsid w:val="00266DF2"/>
    <w:rsid w:val="00267079"/>
    <w:rsid w:val="00267443"/>
    <w:rsid w:val="0026782B"/>
    <w:rsid w:val="00267904"/>
    <w:rsid w:val="0026795F"/>
    <w:rsid w:val="00267C3C"/>
    <w:rsid w:val="00267C4F"/>
    <w:rsid w:val="00267CD9"/>
    <w:rsid w:val="00267CDB"/>
    <w:rsid w:val="00267D51"/>
    <w:rsid w:val="00267E9C"/>
    <w:rsid w:val="00267F8E"/>
    <w:rsid w:val="00270091"/>
    <w:rsid w:val="00270475"/>
    <w:rsid w:val="002707F5"/>
    <w:rsid w:val="0027118A"/>
    <w:rsid w:val="00271266"/>
    <w:rsid w:val="00271369"/>
    <w:rsid w:val="00271378"/>
    <w:rsid w:val="002713DB"/>
    <w:rsid w:val="002719AD"/>
    <w:rsid w:val="00271DB8"/>
    <w:rsid w:val="00271F0D"/>
    <w:rsid w:val="00271F3F"/>
    <w:rsid w:val="00271F71"/>
    <w:rsid w:val="002724BA"/>
    <w:rsid w:val="00272779"/>
    <w:rsid w:val="00272B13"/>
    <w:rsid w:val="00272F15"/>
    <w:rsid w:val="0027336B"/>
    <w:rsid w:val="00273643"/>
    <w:rsid w:val="00273A0E"/>
    <w:rsid w:val="00273B75"/>
    <w:rsid w:val="00273F8D"/>
    <w:rsid w:val="0027401C"/>
    <w:rsid w:val="00274323"/>
    <w:rsid w:val="002745EC"/>
    <w:rsid w:val="00274685"/>
    <w:rsid w:val="002746A6"/>
    <w:rsid w:val="0027492E"/>
    <w:rsid w:val="002749F0"/>
    <w:rsid w:val="00274A15"/>
    <w:rsid w:val="00274E2A"/>
    <w:rsid w:val="002755A6"/>
    <w:rsid w:val="002759A0"/>
    <w:rsid w:val="00275ED2"/>
    <w:rsid w:val="00275FA8"/>
    <w:rsid w:val="00276449"/>
    <w:rsid w:val="0027692C"/>
    <w:rsid w:val="00276BA8"/>
    <w:rsid w:val="00276D74"/>
    <w:rsid w:val="00277289"/>
    <w:rsid w:val="00277592"/>
    <w:rsid w:val="002776A4"/>
    <w:rsid w:val="002777B6"/>
    <w:rsid w:val="00277E7D"/>
    <w:rsid w:val="00280054"/>
    <w:rsid w:val="002801C4"/>
    <w:rsid w:val="002801C9"/>
    <w:rsid w:val="00280570"/>
    <w:rsid w:val="00280882"/>
    <w:rsid w:val="00280929"/>
    <w:rsid w:val="0028096A"/>
    <w:rsid w:val="002809E8"/>
    <w:rsid w:val="00280A03"/>
    <w:rsid w:val="00280B2D"/>
    <w:rsid w:val="00280EE2"/>
    <w:rsid w:val="00281231"/>
    <w:rsid w:val="002813EA"/>
    <w:rsid w:val="002816C3"/>
    <w:rsid w:val="00281913"/>
    <w:rsid w:val="00281914"/>
    <w:rsid w:val="00281C21"/>
    <w:rsid w:val="0028206E"/>
    <w:rsid w:val="00282297"/>
    <w:rsid w:val="00282684"/>
    <w:rsid w:val="00282B65"/>
    <w:rsid w:val="00282E68"/>
    <w:rsid w:val="00282E6E"/>
    <w:rsid w:val="00282F9A"/>
    <w:rsid w:val="00283355"/>
    <w:rsid w:val="002836DA"/>
    <w:rsid w:val="00283B37"/>
    <w:rsid w:val="00283D92"/>
    <w:rsid w:val="00283D9C"/>
    <w:rsid w:val="00283ED9"/>
    <w:rsid w:val="00284392"/>
    <w:rsid w:val="00284721"/>
    <w:rsid w:val="00284A28"/>
    <w:rsid w:val="0028525E"/>
    <w:rsid w:val="00285304"/>
    <w:rsid w:val="00285379"/>
    <w:rsid w:val="00285415"/>
    <w:rsid w:val="002854C5"/>
    <w:rsid w:val="00285C3F"/>
    <w:rsid w:val="00285D12"/>
    <w:rsid w:val="00285DBF"/>
    <w:rsid w:val="0028629B"/>
    <w:rsid w:val="002863EA"/>
    <w:rsid w:val="00286666"/>
    <w:rsid w:val="0028693A"/>
    <w:rsid w:val="00286F4A"/>
    <w:rsid w:val="002870D8"/>
    <w:rsid w:val="002870FC"/>
    <w:rsid w:val="00287163"/>
    <w:rsid w:val="00287397"/>
    <w:rsid w:val="00287767"/>
    <w:rsid w:val="0028792C"/>
    <w:rsid w:val="0029008D"/>
    <w:rsid w:val="0029046B"/>
    <w:rsid w:val="002905B1"/>
    <w:rsid w:val="002908D3"/>
    <w:rsid w:val="0029097F"/>
    <w:rsid w:val="00290A64"/>
    <w:rsid w:val="00290E6D"/>
    <w:rsid w:val="00291A48"/>
    <w:rsid w:val="00291B40"/>
    <w:rsid w:val="00292156"/>
    <w:rsid w:val="002921F6"/>
    <w:rsid w:val="0029244D"/>
    <w:rsid w:val="0029292A"/>
    <w:rsid w:val="00292C64"/>
    <w:rsid w:val="00292E23"/>
    <w:rsid w:val="00292EBD"/>
    <w:rsid w:val="00292EF6"/>
    <w:rsid w:val="002931E6"/>
    <w:rsid w:val="00293355"/>
    <w:rsid w:val="002933E0"/>
    <w:rsid w:val="002937A6"/>
    <w:rsid w:val="00293B05"/>
    <w:rsid w:val="00294213"/>
    <w:rsid w:val="002943E0"/>
    <w:rsid w:val="0029469B"/>
    <w:rsid w:val="0029490F"/>
    <w:rsid w:val="00294998"/>
    <w:rsid w:val="002950AC"/>
    <w:rsid w:val="002952AA"/>
    <w:rsid w:val="002956E3"/>
    <w:rsid w:val="00295CC7"/>
    <w:rsid w:val="00295DAC"/>
    <w:rsid w:val="00295F12"/>
    <w:rsid w:val="00296041"/>
    <w:rsid w:val="002969E2"/>
    <w:rsid w:val="002971DD"/>
    <w:rsid w:val="002973BC"/>
    <w:rsid w:val="002975B8"/>
    <w:rsid w:val="00297ED1"/>
    <w:rsid w:val="002A013B"/>
    <w:rsid w:val="002A01C0"/>
    <w:rsid w:val="002A02A1"/>
    <w:rsid w:val="002A044E"/>
    <w:rsid w:val="002A055E"/>
    <w:rsid w:val="002A0859"/>
    <w:rsid w:val="002A08AA"/>
    <w:rsid w:val="002A0B93"/>
    <w:rsid w:val="002A0DC9"/>
    <w:rsid w:val="002A0F8E"/>
    <w:rsid w:val="002A1395"/>
    <w:rsid w:val="002A13B5"/>
    <w:rsid w:val="002A1459"/>
    <w:rsid w:val="002A16AF"/>
    <w:rsid w:val="002A1780"/>
    <w:rsid w:val="002A1C02"/>
    <w:rsid w:val="002A21DB"/>
    <w:rsid w:val="002A22A7"/>
    <w:rsid w:val="002A231E"/>
    <w:rsid w:val="002A2361"/>
    <w:rsid w:val="002A2461"/>
    <w:rsid w:val="002A24FA"/>
    <w:rsid w:val="002A2700"/>
    <w:rsid w:val="002A276B"/>
    <w:rsid w:val="002A2805"/>
    <w:rsid w:val="002A2819"/>
    <w:rsid w:val="002A2919"/>
    <w:rsid w:val="002A2950"/>
    <w:rsid w:val="002A2DA2"/>
    <w:rsid w:val="002A2E21"/>
    <w:rsid w:val="002A3097"/>
    <w:rsid w:val="002A318B"/>
    <w:rsid w:val="002A38A7"/>
    <w:rsid w:val="002A3E55"/>
    <w:rsid w:val="002A471E"/>
    <w:rsid w:val="002A4790"/>
    <w:rsid w:val="002A49D4"/>
    <w:rsid w:val="002A4AE7"/>
    <w:rsid w:val="002A4AFA"/>
    <w:rsid w:val="002A4D93"/>
    <w:rsid w:val="002A560C"/>
    <w:rsid w:val="002A5EE8"/>
    <w:rsid w:val="002A60BC"/>
    <w:rsid w:val="002A63E7"/>
    <w:rsid w:val="002A642E"/>
    <w:rsid w:val="002A64B7"/>
    <w:rsid w:val="002A66F9"/>
    <w:rsid w:val="002A6845"/>
    <w:rsid w:val="002A69C6"/>
    <w:rsid w:val="002A6A1B"/>
    <w:rsid w:val="002A6D93"/>
    <w:rsid w:val="002A6E6F"/>
    <w:rsid w:val="002A7112"/>
    <w:rsid w:val="002A7316"/>
    <w:rsid w:val="002A76C8"/>
    <w:rsid w:val="002A776F"/>
    <w:rsid w:val="002A7E8F"/>
    <w:rsid w:val="002B00C7"/>
    <w:rsid w:val="002B072E"/>
    <w:rsid w:val="002B08C8"/>
    <w:rsid w:val="002B0970"/>
    <w:rsid w:val="002B10CD"/>
    <w:rsid w:val="002B12D5"/>
    <w:rsid w:val="002B14EB"/>
    <w:rsid w:val="002B15C8"/>
    <w:rsid w:val="002B16E5"/>
    <w:rsid w:val="002B18D7"/>
    <w:rsid w:val="002B197F"/>
    <w:rsid w:val="002B1C28"/>
    <w:rsid w:val="002B1D56"/>
    <w:rsid w:val="002B24F7"/>
    <w:rsid w:val="002B24FF"/>
    <w:rsid w:val="002B285D"/>
    <w:rsid w:val="002B2955"/>
    <w:rsid w:val="002B2D35"/>
    <w:rsid w:val="002B2F2E"/>
    <w:rsid w:val="002B379E"/>
    <w:rsid w:val="002B3EB7"/>
    <w:rsid w:val="002B3F38"/>
    <w:rsid w:val="002B4008"/>
    <w:rsid w:val="002B4199"/>
    <w:rsid w:val="002B41FC"/>
    <w:rsid w:val="002B4490"/>
    <w:rsid w:val="002B4897"/>
    <w:rsid w:val="002B4905"/>
    <w:rsid w:val="002B4926"/>
    <w:rsid w:val="002B4DAB"/>
    <w:rsid w:val="002B594E"/>
    <w:rsid w:val="002B59A7"/>
    <w:rsid w:val="002B5DF4"/>
    <w:rsid w:val="002B6A1E"/>
    <w:rsid w:val="002B7291"/>
    <w:rsid w:val="002B740F"/>
    <w:rsid w:val="002B743A"/>
    <w:rsid w:val="002B7447"/>
    <w:rsid w:val="002B746A"/>
    <w:rsid w:val="002B765F"/>
    <w:rsid w:val="002B7765"/>
    <w:rsid w:val="002B7818"/>
    <w:rsid w:val="002B79C1"/>
    <w:rsid w:val="002B7E57"/>
    <w:rsid w:val="002B7FE7"/>
    <w:rsid w:val="002C0475"/>
    <w:rsid w:val="002C0631"/>
    <w:rsid w:val="002C06E1"/>
    <w:rsid w:val="002C0752"/>
    <w:rsid w:val="002C07AF"/>
    <w:rsid w:val="002C0A3C"/>
    <w:rsid w:val="002C0AF7"/>
    <w:rsid w:val="002C0B3C"/>
    <w:rsid w:val="002C0F0B"/>
    <w:rsid w:val="002C1564"/>
    <w:rsid w:val="002C2231"/>
    <w:rsid w:val="002C23AC"/>
    <w:rsid w:val="002C2CFE"/>
    <w:rsid w:val="002C3347"/>
    <w:rsid w:val="002C3348"/>
    <w:rsid w:val="002C368A"/>
    <w:rsid w:val="002C3797"/>
    <w:rsid w:val="002C3D81"/>
    <w:rsid w:val="002C403D"/>
    <w:rsid w:val="002C407D"/>
    <w:rsid w:val="002C41E5"/>
    <w:rsid w:val="002C4291"/>
    <w:rsid w:val="002C439F"/>
    <w:rsid w:val="002C45A0"/>
    <w:rsid w:val="002C48E7"/>
    <w:rsid w:val="002C4957"/>
    <w:rsid w:val="002C4F63"/>
    <w:rsid w:val="002C5759"/>
    <w:rsid w:val="002C58A9"/>
    <w:rsid w:val="002C596B"/>
    <w:rsid w:val="002C5A8C"/>
    <w:rsid w:val="002C5E74"/>
    <w:rsid w:val="002C63E0"/>
    <w:rsid w:val="002C65EE"/>
    <w:rsid w:val="002C66CE"/>
    <w:rsid w:val="002C6846"/>
    <w:rsid w:val="002C6941"/>
    <w:rsid w:val="002C695E"/>
    <w:rsid w:val="002C6B2C"/>
    <w:rsid w:val="002C6BBC"/>
    <w:rsid w:val="002C6C95"/>
    <w:rsid w:val="002C6E4F"/>
    <w:rsid w:val="002C7867"/>
    <w:rsid w:val="002C79CD"/>
    <w:rsid w:val="002C7B7D"/>
    <w:rsid w:val="002D014E"/>
    <w:rsid w:val="002D0193"/>
    <w:rsid w:val="002D0458"/>
    <w:rsid w:val="002D0949"/>
    <w:rsid w:val="002D0A4A"/>
    <w:rsid w:val="002D0C42"/>
    <w:rsid w:val="002D0E8E"/>
    <w:rsid w:val="002D0ECB"/>
    <w:rsid w:val="002D116C"/>
    <w:rsid w:val="002D120C"/>
    <w:rsid w:val="002D12B4"/>
    <w:rsid w:val="002D1315"/>
    <w:rsid w:val="002D144E"/>
    <w:rsid w:val="002D16FD"/>
    <w:rsid w:val="002D17DE"/>
    <w:rsid w:val="002D1AA2"/>
    <w:rsid w:val="002D1C14"/>
    <w:rsid w:val="002D265E"/>
    <w:rsid w:val="002D2E17"/>
    <w:rsid w:val="002D2EE8"/>
    <w:rsid w:val="002D3B6A"/>
    <w:rsid w:val="002D42C1"/>
    <w:rsid w:val="002D4509"/>
    <w:rsid w:val="002D4713"/>
    <w:rsid w:val="002D47B8"/>
    <w:rsid w:val="002D4AE7"/>
    <w:rsid w:val="002D4C00"/>
    <w:rsid w:val="002D4C12"/>
    <w:rsid w:val="002D531F"/>
    <w:rsid w:val="002D547B"/>
    <w:rsid w:val="002D57CD"/>
    <w:rsid w:val="002D5D77"/>
    <w:rsid w:val="002D5E24"/>
    <w:rsid w:val="002D5F72"/>
    <w:rsid w:val="002D6270"/>
    <w:rsid w:val="002D651D"/>
    <w:rsid w:val="002D671E"/>
    <w:rsid w:val="002D674C"/>
    <w:rsid w:val="002D691F"/>
    <w:rsid w:val="002D6AE1"/>
    <w:rsid w:val="002D6DC6"/>
    <w:rsid w:val="002D6DEF"/>
    <w:rsid w:val="002D7013"/>
    <w:rsid w:val="002D7296"/>
    <w:rsid w:val="002D7504"/>
    <w:rsid w:val="002D79AE"/>
    <w:rsid w:val="002D7B91"/>
    <w:rsid w:val="002D7CBB"/>
    <w:rsid w:val="002E02B9"/>
    <w:rsid w:val="002E034D"/>
    <w:rsid w:val="002E0798"/>
    <w:rsid w:val="002E07C3"/>
    <w:rsid w:val="002E0A14"/>
    <w:rsid w:val="002E0CD6"/>
    <w:rsid w:val="002E0E49"/>
    <w:rsid w:val="002E10D3"/>
    <w:rsid w:val="002E11FC"/>
    <w:rsid w:val="002E124B"/>
    <w:rsid w:val="002E1643"/>
    <w:rsid w:val="002E16B0"/>
    <w:rsid w:val="002E1CC5"/>
    <w:rsid w:val="002E21E1"/>
    <w:rsid w:val="002E230D"/>
    <w:rsid w:val="002E247D"/>
    <w:rsid w:val="002E2546"/>
    <w:rsid w:val="002E27B8"/>
    <w:rsid w:val="002E2A6A"/>
    <w:rsid w:val="002E2AC0"/>
    <w:rsid w:val="002E2B6E"/>
    <w:rsid w:val="002E2C7D"/>
    <w:rsid w:val="002E2D84"/>
    <w:rsid w:val="002E2D9D"/>
    <w:rsid w:val="002E2DA5"/>
    <w:rsid w:val="002E2FB0"/>
    <w:rsid w:val="002E3340"/>
    <w:rsid w:val="002E3394"/>
    <w:rsid w:val="002E344A"/>
    <w:rsid w:val="002E3499"/>
    <w:rsid w:val="002E3A30"/>
    <w:rsid w:val="002E3AC0"/>
    <w:rsid w:val="002E3B36"/>
    <w:rsid w:val="002E3EC2"/>
    <w:rsid w:val="002E4576"/>
    <w:rsid w:val="002E47C2"/>
    <w:rsid w:val="002E4836"/>
    <w:rsid w:val="002E5631"/>
    <w:rsid w:val="002E5D6D"/>
    <w:rsid w:val="002E5F98"/>
    <w:rsid w:val="002E63DE"/>
    <w:rsid w:val="002E6795"/>
    <w:rsid w:val="002E6A46"/>
    <w:rsid w:val="002E6A9B"/>
    <w:rsid w:val="002E7054"/>
    <w:rsid w:val="002E7371"/>
    <w:rsid w:val="002E7426"/>
    <w:rsid w:val="002E76C4"/>
    <w:rsid w:val="002E77FC"/>
    <w:rsid w:val="002E7D7E"/>
    <w:rsid w:val="002F04BB"/>
    <w:rsid w:val="002F05F8"/>
    <w:rsid w:val="002F086F"/>
    <w:rsid w:val="002F09FD"/>
    <w:rsid w:val="002F0DE0"/>
    <w:rsid w:val="002F1064"/>
    <w:rsid w:val="002F1ED1"/>
    <w:rsid w:val="002F217A"/>
    <w:rsid w:val="002F21D2"/>
    <w:rsid w:val="002F260D"/>
    <w:rsid w:val="002F26AE"/>
    <w:rsid w:val="002F2767"/>
    <w:rsid w:val="002F2969"/>
    <w:rsid w:val="002F2EE0"/>
    <w:rsid w:val="002F36E2"/>
    <w:rsid w:val="002F37BB"/>
    <w:rsid w:val="002F37F5"/>
    <w:rsid w:val="002F3B55"/>
    <w:rsid w:val="002F3DCE"/>
    <w:rsid w:val="002F4352"/>
    <w:rsid w:val="002F437C"/>
    <w:rsid w:val="002F47F1"/>
    <w:rsid w:val="002F4A8C"/>
    <w:rsid w:val="002F4AFF"/>
    <w:rsid w:val="002F4C8A"/>
    <w:rsid w:val="002F529D"/>
    <w:rsid w:val="002F52A4"/>
    <w:rsid w:val="002F539C"/>
    <w:rsid w:val="002F55D9"/>
    <w:rsid w:val="002F57C2"/>
    <w:rsid w:val="002F59B8"/>
    <w:rsid w:val="002F6878"/>
    <w:rsid w:val="002F6BA1"/>
    <w:rsid w:val="002F6BF4"/>
    <w:rsid w:val="002F6CC7"/>
    <w:rsid w:val="002F6ED0"/>
    <w:rsid w:val="002F700C"/>
    <w:rsid w:val="002F71DF"/>
    <w:rsid w:val="002F71F0"/>
    <w:rsid w:val="002F73A3"/>
    <w:rsid w:val="002F73EB"/>
    <w:rsid w:val="002F76F6"/>
    <w:rsid w:val="002F79E3"/>
    <w:rsid w:val="002F7C71"/>
    <w:rsid w:val="003006AF"/>
    <w:rsid w:val="003006FD"/>
    <w:rsid w:val="003008C1"/>
    <w:rsid w:val="00300DA8"/>
    <w:rsid w:val="0030106D"/>
    <w:rsid w:val="00301151"/>
    <w:rsid w:val="00301178"/>
    <w:rsid w:val="00301189"/>
    <w:rsid w:val="003011D8"/>
    <w:rsid w:val="00301361"/>
    <w:rsid w:val="003013A9"/>
    <w:rsid w:val="00301D3F"/>
    <w:rsid w:val="00301E4A"/>
    <w:rsid w:val="00302015"/>
    <w:rsid w:val="00302281"/>
    <w:rsid w:val="0030243B"/>
    <w:rsid w:val="0030265A"/>
    <w:rsid w:val="0030266F"/>
    <w:rsid w:val="00302777"/>
    <w:rsid w:val="003027B4"/>
    <w:rsid w:val="00302855"/>
    <w:rsid w:val="003028B7"/>
    <w:rsid w:val="003029A7"/>
    <w:rsid w:val="00302E36"/>
    <w:rsid w:val="0030313C"/>
    <w:rsid w:val="0030330C"/>
    <w:rsid w:val="0030380D"/>
    <w:rsid w:val="00303DF0"/>
    <w:rsid w:val="00303E70"/>
    <w:rsid w:val="0030413D"/>
    <w:rsid w:val="00304382"/>
    <w:rsid w:val="003046C7"/>
    <w:rsid w:val="003047A3"/>
    <w:rsid w:val="00304930"/>
    <w:rsid w:val="00304BED"/>
    <w:rsid w:val="00304CE7"/>
    <w:rsid w:val="00304D91"/>
    <w:rsid w:val="00304F3B"/>
    <w:rsid w:val="003051F7"/>
    <w:rsid w:val="0030524B"/>
    <w:rsid w:val="0030587B"/>
    <w:rsid w:val="0030597B"/>
    <w:rsid w:val="00305C57"/>
    <w:rsid w:val="00305E5A"/>
    <w:rsid w:val="003063F6"/>
    <w:rsid w:val="0030654A"/>
    <w:rsid w:val="00306948"/>
    <w:rsid w:val="00306CA2"/>
    <w:rsid w:val="00306CEB"/>
    <w:rsid w:val="00306D02"/>
    <w:rsid w:val="003070E5"/>
    <w:rsid w:val="0030736B"/>
    <w:rsid w:val="003077A7"/>
    <w:rsid w:val="003079ED"/>
    <w:rsid w:val="00307A9C"/>
    <w:rsid w:val="00307EA4"/>
    <w:rsid w:val="00310DA0"/>
    <w:rsid w:val="00310ED6"/>
    <w:rsid w:val="0031121D"/>
    <w:rsid w:val="00311736"/>
    <w:rsid w:val="00311F79"/>
    <w:rsid w:val="003121AB"/>
    <w:rsid w:val="0031281B"/>
    <w:rsid w:val="00312CDC"/>
    <w:rsid w:val="00312DE7"/>
    <w:rsid w:val="00312F21"/>
    <w:rsid w:val="00313229"/>
    <w:rsid w:val="003134C1"/>
    <w:rsid w:val="0031384E"/>
    <w:rsid w:val="00313CF7"/>
    <w:rsid w:val="003142E9"/>
    <w:rsid w:val="00314490"/>
    <w:rsid w:val="00315063"/>
    <w:rsid w:val="0031517A"/>
    <w:rsid w:val="00315327"/>
    <w:rsid w:val="003159DB"/>
    <w:rsid w:val="00315A8E"/>
    <w:rsid w:val="003167A1"/>
    <w:rsid w:val="003168B8"/>
    <w:rsid w:val="003168DC"/>
    <w:rsid w:val="00316AD1"/>
    <w:rsid w:val="00316AE6"/>
    <w:rsid w:val="00316B97"/>
    <w:rsid w:val="00316F67"/>
    <w:rsid w:val="00317067"/>
    <w:rsid w:val="0031707C"/>
    <w:rsid w:val="00317332"/>
    <w:rsid w:val="0031748F"/>
    <w:rsid w:val="00317587"/>
    <w:rsid w:val="0032023B"/>
    <w:rsid w:val="0032029B"/>
    <w:rsid w:val="00320496"/>
    <w:rsid w:val="00320718"/>
    <w:rsid w:val="003209B7"/>
    <w:rsid w:val="00320EB3"/>
    <w:rsid w:val="00321259"/>
    <w:rsid w:val="003214D1"/>
    <w:rsid w:val="003215D5"/>
    <w:rsid w:val="00321666"/>
    <w:rsid w:val="00321AA5"/>
    <w:rsid w:val="00321E2C"/>
    <w:rsid w:val="00321E4D"/>
    <w:rsid w:val="00322125"/>
    <w:rsid w:val="003222F7"/>
    <w:rsid w:val="0032253F"/>
    <w:rsid w:val="00322609"/>
    <w:rsid w:val="00322D64"/>
    <w:rsid w:val="00323112"/>
    <w:rsid w:val="00323BE5"/>
    <w:rsid w:val="00323D73"/>
    <w:rsid w:val="00323E09"/>
    <w:rsid w:val="0032409D"/>
    <w:rsid w:val="003240F2"/>
    <w:rsid w:val="00324459"/>
    <w:rsid w:val="00324638"/>
    <w:rsid w:val="00324744"/>
    <w:rsid w:val="0032493E"/>
    <w:rsid w:val="00324FE8"/>
    <w:rsid w:val="003251A7"/>
    <w:rsid w:val="003251BC"/>
    <w:rsid w:val="00325692"/>
    <w:rsid w:val="00325723"/>
    <w:rsid w:val="00325814"/>
    <w:rsid w:val="00325C1B"/>
    <w:rsid w:val="00326343"/>
    <w:rsid w:val="0032638E"/>
    <w:rsid w:val="00326650"/>
    <w:rsid w:val="00326672"/>
    <w:rsid w:val="00326AA4"/>
    <w:rsid w:val="00327262"/>
    <w:rsid w:val="0032731F"/>
    <w:rsid w:val="00327849"/>
    <w:rsid w:val="00327865"/>
    <w:rsid w:val="00327C18"/>
    <w:rsid w:val="00327D9B"/>
    <w:rsid w:val="0033047B"/>
    <w:rsid w:val="0033066D"/>
    <w:rsid w:val="003306F4"/>
    <w:rsid w:val="00330758"/>
    <w:rsid w:val="00330AA5"/>
    <w:rsid w:val="00330DE1"/>
    <w:rsid w:val="00330FF5"/>
    <w:rsid w:val="003310D9"/>
    <w:rsid w:val="0033135D"/>
    <w:rsid w:val="00331491"/>
    <w:rsid w:val="00331AE1"/>
    <w:rsid w:val="00331B85"/>
    <w:rsid w:val="00331FE0"/>
    <w:rsid w:val="003320D4"/>
    <w:rsid w:val="003322EC"/>
    <w:rsid w:val="003324D5"/>
    <w:rsid w:val="00332815"/>
    <w:rsid w:val="0033291C"/>
    <w:rsid w:val="003329C2"/>
    <w:rsid w:val="00333090"/>
    <w:rsid w:val="003331A7"/>
    <w:rsid w:val="00333214"/>
    <w:rsid w:val="0033357B"/>
    <w:rsid w:val="00333703"/>
    <w:rsid w:val="00333932"/>
    <w:rsid w:val="00333A38"/>
    <w:rsid w:val="00333C7B"/>
    <w:rsid w:val="0033454B"/>
    <w:rsid w:val="0033458C"/>
    <w:rsid w:val="00334757"/>
    <w:rsid w:val="00334881"/>
    <w:rsid w:val="00335060"/>
    <w:rsid w:val="00335097"/>
    <w:rsid w:val="0033519F"/>
    <w:rsid w:val="0033538D"/>
    <w:rsid w:val="003357EF"/>
    <w:rsid w:val="003359B7"/>
    <w:rsid w:val="00335B9A"/>
    <w:rsid w:val="00335CB8"/>
    <w:rsid w:val="00336112"/>
    <w:rsid w:val="003362A0"/>
    <w:rsid w:val="003364CF"/>
    <w:rsid w:val="00336519"/>
    <w:rsid w:val="0033665E"/>
    <w:rsid w:val="003367F8"/>
    <w:rsid w:val="00336B45"/>
    <w:rsid w:val="00336E7E"/>
    <w:rsid w:val="003371EE"/>
    <w:rsid w:val="0033775A"/>
    <w:rsid w:val="00337810"/>
    <w:rsid w:val="0033784A"/>
    <w:rsid w:val="00337CFB"/>
    <w:rsid w:val="00337E06"/>
    <w:rsid w:val="0034036F"/>
    <w:rsid w:val="00340B06"/>
    <w:rsid w:val="00340F60"/>
    <w:rsid w:val="00340FBF"/>
    <w:rsid w:val="0034114F"/>
    <w:rsid w:val="00341F98"/>
    <w:rsid w:val="003420FC"/>
    <w:rsid w:val="00342144"/>
    <w:rsid w:val="00342348"/>
    <w:rsid w:val="00342530"/>
    <w:rsid w:val="003428DD"/>
    <w:rsid w:val="00342E10"/>
    <w:rsid w:val="003430DC"/>
    <w:rsid w:val="00343D78"/>
    <w:rsid w:val="0034408C"/>
    <w:rsid w:val="0034453B"/>
    <w:rsid w:val="003445E5"/>
    <w:rsid w:val="00344633"/>
    <w:rsid w:val="00344890"/>
    <w:rsid w:val="0034495C"/>
    <w:rsid w:val="00344ADD"/>
    <w:rsid w:val="00344B0A"/>
    <w:rsid w:val="00344B41"/>
    <w:rsid w:val="00344C64"/>
    <w:rsid w:val="003455BE"/>
    <w:rsid w:val="003456BE"/>
    <w:rsid w:val="00345DC5"/>
    <w:rsid w:val="00345FBB"/>
    <w:rsid w:val="00346235"/>
    <w:rsid w:val="003462DA"/>
    <w:rsid w:val="0034650B"/>
    <w:rsid w:val="003465ED"/>
    <w:rsid w:val="0034688D"/>
    <w:rsid w:val="00346FEB"/>
    <w:rsid w:val="00347123"/>
    <w:rsid w:val="00347572"/>
    <w:rsid w:val="003475C5"/>
    <w:rsid w:val="003478AE"/>
    <w:rsid w:val="00347B72"/>
    <w:rsid w:val="00347D28"/>
    <w:rsid w:val="00350333"/>
    <w:rsid w:val="00350392"/>
    <w:rsid w:val="00350531"/>
    <w:rsid w:val="00350841"/>
    <w:rsid w:val="00350CA5"/>
    <w:rsid w:val="00350F29"/>
    <w:rsid w:val="003510A3"/>
    <w:rsid w:val="003515EF"/>
    <w:rsid w:val="00351677"/>
    <w:rsid w:val="003518AA"/>
    <w:rsid w:val="003518E8"/>
    <w:rsid w:val="00351E94"/>
    <w:rsid w:val="00352165"/>
    <w:rsid w:val="00352386"/>
    <w:rsid w:val="0035238E"/>
    <w:rsid w:val="0035281E"/>
    <w:rsid w:val="00353056"/>
    <w:rsid w:val="00353182"/>
    <w:rsid w:val="003533BB"/>
    <w:rsid w:val="0035345F"/>
    <w:rsid w:val="0035346E"/>
    <w:rsid w:val="00353864"/>
    <w:rsid w:val="00353A23"/>
    <w:rsid w:val="00353FF3"/>
    <w:rsid w:val="0035449B"/>
    <w:rsid w:val="003544E2"/>
    <w:rsid w:val="003545D8"/>
    <w:rsid w:val="003546B9"/>
    <w:rsid w:val="00354C56"/>
    <w:rsid w:val="003552A2"/>
    <w:rsid w:val="00355351"/>
    <w:rsid w:val="003554A6"/>
    <w:rsid w:val="0035659D"/>
    <w:rsid w:val="003565D9"/>
    <w:rsid w:val="0035661E"/>
    <w:rsid w:val="00356992"/>
    <w:rsid w:val="00356A16"/>
    <w:rsid w:val="00356A55"/>
    <w:rsid w:val="00356B24"/>
    <w:rsid w:val="00356BAB"/>
    <w:rsid w:val="003570B5"/>
    <w:rsid w:val="00357106"/>
    <w:rsid w:val="0035757F"/>
    <w:rsid w:val="00357866"/>
    <w:rsid w:val="00357C09"/>
    <w:rsid w:val="003601B7"/>
    <w:rsid w:val="003602E1"/>
    <w:rsid w:val="00360DE5"/>
    <w:rsid w:val="00360F85"/>
    <w:rsid w:val="00360FB6"/>
    <w:rsid w:val="00361180"/>
    <w:rsid w:val="003621A4"/>
    <w:rsid w:val="00362314"/>
    <w:rsid w:val="00362698"/>
    <w:rsid w:val="00362B80"/>
    <w:rsid w:val="00362BDE"/>
    <w:rsid w:val="00362CAF"/>
    <w:rsid w:val="00362D0C"/>
    <w:rsid w:val="00362FF2"/>
    <w:rsid w:val="00363075"/>
    <w:rsid w:val="00363112"/>
    <w:rsid w:val="003631B8"/>
    <w:rsid w:val="00363356"/>
    <w:rsid w:val="00363A2E"/>
    <w:rsid w:val="00363B07"/>
    <w:rsid w:val="00363DE4"/>
    <w:rsid w:val="00363EEC"/>
    <w:rsid w:val="0036411F"/>
    <w:rsid w:val="0036425A"/>
    <w:rsid w:val="003643DA"/>
    <w:rsid w:val="003644C2"/>
    <w:rsid w:val="00364568"/>
    <w:rsid w:val="0036473F"/>
    <w:rsid w:val="00365008"/>
    <w:rsid w:val="00365178"/>
    <w:rsid w:val="00365BD7"/>
    <w:rsid w:val="00365C4C"/>
    <w:rsid w:val="00365DDB"/>
    <w:rsid w:val="003665C9"/>
    <w:rsid w:val="003665FA"/>
    <w:rsid w:val="003668DF"/>
    <w:rsid w:val="00366A16"/>
    <w:rsid w:val="00366B02"/>
    <w:rsid w:val="00366BF0"/>
    <w:rsid w:val="0036711C"/>
    <w:rsid w:val="0036731F"/>
    <w:rsid w:val="003673DA"/>
    <w:rsid w:val="00367749"/>
    <w:rsid w:val="00367B6D"/>
    <w:rsid w:val="00367D3C"/>
    <w:rsid w:val="00367DE0"/>
    <w:rsid w:val="0037009C"/>
    <w:rsid w:val="00370206"/>
    <w:rsid w:val="0037026F"/>
    <w:rsid w:val="003702B5"/>
    <w:rsid w:val="003703C9"/>
    <w:rsid w:val="003704C6"/>
    <w:rsid w:val="0037089D"/>
    <w:rsid w:val="003708B2"/>
    <w:rsid w:val="00370901"/>
    <w:rsid w:val="00371128"/>
    <w:rsid w:val="00371240"/>
    <w:rsid w:val="0037128D"/>
    <w:rsid w:val="003712B1"/>
    <w:rsid w:val="00371768"/>
    <w:rsid w:val="00371985"/>
    <w:rsid w:val="00372832"/>
    <w:rsid w:val="00372D35"/>
    <w:rsid w:val="003730A0"/>
    <w:rsid w:val="003739EC"/>
    <w:rsid w:val="00373C79"/>
    <w:rsid w:val="00373E8D"/>
    <w:rsid w:val="00373EC1"/>
    <w:rsid w:val="00374731"/>
    <w:rsid w:val="00374D5E"/>
    <w:rsid w:val="0037540E"/>
    <w:rsid w:val="00375941"/>
    <w:rsid w:val="00375BC3"/>
    <w:rsid w:val="00375EA8"/>
    <w:rsid w:val="00376135"/>
    <w:rsid w:val="00376250"/>
    <w:rsid w:val="00376435"/>
    <w:rsid w:val="00376ACE"/>
    <w:rsid w:val="00376E59"/>
    <w:rsid w:val="00376ECC"/>
    <w:rsid w:val="00377146"/>
    <w:rsid w:val="00377224"/>
    <w:rsid w:val="00377B60"/>
    <w:rsid w:val="00377EC1"/>
    <w:rsid w:val="00380053"/>
    <w:rsid w:val="00380340"/>
    <w:rsid w:val="003806DA"/>
    <w:rsid w:val="00380760"/>
    <w:rsid w:val="00380A6A"/>
    <w:rsid w:val="00380BB5"/>
    <w:rsid w:val="00380ED9"/>
    <w:rsid w:val="00381016"/>
    <w:rsid w:val="00381233"/>
    <w:rsid w:val="0038123F"/>
    <w:rsid w:val="00381922"/>
    <w:rsid w:val="00381A59"/>
    <w:rsid w:val="00382106"/>
    <w:rsid w:val="003827DB"/>
    <w:rsid w:val="00382B25"/>
    <w:rsid w:val="00382D7B"/>
    <w:rsid w:val="00383008"/>
    <w:rsid w:val="00383120"/>
    <w:rsid w:val="00383495"/>
    <w:rsid w:val="003835AB"/>
    <w:rsid w:val="0038387B"/>
    <w:rsid w:val="00383966"/>
    <w:rsid w:val="0038397B"/>
    <w:rsid w:val="00383DF6"/>
    <w:rsid w:val="00384431"/>
    <w:rsid w:val="00384796"/>
    <w:rsid w:val="003847D1"/>
    <w:rsid w:val="00384EBE"/>
    <w:rsid w:val="0038513E"/>
    <w:rsid w:val="00385301"/>
    <w:rsid w:val="003853B0"/>
    <w:rsid w:val="00385840"/>
    <w:rsid w:val="003864D2"/>
    <w:rsid w:val="00386556"/>
    <w:rsid w:val="003865E0"/>
    <w:rsid w:val="003866E8"/>
    <w:rsid w:val="00386865"/>
    <w:rsid w:val="003868F0"/>
    <w:rsid w:val="00386B26"/>
    <w:rsid w:val="00386EAD"/>
    <w:rsid w:val="00386EEF"/>
    <w:rsid w:val="0038713B"/>
    <w:rsid w:val="003874F3"/>
    <w:rsid w:val="00387783"/>
    <w:rsid w:val="003877E8"/>
    <w:rsid w:val="00387A35"/>
    <w:rsid w:val="00387A45"/>
    <w:rsid w:val="00387C88"/>
    <w:rsid w:val="00387E67"/>
    <w:rsid w:val="003902F7"/>
    <w:rsid w:val="00390325"/>
    <w:rsid w:val="0039082A"/>
    <w:rsid w:val="00390C96"/>
    <w:rsid w:val="00390CA2"/>
    <w:rsid w:val="0039106A"/>
    <w:rsid w:val="0039111C"/>
    <w:rsid w:val="003911D8"/>
    <w:rsid w:val="003919F9"/>
    <w:rsid w:val="00391C88"/>
    <w:rsid w:val="00391DF2"/>
    <w:rsid w:val="00391DF9"/>
    <w:rsid w:val="003920CF"/>
    <w:rsid w:val="003926F3"/>
    <w:rsid w:val="00392722"/>
    <w:rsid w:val="00392725"/>
    <w:rsid w:val="00392D77"/>
    <w:rsid w:val="00392F10"/>
    <w:rsid w:val="00392FF6"/>
    <w:rsid w:val="003933F7"/>
    <w:rsid w:val="003935E9"/>
    <w:rsid w:val="003939C2"/>
    <w:rsid w:val="00393D94"/>
    <w:rsid w:val="00393FDA"/>
    <w:rsid w:val="003940DF"/>
    <w:rsid w:val="00394153"/>
    <w:rsid w:val="0039429B"/>
    <w:rsid w:val="0039490D"/>
    <w:rsid w:val="00395645"/>
    <w:rsid w:val="003956D4"/>
    <w:rsid w:val="00395868"/>
    <w:rsid w:val="0039595F"/>
    <w:rsid w:val="00395DF4"/>
    <w:rsid w:val="0039621D"/>
    <w:rsid w:val="003963AC"/>
    <w:rsid w:val="003964BB"/>
    <w:rsid w:val="0039797E"/>
    <w:rsid w:val="003979FE"/>
    <w:rsid w:val="003A0416"/>
    <w:rsid w:val="003A054F"/>
    <w:rsid w:val="003A0687"/>
    <w:rsid w:val="003A0706"/>
    <w:rsid w:val="003A12A2"/>
    <w:rsid w:val="003A13BE"/>
    <w:rsid w:val="003A14E1"/>
    <w:rsid w:val="003A189B"/>
    <w:rsid w:val="003A193D"/>
    <w:rsid w:val="003A1A56"/>
    <w:rsid w:val="003A1BD2"/>
    <w:rsid w:val="003A1C89"/>
    <w:rsid w:val="003A1D87"/>
    <w:rsid w:val="003A1EBA"/>
    <w:rsid w:val="003A22D8"/>
    <w:rsid w:val="003A253D"/>
    <w:rsid w:val="003A254B"/>
    <w:rsid w:val="003A276D"/>
    <w:rsid w:val="003A279D"/>
    <w:rsid w:val="003A295E"/>
    <w:rsid w:val="003A2FAB"/>
    <w:rsid w:val="003A3343"/>
    <w:rsid w:val="003A34E9"/>
    <w:rsid w:val="003A3580"/>
    <w:rsid w:val="003A37CD"/>
    <w:rsid w:val="003A3AED"/>
    <w:rsid w:val="003A3B23"/>
    <w:rsid w:val="003A3E7F"/>
    <w:rsid w:val="003A487B"/>
    <w:rsid w:val="003A497D"/>
    <w:rsid w:val="003A4CDA"/>
    <w:rsid w:val="003A4DDB"/>
    <w:rsid w:val="003A4EEE"/>
    <w:rsid w:val="003A52A7"/>
    <w:rsid w:val="003A6005"/>
    <w:rsid w:val="003A631B"/>
    <w:rsid w:val="003A6690"/>
    <w:rsid w:val="003A6B7F"/>
    <w:rsid w:val="003A6FE8"/>
    <w:rsid w:val="003A7205"/>
    <w:rsid w:val="003A7CFF"/>
    <w:rsid w:val="003B032F"/>
    <w:rsid w:val="003B05FF"/>
    <w:rsid w:val="003B0CFD"/>
    <w:rsid w:val="003B0DF5"/>
    <w:rsid w:val="003B0F12"/>
    <w:rsid w:val="003B113A"/>
    <w:rsid w:val="003B11F6"/>
    <w:rsid w:val="003B120F"/>
    <w:rsid w:val="003B17AD"/>
    <w:rsid w:val="003B1ED0"/>
    <w:rsid w:val="003B23C2"/>
    <w:rsid w:val="003B25A5"/>
    <w:rsid w:val="003B25EA"/>
    <w:rsid w:val="003B2B9B"/>
    <w:rsid w:val="003B2C32"/>
    <w:rsid w:val="003B3035"/>
    <w:rsid w:val="003B3122"/>
    <w:rsid w:val="003B3181"/>
    <w:rsid w:val="003B3330"/>
    <w:rsid w:val="003B3C34"/>
    <w:rsid w:val="003B3EA6"/>
    <w:rsid w:val="003B40EF"/>
    <w:rsid w:val="003B429D"/>
    <w:rsid w:val="003B46E2"/>
    <w:rsid w:val="003B4A8E"/>
    <w:rsid w:val="003B4F07"/>
    <w:rsid w:val="003B5289"/>
    <w:rsid w:val="003B53F1"/>
    <w:rsid w:val="003B5A39"/>
    <w:rsid w:val="003B5B05"/>
    <w:rsid w:val="003B6048"/>
    <w:rsid w:val="003B63A6"/>
    <w:rsid w:val="003B63DB"/>
    <w:rsid w:val="003B652C"/>
    <w:rsid w:val="003B6C14"/>
    <w:rsid w:val="003B6C96"/>
    <w:rsid w:val="003B712C"/>
    <w:rsid w:val="003B7308"/>
    <w:rsid w:val="003B7323"/>
    <w:rsid w:val="003B7B9F"/>
    <w:rsid w:val="003B7BEC"/>
    <w:rsid w:val="003B7F3C"/>
    <w:rsid w:val="003B7F56"/>
    <w:rsid w:val="003C0412"/>
    <w:rsid w:val="003C073E"/>
    <w:rsid w:val="003C0772"/>
    <w:rsid w:val="003C0A10"/>
    <w:rsid w:val="003C0A72"/>
    <w:rsid w:val="003C0CD6"/>
    <w:rsid w:val="003C0EF0"/>
    <w:rsid w:val="003C0FBC"/>
    <w:rsid w:val="003C0FBF"/>
    <w:rsid w:val="003C1013"/>
    <w:rsid w:val="003C11BB"/>
    <w:rsid w:val="003C14A8"/>
    <w:rsid w:val="003C172E"/>
    <w:rsid w:val="003C1D26"/>
    <w:rsid w:val="003C20FC"/>
    <w:rsid w:val="003C24E1"/>
    <w:rsid w:val="003C2637"/>
    <w:rsid w:val="003C29E2"/>
    <w:rsid w:val="003C2F16"/>
    <w:rsid w:val="003C2F18"/>
    <w:rsid w:val="003C31F5"/>
    <w:rsid w:val="003C3362"/>
    <w:rsid w:val="003C3664"/>
    <w:rsid w:val="003C36A6"/>
    <w:rsid w:val="003C374C"/>
    <w:rsid w:val="003C38B5"/>
    <w:rsid w:val="003C39F5"/>
    <w:rsid w:val="003C3ACA"/>
    <w:rsid w:val="003C3D68"/>
    <w:rsid w:val="003C3F08"/>
    <w:rsid w:val="003C3FE4"/>
    <w:rsid w:val="003C43E0"/>
    <w:rsid w:val="003C4865"/>
    <w:rsid w:val="003C4A89"/>
    <w:rsid w:val="003C4AB8"/>
    <w:rsid w:val="003C4C97"/>
    <w:rsid w:val="003C4E21"/>
    <w:rsid w:val="003C4F2A"/>
    <w:rsid w:val="003C506A"/>
    <w:rsid w:val="003C50D3"/>
    <w:rsid w:val="003C5108"/>
    <w:rsid w:val="003C53D4"/>
    <w:rsid w:val="003C54E3"/>
    <w:rsid w:val="003C5AE7"/>
    <w:rsid w:val="003C5B4C"/>
    <w:rsid w:val="003C5D7A"/>
    <w:rsid w:val="003C5D99"/>
    <w:rsid w:val="003C63D8"/>
    <w:rsid w:val="003C6AA5"/>
    <w:rsid w:val="003C6C2F"/>
    <w:rsid w:val="003C6F47"/>
    <w:rsid w:val="003C71C4"/>
    <w:rsid w:val="003C733B"/>
    <w:rsid w:val="003C74D1"/>
    <w:rsid w:val="003C799C"/>
    <w:rsid w:val="003C7BFE"/>
    <w:rsid w:val="003C7D09"/>
    <w:rsid w:val="003C7D18"/>
    <w:rsid w:val="003C7F95"/>
    <w:rsid w:val="003D0225"/>
    <w:rsid w:val="003D024A"/>
    <w:rsid w:val="003D0B52"/>
    <w:rsid w:val="003D0D30"/>
    <w:rsid w:val="003D0E63"/>
    <w:rsid w:val="003D0F39"/>
    <w:rsid w:val="003D0F88"/>
    <w:rsid w:val="003D1087"/>
    <w:rsid w:val="003D11F4"/>
    <w:rsid w:val="003D1330"/>
    <w:rsid w:val="003D1489"/>
    <w:rsid w:val="003D19B1"/>
    <w:rsid w:val="003D21F3"/>
    <w:rsid w:val="003D2539"/>
    <w:rsid w:val="003D2615"/>
    <w:rsid w:val="003D26D4"/>
    <w:rsid w:val="003D2D03"/>
    <w:rsid w:val="003D2E27"/>
    <w:rsid w:val="003D2FC7"/>
    <w:rsid w:val="003D33A4"/>
    <w:rsid w:val="003D3F05"/>
    <w:rsid w:val="003D4089"/>
    <w:rsid w:val="003D448D"/>
    <w:rsid w:val="003D4B2F"/>
    <w:rsid w:val="003D4D4F"/>
    <w:rsid w:val="003D4D84"/>
    <w:rsid w:val="003D518F"/>
    <w:rsid w:val="003D5416"/>
    <w:rsid w:val="003D567C"/>
    <w:rsid w:val="003D58CE"/>
    <w:rsid w:val="003D58ED"/>
    <w:rsid w:val="003D5B42"/>
    <w:rsid w:val="003D5EF1"/>
    <w:rsid w:val="003D6151"/>
    <w:rsid w:val="003D633C"/>
    <w:rsid w:val="003D63AB"/>
    <w:rsid w:val="003D63C4"/>
    <w:rsid w:val="003D6579"/>
    <w:rsid w:val="003D6B2C"/>
    <w:rsid w:val="003D7160"/>
    <w:rsid w:val="003D7456"/>
    <w:rsid w:val="003D75C1"/>
    <w:rsid w:val="003D767B"/>
    <w:rsid w:val="003D7F30"/>
    <w:rsid w:val="003E0677"/>
    <w:rsid w:val="003E095A"/>
    <w:rsid w:val="003E0E13"/>
    <w:rsid w:val="003E1162"/>
    <w:rsid w:val="003E11EA"/>
    <w:rsid w:val="003E1830"/>
    <w:rsid w:val="003E18D2"/>
    <w:rsid w:val="003E1A76"/>
    <w:rsid w:val="003E1BE0"/>
    <w:rsid w:val="003E1D14"/>
    <w:rsid w:val="003E1EAF"/>
    <w:rsid w:val="003E27C4"/>
    <w:rsid w:val="003E2E08"/>
    <w:rsid w:val="003E2F59"/>
    <w:rsid w:val="003E30CD"/>
    <w:rsid w:val="003E3382"/>
    <w:rsid w:val="003E34F8"/>
    <w:rsid w:val="003E3716"/>
    <w:rsid w:val="003E3B33"/>
    <w:rsid w:val="003E3CDB"/>
    <w:rsid w:val="003E41B5"/>
    <w:rsid w:val="003E4659"/>
    <w:rsid w:val="003E4805"/>
    <w:rsid w:val="003E48A7"/>
    <w:rsid w:val="003E4AA2"/>
    <w:rsid w:val="003E4B05"/>
    <w:rsid w:val="003E5182"/>
    <w:rsid w:val="003E5233"/>
    <w:rsid w:val="003E538E"/>
    <w:rsid w:val="003E56A8"/>
    <w:rsid w:val="003E5BAA"/>
    <w:rsid w:val="003E5C5B"/>
    <w:rsid w:val="003E61A0"/>
    <w:rsid w:val="003E61F3"/>
    <w:rsid w:val="003E69BA"/>
    <w:rsid w:val="003E6ED2"/>
    <w:rsid w:val="003E707A"/>
    <w:rsid w:val="003E746B"/>
    <w:rsid w:val="003E7578"/>
    <w:rsid w:val="003E761A"/>
    <w:rsid w:val="003E7681"/>
    <w:rsid w:val="003E7D38"/>
    <w:rsid w:val="003E7F4E"/>
    <w:rsid w:val="003E7F51"/>
    <w:rsid w:val="003F005C"/>
    <w:rsid w:val="003F0789"/>
    <w:rsid w:val="003F0901"/>
    <w:rsid w:val="003F0F5B"/>
    <w:rsid w:val="003F147D"/>
    <w:rsid w:val="003F1D1C"/>
    <w:rsid w:val="003F2695"/>
    <w:rsid w:val="003F2795"/>
    <w:rsid w:val="003F3BAC"/>
    <w:rsid w:val="003F3CEC"/>
    <w:rsid w:val="003F429B"/>
    <w:rsid w:val="003F4342"/>
    <w:rsid w:val="003F468C"/>
    <w:rsid w:val="003F49A9"/>
    <w:rsid w:val="003F4CE7"/>
    <w:rsid w:val="003F4D5E"/>
    <w:rsid w:val="003F4EF1"/>
    <w:rsid w:val="003F53EF"/>
    <w:rsid w:val="003F54C5"/>
    <w:rsid w:val="003F54F9"/>
    <w:rsid w:val="003F553D"/>
    <w:rsid w:val="003F56A5"/>
    <w:rsid w:val="003F584D"/>
    <w:rsid w:val="003F58C6"/>
    <w:rsid w:val="003F5935"/>
    <w:rsid w:val="003F5ACE"/>
    <w:rsid w:val="003F5C2E"/>
    <w:rsid w:val="003F6313"/>
    <w:rsid w:val="003F6869"/>
    <w:rsid w:val="003F6D1C"/>
    <w:rsid w:val="003F7389"/>
    <w:rsid w:val="003F7454"/>
    <w:rsid w:val="003F74CB"/>
    <w:rsid w:val="003F7B40"/>
    <w:rsid w:val="00400174"/>
    <w:rsid w:val="0040039A"/>
    <w:rsid w:val="00400796"/>
    <w:rsid w:val="004013CA"/>
    <w:rsid w:val="004017BB"/>
    <w:rsid w:val="00401882"/>
    <w:rsid w:val="00402300"/>
    <w:rsid w:val="00402373"/>
    <w:rsid w:val="00402651"/>
    <w:rsid w:val="00402654"/>
    <w:rsid w:val="00402748"/>
    <w:rsid w:val="00402DA5"/>
    <w:rsid w:val="00402FBD"/>
    <w:rsid w:val="00403191"/>
    <w:rsid w:val="0040345A"/>
    <w:rsid w:val="004037A9"/>
    <w:rsid w:val="00403B47"/>
    <w:rsid w:val="00403B83"/>
    <w:rsid w:val="00403C5D"/>
    <w:rsid w:val="00403CF9"/>
    <w:rsid w:val="00403DFC"/>
    <w:rsid w:val="004040EF"/>
    <w:rsid w:val="0040453B"/>
    <w:rsid w:val="004045CC"/>
    <w:rsid w:val="004046CC"/>
    <w:rsid w:val="0040478E"/>
    <w:rsid w:val="004047AA"/>
    <w:rsid w:val="004048AF"/>
    <w:rsid w:val="00404B0C"/>
    <w:rsid w:val="00404BEE"/>
    <w:rsid w:val="00404C7C"/>
    <w:rsid w:val="00405031"/>
    <w:rsid w:val="00405A8F"/>
    <w:rsid w:val="00405DE4"/>
    <w:rsid w:val="00405DE9"/>
    <w:rsid w:val="00406231"/>
    <w:rsid w:val="0040623C"/>
    <w:rsid w:val="00406D58"/>
    <w:rsid w:val="00406FCA"/>
    <w:rsid w:val="00406FE7"/>
    <w:rsid w:val="00407144"/>
    <w:rsid w:val="004071B6"/>
    <w:rsid w:val="00407649"/>
    <w:rsid w:val="004076F2"/>
    <w:rsid w:val="00407743"/>
    <w:rsid w:val="00407772"/>
    <w:rsid w:val="00410027"/>
    <w:rsid w:val="004100C8"/>
    <w:rsid w:val="004101C4"/>
    <w:rsid w:val="00410305"/>
    <w:rsid w:val="0041059D"/>
    <w:rsid w:val="0041074E"/>
    <w:rsid w:val="00410750"/>
    <w:rsid w:val="0041091A"/>
    <w:rsid w:val="0041120E"/>
    <w:rsid w:val="0041126A"/>
    <w:rsid w:val="0041148C"/>
    <w:rsid w:val="00411DBD"/>
    <w:rsid w:val="00411DE4"/>
    <w:rsid w:val="00411E88"/>
    <w:rsid w:val="00411F4E"/>
    <w:rsid w:val="004121E9"/>
    <w:rsid w:val="0041221B"/>
    <w:rsid w:val="004124EA"/>
    <w:rsid w:val="0041269F"/>
    <w:rsid w:val="004126E8"/>
    <w:rsid w:val="00412710"/>
    <w:rsid w:val="004129BC"/>
    <w:rsid w:val="00412ACE"/>
    <w:rsid w:val="00412DBA"/>
    <w:rsid w:val="00413261"/>
    <w:rsid w:val="00413651"/>
    <w:rsid w:val="004145D2"/>
    <w:rsid w:val="004148DE"/>
    <w:rsid w:val="00414B8B"/>
    <w:rsid w:val="0041500D"/>
    <w:rsid w:val="0041556F"/>
    <w:rsid w:val="00415F21"/>
    <w:rsid w:val="00415FC7"/>
    <w:rsid w:val="004160E2"/>
    <w:rsid w:val="004160EC"/>
    <w:rsid w:val="004165CF"/>
    <w:rsid w:val="00416730"/>
    <w:rsid w:val="0041728E"/>
    <w:rsid w:val="0041742A"/>
    <w:rsid w:val="00417640"/>
    <w:rsid w:val="00417A89"/>
    <w:rsid w:val="00417CD6"/>
    <w:rsid w:val="00417EB1"/>
    <w:rsid w:val="0042000A"/>
    <w:rsid w:val="00420386"/>
    <w:rsid w:val="0042050C"/>
    <w:rsid w:val="00420609"/>
    <w:rsid w:val="00420A7C"/>
    <w:rsid w:val="00420BDC"/>
    <w:rsid w:val="00420FA8"/>
    <w:rsid w:val="00421054"/>
    <w:rsid w:val="00421076"/>
    <w:rsid w:val="00421192"/>
    <w:rsid w:val="0042138E"/>
    <w:rsid w:val="0042178F"/>
    <w:rsid w:val="004217F6"/>
    <w:rsid w:val="004221BB"/>
    <w:rsid w:val="00422264"/>
    <w:rsid w:val="0042229F"/>
    <w:rsid w:val="004225CB"/>
    <w:rsid w:val="0042293E"/>
    <w:rsid w:val="00422CC1"/>
    <w:rsid w:val="00422DD2"/>
    <w:rsid w:val="00423029"/>
    <w:rsid w:val="0042309F"/>
    <w:rsid w:val="00423307"/>
    <w:rsid w:val="00423606"/>
    <w:rsid w:val="004236F4"/>
    <w:rsid w:val="0042383A"/>
    <w:rsid w:val="00423852"/>
    <w:rsid w:val="00423B88"/>
    <w:rsid w:val="00423C58"/>
    <w:rsid w:val="00423CAD"/>
    <w:rsid w:val="00424D2D"/>
    <w:rsid w:val="00425112"/>
    <w:rsid w:val="00425128"/>
    <w:rsid w:val="00425469"/>
    <w:rsid w:val="00425533"/>
    <w:rsid w:val="004257A8"/>
    <w:rsid w:val="0042590E"/>
    <w:rsid w:val="00425C0A"/>
    <w:rsid w:val="00425CAF"/>
    <w:rsid w:val="00426128"/>
    <w:rsid w:val="004264BA"/>
    <w:rsid w:val="00426906"/>
    <w:rsid w:val="004269BA"/>
    <w:rsid w:val="00426C02"/>
    <w:rsid w:val="00426CB4"/>
    <w:rsid w:val="00427405"/>
    <w:rsid w:val="00427464"/>
    <w:rsid w:val="004275CF"/>
    <w:rsid w:val="00427F74"/>
    <w:rsid w:val="004303F0"/>
    <w:rsid w:val="00430599"/>
    <w:rsid w:val="0043065C"/>
    <w:rsid w:val="004307DC"/>
    <w:rsid w:val="00430806"/>
    <w:rsid w:val="00430BFD"/>
    <w:rsid w:val="00430D7E"/>
    <w:rsid w:val="00431230"/>
    <w:rsid w:val="00431236"/>
    <w:rsid w:val="00431249"/>
    <w:rsid w:val="0043185E"/>
    <w:rsid w:val="00431896"/>
    <w:rsid w:val="004324CA"/>
    <w:rsid w:val="00432519"/>
    <w:rsid w:val="00432713"/>
    <w:rsid w:val="00433274"/>
    <w:rsid w:val="004337CF"/>
    <w:rsid w:val="00433D16"/>
    <w:rsid w:val="00433D5C"/>
    <w:rsid w:val="00433DBD"/>
    <w:rsid w:val="00433EE5"/>
    <w:rsid w:val="004345FE"/>
    <w:rsid w:val="00434A2F"/>
    <w:rsid w:val="00434C19"/>
    <w:rsid w:val="00434E5A"/>
    <w:rsid w:val="004350FB"/>
    <w:rsid w:val="004352AF"/>
    <w:rsid w:val="0043534C"/>
    <w:rsid w:val="0043597B"/>
    <w:rsid w:val="004359C5"/>
    <w:rsid w:val="00435E94"/>
    <w:rsid w:val="00436056"/>
    <w:rsid w:val="004364B4"/>
    <w:rsid w:val="00436565"/>
    <w:rsid w:val="004368E6"/>
    <w:rsid w:val="00436930"/>
    <w:rsid w:val="00436CC8"/>
    <w:rsid w:val="00436D7B"/>
    <w:rsid w:val="004371E2"/>
    <w:rsid w:val="00437272"/>
    <w:rsid w:val="004374D1"/>
    <w:rsid w:val="004379B6"/>
    <w:rsid w:val="00440A81"/>
    <w:rsid w:val="00440F65"/>
    <w:rsid w:val="0044147F"/>
    <w:rsid w:val="0044188F"/>
    <w:rsid w:val="004419A7"/>
    <w:rsid w:val="00441F3E"/>
    <w:rsid w:val="00442511"/>
    <w:rsid w:val="004426A3"/>
    <w:rsid w:val="00442793"/>
    <w:rsid w:val="004427D3"/>
    <w:rsid w:val="00442975"/>
    <w:rsid w:val="004431A6"/>
    <w:rsid w:val="00443964"/>
    <w:rsid w:val="004439E5"/>
    <w:rsid w:val="00443CA2"/>
    <w:rsid w:val="00443F27"/>
    <w:rsid w:val="00443FEA"/>
    <w:rsid w:val="0044403B"/>
    <w:rsid w:val="00444334"/>
    <w:rsid w:val="004446D9"/>
    <w:rsid w:val="0044481D"/>
    <w:rsid w:val="00445145"/>
    <w:rsid w:val="0044514A"/>
    <w:rsid w:val="0044527F"/>
    <w:rsid w:val="00445477"/>
    <w:rsid w:val="00445731"/>
    <w:rsid w:val="00445CA9"/>
    <w:rsid w:val="00445E8D"/>
    <w:rsid w:val="00446074"/>
    <w:rsid w:val="00446123"/>
    <w:rsid w:val="004463C0"/>
    <w:rsid w:val="00446524"/>
    <w:rsid w:val="00446BED"/>
    <w:rsid w:val="00446E9F"/>
    <w:rsid w:val="004477EF"/>
    <w:rsid w:val="00447C15"/>
    <w:rsid w:val="00450154"/>
    <w:rsid w:val="004502C3"/>
    <w:rsid w:val="00450810"/>
    <w:rsid w:val="004508D4"/>
    <w:rsid w:val="00450AE0"/>
    <w:rsid w:val="00450C6D"/>
    <w:rsid w:val="00450E60"/>
    <w:rsid w:val="00450E81"/>
    <w:rsid w:val="00450F38"/>
    <w:rsid w:val="00450F78"/>
    <w:rsid w:val="00451583"/>
    <w:rsid w:val="00452E6E"/>
    <w:rsid w:val="004532B4"/>
    <w:rsid w:val="0045339F"/>
    <w:rsid w:val="0045402F"/>
    <w:rsid w:val="00454115"/>
    <w:rsid w:val="00454256"/>
    <w:rsid w:val="004542C9"/>
    <w:rsid w:val="00454423"/>
    <w:rsid w:val="00454C0A"/>
    <w:rsid w:val="00454C3F"/>
    <w:rsid w:val="00454D46"/>
    <w:rsid w:val="00454D9F"/>
    <w:rsid w:val="004550A1"/>
    <w:rsid w:val="00455277"/>
    <w:rsid w:val="0045570D"/>
    <w:rsid w:val="004557B9"/>
    <w:rsid w:val="00455A1D"/>
    <w:rsid w:val="00455CA8"/>
    <w:rsid w:val="00455E70"/>
    <w:rsid w:val="00456271"/>
    <w:rsid w:val="004564CC"/>
    <w:rsid w:val="004564D1"/>
    <w:rsid w:val="004566F7"/>
    <w:rsid w:val="00456AD1"/>
    <w:rsid w:val="00456C7B"/>
    <w:rsid w:val="00457128"/>
    <w:rsid w:val="0045789D"/>
    <w:rsid w:val="00457C37"/>
    <w:rsid w:val="004601B2"/>
    <w:rsid w:val="00460350"/>
    <w:rsid w:val="0046081D"/>
    <w:rsid w:val="004609AD"/>
    <w:rsid w:val="00460ABA"/>
    <w:rsid w:val="00460D5C"/>
    <w:rsid w:val="00460D6B"/>
    <w:rsid w:val="00460F20"/>
    <w:rsid w:val="0046131B"/>
    <w:rsid w:val="00461CA2"/>
    <w:rsid w:val="004620E1"/>
    <w:rsid w:val="00462162"/>
    <w:rsid w:val="00462280"/>
    <w:rsid w:val="0046248A"/>
    <w:rsid w:val="0046252E"/>
    <w:rsid w:val="0046258B"/>
    <w:rsid w:val="00462837"/>
    <w:rsid w:val="004628F6"/>
    <w:rsid w:val="00462985"/>
    <w:rsid w:val="00462B49"/>
    <w:rsid w:val="00462C59"/>
    <w:rsid w:val="00462D90"/>
    <w:rsid w:val="00462F84"/>
    <w:rsid w:val="00463074"/>
    <w:rsid w:val="004630FC"/>
    <w:rsid w:val="00463210"/>
    <w:rsid w:val="0046330B"/>
    <w:rsid w:val="00463531"/>
    <w:rsid w:val="004637E2"/>
    <w:rsid w:val="00463BF6"/>
    <w:rsid w:val="00463E3E"/>
    <w:rsid w:val="00463E49"/>
    <w:rsid w:val="00464474"/>
    <w:rsid w:val="00464969"/>
    <w:rsid w:val="00464E1A"/>
    <w:rsid w:val="0046515C"/>
    <w:rsid w:val="0046534B"/>
    <w:rsid w:val="00465463"/>
    <w:rsid w:val="0046548C"/>
    <w:rsid w:val="00465585"/>
    <w:rsid w:val="0046574D"/>
    <w:rsid w:val="004659F4"/>
    <w:rsid w:val="00465B85"/>
    <w:rsid w:val="0046668C"/>
    <w:rsid w:val="0046692A"/>
    <w:rsid w:val="00466B97"/>
    <w:rsid w:val="00466CA8"/>
    <w:rsid w:val="00466D54"/>
    <w:rsid w:val="00467A24"/>
    <w:rsid w:val="00467C63"/>
    <w:rsid w:val="00467D45"/>
    <w:rsid w:val="00467F6C"/>
    <w:rsid w:val="0047017B"/>
    <w:rsid w:val="0047027C"/>
    <w:rsid w:val="00470498"/>
    <w:rsid w:val="004704DF"/>
    <w:rsid w:val="00470737"/>
    <w:rsid w:val="00471030"/>
    <w:rsid w:val="0047120F"/>
    <w:rsid w:val="004718C6"/>
    <w:rsid w:val="00471CC6"/>
    <w:rsid w:val="00471E8E"/>
    <w:rsid w:val="00471FF2"/>
    <w:rsid w:val="0047208E"/>
    <w:rsid w:val="00472713"/>
    <w:rsid w:val="00472C2B"/>
    <w:rsid w:val="00473487"/>
    <w:rsid w:val="0047349A"/>
    <w:rsid w:val="00473876"/>
    <w:rsid w:val="004738E3"/>
    <w:rsid w:val="00473E44"/>
    <w:rsid w:val="0047426E"/>
    <w:rsid w:val="004745CF"/>
    <w:rsid w:val="004745EA"/>
    <w:rsid w:val="00474968"/>
    <w:rsid w:val="00474AA4"/>
    <w:rsid w:val="00474BE8"/>
    <w:rsid w:val="0047544E"/>
    <w:rsid w:val="00475F99"/>
    <w:rsid w:val="00477144"/>
    <w:rsid w:val="00477331"/>
    <w:rsid w:val="0047782E"/>
    <w:rsid w:val="00477832"/>
    <w:rsid w:val="0047797B"/>
    <w:rsid w:val="00477CF9"/>
    <w:rsid w:val="00480291"/>
    <w:rsid w:val="004802F6"/>
    <w:rsid w:val="004809A2"/>
    <w:rsid w:val="00480B31"/>
    <w:rsid w:val="0048106F"/>
    <w:rsid w:val="004810F0"/>
    <w:rsid w:val="00481339"/>
    <w:rsid w:val="00481556"/>
    <w:rsid w:val="004815A9"/>
    <w:rsid w:val="00481677"/>
    <w:rsid w:val="00481A9C"/>
    <w:rsid w:val="00482DAE"/>
    <w:rsid w:val="00482FED"/>
    <w:rsid w:val="00483524"/>
    <w:rsid w:val="0048352F"/>
    <w:rsid w:val="0048357A"/>
    <w:rsid w:val="0048358A"/>
    <w:rsid w:val="004836C5"/>
    <w:rsid w:val="00483743"/>
    <w:rsid w:val="004837E2"/>
    <w:rsid w:val="00483C08"/>
    <w:rsid w:val="00483EFB"/>
    <w:rsid w:val="0048405C"/>
    <w:rsid w:val="0048446F"/>
    <w:rsid w:val="00484676"/>
    <w:rsid w:val="0048493D"/>
    <w:rsid w:val="00484AE1"/>
    <w:rsid w:val="00484B79"/>
    <w:rsid w:val="00485357"/>
    <w:rsid w:val="00485396"/>
    <w:rsid w:val="004853FB"/>
    <w:rsid w:val="004854EB"/>
    <w:rsid w:val="00485812"/>
    <w:rsid w:val="0048594D"/>
    <w:rsid w:val="00485B55"/>
    <w:rsid w:val="00486267"/>
    <w:rsid w:val="004864C3"/>
    <w:rsid w:val="0048664A"/>
    <w:rsid w:val="00486E09"/>
    <w:rsid w:val="00487089"/>
    <w:rsid w:val="0048729A"/>
    <w:rsid w:val="0048736F"/>
    <w:rsid w:val="00487397"/>
    <w:rsid w:val="0048748B"/>
    <w:rsid w:val="00487642"/>
    <w:rsid w:val="0049022D"/>
    <w:rsid w:val="0049090C"/>
    <w:rsid w:val="00490D7B"/>
    <w:rsid w:val="00490E9E"/>
    <w:rsid w:val="00491380"/>
    <w:rsid w:val="00491A47"/>
    <w:rsid w:val="00491CE8"/>
    <w:rsid w:val="004920C4"/>
    <w:rsid w:val="00492346"/>
    <w:rsid w:val="0049251B"/>
    <w:rsid w:val="004926D2"/>
    <w:rsid w:val="0049277C"/>
    <w:rsid w:val="00492DFB"/>
    <w:rsid w:val="00492F82"/>
    <w:rsid w:val="004942D8"/>
    <w:rsid w:val="0049431A"/>
    <w:rsid w:val="00494357"/>
    <w:rsid w:val="0049442D"/>
    <w:rsid w:val="00494443"/>
    <w:rsid w:val="0049459F"/>
    <w:rsid w:val="00494B12"/>
    <w:rsid w:val="00494F8A"/>
    <w:rsid w:val="004952E3"/>
    <w:rsid w:val="00495376"/>
    <w:rsid w:val="004953DB"/>
    <w:rsid w:val="00495418"/>
    <w:rsid w:val="00495E8D"/>
    <w:rsid w:val="00496882"/>
    <w:rsid w:val="00496E56"/>
    <w:rsid w:val="00497A30"/>
    <w:rsid w:val="004A0177"/>
    <w:rsid w:val="004A018E"/>
    <w:rsid w:val="004A0791"/>
    <w:rsid w:val="004A0A9F"/>
    <w:rsid w:val="004A0E81"/>
    <w:rsid w:val="004A1772"/>
    <w:rsid w:val="004A1C5A"/>
    <w:rsid w:val="004A1E05"/>
    <w:rsid w:val="004A1E4A"/>
    <w:rsid w:val="004A1EA5"/>
    <w:rsid w:val="004A1ED4"/>
    <w:rsid w:val="004A2059"/>
    <w:rsid w:val="004A2171"/>
    <w:rsid w:val="004A218B"/>
    <w:rsid w:val="004A289E"/>
    <w:rsid w:val="004A291F"/>
    <w:rsid w:val="004A2B9A"/>
    <w:rsid w:val="004A38DD"/>
    <w:rsid w:val="004A3A6F"/>
    <w:rsid w:val="004A403C"/>
    <w:rsid w:val="004A41B7"/>
    <w:rsid w:val="004A4289"/>
    <w:rsid w:val="004A4400"/>
    <w:rsid w:val="004A457F"/>
    <w:rsid w:val="004A5051"/>
    <w:rsid w:val="004A5359"/>
    <w:rsid w:val="004A5876"/>
    <w:rsid w:val="004A588A"/>
    <w:rsid w:val="004A5ABA"/>
    <w:rsid w:val="004A6601"/>
    <w:rsid w:val="004A6785"/>
    <w:rsid w:val="004A6FC7"/>
    <w:rsid w:val="004A7278"/>
    <w:rsid w:val="004A7785"/>
    <w:rsid w:val="004A7798"/>
    <w:rsid w:val="004A7920"/>
    <w:rsid w:val="004A79B8"/>
    <w:rsid w:val="004A7BCF"/>
    <w:rsid w:val="004B0161"/>
    <w:rsid w:val="004B0182"/>
    <w:rsid w:val="004B028A"/>
    <w:rsid w:val="004B0BE3"/>
    <w:rsid w:val="004B0CBE"/>
    <w:rsid w:val="004B0D6A"/>
    <w:rsid w:val="004B0DBD"/>
    <w:rsid w:val="004B12AD"/>
    <w:rsid w:val="004B1872"/>
    <w:rsid w:val="004B1BAB"/>
    <w:rsid w:val="004B20E7"/>
    <w:rsid w:val="004B2231"/>
    <w:rsid w:val="004B2435"/>
    <w:rsid w:val="004B2635"/>
    <w:rsid w:val="004B26F9"/>
    <w:rsid w:val="004B2786"/>
    <w:rsid w:val="004B2927"/>
    <w:rsid w:val="004B2B4B"/>
    <w:rsid w:val="004B2C55"/>
    <w:rsid w:val="004B2CD2"/>
    <w:rsid w:val="004B2FFF"/>
    <w:rsid w:val="004B31B8"/>
    <w:rsid w:val="004B35F6"/>
    <w:rsid w:val="004B3606"/>
    <w:rsid w:val="004B365B"/>
    <w:rsid w:val="004B36A7"/>
    <w:rsid w:val="004B3A76"/>
    <w:rsid w:val="004B3BB7"/>
    <w:rsid w:val="004B4396"/>
    <w:rsid w:val="004B43AE"/>
    <w:rsid w:val="004B43F4"/>
    <w:rsid w:val="004B4670"/>
    <w:rsid w:val="004B479E"/>
    <w:rsid w:val="004B47A3"/>
    <w:rsid w:val="004B4870"/>
    <w:rsid w:val="004B5314"/>
    <w:rsid w:val="004B5853"/>
    <w:rsid w:val="004B5863"/>
    <w:rsid w:val="004B5AB5"/>
    <w:rsid w:val="004B5AE7"/>
    <w:rsid w:val="004B5AF9"/>
    <w:rsid w:val="004B5B2C"/>
    <w:rsid w:val="004B5BEB"/>
    <w:rsid w:val="004B5E9E"/>
    <w:rsid w:val="004B5FED"/>
    <w:rsid w:val="004B630B"/>
    <w:rsid w:val="004B665E"/>
    <w:rsid w:val="004B6885"/>
    <w:rsid w:val="004B68B9"/>
    <w:rsid w:val="004B6A89"/>
    <w:rsid w:val="004B6BBA"/>
    <w:rsid w:val="004B6CA2"/>
    <w:rsid w:val="004B6E4C"/>
    <w:rsid w:val="004B72C3"/>
    <w:rsid w:val="004B77F5"/>
    <w:rsid w:val="004B788F"/>
    <w:rsid w:val="004B7A23"/>
    <w:rsid w:val="004B7D8C"/>
    <w:rsid w:val="004C059C"/>
    <w:rsid w:val="004C0724"/>
    <w:rsid w:val="004C0998"/>
    <w:rsid w:val="004C0AB4"/>
    <w:rsid w:val="004C0C20"/>
    <w:rsid w:val="004C0F5D"/>
    <w:rsid w:val="004C1281"/>
    <w:rsid w:val="004C19F3"/>
    <w:rsid w:val="004C1EE3"/>
    <w:rsid w:val="004C21A0"/>
    <w:rsid w:val="004C2C42"/>
    <w:rsid w:val="004C30ED"/>
    <w:rsid w:val="004C340E"/>
    <w:rsid w:val="004C343A"/>
    <w:rsid w:val="004C34A3"/>
    <w:rsid w:val="004C3751"/>
    <w:rsid w:val="004C387B"/>
    <w:rsid w:val="004C3C01"/>
    <w:rsid w:val="004C461A"/>
    <w:rsid w:val="004C52D7"/>
    <w:rsid w:val="004C5474"/>
    <w:rsid w:val="004C54E5"/>
    <w:rsid w:val="004C5585"/>
    <w:rsid w:val="004C5838"/>
    <w:rsid w:val="004C5A93"/>
    <w:rsid w:val="004C5B40"/>
    <w:rsid w:val="004C5D1F"/>
    <w:rsid w:val="004C5F28"/>
    <w:rsid w:val="004C66AC"/>
    <w:rsid w:val="004C6768"/>
    <w:rsid w:val="004C67B7"/>
    <w:rsid w:val="004C6889"/>
    <w:rsid w:val="004C6934"/>
    <w:rsid w:val="004C6A46"/>
    <w:rsid w:val="004C6AE5"/>
    <w:rsid w:val="004C6EB8"/>
    <w:rsid w:val="004C6F86"/>
    <w:rsid w:val="004C73C3"/>
    <w:rsid w:val="004C75D6"/>
    <w:rsid w:val="004C7670"/>
    <w:rsid w:val="004C7FA7"/>
    <w:rsid w:val="004D0B75"/>
    <w:rsid w:val="004D0B7A"/>
    <w:rsid w:val="004D0C30"/>
    <w:rsid w:val="004D1198"/>
    <w:rsid w:val="004D12FF"/>
    <w:rsid w:val="004D1503"/>
    <w:rsid w:val="004D16DF"/>
    <w:rsid w:val="004D197C"/>
    <w:rsid w:val="004D1A75"/>
    <w:rsid w:val="004D1BB2"/>
    <w:rsid w:val="004D1CDF"/>
    <w:rsid w:val="004D242C"/>
    <w:rsid w:val="004D2BD4"/>
    <w:rsid w:val="004D2D97"/>
    <w:rsid w:val="004D2EF0"/>
    <w:rsid w:val="004D33F7"/>
    <w:rsid w:val="004D35FB"/>
    <w:rsid w:val="004D383F"/>
    <w:rsid w:val="004D3931"/>
    <w:rsid w:val="004D3D5E"/>
    <w:rsid w:val="004D3DDB"/>
    <w:rsid w:val="004D40D0"/>
    <w:rsid w:val="004D42C8"/>
    <w:rsid w:val="004D4677"/>
    <w:rsid w:val="004D46CB"/>
    <w:rsid w:val="004D4AE5"/>
    <w:rsid w:val="004D4DC3"/>
    <w:rsid w:val="004D53BB"/>
    <w:rsid w:val="004D5518"/>
    <w:rsid w:val="004D55A2"/>
    <w:rsid w:val="004D5675"/>
    <w:rsid w:val="004D56BD"/>
    <w:rsid w:val="004D596A"/>
    <w:rsid w:val="004D5A0C"/>
    <w:rsid w:val="004D5AD2"/>
    <w:rsid w:val="004D5E30"/>
    <w:rsid w:val="004D612D"/>
    <w:rsid w:val="004D65A6"/>
    <w:rsid w:val="004D6693"/>
    <w:rsid w:val="004D699A"/>
    <w:rsid w:val="004D6CD1"/>
    <w:rsid w:val="004D7158"/>
    <w:rsid w:val="004D7F1E"/>
    <w:rsid w:val="004E0280"/>
    <w:rsid w:val="004E0388"/>
    <w:rsid w:val="004E04BF"/>
    <w:rsid w:val="004E061A"/>
    <w:rsid w:val="004E0779"/>
    <w:rsid w:val="004E0B17"/>
    <w:rsid w:val="004E0C2B"/>
    <w:rsid w:val="004E0CC5"/>
    <w:rsid w:val="004E0F24"/>
    <w:rsid w:val="004E101A"/>
    <w:rsid w:val="004E1269"/>
    <w:rsid w:val="004E1610"/>
    <w:rsid w:val="004E1AB4"/>
    <w:rsid w:val="004E1D13"/>
    <w:rsid w:val="004E1D86"/>
    <w:rsid w:val="004E1E6C"/>
    <w:rsid w:val="004E20AE"/>
    <w:rsid w:val="004E26E5"/>
    <w:rsid w:val="004E2A1D"/>
    <w:rsid w:val="004E2F71"/>
    <w:rsid w:val="004E2FEA"/>
    <w:rsid w:val="004E351A"/>
    <w:rsid w:val="004E383C"/>
    <w:rsid w:val="004E3993"/>
    <w:rsid w:val="004E480F"/>
    <w:rsid w:val="004E4928"/>
    <w:rsid w:val="004E4E73"/>
    <w:rsid w:val="004E55ED"/>
    <w:rsid w:val="004E5CFC"/>
    <w:rsid w:val="004E6369"/>
    <w:rsid w:val="004E651F"/>
    <w:rsid w:val="004E6831"/>
    <w:rsid w:val="004E6B43"/>
    <w:rsid w:val="004E6B64"/>
    <w:rsid w:val="004E6DB3"/>
    <w:rsid w:val="004E6EA1"/>
    <w:rsid w:val="004E7072"/>
    <w:rsid w:val="004E7358"/>
    <w:rsid w:val="004E7372"/>
    <w:rsid w:val="004E74E7"/>
    <w:rsid w:val="004E7647"/>
    <w:rsid w:val="004E77F9"/>
    <w:rsid w:val="004E7924"/>
    <w:rsid w:val="004E7968"/>
    <w:rsid w:val="004E798D"/>
    <w:rsid w:val="004E7E79"/>
    <w:rsid w:val="004F02BB"/>
    <w:rsid w:val="004F08DA"/>
    <w:rsid w:val="004F0B05"/>
    <w:rsid w:val="004F14BE"/>
    <w:rsid w:val="004F1610"/>
    <w:rsid w:val="004F16E9"/>
    <w:rsid w:val="004F1CF5"/>
    <w:rsid w:val="004F213D"/>
    <w:rsid w:val="004F219E"/>
    <w:rsid w:val="004F238D"/>
    <w:rsid w:val="004F2579"/>
    <w:rsid w:val="004F262C"/>
    <w:rsid w:val="004F2645"/>
    <w:rsid w:val="004F2861"/>
    <w:rsid w:val="004F2B4F"/>
    <w:rsid w:val="004F2D3D"/>
    <w:rsid w:val="004F2D42"/>
    <w:rsid w:val="004F2EDA"/>
    <w:rsid w:val="004F2FCA"/>
    <w:rsid w:val="004F3094"/>
    <w:rsid w:val="004F31EF"/>
    <w:rsid w:val="004F3342"/>
    <w:rsid w:val="004F3449"/>
    <w:rsid w:val="004F3B1B"/>
    <w:rsid w:val="004F3B34"/>
    <w:rsid w:val="004F3B65"/>
    <w:rsid w:val="004F3FCC"/>
    <w:rsid w:val="004F3FF3"/>
    <w:rsid w:val="004F43CC"/>
    <w:rsid w:val="004F49D1"/>
    <w:rsid w:val="004F4C09"/>
    <w:rsid w:val="004F4F30"/>
    <w:rsid w:val="004F512E"/>
    <w:rsid w:val="004F5130"/>
    <w:rsid w:val="004F513F"/>
    <w:rsid w:val="004F55CA"/>
    <w:rsid w:val="004F59E9"/>
    <w:rsid w:val="004F5D02"/>
    <w:rsid w:val="004F5E8D"/>
    <w:rsid w:val="004F6164"/>
    <w:rsid w:val="004F6654"/>
    <w:rsid w:val="004F6664"/>
    <w:rsid w:val="004F69A1"/>
    <w:rsid w:val="004F6A60"/>
    <w:rsid w:val="004F6CDD"/>
    <w:rsid w:val="004F6F52"/>
    <w:rsid w:val="004F6F8B"/>
    <w:rsid w:val="004F7C25"/>
    <w:rsid w:val="004F7C7E"/>
    <w:rsid w:val="00500566"/>
    <w:rsid w:val="005008C9"/>
    <w:rsid w:val="00501096"/>
    <w:rsid w:val="005010ED"/>
    <w:rsid w:val="005011B0"/>
    <w:rsid w:val="00501649"/>
    <w:rsid w:val="005018B9"/>
    <w:rsid w:val="005018BB"/>
    <w:rsid w:val="005018E4"/>
    <w:rsid w:val="00501C63"/>
    <w:rsid w:val="00502189"/>
    <w:rsid w:val="00502432"/>
    <w:rsid w:val="00502639"/>
    <w:rsid w:val="005026F5"/>
    <w:rsid w:val="005028E2"/>
    <w:rsid w:val="00502922"/>
    <w:rsid w:val="005031D5"/>
    <w:rsid w:val="005033E9"/>
    <w:rsid w:val="005033F2"/>
    <w:rsid w:val="00503975"/>
    <w:rsid w:val="00503EB2"/>
    <w:rsid w:val="00504119"/>
    <w:rsid w:val="00504187"/>
    <w:rsid w:val="005046A6"/>
    <w:rsid w:val="00504AFB"/>
    <w:rsid w:val="00504D5B"/>
    <w:rsid w:val="00504DBE"/>
    <w:rsid w:val="00505077"/>
    <w:rsid w:val="005052FD"/>
    <w:rsid w:val="00505370"/>
    <w:rsid w:val="005056B9"/>
    <w:rsid w:val="005059E2"/>
    <w:rsid w:val="00506255"/>
    <w:rsid w:val="00506314"/>
    <w:rsid w:val="0050642A"/>
    <w:rsid w:val="00506738"/>
    <w:rsid w:val="005068B7"/>
    <w:rsid w:val="005068CF"/>
    <w:rsid w:val="00506EC6"/>
    <w:rsid w:val="005071DD"/>
    <w:rsid w:val="00507604"/>
    <w:rsid w:val="00507660"/>
    <w:rsid w:val="005078F3"/>
    <w:rsid w:val="00507B58"/>
    <w:rsid w:val="00507FC6"/>
    <w:rsid w:val="005101C9"/>
    <w:rsid w:val="005102A5"/>
    <w:rsid w:val="00510437"/>
    <w:rsid w:val="005106AE"/>
    <w:rsid w:val="00510CF6"/>
    <w:rsid w:val="0051108D"/>
    <w:rsid w:val="005111E5"/>
    <w:rsid w:val="005114CE"/>
    <w:rsid w:val="0051159E"/>
    <w:rsid w:val="0051193D"/>
    <w:rsid w:val="00511A7F"/>
    <w:rsid w:val="00511B4C"/>
    <w:rsid w:val="0051222D"/>
    <w:rsid w:val="00512394"/>
    <w:rsid w:val="00512471"/>
    <w:rsid w:val="005126B0"/>
    <w:rsid w:val="00512B4F"/>
    <w:rsid w:val="00512D84"/>
    <w:rsid w:val="00512DC3"/>
    <w:rsid w:val="00512EEA"/>
    <w:rsid w:val="00512F2C"/>
    <w:rsid w:val="0051306E"/>
    <w:rsid w:val="00513139"/>
    <w:rsid w:val="00513538"/>
    <w:rsid w:val="00513722"/>
    <w:rsid w:val="00513BFC"/>
    <w:rsid w:val="00513E45"/>
    <w:rsid w:val="00514696"/>
    <w:rsid w:val="005148BB"/>
    <w:rsid w:val="00514E8A"/>
    <w:rsid w:val="005151C5"/>
    <w:rsid w:val="005151DA"/>
    <w:rsid w:val="005156A4"/>
    <w:rsid w:val="00515725"/>
    <w:rsid w:val="005160B5"/>
    <w:rsid w:val="00516358"/>
    <w:rsid w:val="0051649D"/>
    <w:rsid w:val="00516556"/>
    <w:rsid w:val="005166CC"/>
    <w:rsid w:val="005167C8"/>
    <w:rsid w:val="00516AFC"/>
    <w:rsid w:val="00516D3D"/>
    <w:rsid w:val="00516F24"/>
    <w:rsid w:val="005175B4"/>
    <w:rsid w:val="00517795"/>
    <w:rsid w:val="00517976"/>
    <w:rsid w:val="00517C7C"/>
    <w:rsid w:val="00517E57"/>
    <w:rsid w:val="00520247"/>
    <w:rsid w:val="00520248"/>
    <w:rsid w:val="00520305"/>
    <w:rsid w:val="00520590"/>
    <w:rsid w:val="00520800"/>
    <w:rsid w:val="00520A30"/>
    <w:rsid w:val="005211D3"/>
    <w:rsid w:val="00521397"/>
    <w:rsid w:val="005218D7"/>
    <w:rsid w:val="00521B02"/>
    <w:rsid w:val="00521B20"/>
    <w:rsid w:val="00521D2A"/>
    <w:rsid w:val="00521E3D"/>
    <w:rsid w:val="005221A4"/>
    <w:rsid w:val="00522497"/>
    <w:rsid w:val="00522640"/>
    <w:rsid w:val="0052280E"/>
    <w:rsid w:val="00522F07"/>
    <w:rsid w:val="0052332D"/>
    <w:rsid w:val="0052359C"/>
    <w:rsid w:val="00523639"/>
    <w:rsid w:val="005236B9"/>
    <w:rsid w:val="00523C0C"/>
    <w:rsid w:val="00523EFF"/>
    <w:rsid w:val="00523FC4"/>
    <w:rsid w:val="00524451"/>
    <w:rsid w:val="00524465"/>
    <w:rsid w:val="0052466C"/>
    <w:rsid w:val="00524CA9"/>
    <w:rsid w:val="0052504F"/>
    <w:rsid w:val="0052527C"/>
    <w:rsid w:val="0052547B"/>
    <w:rsid w:val="00525841"/>
    <w:rsid w:val="005259AE"/>
    <w:rsid w:val="00525A00"/>
    <w:rsid w:val="00525D80"/>
    <w:rsid w:val="00525DDE"/>
    <w:rsid w:val="0052634E"/>
    <w:rsid w:val="00526E19"/>
    <w:rsid w:val="00526F8D"/>
    <w:rsid w:val="005270BB"/>
    <w:rsid w:val="005277D1"/>
    <w:rsid w:val="00527B37"/>
    <w:rsid w:val="0053032E"/>
    <w:rsid w:val="00530350"/>
    <w:rsid w:val="005305A7"/>
    <w:rsid w:val="00530620"/>
    <w:rsid w:val="0053068A"/>
    <w:rsid w:val="00530711"/>
    <w:rsid w:val="0053086F"/>
    <w:rsid w:val="00530AD3"/>
    <w:rsid w:val="00530D7A"/>
    <w:rsid w:val="00530E61"/>
    <w:rsid w:val="005318C2"/>
    <w:rsid w:val="00531CAB"/>
    <w:rsid w:val="00531FE5"/>
    <w:rsid w:val="0053214C"/>
    <w:rsid w:val="00532199"/>
    <w:rsid w:val="005321E5"/>
    <w:rsid w:val="005322B6"/>
    <w:rsid w:val="00532357"/>
    <w:rsid w:val="005325C7"/>
    <w:rsid w:val="005325F5"/>
    <w:rsid w:val="0053277B"/>
    <w:rsid w:val="00532863"/>
    <w:rsid w:val="00532919"/>
    <w:rsid w:val="00532ADD"/>
    <w:rsid w:val="00532D30"/>
    <w:rsid w:val="00532EBA"/>
    <w:rsid w:val="005332BB"/>
    <w:rsid w:val="00533324"/>
    <w:rsid w:val="0053368F"/>
    <w:rsid w:val="00533856"/>
    <w:rsid w:val="00533DA1"/>
    <w:rsid w:val="00533E19"/>
    <w:rsid w:val="00533FB6"/>
    <w:rsid w:val="005343FD"/>
    <w:rsid w:val="00534544"/>
    <w:rsid w:val="005348FB"/>
    <w:rsid w:val="00534943"/>
    <w:rsid w:val="005349E8"/>
    <w:rsid w:val="005351E4"/>
    <w:rsid w:val="00535456"/>
    <w:rsid w:val="00535583"/>
    <w:rsid w:val="005359CC"/>
    <w:rsid w:val="00535B51"/>
    <w:rsid w:val="00535DCD"/>
    <w:rsid w:val="00535FA0"/>
    <w:rsid w:val="0053607E"/>
    <w:rsid w:val="005360A4"/>
    <w:rsid w:val="0053610F"/>
    <w:rsid w:val="005362BE"/>
    <w:rsid w:val="005366AA"/>
    <w:rsid w:val="00536B58"/>
    <w:rsid w:val="00537343"/>
    <w:rsid w:val="005374CC"/>
    <w:rsid w:val="005377C1"/>
    <w:rsid w:val="00537E32"/>
    <w:rsid w:val="00537F20"/>
    <w:rsid w:val="00537F85"/>
    <w:rsid w:val="005402C0"/>
    <w:rsid w:val="005402FA"/>
    <w:rsid w:val="005403EC"/>
    <w:rsid w:val="00540614"/>
    <w:rsid w:val="00540774"/>
    <w:rsid w:val="00540973"/>
    <w:rsid w:val="00540D10"/>
    <w:rsid w:val="005413E5"/>
    <w:rsid w:val="005413EB"/>
    <w:rsid w:val="0054155B"/>
    <w:rsid w:val="005419CA"/>
    <w:rsid w:val="00541ACF"/>
    <w:rsid w:val="00541AD2"/>
    <w:rsid w:val="00541BCB"/>
    <w:rsid w:val="00541D14"/>
    <w:rsid w:val="00541E1A"/>
    <w:rsid w:val="005420AC"/>
    <w:rsid w:val="00542A23"/>
    <w:rsid w:val="005431EA"/>
    <w:rsid w:val="0054338A"/>
    <w:rsid w:val="005436C2"/>
    <w:rsid w:val="005438FA"/>
    <w:rsid w:val="00543AD2"/>
    <w:rsid w:val="00543C91"/>
    <w:rsid w:val="00543F2C"/>
    <w:rsid w:val="00543F67"/>
    <w:rsid w:val="00544132"/>
    <w:rsid w:val="0054484E"/>
    <w:rsid w:val="00544DCF"/>
    <w:rsid w:val="0054529C"/>
    <w:rsid w:val="0054539F"/>
    <w:rsid w:val="005456CD"/>
    <w:rsid w:val="0054570F"/>
    <w:rsid w:val="00545E8B"/>
    <w:rsid w:val="005462A6"/>
    <w:rsid w:val="00546588"/>
    <w:rsid w:val="005465B2"/>
    <w:rsid w:val="00546633"/>
    <w:rsid w:val="0054680B"/>
    <w:rsid w:val="005468AA"/>
    <w:rsid w:val="00546CF9"/>
    <w:rsid w:val="00546DD3"/>
    <w:rsid w:val="00546F20"/>
    <w:rsid w:val="00546F74"/>
    <w:rsid w:val="005475CA"/>
    <w:rsid w:val="005478A5"/>
    <w:rsid w:val="005478F0"/>
    <w:rsid w:val="0054796D"/>
    <w:rsid w:val="00547E2E"/>
    <w:rsid w:val="0055045F"/>
    <w:rsid w:val="005508FC"/>
    <w:rsid w:val="00550A97"/>
    <w:rsid w:val="00550EA1"/>
    <w:rsid w:val="005516C9"/>
    <w:rsid w:val="00551D52"/>
    <w:rsid w:val="00551FC5"/>
    <w:rsid w:val="00552142"/>
    <w:rsid w:val="0055241F"/>
    <w:rsid w:val="005525D2"/>
    <w:rsid w:val="005525F6"/>
    <w:rsid w:val="0055263E"/>
    <w:rsid w:val="00552AF7"/>
    <w:rsid w:val="00552F23"/>
    <w:rsid w:val="00552FCA"/>
    <w:rsid w:val="005539F4"/>
    <w:rsid w:val="00553A2D"/>
    <w:rsid w:val="00553BD4"/>
    <w:rsid w:val="00553C43"/>
    <w:rsid w:val="0055400A"/>
    <w:rsid w:val="005541E9"/>
    <w:rsid w:val="00554226"/>
    <w:rsid w:val="00554414"/>
    <w:rsid w:val="0055461D"/>
    <w:rsid w:val="00554F9B"/>
    <w:rsid w:val="00555070"/>
    <w:rsid w:val="00555768"/>
    <w:rsid w:val="00555A60"/>
    <w:rsid w:val="00555A95"/>
    <w:rsid w:val="00555B41"/>
    <w:rsid w:val="005561C7"/>
    <w:rsid w:val="00556403"/>
    <w:rsid w:val="0055660A"/>
    <w:rsid w:val="00557681"/>
    <w:rsid w:val="00557831"/>
    <w:rsid w:val="00560110"/>
    <w:rsid w:val="00560484"/>
    <w:rsid w:val="005606D0"/>
    <w:rsid w:val="00560987"/>
    <w:rsid w:val="00560A1A"/>
    <w:rsid w:val="0056100F"/>
    <w:rsid w:val="00561366"/>
    <w:rsid w:val="00561634"/>
    <w:rsid w:val="005616C7"/>
    <w:rsid w:val="005618A2"/>
    <w:rsid w:val="0056199B"/>
    <w:rsid w:val="00561CF6"/>
    <w:rsid w:val="00561D5D"/>
    <w:rsid w:val="00561DE8"/>
    <w:rsid w:val="00561E26"/>
    <w:rsid w:val="00561E57"/>
    <w:rsid w:val="00562018"/>
    <w:rsid w:val="00562551"/>
    <w:rsid w:val="00562805"/>
    <w:rsid w:val="00562C2C"/>
    <w:rsid w:val="00562E72"/>
    <w:rsid w:val="00563164"/>
    <w:rsid w:val="00563509"/>
    <w:rsid w:val="005635A1"/>
    <w:rsid w:val="005635C2"/>
    <w:rsid w:val="0056392E"/>
    <w:rsid w:val="005640F9"/>
    <w:rsid w:val="0056430C"/>
    <w:rsid w:val="0056480A"/>
    <w:rsid w:val="00564A03"/>
    <w:rsid w:val="00564A3C"/>
    <w:rsid w:val="00564D82"/>
    <w:rsid w:val="0056513D"/>
    <w:rsid w:val="00565809"/>
    <w:rsid w:val="005659ED"/>
    <w:rsid w:val="00565B75"/>
    <w:rsid w:val="00565BD3"/>
    <w:rsid w:val="00565C44"/>
    <w:rsid w:val="005661CA"/>
    <w:rsid w:val="00566316"/>
    <w:rsid w:val="005664F8"/>
    <w:rsid w:val="005667B6"/>
    <w:rsid w:val="00566ABE"/>
    <w:rsid w:val="00566F23"/>
    <w:rsid w:val="00567615"/>
    <w:rsid w:val="00567A03"/>
    <w:rsid w:val="00567E1F"/>
    <w:rsid w:val="005702B7"/>
    <w:rsid w:val="0057032D"/>
    <w:rsid w:val="00570357"/>
    <w:rsid w:val="00570507"/>
    <w:rsid w:val="0057052C"/>
    <w:rsid w:val="0057054E"/>
    <w:rsid w:val="00570AAF"/>
    <w:rsid w:val="00570B0A"/>
    <w:rsid w:val="00570B39"/>
    <w:rsid w:val="00570C69"/>
    <w:rsid w:val="00570FDA"/>
    <w:rsid w:val="005710A2"/>
    <w:rsid w:val="00571B6C"/>
    <w:rsid w:val="0057218C"/>
    <w:rsid w:val="0057224F"/>
    <w:rsid w:val="005722E4"/>
    <w:rsid w:val="005724AC"/>
    <w:rsid w:val="00572790"/>
    <w:rsid w:val="005729BD"/>
    <w:rsid w:val="00572DD9"/>
    <w:rsid w:val="005733C0"/>
    <w:rsid w:val="00573437"/>
    <w:rsid w:val="00573BE3"/>
    <w:rsid w:val="00573DC3"/>
    <w:rsid w:val="00573E6B"/>
    <w:rsid w:val="00574016"/>
    <w:rsid w:val="0057447B"/>
    <w:rsid w:val="0057456C"/>
    <w:rsid w:val="00574744"/>
    <w:rsid w:val="00574770"/>
    <w:rsid w:val="00574840"/>
    <w:rsid w:val="0057497A"/>
    <w:rsid w:val="00574BFD"/>
    <w:rsid w:val="00574CED"/>
    <w:rsid w:val="00574D8B"/>
    <w:rsid w:val="00574EE6"/>
    <w:rsid w:val="00575084"/>
    <w:rsid w:val="00575435"/>
    <w:rsid w:val="00575558"/>
    <w:rsid w:val="00575A0E"/>
    <w:rsid w:val="00575EE4"/>
    <w:rsid w:val="0057608B"/>
    <w:rsid w:val="005762D0"/>
    <w:rsid w:val="005769D9"/>
    <w:rsid w:val="00576DE7"/>
    <w:rsid w:val="00576E80"/>
    <w:rsid w:val="005770FD"/>
    <w:rsid w:val="0057712B"/>
    <w:rsid w:val="005775E2"/>
    <w:rsid w:val="00577D34"/>
    <w:rsid w:val="00580154"/>
    <w:rsid w:val="0058061D"/>
    <w:rsid w:val="0058108C"/>
    <w:rsid w:val="00581495"/>
    <w:rsid w:val="0058196B"/>
    <w:rsid w:val="005819FD"/>
    <w:rsid w:val="00581C12"/>
    <w:rsid w:val="00581F37"/>
    <w:rsid w:val="0058225A"/>
    <w:rsid w:val="0058244D"/>
    <w:rsid w:val="005827E9"/>
    <w:rsid w:val="00582805"/>
    <w:rsid w:val="0058284A"/>
    <w:rsid w:val="00582D06"/>
    <w:rsid w:val="00582F4A"/>
    <w:rsid w:val="00583386"/>
    <w:rsid w:val="0058343C"/>
    <w:rsid w:val="00583736"/>
    <w:rsid w:val="005837FD"/>
    <w:rsid w:val="005839FF"/>
    <w:rsid w:val="00583C39"/>
    <w:rsid w:val="0058490C"/>
    <w:rsid w:val="00584921"/>
    <w:rsid w:val="0058497C"/>
    <w:rsid w:val="00584AB9"/>
    <w:rsid w:val="00584D31"/>
    <w:rsid w:val="00585101"/>
    <w:rsid w:val="00585259"/>
    <w:rsid w:val="0058548A"/>
    <w:rsid w:val="00585552"/>
    <w:rsid w:val="00585608"/>
    <w:rsid w:val="00585974"/>
    <w:rsid w:val="00585FD7"/>
    <w:rsid w:val="00586033"/>
    <w:rsid w:val="00586605"/>
    <w:rsid w:val="0058689C"/>
    <w:rsid w:val="00586A90"/>
    <w:rsid w:val="00586CB9"/>
    <w:rsid w:val="00586F5E"/>
    <w:rsid w:val="00587121"/>
    <w:rsid w:val="00587175"/>
    <w:rsid w:val="00587342"/>
    <w:rsid w:val="00587470"/>
    <w:rsid w:val="0058771D"/>
    <w:rsid w:val="00587850"/>
    <w:rsid w:val="00587B75"/>
    <w:rsid w:val="00587F28"/>
    <w:rsid w:val="0059083E"/>
    <w:rsid w:val="005909CF"/>
    <w:rsid w:val="00590B69"/>
    <w:rsid w:val="0059187A"/>
    <w:rsid w:val="00591E71"/>
    <w:rsid w:val="00591EEA"/>
    <w:rsid w:val="00592350"/>
    <w:rsid w:val="00592A36"/>
    <w:rsid w:val="00592B1D"/>
    <w:rsid w:val="00593259"/>
    <w:rsid w:val="0059364A"/>
    <w:rsid w:val="00593876"/>
    <w:rsid w:val="005939A7"/>
    <w:rsid w:val="00593C6A"/>
    <w:rsid w:val="00593E2B"/>
    <w:rsid w:val="00593FDD"/>
    <w:rsid w:val="0059475E"/>
    <w:rsid w:val="00594DEE"/>
    <w:rsid w:val="00594F93"/>
    <w:rsid w:val="00595450"/>
    <w:rsid w:val="00596654"/>
    <w:rsid w:val="005968E5"/>
    <w:rsid w:val="005968FC"/>
    <w:rsid w:val="00596BA8"/>
    <w:rsid w:val="00596BE8"/>
    <w:rsid w:val="00596BF8"/>
    <w:rsid w:val="00596D61"/>
    <w:rsid w:val="0059729D"/>
    <w:rsid w:val="005972CF"/>
    <w:rsid w:val="00597301"/>
    <w:rsid w:val="0059732A"/>
    <w:rsid w:val="0059777B"/>
    <w:rsid w:val="005977E8"/>
    <w:rsid w:val="00597900"/>
    <w:rsid w:val="00597D27"/>
    <w:rsid w:val="00597E25"/>
    <w:rsid w:val="005A0189"/>
    <w:rsid w:val="005A032B"/>
    <w:rsid w:val="005A0445"/>
    <w:rsid w:val="005A0705"/>
    <w:rsid w:val="005A0D41"/>
    <w:rsid w:val="005A15F8"/>
    <w:rsid w:val="005A1917"/>
    <w:rsid w:val="005A1945"/>
    <w:rsid w:val="005A227C"/>
    <w:rsid w:val="005A2AEE"/>
    <w:rsid w:val="005A2C7B"/>
    <w:rsid w:val="005A2E4A"/>
    <w:rsid w:val="005A3303"/>
    <w:rsid w:val="005A3696"/>
    <w:rsid w:val="005A389C"/>
    <w:rsid w:val="005A3B9F"/>
    <w:rsid w:val="005A3C62"/>
    <w:rsid w:val="005A3F28"/>
    <w:rsid w:val="005A40FC"/>
    <w:rsid w:val="005A413A"/>
    <w:rsid w:val="005A428B"/>
    <w:rsid w:val="005A429A"/>
    <w:rsid w:val="005A463C"/>
    <w:rsid w:val="005A474D"/>
    <w:rsid w:val="005A478D"/>
    <w:rsid w:val="005A4B19"/>
    <w:rsid w:val="005A4CCD"/>
    <w:rsid w:val="005A4F86"/>
    <w:rsid w:val="005A5220"/>
    <w:rsid w:val="005A538E"/>
    <w:rsid w:val="005A58A7"/>
    <w:rsid w:val="005A5A7C"/>
    <w:rsid w:val="005A5D24"/>
    <w:rsid w:val="005A5FC2"/>
    <w:rsid w:val="005A5FCF"/>
    <w:rsid w:val="005A60E1"/>
    <w:rsid w:val="005A6CEA"/>
    <w:rsid w:val="005A7274"/>
    <w:rsid w:val="005A73E3"/>
    <w:rsid w:val="005A75B1"/>
    <w:rsid w:val="005A7622"/>
    <w:rsid w:val="005A773D"/>
    <w:rsid w:val="005A78F4"/>
    <w:rsid w:val="005A7C58"/>
    <w:rsid w:val="005A7D1E"/>
    <w:rsid w:val="005B0848"/>
    <w:rsid w:val="005B0BC0"/>
    <w:rsid w:val="005B0E3E"/>
    <w:rsid w:val="005B0F30"/>
    <w:rsid w:val="005B1141"/>
    <w:rsid w:val="005B127B"/>
    <w:rsid w:val="005B195A"/>
    <w:rsid w:val="005B1D9A"/>
    <w:rsid w:val="005B1E17"/>
    <w:rsid w:val="005B221B"/>
    <w:rsid w:val="005B22F0"/>
    <w:rsid w:val="005B28F4"/>
    <w:rsid w:val="005B2907"/>
    <w:rsid w:val="005B2ED5"/>
    <w:rsid w:val="005B336D"/>
    <w:rsid w:val="005B3419"/>
    <w:rsid w:val="005B3484"/>
    <w:rsid w:val="005B361A"/>
    <w:rsid w:val="005B3734"/>
    <w:rsid w:val="005B3968"/>
    <w:rsid w:val="005B3F2A"/>
    <w:rsid w:val="005B3FEA"/>
    <w:rsid w:val="005B451B"/>
    <w:rsid w:val="005B4726"/>
    <w:rsid w:val="005B4B53"/>
    <w:rsid w:val="005B5500"/>
    <w:rsid w:val="005B5D42"/>
    <w:rsid w:val="005B5F99"/>
    <w:rsid w:val="005B601B"/>
    <w:rsid w:val="005B6063"/>
    <w:rsid w:val="005B6534"/>
    <w:rsid w:val="005B6C19"/>
    <w:rsid w:val="005B6F64"/>
    <w:rsid w:val="005B70BE"/>
    <w:rsid w:val="005B7539"/>
    <w:rsid w:val="005B7584"/>
    <w:rsid w:val="005B79B1"/>
    <w:rsid w:val="005B7A5A"/>
    <w:rsid w:val="005B7DF8"/>
    <w:rsid w:val="005C023F"/>
    <w:rsid w:val="005C06DC"/>
    <w:rsid w:val="005C091C"/>
    <w:rsid w:val="005C0985"/>
    <w:rsid w:val="005C0B38"/>
    <w:rsid w:val="005C0C1A"/>
    <w:rsid w:val="005C0C7C"/>
    <w:rsid w:val="005C11A8"/>
    <w:rsid w:val="005C1236"/>
    <w:rsid w:val="005C12D1"/>
    <w:rsid w:val="005C1359"/>
    <w:rsid w:val="005C19A6"/>
    <w:rsid w:val="005C19CD"/>
    <w:rsid w:val="005C1C59"/>
    <w:rsid w:val="005C1C97"/>
    <w:rsid w:val="005C1D0C"/>
    <w:rsid w:val="005C23C1"/>
    <w:rsid w:val="005C242B"/>
    <w:rsid w:val="005C2484"/>
    <w:rsid w:val="005C2690"/>
    <w:rsid w:val="005C26DE"/>
    <w:rsid w:val="005C2735"/>
    <w:rsid w:val="005C2A7B"/>
    <w:rsid w:val="005C2C27"/>
    <w:rsid w:val="005C2E54"/>
    <w:rsid w:val="005C33A0"/>
    <w:rsid w:val="005C3D33"/>
    <w:rsid w:val="005C4224"/>
    <w:rsid w:val="005C427F"/>
    <w:rsid w:val="005C4397"/>
    <w:rsid w:val="005C43EF"/>
    <w:rsid w:val="005C4E38"/>
    <w:rsid w:val="005C521F"/>
    <w:rsid w:val="005C565D"/>
    <w:rsid w:val="005C56F6"/>
    <w:rsid w:val="005C57A5"/>
    <w:rsid w:val="005C5A84"/>
    <w:rsid w:val="005C5ADE"/>
    <w:rsid w:val="005C5D24"/>
    <w:rsid w:val="005C5DD0"/>
    <w:rsid w:val="005C63D8"/>
    <w:rsid w:val="005C6525"/>
    <w:rsid w:val="005C665A"/>
    <w:rsid w:val="005C6667"/>
    <w:rsid w:val="005C67D5"/>
    <w:rsid w:val="005C684F"/>
    <w:rsid w:val="005C6A43"/>
    <w:rsid w:val="005C6CCB"/>
    <w:rsid w:val="005C7588"/>
    <w:rsid w:val="005C7AAD"/>
    <w:rsid w:val="005C7AF2"/>
    <w:rsid w:val="005D0779"/>
    <w:rsid w:val="005D089D"/>
    <w:rsid w:val="005D104B"/>
    <w:rsid w:val="005D13E5"/>
    <w:rsid w:val="005D18F5"/>
    <w:rsid w:val="005D1A00"/>
    <w:rsid w:val="005D1BE2"/>
    <w:rsid w:val="005D1DE0"/>
    <w:rsid w:val="005D2542"/>
    <w:rsid w:val="005D2703"/>
    <w:rsid w:val="005D2BF5"/>
    <w:rsid w:val="005D2C3B"/>
    <w:rsid w:val="005D2E7E"/>
    <w:rsid w:val="005D2F86"/>
    <w:rsid w:val="005D329F"/>
    <w:rsid w:val="005D36BB"/>
    <w:rsid w:val="005D3863"/>
    <w:rsid w:val="005D3B4A"/>
    <w:rsid w:val="005D3FAD"/>
    <w:rsid w:val="005D4671"/>
    <w:rsid w:val="005D473A"/>
    <w:rsid w:val="005D4764"/>
    <w:rsid w:val="005D48F0"/>
    <w:rsid w:val="005D4FD1"/>
    <w:rsid w:val="005D5344"/>
    <w:rsid w:val="005D53F4"/>
    <w:rsid w:val="005D56CD"/>
    <w:rsid w:val="005D583D"/>
    <w:rsid w:val="005D584F"/>
    <w:rsid w:val="005D58D7"/>
    <w:rsid w:val="005D5AAE"/>
    <w:rsid w:val="005D5E92"/>
    <w:rsid w:val="005D61FA"/>
    <w:rsid w:val="005D6269"/>
    <w:rsid w:val="005D63C3"/>
    <w:rsid w:val="005D6693"/>
    <w:rsid w:val="005D66B0"/>
    <w:rsid w:val="005D698A"/>
    <w:rsid w:val="005D6A65"/>
    <w:rsid w:val="005D6BC9"/>
    <w:rsid w:val="005D7345"/>
    <w:rsid w:val="005D7365"/>
    <w:rsid w:val="005D74A0"/>
    <w:rsid w:val="005D7655"/>
    <w:rsid w:val="005D77A0"/>
    <w:rsid w:val="005D7846"/>
    <w:rsid w:val="005D7A1A"/>
    <w:rsid w:val="005D7BB1"/>
    <w:rsid w:val="005E0713"/>
    <w:rsid w:val="005E0C0B"/>
    <w:rsid w:val="005E15A6"/>
    <w:rsid w:val="005E1BD2"/>
    <w:rsid w:val="005E1DF5"/>
    <w:rsid w:val="005E1EB2"/>
    <w:rsid w:val="005E2051"/>
    <w:rsid w:val="005E2075"/>
    <w:rsid w:val="005E214F"/>
    <w:rsid w:val="005E2306"/>
    <w:rsid w:val="005E240C"/>
    <w:rsid w:val="005E290A"/>
    <w:rsid w:val="005E2AD3"/>
    <w:rsid w:val="005E2CBA"/>
    <w:rsid w:val="005E2CBF"/>
    <w:rsid w:val="005E332F"/>
    <w:rsid w:val="005E355A"/>
    <w:rsid w:val="005E3765"/>
    <w:rsid w:val="005E3BAE"/>
    <w:rsid w:val="005E403C"/>
    <w:rsid w:val="005E40CF"/>
    <w:rsid w:val="005E4280"/>
    <w:rsid w:val="005E47CA"/>
    <w:rsid w:val="005E48D0"/>
    <w:rsid w:val="005E4914"/>
    <w:rsid w:val="005E4A1F"/>
    <w:rsid w:val="005E4A63"/>
    <w:rsid w:val="005E4CCE"/>
    <w:rsid w:val="005E550E"/>
    <w:rsid w:val="005E55C8"/>
    <w:rsid w:val="005E5683"/>
    <w:rsid w:val="005E5ACB"/>
    <w:rsid w:val="005E5B98"/>
    <w:rsid w:val="005E5BB5"/>
    <w:rsid w:val="005E5F82"/>
    <w:rsid w:val="005E62DF"/>
    <w:rsid w:val="005E6B2C"/>
    <w:rsid w:val="005E6B79"/>
    <w:rsid w:val="005E6EBF"/>
    <w:rsid w:val="005E7173"/>
    <w:rsid w:val="005E7534"/>
    <w:rsid w:val="005E79C3"/>
    <w:rsid w:val="005E7A38"/>
    <w:rsid w:val="005E7A8D"/>
    <w:rsid w:val="005E7ACD"/>
    <w:rsid w:val="005E7E1E"/>
    <w:rsid w:val="005E7ECE"/>
    <w:rsid w:val="005F00C5"/>
    <w:rsid w:val="005F01E3"/>
    <w:rsid w:val="005F0637"/>
    <w:rsid w:val="005F0672"/>
    <w:rsid w:val="005F06AF"/>
    <w:rsid w:val="005F08A1"/>
    <w:rsid w:val="005F0A55"/>
    <w:rsid w:val="005F0B94"/>
    <w:rsid w:val="005F0F87"/>
    <w:rsid w:val="005F10F2"/>
    <w:rsid w:val="005F1326"/>
    <w:rsid w:val="005F1349"/>
    <w:rsid w:val="005F1360"/>
    <w:rsid w:val="005F1424"/>
    <w:rsid w:val="005F1530"/>
    <w:rsid w:val="005F1672"/>
    <w:rsid w:val="005F1D0C"/>
    <w:rsid w:val="005F1E9C"/>
    <w:rsid w:val="005F21A8"/>
    <w:rsid w:val="005F23D7"/>
    <w:rsid w:val="005F2422"/>
    <w:rsid w:val="005F245F"/>
    <w:rsid w:val="005F2565"/>
    <w:rsid w:val="005F2912"/>
    <w:rsid w:val="005F2AA5"/>
    <w:rsid w:val="005F2BA1"/>
    <w:rsid w:val="005F2D4E"/>
    <w:rsid w:val="005F2DB6"/>
    <w:rsid w:val="005F3491"/>
    <w:rsid w:val="005F3533"/>
    <w:rsid w:val="005F374B"/>
    <w:rsid w:val="005F3B61"/>
    <w:rsid w:val="005F407D"/>
    <w:rsid w:val="005F438C"/>
    <w:rsid w:val="005F44CC"/>
    <w:rsid w:val="005F455A"/>
    <w:rsid w:val="005F4722"/>
    <w:rsid w:val="005F47DC"/>
    <w:rsid w:val="005F48ED"/>
    <w:rsid w:val="005F4B4F"/>
    <w:rsid w:val="005F4B77"/>
    <w:rsid w:val="005F4BB9"/>
    <w:rsid w:val="005F4C2D"/>
    <w:rsid w:val="005F4C98"/>
    <w:rsid w:val="005F5091"/>
    <w:rsid w:val="005F53A8"/>
    <w:rsid w:val="005F610A"/>
    <w:rsid w:val="005F6176"/>
    <w:rsid w:val="005F62BC"/>
    <w:rsid w:val="005F6712"/>
    <w:rsid w:val="005F6817"/>
    <w:rsid w:val="005F6C2C"/>
    <w:rsid w:val="005F7171"/>
    <w:rsid w:val="005F71EC"/>
    <w:rsid w:val="005F7648"/>
    <w:rsid w:val="005F76EE"/>
    <w:rsid w:val="005F78B6"/>
    <w:rsid w:val="005F7C25"/>
    <w:rsid w:val="005F7C91"/>
    <w:rsid w:val="0060038C"/>
    <w:rsid w:val="006006B3"/>
    <w:rsid w:val="0060134F"/>
    <w:rsid w:val="0060188C"/>
    <w:rsid w:val="00601B34"/>
    <w:rsid w:val="00601B59"/>
    <w:rsid w:val="00601F55"/>
    <w:rsid w:val="006022A3"/>
    <w:rsid w:val="006026E3"/>
    <w:rsid w:val="00602F6E"/>
    <w:rsid w:val="0060328D"/>
    <w:rsid w:val="0060358C"/>
    <w:rsid w:val="006037BA"/>
    <w:rsid w:val="006039BF"/>
    <w:rsid w:val="00603E83"/>
    <w:rsid w:val="00603F97"/>
    <w:rsid w:val="00603FDA"/>
    <w:rsid w:val="00603FFA"/>
    <w:rsid w:val="00604164"/>
    <w:rsid w:val="00604261"/>
    <w:rsid w:val="0060439D"/>
    <w:rsid w:val="00604445"/>
    <w:rsid w:val="00604E04"/>
    <w:rsid w:val="006051EA"/>
    <w:rsid w:val="006058A4"/>
    <w:rsid w:val="00605FDF"/>
    <w:rsid w:val="00606054"/>
    <w:rsid w:val="006060E5"/>
    <w:rsid w:val="00606384"/>
    <w:rsid w:val="00606498"/>
    <w:rsid w:val="0060661B"/>
    <w:rsid w:val="00606776"/>
    <w:rsid w:val="00606AB4"/>
    <w:rsid w:val="00606C4D"/>
    <w:rsid w:val="00606D6F"/>
    <w:rsid w:val="00606E78"/>
    <w:rsid w:val="00606EB7"/>
    <w:rsid w:val="0060737D"/>
    <w:rsid w:val="00607497"/>
    <w:rsid w:val="00607614"/>
    <w:rsid w:val="00607BF1"/>
    <w:rsid w:val="00610457"/>
    <w:rsid w:val="00610C10"/>
    <w:rsid w:val="00610DA4"/>
    <w:rsid w:val="00611045"/>
    <w:rsid w:val="0061145C"/>
    <w:rsid w:val="0061193C"/>
    <w:rsid w:val="00611B80"/>
    <w:rsid w:val="00611C46"/>
    <w:rsid w:val="00611D2A"/>
    <w:rsid w:val="00611E07"/>
    <w:rsid w:val="00611E70"/>
    <w:rsid w:val="00612221"/>
    <w:rsid w:val="00612794"/>
    <w:rsid w:val="00612981"/>
    <w:rsid w:val="00612A1B"/>
    <w:rsid w:val="00612C72"/>
    <w:rsid w:val="00612DDD"/>
    <w:rsid w:val="00612F07"/>
    <w:rsid w:val="00613241"/>
    <w:rsid w:val="00613842"/>
    <w:rsid w:val="00613D38"/>
    <w:rsid w:val="0061447F"/>
    <w:rsid w:val="006145D6"/>
    <w:rsid w:val="00614620"/>
    <w:rsid w:val="006146CE"/>
    <w:rsid w:val="00615276"/>
    <w:rsid w:val="00615304"/>
    <w:rsid w:val="00615344"/>
    <w:rsid w:val="006153FD"/>
    <w:rsid w:val="006155C0"/>
    <w:rsid w:val="0061572A"/>
    <w:rsid w:val="006157E3"/>
    <w:rsid w:val="0061582A"/>
    <w:rsid w:val="00615908"/>
    <w:rsid w:val="00615D3D"/>
    <w:rsid w:val="00616112"/>
    <w:rsid w:val="00616223"/>
    <w:rsid w:val="006168B5"/>
    <w:rsid w:val="00616922"/>
    <w:rsid w:val="006169D0"/>
    <w:rsid w:val="00616FED"/>
    <w:rsid w:val="006174BF"/>
    <w:rsid w:val="0061779D"/>
    <w:rsid w:val="00617C32"/>
    <w:rsid w:val="00617E05"/>
    <w:rsid w:val="006202D6"/>
    <w:rsid w:val="006207F3"/>
    <w:rsid w:val="006208EC"/>
    <w:rsid w:val="00620DFE"/>
    <w:rsid w:val="0062102B"/>
    <w:rsid w:val="00621759"/>
    <w:rsid w:val="00621992"/>
    <w:rsid w:val="00622032"/>
    <w:rsid w:val="00622A35"/>
    <w:rsid w:val="00622B0C"/>
    <w:rsid w:val="00622BD5"/>
    <w:rsid w:val="00622BFE"/>
    <w:rsid w:val="006230AF"/>
    <w:rsid w:val="006236E1"/>
    <w:rsid w:val="0062395A"/>
    <w:rsid w:val="00623D4B"/>
    <w:rsid w:val="00623EC0"/>
    <w:rsid w:val="006247C7"/>
    <w:rsid w:val="00624B1F"/>
    <w:rsid w:val="00624EED"/>
    <w:rsid w:val="00624FD8"/>
    <w:rsid w:val="006251D1"/>
    <w:rsid w:val="006252AC"/>
    <w:rsid w:val="00625371"/>
    <w:rsid w:val="0062560C"/>
    <w:rsid w:val="006258C0"/>
    <w:rsid w:val="00625A2C"/>
    <w:rsid w:val="00625AC1"/>
    <w:rsid w:val="00625C84"/>
    <w:rsid w:val="00625C88"/>
    <w:rsid w:val="00625E8E"/>
    <w:rsid w:val="0062640A"/>
    <w:rsid w:val="0062670A"/>
    <w:rsid w:val="006269A4"/>
    <w:rsid w:val="00626B83"/>
    <w:rsid w:val="00626FAE"/>
    <w:rsid w:val="0062772D"/>
    <w:rsid w:val="00627FBC"/>
    <w:rsid w:val="00630177"/>
    <w:rsid w:val="0063058F"/>
    <w:rsid w:val="00630763"/>
    <w:rsid w:val="00630884"/>
    <w:rsid w:val="00630999"/>
    <w:rsid w:val="00630B1E"/>
    <w:rsid w:val="00630B23"/>
    <w:rsid w:val="00630D4D"/>
    <w:rsid w:val="00630D9B"/>
    <w:rsid w:val="00630F71"/>
    <w:rsid w:val="00631168"/>
    <w:rsid w:val="00631418"/>
    <w:rsid w:val="00631782"/>
    <w:rsid w:val="00631990"/>
    <w:rsid w:val="00631C3D"/>
    <w:rsid w:val="00631C75"/>
    <w:rsid w:val="00631C99"/>
    <w:rsid w:val="006322FA"/>
    <w:rsid w:val="00632422"/>
    <w:rsid w:val="00632458"/>
    <w:rsid w:val="00632540"/>
    <w:rsid w:val="0063255F"/>
    <w:rsid w:val="00632655"/>
    <w:rsid w:val="00632692"/>
    <w:rsid w:val="00632A74"/>
    <w:rsid w:val="00632E0E"/>
    <w:rsid w:val="00633013"/>
    <w:rsid w:val="0063311A"/>
    <w:rsid w:val="006334FD"/>
    <w:rsid w:val="00633612"/>
    <w:rsid w:val="0063373C"/>
    <w:rsid w:val="006338E7"/>
    <w:rsid w:val="00633FD3"/>
    <w:rsid w:val="00633FFF"/>
    <w:rsid w:val="00634344"/>
    <w:rsid w:val="00634512"/>
    <w:rsid w:val="006347A8"/>
    <w:rsid w:val="00634CC0"/>
    <w:rsid w:val="006353E1"/>
    <w:rsid w:val="006354E6"/>
    <w:rsid w:val="00635761"/>
    <w:rsid w:val="0063586E"/>
    <w:rsid w:val="006358D0"/>
    <w:rsid w:val="00635A91"/>
    <w:rsid w:val="00635D78"/>
    <w:rsid w:val="00635F5C"/>
    <w:rsid w:val="00636164"/>
    <w:rsid w:val="006362E2"/>
    <w:rsid w:val="00636334"/>
    <w:rsid w:val="006363EE"/>
    <w:rsid w:val="00636703"/>
    <w:rsid w:val="00636724"/>
    <w:rsid w:val="00637223"/>
    <w:rsid w:val="00637261"/>
    <w:rsid w:val="00637310"/>
    <w:rsid w:val="00637501"/>
    <w:rsid w:val="00637503"/>
    <w:rsid w:val="00637641"/>
    <w:rsid w:val="00637CA2"/>
    <w:rsid w:val="00637F75"/>
    <w:rsid w:val="00640192"/>
    <w:rsid w:val="00640455"/>
    <w:rsid w:val="006408AC"/>
    <w:rsid w:val="00640AF8"/>
    <w:rsid w:val="00640C04"/>
    <w:rsid w:val="00640CE2"/>
    <w:rsid w:val="00640E7C"/>
    <w:rsid w:val="0064102C"/>
    <w:rsid w:val="006410F7"/>
    <w:rsid w:val="00641114"/>
    <w:rsid w:val="00641266"/>
    <w:rsid w:val="006414EB"/>
    <w:rsid w:val="00641604"/>
    <w:rsid w:val="0064185A"/>
    <w:rsid w:val="00641A86"/>
    <w:rsid w:val="00641A8C"/>
    <w:rsid w:val="0064203E"/>
    <w:rsid w:val="00642251"/>
    <w:rsid w:val="00642E38"/>
    <w:rsid w:val="0064303E"/>
    <w:rsid w:val="00643089"/>
    <w:rsid w:val="0064313E"/>
    <w:rsid w:val="0064331A"/>
    <w:rsid w:val="00643419"/>
    <w:rsid w:val="006438B1"/>
    <w:rsid w:val="00644009"/>
    <w:rsid w:val="00644597"/>
    <w:rsid w:val="006447A3"/>
    <w:rsid w:val="0064530A"/>
    <w:rsid w:val="00645628"/>
    <w:rsid w:val="00645DBD"/>
    <w:rsid w:val="00645F5C"/>
    <w:rsid w:val="00645FB9"/>
    <w:rsid w:val="00645FF7"/>
    <w:rsid w:val="0064649B"/>
    <w:rsid w:val="006465E0"/>
    <w:rsid w:val="00647BD0"/>
    <w:rsid w:val="00647C10"/>
    <w:rsid w:val="00647DD2"/>
    <w:rsid w:val="00647F97"/>
    <w:rsid w:val="00650065"/>
    <w:rsid w:val="0065016A"/>
    <w:rsid w:val="006501DE"/>
    <w:rsid w:val="0065050F"/>
    <w:rsid w:val="006505B6"/>
    <w:rsid w:val="0065064D"/>
    <w:rsid w:val="00650B0D"/>
    <w:rsid w:val="00650B22"/>
    <w:rsid w:val="00650C7C"/>
    <w:rsid w:val="00650DD1"/>
    <w:rsid w:val="0065118F"/>
    <w:rsid w:val="00651203"/>
    <w:rsid w:val="006518BE"/>
    <w:rsid w:val="00651FF2"/>
    <w:rsid w:val="00652B8E"/>
    <w:rsid w:val="00652EEF"/>
    <w:rsid w:val="006530A7"/>
    <w:rsid w:val="00653122"/>
    <w:rsid w:val="00653169"/>
    <w:rsid w:val="00653832"/>
    <w:rsid w:val="0065391F"/>
    <w:rsid w:val="00653D74"/>
    <w:rsid w:val="00653E1C"/>
    <w:rsid w:val="00653EC8"/>
    <w:rsid w:val="006543DD"/>
    <w:rsid w:val="00654D42"/>
    <w:rsid w:val="006551A9"/>
    <w:rsid w:val="006551FE"/>
    <w:rsid w:val="006557AE"/>
    <w:rsid w:val="006559C5"/>
    <w:rsid w:val="00655ADC"/>
    <w:rsid w:val="00655D22"/>
    <w:rsid w:val="0065626C"/>
    <w:rsid w:val="0065662A"/>
    <w:rsid w:val="00656641"/>
    <w:rsid w:val="00656A4C"/>
    <w:rsid w:val="00656C7E"/>
    <w:rsid w:val="006575EE"/>
    <w:rsid w:val="0065784A"/>
    <w:rsid w:val="006579F7"/>
    <w:rsid w:val="00657C48"/>
    <w:rsid w:val="00657D88"/>
    <w:rsid w:val="00660207"/>
    <w:rsid w:val="00660352"/>
    <w:rsid w:val="00660358"/>
    <w:rsid w:val="006604C8"/>
    <w:rsid w:val="006604E4"/>
    <w:rsid w:val="006609F4"/>
    <w:rsid w:val="0066148F"/>
    <w:rsid w:val="00661905"/>
    <w:rsid w:val="00661AD1"/>
    <w:rsid w:val="00661B5C"/>
    <w:rsid w:val="006622A0"/>
    <w:rsid w:val="006623AB"/>
    <w:rsid w:val="00662AB5"/>
    <w:rsid w:val="006630EE"/>
    <w:rsid w:val="00663133"/>
    <w:rsid w:val="00663232"/>
    <w:rsid w:val="00663482"/>
    <w:rsid w:val="00663C1B"/>
    <w:rsid w:val="00663EFB"/>
    <w:rsid w:val="006640A2"/>
    <w:rsid w:val="006641EA"/>
    <w:rsid w:val="006643D9"/>
    <w:rsid w:val="00664B67"/>
    <w:rsid w:val="00664CDA"/>
    <w:rsid w:val="00664E2F"/>
    <w:rsid w:val="00665123"/>
    <w:rsid w:val="0066512E"/>
    <w:rsid w:val="00665400"/>
    <w:rsid w:val="00665AA6"/>
    <w:rsid w:val="00665ED0"/>
    <w:rsid w:val="00665EF9"/>
    <w:rsid w:val="00666467"/>
    <w:rsid w:val="00666A89"/>
    <w:rsid w:val="00666B09"/>
    <w:rsid w:val="00666E02"/>
    <w:rsid w:val="00667195"/>
    <w:rsid w:val="00667427"/>
    <w:rsid w:val="006675AA"/>
    <w:rsid w:val="00667666"/>
    <w:rsid w:val="006678E4"/>
    <w:rsid w:val="006702BC"/>
    <w:rsid w:val="006704D4"/>
    <w:rsid w:val="00670A6F"/>
    <w:rsid w:val="006711D0"/>
    <w:rsid w:val="006713E0"/>
    <w:rsid w:val="0067149F"/>
    <w:rsid w:val="006717CD"/>
    <w:rsid w:val="006718D2"/>
    <w:rsid w:val="006719BD"/>
    <w:rsid w:val="006720B4"/>
    <w:rsid w:val="00672683"/>
    <w:rsid w:val="00672909"/>
    <w:rsid w:val="00672A03"/>
    <w:rsid w:val="00672C84"/>
    <w:rsid w:val="00672ECF"/>
    <w:rsid w:val="00673044"/>
    <w:rsid w:val="00673170"/>
    <w:rsid w:val="00673220"/>
    <w:rsid w:val="006733E6"/>
    <w:rsid w:val="006735FF"/>
    <w:rsid w:val="00673683"/>
    <w:rsid w:val="006741A2"/>
    <w:rsid w:val="00674652"/>
    <w:rsid w:val="00674755"/>
    <w:rsid w:val="00674D22"/>
    <w:rsid w:val="00675145"/>
    <w:rsid w:val="00675705"/>
    <w:rsid w:val="00675FD7"/>
    <w:rsid w:val="00676126"/>
    <w:rsid w:val="00676B2A"/>
    <w:rsid w:val="0067719B"/>
    <w:rsid w:val="006774AD"/>
    <w:rsid w:val="00677717"/>
    <w:rsid w:val="006779BC"/>
    <w:rsid w:val="00680179"/>
    <w:rsid w:val="00681528"/>
    <w:rsid w:val="006815C0"/>
    <w:rsid w:val="0068169B"/>
    <w:rsid w:val="00681F8B"/>
    <w:rsid w:val="006820DA"/>
    <w:rsid w:val="0068250B"/>
    <w:rsid w:val="00682742"/>
    <w:rsid w:val="00682BF3"/>
    <w:rsid w:val="00682DC1"/>
    <w:rsid w:val="00682EC7"/>
    <w:rsid w:val="006830D0"/>
    <w:rsid w:val="0068333F"/>
    <w:rsid w:val="0068336B"/>
    <w:rsid w:val="00683514"/>
    <w:rsid w:val="00683720"/>
    <w:rsid w:val="006838AA"/>
    <w:rsid w:val="00683935"/>
    <w:rsid w:val="00683B02"/>
    <w:rsid w:val="00683C68"/>
    <w:rsid w:val="00683DE8"/>
    <w:rsid w:val="00683FA9"/>
    <w:rsid w:val="0068478B"/>
    <w:rsid w:val="00685469"/>
    <w:rsid w:val="006856E6"/>
    <w:rsid w:val="006858F1"/>
    <w:rsid w:val="00685B02"/>
    <w:rsid w:val="00686061"/>
    <w:rsid w:val="006860B3"/>
    <w:rsid w:val="0068610A"/>
    <w:rsid w:val="006865DF"/>
    <w:rsid w:val="00686CB6"/>
    <w:rsid w:val="0068746B"/>
    <w:rsid w:val="006876F1"/>
    <w:rsid w:val="006904D3"/>
    <w:rsid w:val="00690C71"/>
    <w:rsid w:val="0069100F"/>
    <w:rsid w:val="00691382"/>
    <w:rsid w:val="00691396"/>
    <w:rsid w:val="006913F7"/>
    <w:rsid w:val="006915BF"/>
    <w:rsid w:val="00691A2B"/>
    <w:rsid w:val="006922E4"/>
    <w:rsid w:val="0069249B"/>
    <w:rsid w:val="006928FA"/>
    <w:rsid w:val="00692920"/>
    <w:rsid w:val="006929B8"/>
    <w:rsid w:val="00692C5A"/>
    <w:rsid w:val="00693258"/>
    <w:rsid w:val="00693A86"/>
    <w:rsid w:val="006942A1"/>
    <w:rsid w:val="006946D5"/>
    <w:rsid w:val="00694870"/>
    <w:rsid w:val="00694BE4"/>
    <w:rsid w:val="00694E29"/>
    <w:rsid w:val="00694EC6"/>
    <w:rsid w:val="00694F05"/>
    <w:rsid w:val="006954FE"/>
    <w:rsid w:val="0069558D"/>
    <w:rsid w:val="00695941"/>
    <w:rsid w:val="00696036"/>
    <w:rsid w:val="00696097"/>
    <w:rsid w:val="00696846"/>
    <w:rsid w:val="00696B0D"/>
    <w:rsid w:val="00696E44"/>
    <w:rsid w:val="00696F3E"/>
    <w:rsid w:val="00696F8F"/>
    <w:rsid w:val="0069781B"/>
    <w:rsid w:val="0069796D"/>
    <w:rsid w:val="00697A54"/>
    <w:rsid w:val="00697B67"/>
    <w:rsid w:val="00697D28"/>
    <w:rsid w:val="006A0261"/>
    <w:rsid w:val="006A094B"/>
    <w:rsid w:val="006A0CA9"/>
    <w:rsid w:val="006A0D8E"/>
    <w:rsid w:val="006A0EA9"/>
    <w:rsid w:val="006A14C9"/>
    <w:rsid w:val="006A17AD"/>
    <w:rsid w:val="006A1946"/>
    <w:rsid w:val="006A19FC"/>
    <w:rsid w:val="006A1F82"/>
    <w:rsid w:val="006A23B8"/>
    <w:rsid w:val="006A245D"/>
    <w:rsid w:val="006A27AD"/>
    <w:rsid w:val="006A27AE"/>
    <w:rsid w:val="006A294B"/>
    <w:rsid w:val="006A29CC"/>
    <w:rsid w:val="006A29DD"/>
    <w:rsid w:val="006A330C"/>
    <w:rsid w:val="006A365A"/>
    <w:rsid w:val="006A37A5"/>
    <w:rsid w:val="006A3B5B"/>
    <w:rsid w:val="006A40C5"/>
    <w:rsid w:val="006A4359"/>
    <w:rsid w:val="006A443B"/>
    <w:rsid w:val="006A4504"/>
    <w:rsid w:val="006A4655"/>
    <w:rsid w:val="006A471A"/>
    <w:rsid w:val="006A479B"/>
    <w:rsid w:val="006A4FE2"/>
    <w:rsid w:val="006A5148"/>
    <w:rsid w:val="006A51FD"/>
    <w:rsid w:val="006A5419"/>
    <w:rsid w:val="006A5C0C"/>
    <w:rsid w:val="006A5C7C"/>
    <w:rsid w:val="006A63ED"/>
    <w:rsid w:val="006A6C1E"/>
    <w:rsid w:val="006A6D10"/>
    <w:rsid w:val="006A6EBE"/>
    <w:rsid w:val="006A73EC"/>
    <w:rsid w:val="006A7758"/>
    <w:rsid w:val="006A7E2C"/>
    <w:rsid w:val="006B0245"/>
    <w:rsid w:val="006B0454"/>
    <w:rsid w:val="006B05F3"/>
    <w:rsid w:val="006B065D"/>
    <w:rsid w:val="006B080A"/>
    <w:rsid w:val="006B0F70"/>
    <w:rsid w:val="006B103A"/>
    <w:rsid w:val="006B110C"/>
    <w:rsid w:val="006B1201"/>
    <w:rsid w:val="006B1471"/>
    <w:rsid w:val="006B16B8"/>
    <w:rsid w:val="006B175C"/>
    <w:rsid w:val="006B1972"/>
    <w:rsid w:val="006B1B38"/>
    <w:rsid w:val="006B2443"/>
    <w:rsid w:val="006B24A6"/>
    <w:rsid w:val="006B2A14"/>
    <w:rsid w:val="006B2B3C"/>
    <w:rsid w:val="006B30D3"/>
    <w:rsid w:val="006B37EE"/>
    <w:rsid w:val="006B3BDA"/>
    <w:rsid w:val="006B3D3C"/>
    <w:rsid w:val="006B4006"/>
    <w:rsid w:val="006B434C"/>
    <w:rsid w:val="006B44C2"/>
    <w:rsid w:val="006B45FC"/>
    <w:rsid w:val="006B4BC9"/>
    <w:rsid w:val="006B5491"/>
    <w:rsid w:val="006B5C1B"/>
    <w:rsid w:val="006B5C59"/>
    <w:rsid w:val="006B5E0E"/>
    <w:rsid w:val="006B6129"/>
    <w:rsid w:val="006B6B16"/>
    <w:rsid w:val="006B6B47"/>
    <w:rsid w:val="006B6C33"/>
    <w:rsid w:val="006B70A6"/>
    <w:rsid w:val="006B70AA"/>
    <w:rsid w:val="006B729D"/>
    <w:rsid w:val="006B75F9"/>
    <w:rsid w:val="006C00DB"/>
    <w:rsid w:val="006C0691"/>
    <w:rsid w:val="006C0761"/>
    <w:rsid w:val="006C1401"/>
    <w:rsid w:val="006C1538"/>
    <w:rsid w:val="006C16B9"/>
    <w:rsid w:val="006C1727"/>
    <w:rsid w:val="006C1D81"/>
    <w:rsid w:val="006C2282"/>
    <w:rsid w:val="006C2382"/>
    <w:rsid w:val="006C28BE"/>
    <w:rsid w:val="006C2B61"/>
    <w:rsid w:val="006C2CC5"/>
    <w:rsid w:val="006C31CA"/>
    <w:rsid w:val="006C31F7"/>
    <w:rsid w:val="006C338D"/>
    <w:rsid w:val="006C3870"/>
    <w:rsid w:val="006C3875"/>
    <w:rsid w:val="006C3E53"/>
    <w:rsid w:val="006C413F"/>
    <w:rsid w:val="006C4523"/>
    <w:rsid w:val="006C4964"/>
    <w:rsid w:val="006C4A23"/>
    <w:rsid w:val="006C4B06"/>
    <w:rsid w:val="006C4BEA"/>
    <w:rsid w:val="006C5237"/>
    <w:rsid w:val="006C53B5"/>
    <w:rsid w:val="006C5630"/>
    <w:rsid w:val="006C58B3"/>
    <w:rsid w:val="006C5A20"/>
    <w:rsid w:val="006C5C31"/>
    <w:rsid w:val="006C6239"/>
    <w:rsid w:val="006C64DD"/>
    <w:rsid w:val="006C6820"/>
    <w:rsid w:val="006C6DBF"/>
    <w:rsid w:val="006C7038"/>
    <w:rsid w:val="006C7466"/>
    <w:rsid w:val="006C74A6"/>
    <w:rsid w:val="006C760B"/>
    <w:rsid w:val="006C767F"/>
    <w:rsid w:val="006C773F"/>
    <w:rsid w:val="006C797B"/>
    <w:rsid w:val="006C7B55"/>
    <w:rsid w:val="006C7DD4"/>
    <w:rsid w:val="006D00F3"/>
    <w:rsid w:val="006D06E3"/>
    <w:rsid w:val="006D0FF8"/>
    <w:rsid w:val="006D10A6"/>
    <w:rsid w:val="006D160E"/>
    <w:rsid w:val="006D1797"/>
    <w:rsid w:val="006D1819"/>
    <w:rsid w:val="006D1AB3"/>
    <w:rsid w:val="006D1FEB"/>
    <w:rsid w:val="006D2388"/>
    <w:rsid w:val="006D2593"/>
    <w:rsid w:val="006D2A68"/>
    <w:rsid w:val="006D2C36"/>
    <w:rsid w:val="006D2F81"/>
    <w:rsid w:val="006D3034"/>
    <w:rsid w:val="006D3140"/>
    <w:rsid w:val="006D365C"/>
    <w:rsid w:val="006D3788"/>
    <w:rsid w:val="006D3A0D"/>
    <w:rsid w:val="006D3A5B"/>
    <w:rsid w:val="006D447C"/>
    <w:rsid w:val="006D44D4"/>
    <w:rsid w:val="006D4B25"/>
    <w:rsid w:val="006D4CB4"/>
    <w:rsid w:val="006D4E7F"/>
    <w:rsid w:val="006D4F42"/>
    <w:rsid w:val="006D509D"/>
    <w:rsid w:val="006D50E3"/>
    <w:rsid w:val="006D56AF"/>
    <w:rsid w:val="006D5E03"/>
    <w:rsid w:val="006D5E47"/>
    <w:rsid w:val="006D673F"/>
    <w:rsid w:val="006D677E"/>
    <w:rsid w:val="006D68FB"/>
    <w:rsid w:val="006D6A01"/>
    <w:rsid w:val="006D6A03"/>
    <w:rsid w:val="006D6BDF"/>
    <w:rsid w:val="006D6E88"/>
    <w:rsid w:val="006D71F9"/>
    <w:rsid w:val="006D72E2"/>
    <w:rsid w:val="006D7387"/>
    <w:rsid w:val="006D75A8"/>
    <w:rsid w:val="006D7A80"/>
    <w:rsid w:val="006D7B81"/>
    <w:rsid w:val="006E0159"/>
    <w:rsid w:val="006E0250"/>
    <w:rsid w:val="006E0324"/>
    <w:rsid w:val="006E05AC"/>
    <w:rsid w:val="006E0C6D"/>
    <w:rsid w:val="006E1276"/>
    <w:rsid w:val="006E15BC"/>
    <w:rsid w:val="006E1CFE"/>
    <w:rsid w:val="006E1DB3"/>
    <w:rsid w:val="006E1E3A"/>
    <w:rsid w:val="006E1F0B"/>
    <w:rsid w:val="006E1F27"/>
    <w:rsid w:val="006E1FD0"/>
    <w:rsid w:val="006E20C2"/>
    <w:rsid w:val="006E2539"/>
    <w:rsid w:val="006E2C77"/>
    <w:rsid w:val="006E34F1"/>
    <w:rsid w:val="006E350F"/>
    <w:rsid w:val="006E3751"/>
    <w:rsid w:val="006E37F5"/>
    <w:rsid w:val="006E3819"/>
    <w:rsid w:val="006E4027"/>
    <w:rsid w:val="006E4578"/>
    <w:rsid w:val="006E49DF"/>
    <w:rsid w:val="006E4DAA"/>
    <w:rsid w:val="006E502B"/>
    <w:rsid w:val="006E52DE"/>
    <w:rsid w:val="006E5BA4"/>
    <w:rsid w:val="006E5C37"/>
    <w:rsid w:val="006E5CA7"/>
    <w:rsid w:val="006E5F62"/>
    <w:rsid w:val="006E62D6"/>
    <w:rsid w:val="006E63E3"/>
    <w:rsid w:val="006E6618"/>
    <w:rsid w:val="006E670B"/>
    <w:rsid w:val="006E675D"/>
    <w:rsid w:val="006E6785"/>
    <w:rsid w:val="006E6AB4"/>
    <w:rsid w:val="006E6FE7"/>
    <w:rsid w:val="006E7356"/>
    <w:rsid w:val="006E73EF"/>
    <w:rsid w:val="006E74B1"/>
    <w:rsid w:val="006E76C7"/>
    <w:rsid w:val="006E76FF"/>
    <w:rsid w:val="006E7F44"/>
    <w:rsid w:val="006E7FA4"/>
    <w:rsid w:val="006F1311"/>
    <w:rsid w:val="006F163B"/>
    <w:rsid w:val="006F1F72"/>
    <w:rsid w:val="006F207B"/>
    <w:rsid w:val="006F20D1"/>
    <w:rsid w:val="006F24CE"/>
    <w:rsid w:val="006F2758"/>
    <w:rsid w:val="006F2883"/>
    <w:rsid w:val="006F2CA6"/>
    <w:rsid w:val="006F2E11"/>
    <w:rsid w:val="006F31A8"/>
    <w:rsid w:val="006F329A"/>
    <w:rsid w:val="006F39DD"/>
    <w:rsid w:val="006F3EE6"/>
    <w:rsid w:val="006F40F7"/>
    <w:rsid w:val="006F45E0"/>
    <w:rsid w:val="006F465A"/>
    <w:rsid w:val="006F46C8"/>
    <w:rsid w:val="006F4A30"/>
    <w:rsid w:val="006F4D08"/>
    <w:rsid w:val="006F50D0"/>
    <w:rsid w:val="006F53E8"/>
    <w:rsid w:val="006F5804"/>
    <w:rsid w:val="006F5C14"/>
    <w:rsid w:val="006F5DCE"/>
    <w:rsid w:val="006F6092"/>
    <w:rsid w:val="006F63B7"/>
    <w:rsid w:val="006F64D6"/>
    <w:rsid w:val="006F6CD1"/>
    <w:rsid w:val="006F7152"/>
    <w:rsid w:val="006F73C1"/>
    <w:rsid w:val="006F7BD8"/>
    <w:rsid w:val="0070004C"/>
    <w:rsid w:val="00700906"/>
    <w:rsid w:val="00700DD7"/>
    <w:rsid w:val="007012C4"/>
    <w:rsid w:val="0070148F"/>
    <w:rsid w:val="00702015"/>
    <w:rsid w:val="0070237E"/>
    <w:rsid w:val="00702A5E"/>
    <w:rsid w:val="00702DF2"/>
    <w:rsid w:val="00702EFE"/>
    <w:rsid w:val="0070300C"/>
    <w:rsid w:val="0070326B"/>
    <w:rsid w:val="007034AF"/>
    <w:rsid w:val="007034D8"/>
    <w:rsid w:val="007035A3"/>
    <w:rsid w:val="00703728"/>
    <w:rsid w:val="007037D7"/>
    <w:rsid w:val="00703989"/>
    <w:rsid w:val="00703AF7"/>
    <w:rsid w:val="00703FA7"/>
    <w:rsid w:val="007040D2"/>
    <w:rsid w:val="0070434D"/>
    <w:rsid w:val="007043F8"/>
    <w:rsid w:val="007046B3"/>
    <w:rsid w:val="0070472F"/>
    <w:rsid w:val="00704A76"/>
    <w:rsid w:val="00704D39"/>
    <w:rsid w:val="00704FD5"/>
    <w:rsid w:val="00704FDC"/>
    <w:rsid w:val="00705048"/>
    <w:rsid w:val="007050DF"/>
    <w:rsid w:val="0070516C"/>
    <w:rsid w:val="007053A8"/>
    <w:rsid w:val="00705863"/>
    <w:rsid w:val="00705C6A"/>
    <w:rsid w:val="00705E5D"/>
    <w:rsid w:val="007064BB"/>
    <w:rsid w:val="00706505"/>
    <w:rsid w:val="007065D2"/>
    <w:rsid w:val="00706600"/>
    <w:rsid w:val="007070AF"/>
    <w:rsid w:val="0070737D"/>
    <w:rsid w:val="007079C9"/>
    <w:rsid w:val="00707DC5"/>
    <w:rsid w:val="00707FDF"/>
    <w:rsid w:val="007101DA"/>
    <w:rsid w:val="00710249"/>
    <w:rsid w:val="007102E5"/>
    <w:rsid w:val="0071043C"/>
    <w:rsid w:val="0071046C"/>
    <w:rsid w:val="0071062D"/>
    <w:rsid w:val="00710A9F"/>
    <w:rsid w:val="00710D5B"/>
    <w:rsid w:val="00710EC3"/>
    <w:rsid w:val="0071147D"/>
    <w:rsid w:val="007118B1"/>
    <w:rsid w:val="00711CB5"/>
    <w:rsid w:val="00711EAB"/>
    <w:rsid w:val="00712526"/>
    <w:rsid w:val="00712531"/>
    <w:rsid w:val="0071297B"/>
    <w:rsid w:val="00712E2B"/>
    <w:rsid w:val="0071310A"/>
    <w:rsid w:val="0071317F"/>
    <w:rsid w:val="00713403"/>
    <w:rsid w:val="00713ACD"/>
    <w:rsid w:val="00713BDC"/>
    <w:rsid w:val="00714089"/>
    <w:rsid w:val="007144E9"/>
    <w:rsid w:val="00714686"/>
    <w:rsid w:val="00714AD1"/>
    <w:rsid w:val="00714D32"/>
    <w:rsid w:val="00714D4D"/>
    <w:rsid w:val="00714D9D"/>
    <w:rsid w:val="00714DA8"/>
    <w:rsid w:val="007150FC"/>
    <w:rsid w:val="00715444"/>
    <w:rsid w:val="00715A6B"/>
    <w:rsid w:val="00715D8B"/>
    <w:rsid w:val="00715EDA"/>
    <w:rsid w:val="00716177"/>
    <w:rsid w:val="007163D2"/>
    <w:rsid w:val="00716474"/>
    <w:rsid w:val="007165E5"/>
    <w:rsid w:val="007169B6"/>
    <w:rsid w:val="007171C2"/>
    <w:rsid w:val="0071761D"/>
    <w:rsid w:val="007177E5"/>
    <w:rsid w:val="00717BB6"/>
    <w:rsid w:val="00717C14"/>
    <w:rsid w:val="00717CC0"/>
    <w:rsid w:val="00717FCA"/>
    <w:rsid w:val="007203F2"/>
    <w:rsid w:val="00720497"/>
    <w:rsid w:val="00720685"/>
    <w:rsid w:val="007208E7"/>
    <w:rsid w:val="00720955"/>
    <w:rsid w:val="00720ADF"/>
    <w:rsid w:val="0072164E"/>
    <w:rsid w:val="00721AA3"/>
    <w:rsid w:val="00721AC1"/>
    <w:rsid w:val="00721C8B"/>
    <w:rsid w:val="00721DF1"/>
    <w:rsid w:val="00721E6D"/>
    <w:rsid w:val="00721FBA"/>
    <w:rsid w:val="00722044"/>
    <w:rsid w:val="007220AA"/>
    <w:rsid w:val="0072219F"/>
    <w:rsid w:val="00722264"/>
    <w:rsid w:val="00723095"/>
    <w:rsid w:val="0072314E"/>
    <w:rsid w:val="00723974"/>
    <w:rsid w:val="00723AE8"/>
    <w:rsid w:val="00723FEF"/>
    <w:rsid w:val="007245E0"/>
    <w:rsid w:val="007246CF"/>
    <w:rsid w:val="0072478E"/>
    <w:rsid w:val="00724852"/>
    <w:rsid w:val="00724B6F"/>
    <w:rsid w:val="00724BE5"/>
    <w:rsid w:val="00724E0D"/>
    <w:rsid w:val="00725182"/>
    <w:rsid w:val="00725A9B"/>
    <w:rsid w:val="00725ABF"/>
    <w:rsid w:val="00725E61"/>
    <w:rsid w:val="007266D3"/>
    <w:rsid w:val="007268D4"/>
    <w:rsid w:val="00726B4F"/>
    <w:rsid w:val="00727383"/>
    <w:rsid w:val="00727775"/>
    <w:rsid w:val="00727883"/>
    <w:rsid w:val="007278B6"/>
    <w:rsid w:val="00727A7A"/>
    <w:rsid w:val="00727AA3"/>
    <w:rsid w:val="00727FC4"/>
    <w:rsid w:val="0073018C"/>
    <w:rsid w:val="0073019E"/>
    <w:rsid w:val="007304AF"/>
    <w:rsid w:val="00730B17"/>
    <w:rsid w:val="00730C0D"/>
    <w:rsid w:val="00730F2C"/>
    <w:rsid w:val="007314E6"/>
    <w:rsid w:val="007316D4"/>
    <w:rsid w:val="007316D9"/>
    <w:rsid w:val="007317B7"/>
    <w:rsid w:val="007318D1"/>
    <w:rsid w:val="0073197A"/>
    <w:rsid w:val="00731CF6"/>
    <w:rsid w:val="00731DE7"/>
    <w:rsid w:val="00732029"/>
    <w:rsid w:val="007322EC"/>
    <w:rsid w:val="0073255C"/>
    <w:rsid w:val="00732719"/>
    <w:rsid w:val="007328D9"/>
    <w:rsid w:val="00732BCC"/>
    <w:rsid w:val="00732EAF"/>
    <w:rsid w:val="007331D5"/>
    <w:rsid w:val="0073341C"/>
    <w:rsid w:val="0073391B"/>
    <w:rsid w:val="0073409D"/>
    <w:rsid w:val="007340AE"/>
    <w:rsid w:val="00734514"/>
    <w:rsid w:val="007345E7"/>
    <w:rsid w:val="0073484F"/>
    <w:rsid w:val="00734FA0"/>
    <w:rsid w:val="00734FF3"/>
    <w:rsid w:val="007351E9"/>
    <w:rsid w:val="00735F57"/>
    <w:rsid w:val="0073634C"/>
    <w:rsid w:val="007366F4"/>
    <w:rsid w:val="007367D9"/>
    <w:rsid w:val="00736D98"/>
    <w:rsid w:val="00736E87"/>
    <w:rsid w:val="00737002"/>
    <w:rsid w:val="00737033"/>
    <w:rsid w:val="0073728B"/>
    <w:rsid w:val="0073750A"/>
    <w:rsid w:val="007376D1"/>
    <w:rsid w:val="007377E9"/>
    <w:rsid w:val="00737C28"/>
    <w:rsid w:val="00737D1F"/>
    <w:rsid w:val="0074099A"/>
    <w:rsid w:val="00740D43"/>
    <w:rsid w:val="00740EAE"/>
    <w:rsid w:val="007411EE"/>
    <w:rsid w:val="007414A1"/>
    <w:rsid w:val="007414A9"/>
    <w:rsid w:val="00741746"/>
    <w:rsid w:val="007418F6"/>
    <w:rsid w:val="00741A3E"/>
    <w:rsid w:val="00741EC6"/>
    <w:rsid w:val="00741F05"/>
    <w:rsid w:val="007425AE"/>
    <w:rsid w:val="0074268B"/>
    <w:rsid w:val="007435C3"/>
    <w:rsid w:val="00743B19"/>
    <w:rsid w:val="00743F62"/>
    <w:rsid w:val="007443E2"/>
    <w:rsid w:val="00744408"/>
    <w:rsid w:val="0074441A"/>
    <w:rsid w:val="00744682"/>
    <w:rsid w:val="00745239"/>
    <w:rsid w:val="00745270"/>
    <w:rsid w:val="0074535C"/>
    <w:rsid w:val="00745581"/>
    <w:rsid w:val="007459CA"/>
    <w:rsid w:val="00745B95"/>
    <w:rsid w:val="00745CD3"/>
    <w:rsid w:val="00746108"/>
    <w:rsid w:val="00746255"/>
    <w:rsid w:val="007466F9"/>
    <w:rsid w:val="00746C21"/>
    <w:rsid w:val="00746C41"/>
    <w:rsid w:val="00747000"/>
    <w:rsid w:val="0074770B"/>
    <w:rsid w:val="00747C8E"/>
    <w:rsid w:val="00747E2E"/>
    <w:rsid w:val="00747EF0"/>
    <w:rsid w:val="00750641"/>
    <w:rsid w:val="007508A6"/>
    <w:rsid w:val="007509F0"/>
    <w:rsid w:val="007516D2"/>
    <w:rsid w:val="007519A5"/>
    <w:rsid w:val="007520A2"/>
    <w:rsid w:val="00752392"/>
    <w:rsid w:val="0075248B"/>
    <w:rsid w:val="007524E6"/>
    <w:rsid w:val="007524F9"/>
    <w:rsid w:val="007525F8"/>
    <w:rsid w:val="00752D59"/>
    <w:rsid w:val="00752DD4"/>
    <w:rsid w:val="00752F38"/>
    <w:rsid w:val="0075306B"/>
    <w:rsid w:val="0075341A"/>
    <w:rsid w:val="007537D1"/>
    <w:rsid w:val="007538D0"/>
    <w:rsid w:val="007538E0"/>
    <w:rsid w:val="00753D26"/>
    <w:rsid w:val="007540FA"/>
    <w:rsid w:val="0075459B"/>
    <w:rsid w:val="0075491E"/>
    <w:rsid w:val="00754D64"/>
    <w:rsid w:val="00755A48"/>
    <w:rsid w:val="00755FF8"/>
    <w:rsid w:val="0075634C"/>
    <w:rsid w:val="0075677C"/>
    <w:rsid w:val="00756A5C"/>
    <w:rsid w:val="00756CEE"/>
    <w:rsid w:val="00757397"/>
    <w:rsid w:val="007579AC"/>
    <w:rsid w:val="00757B12"/>
    <w:rsid w:val="007604BB"/>
    <w:rsid w:val="007611BE"/>
    <w:rsid w:val="00761B9B"/>
    <w:rsid w:val="00761EA1"/>
    <w:rsid w:val="00761F03"/>
    <w:rsid w:val="0076204C"/>
    <w:rsid w:val="007626F8"/>
    <w:rsid w:val="007629C2"/>
    <w:rsid w:val="00762B20"/>
    <w:rsid w:val="00762BC5"/>
    <w:rsid w:val="007634CD"/>
    <w:rsid w:val="0076356B"/>
    <w:rsid w:val="00763B17"/>
    <w:rsid w:val="00763B19"/>
    <w:rsid w:val="00763BD9"/>
    <w:rsid w:val="007640B2"/>
    <w:rsid w:val="007641DA"/>
    <w:rsid w:val="007641DB"/>
    <w:rsid w:val="007641F6"/>
    <w:rsid w:val="007647CB"/>
    <w:rsid w:val="00764836"/>
    <w:rsid w:val="00764837"/>
    <w:rsid w:val="00764B9F"/>
    <w:rsid w:val="00764D20"/>
    <w:rsid w:val="00764D76"/>
    <w:rsid w:val="00764F40"/>
    <w:rsid w:val="00764F76"/>
    <w:rsid w:val="00765118"/>
    <w:rsid w:val="00765583"/>
    <w:rsid w:val="00765BFB"/>
    <w:rsid w:val="00765C52"/>
    <w:rsid w:val="00765D96"/>
    <w:rsid w:val="00765EB1"/>
    <w:rsid w:val="0076608E"/>
    <w:rsid w:val="007664B5"/>
    <w:rsid w:val="007667B3"/>
    <w:rsid w:val="00766E79"/>
    <w:rsid w:val="0076711C"/>
    <w:rsid w:val="0076711D"/>
    <w:rsid w:val="00767144"/>
    <w:rsid w:val="00767842"/>
    <w:rsid w:val="00767A8F"/>
    <w:rsid w:val="00767B21"/>
    <w:rsid w:val="0077034F"/>
    <w:rsid w:val="0077036A"/>
    <w:rsid w:val="00770402"/>
    <w:rsid w:val="00770683"/>
    <w:rsid w:val="00770688"/>
    <w:rsid w:val="007706E8"/>
    <w:rsid w:val="0077081E"/>
    <w:rsid w:val="00770BE5"/>
    <w:rsid w:val="00771242"/>
    <w:rsid w:val="00771262"/>
    <w:rsid w:val="00771515"/>
    <w:rsid w:val="007718A6"/>
    <w:rsid w:val="00771BA0"/>
    <w:rsid w:val="00771F7B"/>
    <w:rsid w:val="00772303"/>
    <w:rsid w:val="00772574"/>
    <w:rsid w:val="00772909"/>
    <w:rsid w:val="00772AA2"/>
    <w:rsid w:val="00772EA4"/>
    <w:rsid w:val="00773451"/>
    <w:rsid w:val="00773621"/>
    <w:rsid w:val="00773720"/>
    <w:rsid w:val="007739C4"/>
    <w:rsid w:val="00773B32"/>
    <w:rsid w:val="00773B9D"/>
    <w:rsid w:val="00773C9C"/>
    <w:rsid w:val="007744E3"/>
    <w:rsid w:val="0077486B"/>
    <w:rsid w:val="00774D0D"/>
    <w:rsid w:val="00774F32"/>
    <w:rsid w:val="007751E0"/>
    <w:rsid w:val="0077595E"/>
    <w:rsid w:val="007759E5"/>
    <w:rsid w:val="00775C8F"/>
    <w:rsid w:val="00775DD7"/>
    <w:rsid w:val="00776118"/>
    <w:rsid w:val="007761CE"/>
    <w:rsid w:val="007764E7"/>
    <w:rsid w:val="00776744"/>
    <w:rsid w:val="00776866"/>
    <w:rsid w:val="00776D01"/>
    <w:rsid w:val="00776D8F"/>
    <w:rsid w:val="00777233"/>
    <w:rsid w:val="00777470"/>
    <w:rsid w:val="00777D7C"/>
    <w:rsid w:val="00777DA9"/>
    <w:rsid w:val="007801F8"/>
    <w:rsid w:val="0078022F"/>
    <w:rsid w:val="00780363"/>
    <w:rsid w:val="00780743"/>
    <w:rsid w:val="0078083F"/>
    <w:rsid w:val="0078088E"/>
    <w:rsid w:val="0078094F"/>
    <w:rsid w:val="00780A38"/>
    <w:rsid w:val="00780A98"/>
    <w:rsid w:val="00780AE0"/>
    <w:rsid w:val="00780CDD"/>
    <w:rsid w:val="0078118C"/>
    <w:rsid w:val="007813AA"/>
    <w:rsid w:val="00781A2D"/>
    <w:rsid w:val="00781C09"/>
    <w:rsid w:val="00781DE2"/>
    <w:rsid w:val="00781E58"/>
    <w:rsid w:val="007826BE"/>
    <w:rsid w:val="00782BA6"/>
    <w:rsid w:val="00782E08"/>
    <w:rsid w:val="007832B5"/>
    <w:rsid w:val="007834ED"/>
    <w:rsid w:val="007836D4"/>
    <w:rsid w:val="00783AA3"/>
    <w:rsid w:val="00783ABC"/>
    <w:rsid w:val="00783C38"/>
    <w:rsid w:val="00784277"/>
    <w:rsid w:val="00784AFE"/>
    <w:rsid w:val="00784B6A"/>
    <w:rsid w:val="00784ED3"/>
    <w:rsid w:val="00784EDE"/>
    <w:rsid w:val="00785232"/>
    <w:rsid w:val="007853D4"/>
    <w:rsid w:val="007855A7"/>
    <w:rsid w:val="0078571A"/>
    <w:rsid w:val="007860A8"/>
    <w:rsid w:val="00786184"/>
    <w:rsid w:val="007861CE"/>
    <w:rsid w:val="007863A3"/>
    <w:rsid w:val="00786DD7"/>
    <w:rsid w:val="0078762D"/>
    <w:rsid w:val="007876B9"/>
    <w:rsid w:val="0078799D"/>
    <w:rsid w:val="00787AE7"/>
    <w:rsid w:val="00787D55"/>
    <w:rsid w:val="0079016E"/>
    <w:rsid w:val="0079024A"/>
    <w:rsid w:val="007906E0"/>
    <w:rsid w:val="007907D5"/>
    <w:rsid w:val="0079086F"/>
    <w:rsid w:val="007908E6"/>
    <w:rsid w:val="00790912"/>
    <w:rsid w:val="00790A1F"/>
    <w:rsid w:val="00791AD6"/>
    <w:rsid w:val="00791DE5"/>
    <w:rsid w:val="00791FB7"/>
    <w:rsid w:val="007920D6"/>
    <w:rsid w:val="007928F4"/>
    <w:rsid w:val="007930B7"/>
    <w:rsid w:val="00793135"/>
    <w:rsid w:val="007935EA"/>
    <w:rsid w:val="00793CDB"/>
    <w:rsid w:val="00793E98"/>
    <w:rsid w:val="00793F82"/>
    <w:rsid w:val="0079441F"/>
    <w:rsid w:val="007948CF"/>
    <w:rsid w:val="00794EF9"/>
    <w:rsid w:val="00794F64"/>
    <w:rsid w:val="00795037"/>
    <w:rsid w:val="00795058"/>
    <w:rsid w:val="007955AC"/>
    <w:rsid w:val="00795969"/>
    <w:rsid w:val="00795C23"/>
    <w:rsid w:val="00795C6B"/>
    <w:rsid w:val="00795F16"/>
    <w:rsid w:val="00796215"/>
    <w:rsid w:val="007963BB"/>
    <w:rsid w:val="007966B2"/>
    <w:rsid w:val="00796B3E"/>
    <w:rsid w:val="00796C53"/>
    <w:rsid w:val="0079701E"/>
    <w:rsid w:val="0079711F"/>
    <w:rsid w:val="00797128"/>
    <w:rsid w:val="007972E3"/>
    <w:rsid w:val="00797363"/>
    <w:rsid w:val="007A01A6"/>
    <w:rsid w:val="007A01BA"/>
    <w:rsid w:val="007A0704"/>
    <w:rsid w:val="007A079C"/>
    <w:rsid w:val="007A0893"/>
    <w:rsid w:val="007A0D93"/>
    <w:rsid w:val="007A0E2E"/>
    <w:rsid w:val="007A0E71"/>
    <w:rsid w:val="007A0E91"/>
    <w:rsid w:val="007A13A8"/>
    <w:rsid w:val="007A1727"/>
    <w:rsid w:val="007A1D8D"/>
    <w:rsid w:val="007A20C6"/>
    <w:rsid w:val="007A21EB"/>
    <w:rsid w:val="007A2271"/>
    <w:rsid w:val="007A244A"/>
    <w:rsid w:val="007A2581"/>
    <w:rsid w:val="007A272D"/>
    <w:rsid w:val="007A276D"/>
    <w:rsid w:val="007A2A85"/>
    <w:rsid w:val="007A2B57"/>
    <w:rsid w:val="007A2F7E"/>
    <w:rsid w:val="007A3133"/>
    <w:rsid w:val="007A3148"/>
    <w:rsid w:val="007A338A"/>
    <w:rsid w:val="007A3436"/>
    <w:rsid w:val="007A397D"/>
    <w:rsid w:val="007A3A1E"/>
    <w:rsid w:val="007A3C1D"/>
    <w:rsid w:val="007A3FD1"/>
    <w:rsid w:val="007A4285"/>
    <w:rsid w:val="007A449C"/>
    <w:rsid w:val="007A4832"/>
    <w:rsid w:val="007A495C"/>
    <w:rsid w:val="007A4982"/>
    <w:rsid w:val="007A49FD"/>
    <w:rsid w:val="007A4FFC"/>
    <w:rsid w:val="007A55A3"/>
    <w:rsid w:val="007A5C8A"/>
    <w:rsid w:val="007A5E27"/>
    <w:rsid w:val="007A5F3A"/>
    <w:rsid w:val="007A6461"/>
    <w:rsid w:val="007A678A"/>
    <w:rsid w:val="007A6C98"/>
    <w:rsid w:val="007A6E94"/>
    <w:rsid w:val="007A7021"/>
    <w:rsid w:val="007A736C"/>
    <w:rsid w:val="007A7713"/>
    <w:rsid w:val="007A7745"/>
    <w:rsid w:val="007A7883"/>
    <w:rsid w:val="007A79D3"/>
    <w:rsid w:val="007A7A13"/>
    <w:rsid w:val="007A7EDA"/>
    <w:rsid w:val="007B0103"/>
    <w:rsid w:val="007B01FF"/>
    <w:rsid w:val="007B02F9"/>
    <w:rsid w:val="007B065E"/>
    <w:rsid w:val="007B0BC6"/>
    <w:rsid w:val="007B12A7"/>
    <w:rsid w:val="007B1481"/>
    <w:rsid w:val="007B1683"/>
    <w:rsid w:val="007B16A2"/>
    <w:rsid w:val="007B1A93"/>
    <w:rsid w:val="007B1CF5"/>
    <w:rsid w:val="007B23A6"/>
    <w:rsid w:val="007B27E2"/>
    <w:rsid w:val="007B2976"/>
    <w:rsid w:val="007B2C97"/>
    <w:rsid w:val="007B2ED0"/>
    <w:rsid w:val="007B2F06"/>
    <w:rsid w:val="007B2F55"/>
    <w:rsid w:val="007B2F6B"/>
    <w:rsid w:val="007B31DE"/>
    <w:rsid w:val="007B3294"/>
    <w:rsid w:val="007B335C"/>
    <w:rsid w:val="007B339C"/>
    <w:rsid w:val="007B3991"/>
    <w:rsid w:val="007B39BF"/>
    <w:rsid w:val="007B3EBD"/>
    <w:rsid w:val="007B4073"/>
    <w:rsid w:val="007B4188"/>
    <w:rsid w:val="007B4215"/>
    <w:rsid w:val="007B4BBB"/>
    <w:rsid w:val="007B4F54"/>
    <w:rsid w:val="007B51C9"/>
    <w:rsid w:val="007B52A0"/>
    <w:rsid w:val="007B5330"/>
    <w:rsid w:val="007B535A"/>
    <w:rsid w:val="007B564F"/>
    <w:rsid w:val="007B5652"/>
    <w:rsid w:val="007B598B"/>
    <w:rsid w:val="007B5CEF"/>
    <w:rsid w:val="007B6093"/>
    <w:rsid w:val="007B6712"/>
    <w:rsid w:val="007B67E1"/>
    <w:rsid w:val="007B6C62"/>
    <w:rsid w:val="007B7774"/>
    <w:rsid w:val="007B799E"/>
    <w:rsid w:val="007B7CE4"/>
    <w:rsid w:val="007C01DB"/>
    <w:rsid w:val="007C031A"/>
    <w:rsid w:val="007C091C"/>
    <w:rsid w:val="007C0AAB"/>
    <w:rsid w:val="007C0CD7"/>
    <w:rsid w:val="007C0F10"/>
    <w:rsid w:val="007C12F7"/>
    <w:rsid w:val="007C163C"/>
    <w:rsid w:val="007C1C10"/>
    <w:rsid w:val="007C24FD"/>
    <w:rsid w:val="007C2C12"/>
    <w:rsid w:val="007C3639"/>
    <w:rsid w:val="007C36C9"/>
    <w:rsid w:val="007C37AD"/>
    <w:rsid w:val="007C3A29"/>
    <w:rsid w:val="007C3A44"/>
    <w:rsid w:val="007C3FEE"/>
    <w:rsid w:val="007C43BD"/>
    <w:rsid w:val="007C46A0"/>
    <w:rsid w:val="007C47EB"/>
    <w:rsid w:val="007C49A3"/>
    <w:rsid w:val="007C4A1E"/>
    <w:rsid w:val="007C4D96"/>
    <w:rsid w:val="007C4DE3"/>
    <w:rsid w:val="007C56EE"/>
    <w:rsid w:val="007C5711"/>
    <w:rsid w:val="007C57E1"/>
    <w:rsid w:val="007C5966"/>
    <w:rsid w:val="007C5C17"/>
    <w:rsid w:val="007C6078"/>
    <w:rsid w:val="007C6387"/>
    <w:rsid w:val="007C6496"/>
    <w:rsid w:val="007C64FA"/>
    <w:rsid w:val="007C68AC"/>
    <w:rsid w:val="007C6B6F"/>
    <w:rsid w:val="007C6F5F"/>
    <w:rsid w:val="007C7093"/>
    <w:rsid w:val="007C719E"/>
    <w:rsid w:val="007C7402"/>
    <w:rsid w:val="007C75F8"/>
    <w:rsid w:val="007C7961"/>
    <w:rsid w:val="007D0132"/>
    <w:rsid w:val="007D02D1"/>
    <w:rsid w:val="007D083C"/>
    <w:rsid w:val="007D0D1D"/>
    <w:rsid w:val="007D0F30"/>
    <w:rsid w:val="007D136F"/>
    <w:rsid w:val="007D13EE"/>
    <w:rsid w:val="007D14A1"/>
    <w:rsid w:val="007D1AA3"/>
    <w:rsid w:val="007D1C52"/>
    <w:rsid w:val="007D20E0"/>
    <w:rsid w:val="007D21C4"/>
    <w:rsid w:val="007D262F"/>
    <w:rsid w:val="007D2CA2"/>
    <w:rsid w:val="007D3373"/>
    <w:rsid w:val="007D372B"/>
    <w:rsid w:val="007D391E"/>
    <w:rsid w:val="007D3B68"/>
    <w:rsid w:val="007D3B93"/>
    <w:rsid w:val="007D3BFF"/>
    <w:rsid w:val="007D3D76"/>
    <w:rsid w:val="007D3EFC"/>
    <w:rsid w:val="007D4148"/>
    <w:rsid w:val="007D4C90"/>
    <w:rsid w:val="007D4DDB"/>
    <w:rsid w:val="007D5488"/>
    <w:rsid w:val="007D56E0"/>
    <w:rsid w:val="007D5BBD"/>
    <w:rsid w:val="007D5EE1"/>
    <w:rsid w:val="007D6401"/>
    <w:rsid w:val="007D6658"/>
    <w:rsid w:val="007D6A49"/>
    <w:rsid w:val="007D6AC4"/>
    <w:rsid w:val="007D6D05"/>
    <w:rsid w:val="007D6D81"/>
    <w:rsid w:val="007D73C8"/>
    <w:rsid w:val="007D785C"/>
    <w:rsid w:val="007D79E1"/>
    <w:rsid w:val="007E01E4"/>
    <w:rsid w:val="007E0487"/>
    <w:rsid w:val="007E053D"/>
    <w:rsid w:val="007E06F1"/>
    <w:rsid w:val="007E0805"/>
    <w:rsid w:val="007E09AE"/>
    <w:rsid w:val="007E0B64"/>
    <w:rsid w:val="007E0CAC"/>
    <w:rsid w:val="007E0E08"/>
    <w:rsid w:val="007E0FA6"/>
    <w:rsid w:val="007E1149"/>
    <w:rsid w:val="007E167D"/>
    <w:rsid w:val="007E16BF"/>
    <w:rsid w:val="007E17ED"/>
    <w:rsid w:val="007E1B71"/>
    <w:rsid w:val="007E1BFA"/>
    <w:rsid w:val="007E1CFC"/>
    <w:rsid w:val="007E1D63"/>
    <w:rsid w:val="007E1EBC"/>
    <w:rsid w:val="007E209B"/>
    <w:rsid w:val="007E21ED"/>
    <w:rsid w:val="007E224C"/>
    <w:rsid w:val="007E2251"/>
    <w:rsid w:val="007E2347"/>
    <w:rsid w:val="007E2640"/>
    <w:rsid w:val="007E2712"/>
    <w:rsid w:val="007E2717"/>
    <w:rsid w:val="007E2C23"/>
    <w:rsid w:val="007E3479"/>
    <w:rsid w:val="007E37BD"/>
    <w:rsid w:val="007E42A3"/>
    <w:rsid w:val="007E437F"/>
    <w:rsid w:val="007E43C6"/>
    <w:rsid w:val="007E44DE"/>
    <w:rsid w:val="007E44F2"/>
    <w:rsid w:val="007E4737"/>
    <w:rsid w:val="007E48AE"/>
    <w:rsid w:val="007E498B"/>
    <w:rsid w:val="007E5507"/>
    <w:rsid w:val="007E554D"/>
    <w:rsid w:val="007E6714"/>
    <w:rsid w:val="007E6774"/>
    <w:rsid w:val="007E677B"/>
    <w:rsid w:val="007E6964"/>
    <w:rsid w:val="007E6DD8"/>
    <w:rsid w:val="007E6E6C"/>
    <w:rsid w:val="007E71B0"/>
    <w:rsid w:val="007E74DB"/>
    <w:rsid w:val="007E7717"/>
    <w:rsid w:val="007E7A12"/>
    <w:rsid w:val="007E7BEF"/>
    <w:rsid w:val="007F023A"/>
    <w:rsid w:val="007F03D0"/>
    <w:rsid w:val="007F0580"/>
    <w:rsid w:val="007F064D"/>
    <w:rsid w:val="007F0785"/>
    <w:rsid w:val="007F0E4D"/>
    <w:rsid w:val="007F15BF"/>
    <w:rsid w:val="007F18BF"/>
    <w:rsid w:val="007F1AF7"/>
    <w:rsid w:val="007F2108"/>
    <w:rsid w:val="007F21B9"/>
    <w:rsid w:val="007F25CD"/>
    <w:rsid w:val="007F260C"/>
    <w:rsid w:val="007F2695"/>
    <w:rsid w:val="007F28ED"/>
    <w:rsid w:val="007F297F"/>
    <w:rsid w:val="007F33BF"/>
    <w:rsid w:val="007F3580"/>
    <w:rsid w:val="007F3662"/>
    <w:rsid w:val="007F38B9"/>
    <w:rsid w:val="007F38C2"/>
    <w:rsid w:val="007F3A4C"/>
    <w:rsid w:val="007F3EF0"/>
    <w:rsid w:val="007F402F"/>
    <w:rsid w:val="007F4197"/>
    <w:rsid w:val="007F49AF"/>
    <w:rsid w:val="007F5E9D"/>
    <w:rsid w:val="007F5FFE"/>
    <w:rsid w:val="007F61F6"/>
    <w:rsid w:val="007F6631"/>
    <w:rsid w:val="007F67D0"/>
    <w:rsid w:val="007F6A14"/>
    <w:rsid w:val="007F6AA0"/>
    <w:rsid w:val="007F6C52"/>
    <w:rsid w:val="007F6CC8"/>
    <w:rsid w:val="007F6D69"/>
    <w:rsid w:val="007F7107"/>
    <w:rsid w:val="007F7205"/>
    <w:rsid w:val="007F7341"/>
    <w:rsid w:val="007F74B3"/>
    <w:rsid w:val="007F77FC"/>
    <w:rsid w:val="007F7A2B"/>
    <w:rsid w:val="007F7A40"/>
    <w:rsid w:val="007F7A93"/>
    <w:rsid w:val="007F7A9D"/>
    <w:rsid w:val="007F7F9B"/>
    <w:rsid w:val="00800572"/>
    <w:rsid w:val="008006B1"/>
    <w:rsid w:val="00800764"/>
    <w:rsid w:val="008008AD"/>
    <w:rsid w:val="00800D4C"/>
    <w:rsid w:val="008014F5"/>
    <w:rsid w:val="008015C6"/>
    <w:rsid w:val="00801749"/>
    <w:rsid w:val="0080180F"/>
    <w:rsid w:val="00801AE6"/>
    <w:rsid w:val="00801B8C"/>
    <w:rsid w:val="00801DEA"/>
    <w:rsid w:val="00801E7A"/>
    <w:rsid w:val="0080211B"/>
    <w:rsid w:val="00802365"/>
    <w:rsid w:val="008025CB"/>
    <w:rsid w:val="008026B6"/>
    <w:rsid w:val="008026C1"/>
    <w:rsid w:val="008028A6"/>
    <w:rsid w:val="008028AD"/>
    <w:rsid w:val="00803078"/>
    <w:rsid w:val="0080376E"/>
    <w:rsid w:val="008038F2"/>
    <w:rsid w:val="00803EB6"/>
    <w:rsid w:val="00804411"/>
    <w:rsid w:val="00804478"/>
    <w:rsid w:val="008044D4"/>
    <w:rsid w:val="00804511"/>
    <w:rsid w:val="00804692"/>
    <w:rsid w:val="008047BA"/>
    <w:rsid w:val="00804BCA"/>
    <w:rsid w:val="00805451"/>
    <w:rsid w:val="00805580"/>
    <w:rsid w:val="0080563E"/>
    <w:rsid w:val="008057BE"/>
    <w:rsid w:val="00805A6C"/>
    <w:rsid w:val="00805AF2"/>
    <w:rsid w:val="00805FC6"/>
    <w:rsid w:val="00806299"/>
    <w:rsid w:val="008062A1"/>
    <w:rsid w:val="008065D0"/>
    <w:rsid w:val="00806614"/>
    <w:rsid w:val="00806691"/>
    <w:rsid w:val="00806A92"/>
    <w:rsid w:val="00806CD4"/>
    <w:rsid w:val="00806CDE"/>
    <w:rsid w:val="00806E4E"/>
    <w:rsid w:val="00806F54"/>
    <w:rsid w:val="00807251"/>
    <w:rsid w:val="008078BC"/>
    <w:rsid w:val="00807C20"/>
    <w:rsid w:val="0081030F"/>
    <w:rsid w:val="00810A15"/>
    <w:rsid w:val="00810BA9"/>
    <w:rsid w:val="00810BFC"/>
    <w:rsid w:val="008112EA"/>
    <w:rsid w:val="008115F9"/>
    <w:rsid w:val="00811675"/>
    <w:rsid w:val="008116EA"/>
    <w:rsid w:val="0081172E"/>
    <w:rsid w:val="008117F7"/>
    <w:rsid w:val="00811873"/>
    <w:rsid w:val="0081196D"/>
    <w:rsid w:val="00811A0E"/>
    <w:rsid w:val="00811A73"/>
    <w:rsid w:val="00811BB3"/>
    <w:rsid w:val="00811BCF"/>
    <w:rsid w:val="00811C7C"/>
    <w:rsid w:val="00811E74"/>
    <w:rsid w:val="008120AF"/>
    <w:rsid w:val="008126C2"/>
    <w:rsid w:val="008127DA"/>
    <w:rsid w:val="00812A66"/>
    <w:rsid w:val="00812B64"/>
    <w:rsid w:val="00812F4A"/>
    <w:rsid w:val="00812FC4"/>
    <w:rsid w:val="00813BF4"/>
    <w:rsid w:val="00813F72"/>
    <w:rsid w:val="00813FB3"/>
    <w:rsid w:val="00814354"/>
    <w:rsid w:val="00814837"/>
    <w:rsid w:val="00814C7F"/>
    <w:rsid w:val="00814E89"/>
    <w:rsid w:val="00814F83"/>
    <w:rsid w:val="00815258"/>
    <w:rsid w:val="0081564D"/>
    <w:rsid w:val="008159D5"/>
    <w:rsid w:val="00815AA4"/>
    <w:rsid w:val="00816A13"/>
    <w:rsid w:val="00816A67"/>
    <w:rsid w:val="00816FD2"/>
    <w:rsid w:val="00817451"/>
    <w:rsid w:val="00817C61"/>
    <w:rsid w:val="00817CA2"/>
    <w:rsid w:val="00817E14"/>
    <w:rsid w:val="00817F5A"/>
    <w:rsid w:val="00820011"/>
    <w:rsid w:val="008206DF"/>
    <w:rsid w:val="0082087D"/>
    <w:rsid w:val="0082091C"/>
    <w:rsid w:val="00820EB1"/>
    <w:rsid w:val="008214A5"/>
    <w:rsid w:val="008217B2"/>
    <w:rsid w:val="0082194F"/>
    <w:rsid w:val="00821C57"/>
    <w:rsid w:val="00821C8F"/>
    <w:rsid w:val="00821F3B"/>
    <w:rsid w:val="008224E8"/>
    <w:rsid w:val="00822505"/>
    <w:rsid w:val="00822CF6"/>
    <w:rsid w:val="00822D53"/>
    <w:rsid w:val="00823299"/>
    <w:rsid w:val="00823565"/>
    <w:rsid w:val="008235DA"/>
    <w:rsid w:val="00823657"/>
    <w:rsid w:val="0082394A"/>
    <w:rsid w:val="00823963"/>
    <w:rsid w:val="008239EA"/>
    <w:rsid w:val="00823D8A"/>
    <w:rsid w:val="008241C7"/>
    <w:rsid w:val="00824658"/>
    <w:rsid w:val="00824D26"/>
    <w:rsid w:val="00824E42"/>
    <w:rsid w:val="008254B8"/>
    <w:rsid w:val="0082596C"/>
    <w:rsid w:val="00825CD2"/>
    <w:rsid w:val="00825D1A"/>
    <w:rsid w:val="00825E4E"/>
    <w:rsid w:val="00825F62"/>
    <w:rsid w:val="008266F9"/>
    <w:rsid w:val="00826B35"/>
    <w:rsid w:val="00826BC8"/>
    <w:rsid w:val="00826C2C"/>
    <w:rsid w:val="00826ED8"/>
    <w:rsid w:val="00826EE3"/>
    <w:rsid w:val="008270AC"/>
    <w:rsid w:val="008270D7"/>
    <w:rsid w:val="00827682"/>
    <w:rsid w:val="0082773C"/>
    <w:rsid w:val="0082788E"/>
    <w:rsid w:val="00827A01"/>
    <w:rsid w:val="00827D21"/>
    <w:rsid w:val="00827E0C"/>
    <w:rsid w:val="0083029B"/>
    <w:rsid w:val="00830608"/>
    <w:rsid w:val="0083069B"/>
    <w:rsid w:val="00830EB9"/>
    <w:rsid w:val="008312FB"/>
    <w:rsid w:val="00831A94"/>
    <w:rsid w:val="008321DD"/>
    <w:rsid w:val="008327B0"/>
    <w:rsid w:val="00832858"/>
    <w:rsid w:val="008328E1"/>
    <w:rsid w:val="00832907"/>
    <w:rsid w:val="0083293B"/>
    <w:rsid w:val="00832C28"/>
    <w:rsid w:val="00832D33"/>
    <w:rsid w:val="0083389F"/>
    <w:rsid w:val="00833B48"/>
    <w:rsid w:val="00833F0D"/>
    <w:rsid w:val="00833F64"/>
    <w:rsid w:val="008344C1"/>
    <w:rsid w:val="00834602"/>
    <w:rsid w:val="00834A5F"/>
    <w:rsid w:val="00834C2D"/>
    <w:rsid w:val="00834ECC"/>
    <w:rsid w:val="008356A9"/>
    <w:rsid w:val="00835771"/>
    <w:rsid w:val="00835964"/>
    <w:rsid w:val="00835CF1"/>
    <w:rsid w:val="00836412"/>
    <w:rsid w:val="008368B9"/>
    <w:rsid w:val="00836A69"/>
    <w:rsid w:val="00836DDE"/>
    <w:rsid w:val="0083701B"/>
    <w:rsid w:val="008376F8"/>
    <w:rsid w:val="00837B4A"/>
    <w:rsid w:val="00837BA4"/>
    <w:rsid w:val="008401DB"/>
    <w:rsid w:val="008402B9"/>
    <w:rsid w:val="00840509"/>
    <w:rsid w:val="00840734"/>
    <w:rsid w:val="008411AF"/>
    <w:rsid w:val="008413D0"/>
    <w:rsid w:val="008415EB"/>
    <w:rsid w:val="00841742"/>
    <w:rsid w:val="0084175A"/>
    <w:rsid w:val="008419A6"/>
    <w:rsid w:val="00842436"/>
    <w:rsid w:val="0084246A"/>
    <w:rsid w:val="008425BC"/>
    <w:rsid w:val="008428B7"/>
    <w:rsid w:val="00842933"/>
    <w:rsid w:val="00842CA2"/>
    <w:rsid w:val="00842D72"/>
    <w:rsid w:val="00842D85"/>
    <w:rsid w:val="00842EDC"/>
    <w:rsid w:val="0084313F"/>
    <w:rsid w:val="008433E1"/>
    <w:rsid w:val="00843D2E"/>
    <w:rsid w:val="00844635"/>
    <w:rsid w:val="008447D8"/>
    <w:rsid w:val="00844879"/>
    <w:rsid w:val="00844988"/>
    <w:rsid w:val="00844AA4"/>
    <w:rsid w:val="00844FB6"/>
    <w:rsid w:val="00844FEF"/>
    <w:rsid w:val="008457DB"/>
    <w:rsid w:val="008459E3"/>
    <w:rsid w:val="008459EF"/>
    <w:rsid w:val="00845CF9"/>
    <w:rsid w:val="00845DF5"/>
    <w:rsid w:val="00846586"/>
    <w:rsid w:val="00846875"/>
    <w:rsid w:val="00847252"/>
    <w:rsid w:val="00847380"/>
    <w:rsid w:val="008476C6"/>
    <w:rsid w:val="00847735"/>
    <w:rsid w:val="00847BEA"/>
    <w:rsid w:val="00847F71"/>
    <w:rsid w:val="0085014B"/>
    <w:rsid w:val="008501E6"/>
    <w:rsid w:val="00850542"/>
    <w:rsid w:val="00850B8D"/>
    <w:rsid w:val="00850D42"/>
    <w:rsid w:val="00850E00"/>
    <w:rsid w:val="00850F05"/>
    <w:rsid w:val="00850FB5"/>
    <w:rsid w:val="008514F7"/>
    <w:rsid w:val="00851686"/>
    <w:rsid w:val="00851922"/>
    <w:rsid w:val="00851CA7"/>
    <w:rsid w:val="00851DF7"/>
    <w:rsid w:val="00851FA4"/>
    <w:rsid w:val="00852229"/>
    <w:rsid w:val="008524FB"/>
    <w:rsid w:val="0085250E"/>
    <w:rsid w:val="008525E6"/>
    <w:rsid w:val="008526E0"/>
    <w:rsid w:val="008528AA"/>
    <w:rsid w:val="00852BB4"/>
    <w:rsid w:val="00852CFE"/>
    <w:rsid w:val="00853193"/>
    <w:rsid w:val="0085375E"/>
    <w:rsid w:val="00853918"/>
    <w:rsid w:val="00853A28"/>
    <w:rsid w:val="00853A69"/>
    <w:rsid w:val="00853B44"/>
    <w:rsid w:val="00853B4F"/>
    <w:rsid w:val="00854084"/>
    <w:rsid w:val="008543BD"/>
    <w:rsid w:val="00854602"/>
    <w:rsid w:val="0085485A"/>
    <w:rsid w:val="00854B71"/>
    <w:rsid w:val="008556A5"/>
    <w:rsid w:val="0085586B"/>
    <w:rsid w:val="0085595B"/>
    <w:rsid w:val="00855B9F"/>
    <w:rsid w:val="00855C73"/>
    <w:rsid w:val="00855CC8"/>
    <w:rsid w:val="00856469"/>
    <w:rsid w:val="00856757"/>
    <w:rsid w:val="008567DE"/>
    <w:rsid w:val="008567EE"/>
    <w:rsid w:val="0085682A"/>
    <w:rsid w:val="00856B24"/>
    <w:rsid w:val="008573A1"/>
    <w:rsid w:val="008577BC"/>
    <w:rsid w:val="00857867"/>
    <w:rsid w:val="00857D75"/>
    <w:rsid w:val="0086023B"/>
    <w:rsid w:val="0086029F"/>
    <w:rsid w:val="00860648"/>
    <w:rsid w:val="00860659"/>
    <w:rsid w:val="0086082C"/>
    <w:rsid w:val="008608E3"/>
    <w:rsid w:val="00860D38"/>
    <w:rsid w:val="00860F52"/>
    <w:rsid w:val="00861164"/>
    <w:rsid w:val="008619B2"/>
    <w:rsid w:val="008622F5"/>
    <w:rsid w:val="0086243B"/>
    <w:rsid w:val="00862530"/>
    <w:rsid w:val="00862CF9"/>
    <w:rsid w:val="00862D66"/>
    <w:rsid w:val="00862DEA"/>
    <w:rsid w:val="00862F03"/>
    <w:rsid w:val="00863068"/>
    <w:rsid w:val="0086308E"/>
    <w:rsid w:val="008631AE"/>
    <w:rsid w:val="0086325F"/>
    <w:rsid w:val="008637F1"/>
    <w:rsid w:val="00863C44"/>
    <w:rsid w:val="00863C95"/>
    <w:rsid w:val="00863CAA"/>
    <w:rsid w:val="00863F60"/>
    <w:rsid w:val="00863FAB"/>
    <w:rsid w:val="0086411F"/>
    <w:rsid w:val="00864145"/>
    <w:rsid w:val="0086438B"/>
    <w:rsid w:val="008645C1"/>
    <w:rsid w:val="008646B7"/>
    <w:rsid w:val="00864ADC"/>
    <w:rsid w:val="00864C15"/>
    <w:rsid w:val="00864C35"/>
    <w:rsid w:val="00865015"/>
    <w:rsid w:val="008651B6"/>
    <w:rsid w:val="00865400"/>
    <w:rsid w:val="00865446"/>
    <w:rsid w:val="00865AF9"/>
    <w:rsid w:val="00865E0C"/>
    <w:rsid w:val="008663C5"/>
    <w:rsid w:val="00866535"/>
    <w:rsid w:val="00866947"/>
    <w:rsid w:val="008669BE"/>
    <w:rsid w:val="008670B3"/>
    <w:rsid w:val="00867954"/>
    <w:rsid w:val="00867BC7"/>
    <w:rsid w:val="00867D55"/>
    <w:rsid w:val="00867F1D"/>
    <w:rsid w:val="0087066D"/>
    <w:rsid w:val="0087088E"/>
    <w:rsid w:val="008709B5"/>
    <w:rsid w:val="00870D0D"/>
    <w:rsid w:val="00870DE9"/>
    <w:rsid w:val="00870F46"/>
    <w:rsid w:val="008712A8"/>
    <w:rsid w:val="008715BC"/>
    <w:rsid w:val="00871604"/>
    <w:rsid w:val="00871D26"/>
    <w:rsid w:val="00871E87"/>
    <w:rsid w:val="008722CA"/>
    <w:rsid w:val="008722DA"/>
    <w:rsid w:val="0087243D"/>
    <w:rsid w:val="00872753"/>
    <w:rsid w:val="0087285D"/>
    <w:rsid w:val="00872896"/>
    <w:rsid w:val="00872EE8"/>
    <w:rsid w:val="00873706"/>
    <w:rsid w:val="008738CC"/>
    <w:rsid w:val="00873997"/>
    <w:rsid w:val="00873B73"/>
    <w:rsid w:val="00873D39"/>
    <w:rsid w:val="00873F83"/>
    <w:rsid w:val="008742BD"/>
    <w:rsid w:val="008747DE"/>
    <w:rsid w:val="00874937"/>
    <w:rsid w:val="00874FEA"/>
    <w:rsid w:val="00875320"/>
    <w:rsid w:val="00875565"/>
    <w:rsid w:val="008757C1"/>
    <w:rsid w:val="00875A3A"/>
    <w:rsid w:val="00875A86"/>
    <w:rsid w:val="00875B4A"/>
    <w:rsid w:val="00875FB3"/>
    <w:rsid w:val="008763B2"/>
    <w:rsid w:val="008765CC"/>
    <w:rsid w:val="00876B6F"/>
    <w:rsid w:val="00876DDF"/>
    <w:rsid w:val="0087734E"/>
    <w:rsid w:val="00877616"/>
    <w:rsid w:val="0087765B"/>
    <w:rsid w:val="00877890"/>
    <w:rsid w:val="008779FE"/>
    <w:rsid w:val="00877FB1"/>
    <w:rsid w:val="00880153"/>
    <w:rsid w:val="008802C2"/>
    <w:rsid w:val="008807FE"/>
    <w:rsid w:val="00880A7C"/>
    <w:rsid w:val="00880BA7"/>
    <w:rsid w:val="00880CE6"/>
    <w:rsid w:val="00880F97"/>
    <w:rsid w:val="008812AD"/>
    <w:rsid w:val="008812CB"/>
    <w:rsid w:val="008812DC"/>
    <w:rsid w:val="0088133A"/>
    <w:rsid w:val="008813ED"/>
    <w:rsid w:val="00881450"/>
    <w:rsid w:val="008816EA"/>
    <w:rsid w:val="008816F7"/>
    <w:rsid w:val="00881844"/>
    <w:rsid w:val="00881E08"/>
    <w:rsid w:val="00881E5A"/>
    <w:rsid w:val="00881F3A"/>
    <w:rsid w:val="0088223D"/>
    <w:rsid w:val="008822EA"/>
    <w:rsid w:val="008822EE"/>
    <w:rsid w:val="008826D3"/>
    <w:rsid w:val="00883041"/>
    <w:rsid w:val="00883247"/>
    <w:rsid w:val="008837F0"/>
    <w:rsid w:val="008839ED"/>
    <w:rsid w:val="008840A8"/>
    <w:rsid w:val="0088423D"/>
    <w:rsid w:val="0088494E"/>
    <w:rsid w:val="00884BEE"/>
    <w:rsid w:val="00884BFE"/>
    <w:rsid w:val="00884E49"/>
    <w:rsid w:val="00885DFC"/>
    <w:rsid w:val="008861EB"/>
    <w:rsid w:val="008865A5"/>
    <w:rsid w:val="008868A5"/>
    <w:rsid w:val="00886AD6"/>
    <w:rsid w:val="00886C97"/>
    <w:rsid w:val="00886D57"/>
    <w:rsid w:val="008875D5"/>
    <w:rsid w:val="00887BC8"/>
    <w:rsid w:val="00887CC3"/>
    <w:rsid w:val="00887CE3"/>
    <w:rsid w:val="00887D2F"/>
    <w:rsid w:val="00887EE0"/>
    <w:rsid w:val="00887F2F"/>
    <w:rsid w:val="00887F50"/>
    <w:rsid w:val="00890A5C"/>
    <w:rsid w:val="00890AA3"/>
    <w:rsid w:val="00890AF9"/>
    <w:rsid w:val="00891348"/>
    <w:rsid w:val="00891446"/>
    <w:rsid w:val="00891730"/>
    <w:rsid w:val="0089175A"/>
    <w:rsid w:val="008917C5"/>
    <w:rsid w:val="00891970"/>
    <w:rsid w:val="00891C72"/>
    <w:rsid w:val="00891E85"/>
    <w:rsid w:val="00891F81"/>
    <w:rsid w:val="0089285E"/>
    <w:rsid w:val="008928A6"/>
    <w:rsid w:val="0089299F"/>
    <w:rsid w:val="00892AFD"/>
    <w:rsid w:val="00892B5B"/>
    <w:rsid w:val="00892E2F"/>
    <w:rsid w:val="00892E55"/>
    <w:rsid w:val="008931AF"/>
    <w:rsid w:val="008933D8"/>
    <w:rsid w:val="008933FE"/>
    <w:rsid w:val="00894167"/>
    <w:rsid w:val="0089436C"/>
    <w:rsid w:val="00894622"/>
    <w:rsid w:val="008946D9"/>
    <w:rsid w:val="0089470C"/>
    <w:rsid w:val="00894B05"/>
    <w:rsid w:val="0089524F"/>
    <w:rsid w:val="008953B8"/>
    <w:rsid w:val="00895822"/>
    <w:rsid w:val="00895B2A"/>
    <w:rsid w:val="00895B50"/>
    <w:rsid w:val="00895BA5"/>
    <w:rsid w:val="00895C6E"/>
    <w:rsid w:val="00896005"/>
    <w:rsid w:val="008961BF"/>
    <w:rsid w:val="0089625F"/>
    <w:rsid w:val="008962EA"/>
    <w:rsid w:val="008966FB"/>
    <w:rsid w:val="0089685D"/>
    <w:rsid w:val="00896930"/>
    <w:rsid w:val="00896FD6"/>
    <w:rsid w:val="008971B8"/>
    <w:rsid w:val="00897358"/>
    <w:rsid w:val="00897985"/>
    <w:rsid w:val="008979FE"/>
    <w:rsid w:val="00897A95"/>
    <w:rsid w:val="00897CC2"/>
    <w:rsid w:val="00897CC3"/>
    <w:rsid w:val="008A008D"/>
    <w:rsid w:val="008A025F"/>
    <w:rsid w:val="008A07F5"/>
    <w:rsid w:val="008A0D2D"/>
    <w:rsid w:val="008A0DBD"/>
    <w:rsid w:val="008A1189"/>
    <w:rsid w:val="008A13A9"/>
    <w:rsid w:val="008A1400"/>
    <w:rsid w:val="008A14B7"/>
    <w:rsid w:val="008A194D"/>
    <w:rsid w:val="008A1ADB"/>
    <w:rsid w:val="008A1AE3"/>
    <w:rsid w:val="008A1BF3"/>
    <w:rsid w:val="008A1D18"/>
    <w:rsid w:val="008A2501"/>
    <w:rsid w:val="008A2867"/>
    <w:rsid w:val="008A2888"/>
    <w:rsid w:val="008A295A"/>
    <w:rsid w:val="008A2C32"/>
    <w:rsid w:val="008A2CEF"/>
    <w:rsid w:val="008A2F3D"/>
    <w:rsid w:val="008A3002"/>
    <w:rsid w:val="008A300D"/>
    <w:rsid w:val="008A35B2"/>
    <w:rsid w:val="008A380B"/>
    <w:rsid w:val="008A385C"/>
    <w:rsid w:val="008A3A0D"/>
    <w:rsid w:val="008A3C49"/>
    <w:rsid w:val="008A3C69"/>
    <w:rsid w:val="008A45BA"/>
    <w:rsid w:val="008A4708"/>
    <w:rsid w:val="008A4DAC"/>
    <w:rsid w:val="008A4DF6"/>
    <w:rsid w:val="008A50BB"/>
    <w:rsid w:val="008A5412"/>
    <w:rsid w:val="008A55C7"/>
    <w:rsid w:val="008A57F3"/>
    <w:rsid w:val="008A60EA"/>
    <w:rsid w:val="008A6D11"/>
    <w:rsid w:val="008A6F0B"/>
    <w:rsid w:val="008A6FD2"/>
    <w:rsid w:val="008A6FF3"/>
    <w:rsid w:val="008A7193"/>
    <w:rsid w:val="008A767B"/>
    <w:rsid w:val="008A7B1C"/>
    <w:rsid w:val="008B000C"/>
    <w:rsid w:val="008B0184"/>
    <w:rsid w:val="008B0610"/>
    <w:rsid w:val="008B061C"/>
    <w:rsid w:val="008B0751"/>
    <w:rsid w:val="008B0B12"/>
    <w:rsid w:val="008B0ECB"/>
    <w:rsid w:val="008B1562"/>
    <w:rsid w:val="008B16D7"/>
    <w:rsid w:val="008B17BF"/>
    <w:rsid w:val="008B18AE"/>
    <w:rsid w:val="008B18E7"/>
    <w:rsid w:val="008B1C0F"/>
    <w:rsid w:val="008B2240"/>
    <w:rsid w:val="008B2274"/>
    <w:rsid w:val="008B229E"/>
    <w:rsid w:val="008B2520"/>
    <w:rsid w:val="008B342C"/>
    <w:rsid w:val="008B3969"/>
    <w:rsid w:val="008B39BF"/>
    <w:rsid w:val="008B3BDD"/>
    <w:rsid w:val="008B4356"/>
    <w:rsid w:val="008B4B1F"/>
    <w:rsid w:val="008B4E55"/>
    <w:rsid w:val="008B5051"/>
    <w:rsid w:val="008B5224"/>
    <w:rsid w:val="008B530F"/>
    <w:rsid w:val="008B53B0"/>
    <w:rsid w:val="008B568C"/>
    <w:rsid w:val="008B5717"/>
    <w:rsid w:val="008B59DC"/>
    <w:rsid w:val="008B5DDB"/>
    <w:rsid w:val="008B5E1B"/>
    <w:rsid w:val="008B6041"/>
    <w:rsid w:val="008B6057"/>
    <w:rsid w:val="008B65CF"/>
    <w:rsid w:val="008B6CE2"/>
    <w:rsid w:val="008B6DB4"/>
    <w:rsid w:val="008B72A8"/>
    <w:rsid w:val="008B744C"/>
    <w:rsid w:val="008B7B26"/>
    <w:rsid w:val="008C00D2"/>
    <w:rsid w:val="008C01A7"/>
    <w:rsid w:val="008C0253"/>
    <w:rsid w:val="008C0285"/>
    <w:rsid w:val="008C0419"/>
    <w:rsid w:val="008C0956"/>
    <w:rsid w:val="008C157A"/>
    <w:rsid w:val="008C18B8"/>
    <w:rsid w:val="008C1E6E"/>
    <w:rsid w:val="008C1EC0"/>
    <w:rsid w:val="008C1F13"/>
    <w:rsid w:val="008C1FA1"/>
    <w:rsid w:val="008C2060"/>
    <w:rsid w:val="008C2580"/>
    <w:rsid w:val="008C27F5"/>
    <w:rsid w:val="008C294A"/>
    <w:rsid w:val="008C30EE"/>
    <w:rsid w:val="008C31CD"/>
    <w:rsid w:val="008C354D"/>
    <w:rsid w:val="008C3BB0"/>
    <w:rsid w:val="008C3BE0"/>
    <w:rsid w:val="008C3FB1"/>
    <w:rsid w:val="008C4977"/>
    <w:rsid w:val="008C49CD"/>
    <w:rsid w:val="008C4AE3"/>
    <w:rsid w:val="008C4F0D"/>
    <w:rsid w:val="008C4F28"/>
    <w:rsid w:val="008C52F0"/>
    <w:rsid w:val="008C5351"/>
    <w:rsid w:val="008C55C9"/>
    <w:rsid w:val="008C5612"/>
    <w:rsid w:val="008C57C5"/>
    <w:rsid w:val="008C5BBF"/>
    <w:rsid w:val="008C5EA6"/>
    <w:rsid w:val="008C6051"/>
    <w:rsid w:val="008C621A"/>
    <w:rsid w:val="008C63B5"/>
    <w:rsid w:val="008C69BC"/>
    <w:rsid w:val="008C6C22"/>
    <w:rsid w:val="008C6C6C"/>
    <w:rsid w:val="008C6E31"/>
    <w:rsid w:val="008C70C6"/>
    <w:rsid w:val="008D011E"/>
    <w:rsid w:val="008D024A"/>
    <w:rsid w:val="008D0C6D"/>
    <w:rsid w:val="008D0D26"/>
    <w:rsid w:val="008D0D33"/>
    <w:rsid w:val="008D0E3F"/>
    <w:rsid w:val="008D0F10"/>
    <w:rsid w:val="008D0F9D"/>
    <w:rsid w:val="008D105A"/>
    <w:rsid w:val="008D1090"/>
    <w:rsid w:val="008D1A58"/>
    <w:rsid w:val="008D1D85"/>
    <w:rsid w:val="008D1E00"/>
    <w:rsid w:val="008D2144"/>
    <w:rsid w:val="008D23CB"/>
    <w:rsid w:val="008D26C8"/>
    <w:rsid w:val="008D2CB9"/>
    <w:rsid w:val="008D2F76"/>
    <w:rsid w:val="008D32D4"/>
    <w:rsid w:val="008D32FE"/>
    <w:rsid w:val="008D3358"/>
    <w:rsid w:val="008D365C"/>
    <w:rsid w:val="008D39C9"/>
    <w:rsid w:val="008D41E8"/>
    <w:rsid w:val="008D46E1"/>
    <w:rsid w:val="008D488D"/>
    <w:rsid w:val="008D4A1C"/>
    <w:rsid w:val="008D4E39"/>
    <w:rsid w:val="008D4F23"/>
    <w:rsid w:val="008D4FFF"/>
    <w:rsid w:val="008D5429"/>
    <w:rsid w:val="008D54B5"/>
    <w:rsid w:val="008D5C54"/>
    <w:rsid w:val="008D5DF0"/>
    <w:rsid w:val="008D6753"/>
    <w:rsid w:val="008D6ACA"/>
    <w:rsid w:val="008D7008"/>
    <w:rsid w:val="008D7019"/>
    <w:rsid w:val="008D71E7"/>
    <w:rsid w:val="008D7454"/>
    <w:rsid w:val="008D7622"/>
    <w:rsid w:val="008D7624"/>
    <w:rsid w:val="008D7E29"/>
    <w:rsid w:val="008D7EE3"/>
    <w:rsid w:val="008E00E6"/>
    <w:rsid w:val="008E08A0"/>
    <w:rsid w:val="008E091C"/>
    <w:rsid w:val="008E0AF1"/>
    <w:rsid w:val="008E0C4D"/>
    <w:rsid w:val="008E133C"/>
    <w:rsid w:val="008E1E42"/>
    <w:rsid w:val="008E22C9"/>
    <w:rsid w:val="008E2304"/>
    <w:rsid w:val="008E255C"/>
    <w:rsid w:val="008E270B"/>
    <w:rsid w:val="008E298F"/>
    <w:rsid w:val="008E3346"/>
    <w:rsid w:val="008E348B"/>
    <w:rsid w:val="008E3695"/>
    <w:rsid w:val="008E38F4"/>
    <w:rsid w:val="008E3B2A"/>
    <w:rsid w:val="008E3E8C"/>
    <w:rsid w:val="008E3FB1"/>
    <w:rsid w:val="008E4192"/>
    <w:rsid w:val="008E41C4"/>
    <w:rsid w:val="008E4230"/>
    <w:rsid w:val="008E4351"/>
    <w:rsid w:val="008E4750"/>
    <w:rsid w:val="008E4DED"/>
    <w:rsid w:val="008E5055"/>
    <w:rsid w:val="008E52A8"/>
    <w:rsid w:val="008E575C"/>
    <w:rsid w:val="008E57EB"/>
    <w:rsid w:val="008E6819"/>
    <w:rsid w:val="008E6856"/>
    <w:rsid w:val="008E6B15"/>
    <w:rsid w:val="008E6C14"/>
    <w:rsid w:val="008E735D"/>
    <w:rsid w:val="008E73DE"/>
    <w:rsid w:val="008E7459"/>
    <w:rsid w:val="008E7A34"/>
    <w:rsid w:val="008E7AA5"/>
    <w:rsid w:val="008E7B17"/>
    <w:rsid w:val="008E7DFD"/>
    <w:rsid w:val="008E7EB9"/>
    <w:rsid w:val="008F0030"/>
    <w:rsid w:val="008F00D1"/>
    <w:rsid w:val="008F0C1E"/>
    <w:rsid w:val="008F0CDF"/>
    <w:rsid w:val="008F1EA9"/>
    <w:rsid w:val="008F1FF3"/>
    <w:rsid w:val="008F2191"/>
    <w:rsid w:val="008F2424"/>
    <w:rsid w:val="008F2638"/>
    <w:rsid w:val="008F2807"/>
    <w:rsid w:val="008F2C85"/>
    <w:rsid w:val="008F37C3"/>
    <w:rsid w:val="008F3920"/>
    <w:rsid w:val="008F3AB6"/>
    <w:rsid w:val="008F4575"/>
    <w:rsid w:val="008F47EE"/>
    <w:rsid w:val="008F4881"/>
    <w:rsid w:val="008F494F"/>
    <w:rsid w:val="008F4A87"/>
    <w:rsid w:val="008F4A95"/>
    <w:rsid w:val="008F4DD7"/>
    <w:rsid w:val="008F4EE9"/>
    <w:rsid w:val="008F5549"/>
    <w:rsid w:val="008F57E6"/>
    <w:rsid w:val="008F59C5"/>
    <w:rsid w:val="008F5CEA"/>
    <w:rsid w:val="008F5EB2"/>
    <w:rsid w:val="008F6215"/>
    <w:rsid w:val="008F62E5"/>
    <w:rsid w:val="008F64A9"/>
    <w:rsid w:val="008F6533"/>
    <w:rsid w:val="008F6551"/>
    <w:rsid w:val="008F68D2"/>
    <w:rsid w:val="008F696B"/>
    <w:rsid w:val="008F6983"/>
    <w:rsid w:val="008F7049"/>
    <w:rsid w:val="008F7D05"/>
    <w:rsid w:val="00900007"/>
    <w:rsid w:val="0090025F"/>
    <w:rsid w:val="009003E1"/>
    <w:rsid w:val="009004A3"/>
    <w:rsid w:val="00900769"/>
    <w:rsid w:val="009009F9"/>
    <w:rsid w:val="00900A42"/>
    <w:rsid w:val="00900E25"/>
    <w:rsid w:val="0090165B"/>
    <w:rsid w:val="009016C8"/>
    <w:rsid w:val="00901911"/>
    <w:rsid w:val="00901992"/>
    <w:rsid w:val="00901D29"/>
    <w:rsid w:val="00901D33"/>
    <w:rsid w:val="009021A6"/>
    <w:rsid w:val="0090248F"/>
    <w:rsid w:val="0090255A"/>
    <w:rsid w:val="00902ACB"/>
    <w:rsid w:val="00902AD2"/>
    <w:rsid w:val="00902B16"/>
    <w:rsid w:val="00902CCF"/>
    <w:rsid w:val="00902ECA"/>
    <w:rsid w:val="009030BF"/>
    <w:rsid w:val="009030EC"/>
    <w:rsid w:val="009032F4"/>
    <w:rsid w:val="00903366"/>
    <w:rsid w:val="00903843"/>
    <w:rsid w:val="00903847"/>
    <w:rsid w:val="00903B52"/>
    <w:rsid w:val="00904139"/>
    <w:rsid w:val="00904380"/>
    <w:rsid w:val="009044A5"/>
    <w:rsid w:val="00904596"/>
    <w:rsid w:val="00904984"/>
    <w:rsid w:val="00904A83"/>
    <w:rsid w:val="00904DE6"/>
    <w:rsid w:val="009050A5"/>
    <w:rsid w:val="0090560E"/>
    <w:rsid w:val="009056A5"/>
    <w:rsid w:val="009056F8"/>
    <w:rsid w:val="0090573C"/>
    <w:rsid w:val="00905843"/>
    <w:rsid w:val="00905898"/>
    <w:rsid w:val="009058AA"/>
    <w:rsid w:val="00905BB7"/>
    <w:rsid w:val="009062CE"/>
    <w:rsid w:val="00906628"/>
    <w:rsid w:val="009067F9"/>
    <w:rsid w:val="00906F5C"/>
    <w:rsid w:val="00907195"/>
    <w:rsid w:val="00907423"/>
    <w:rsid w:val="00907873"/>
    <w:rsid w:val="00907903"/>
    <w:rsid w:val="00907980"/>
    <w:rsid w:val="00907A84"/>
    <w:rsid w:val="0091032F"/>
    <w:rsid w:val="009106C7"/>
    <w:rsid w:val="0091108C"/>
    <w:rsid w:val="009111BB"/>
    <w:rsid w:val="009112A4"/>
    <w:rsid w:val="0091131B"/>
    <w:rsid w:val="009115E6"/>
    <w:rsid w:val="009118E3"/>
    <w:rsid w:val="00912319"/>
    <w:rsid w:val="009123AF"/>
    <w:rsid w:val="009126F9"/>
    <w:rsid w:val="00912789"/>
    <w:rsid w:val="00912C4B"/>
    <w:rsid w:val="00912C62"/>
    <w:rsid w:val="00912DF0"/>
    <w:rsid w:val="00913ABE"/>
    <w:rsid w:val="00913AE1"/>
    <w:rsid w:val="00914015"/>
    <w:rsid w:val="00914368"/>
    <w:rsid w:val="0091444B"/>
    <w:rsid w:val="009147A4"/>
    <w:rsid w:val="0091491B"/>
    <w:rsid w:val="00915222"/>
    <w:rsid w:val="009155E5"/>
    <w:rsid w:val="00915A99"/>
    <w:rsid w:val="00915D32"/>
    <w:rsid w:val="00915FF3"/>
    <w:rsid w:val="0091634C"/>
    <w:rsid w:val="0091667A"/>
    <w:rsid w:val="009169B0"/>
    <w:rsid w:val="009175D3"/>
    <w:rsid w:val="0091795D"/>
    <w:rsid w:val="00917961"/>
    <w:rsid w:val="00917E7A"/>
    <w:rsid w:val="0092001A"/>
    <w:rsid w:val="009205BF"/>
    <w:rsid w:val="009207D8"/>
    <w:rsid w:val="0092089F"/>
    <w:rsid w:val="00920FDC"/>
    <w:rsid w:val="00921266"/>
    <w:rsid w:val="009212C1"/>
    <w:rsid w:val="00921422"/>
    <w:rsid w:val="00921478"/>
    <w:rsid w:val="00921DA5"/>
    <w:rsid w:val="0092205A"/>
    <w:rsid w:val="0092205F"/>
    <w:rsid w:val="009229EE"/>
    <w:rsid w:val="00922A3A"/>
    <w:rsid w:val="00922B18"/>
    <w:rsid w:val="00922F30"/>
    <w:rsid w:val="00923330"/>
    <w:rsid w:val="0092362A"/>
    <w:rsid w:val="009239CB"/>
    <w:rsid w:val="00923F19"/>
    <w:rsid w:val="009241B5"/>
    <w:rsid w:val="00924773"/>
    <w:rsid w:val="00924E64"/>
    <w:rsid w:val="0092545E"/>
    <w:rsid w:val="009256F0"/>
    <w:rsid w:val="00925AC3"/>
    <w:rsid w:val="00925C3C"/>
    <w:rsid w:val="00926389"/>
    <w:rsid w:val="00926411"/>
    <w:rsid w:val="00926477"/>
    <w:rsid w:val="009266DE"/>
    <w:rsid w:val="009267B2"/>
    <w:rsid w:val="00926804"/>
    <w:rsid w:val="00926B01"/>
    <w:rsid w:val="00926C7A"/>
    <w:rsid w:val="00926F51"/>
    <w:rsid w:val="009270F3"/>
    <w:rsid w:val="009273B2"/>
    <w:rsid w:val="0092755C"/>
    <w:rsid w:val="00927833"/>
    <w:rsid w:val="00927DD6"/>
    <w:rsid w:val="00930054"/>
    <w:rsid w:val="009300D8"/>
    <w:rsid w:val="009303BD"/>
    <w:rsid w:val="00930F15"/>
    <w:rsid w:val="00930F24"/>
    <w:rsid w:val="00930F29"/>
    <w:rsid w:val="00931076"/>
    <w:rsid w:val="00931208"/>
    <w:rsid w:val="009316B4"/>
    <w:rsid w:val="00931D57"/>
    <w:rsid w:val="009324A2"/>
    <w:rsid w:val="009327E5"/>
    <w:rsid w:val="00932F71"/>
    <w:rsid w:val="00933437"/>
    <w:rsid w:val="009334C5"/>
    <w:rsid w:val="00933BCB"/>
    <w:rsid w:val="009345D9"/>
    <w:rsid w:val="00934B15"/>
    <w:rsid w:val="00934C85"/>
    <w:rsid w:val="009358D4"/>
    <w:rsid w:val="00935ABC"/>
    <w:rsid w:val="00935DA2"/>
    <w:rsid w:val="00935E1E"/>
    <w:rsid w:val="009362A5"/>
    <w:rsid w:val="009364F1"/>
    <w:rsid w:val="00936677"/>
    <w:rsid w:val="00936956"/>
    <w:rsid w:val="00936BB7"/>
    <w:rsid w:val="0093740A"/>
    <w:rsid w:val="009406D2"/>
    <w:rsid w:val="00940BE2"/>
    <w:rsid w:val="00940C87"/>
    <w:rsid w:val="00941126"/>
    <w:rsid w:val="009414E7"/>
    <w:rsid w:val="009417B2"/>
    <w:rsid w:val="00941A34"/>
    <w:rsid w:val="00941A45"/>
    <w:rsid w:val="00941E1C"/>
    <w:rsid w:val="00941E97"/>
    <w:rsid w:val="00941FC4"/>
    <w:rsid w:val="0094214D"/>
    <w:rsid w:val="009421A4"/>
    <w:rsid w:val="009424AC"/>
    <w:rsid w:val="00942699"/>
    <w:rsid w:val="0094274A"/>
    <w:rsid w:val="00942872"/>
    <w:rsid w:val="00942A20"/>
    <w:rsid w:val="00942B62"/>
    <w:rsid w:val="00942BAC"/>
    <w:rsid w:val="00943262"/>
    <w:rsid w:val="0094334A"/>
    <w:rsid w:val="0094372B"/>
    <w:rsid w:val="00943842"/>
    <w:rsid w:val="00943A9E"/>
    <w:rsid w:val="00943BE5"/>
    <w:rsid w:val="00944037"/>
    <w:rsid w:val="009445BA"/>
    <w:rsid w:val="009446B7"/>
    <w:rsid w:val="00945064"/>
    <w:rsid w:val="009452B4"/>
    <w:rsid w:val="009455D7"/>
    <w:rsid w:val="00945B63"/>
    <w:rsid w:val="009460A2"/>
    <w:rsid w:val="009467D2"/>
    <w:rsid w:val="009468F7"/>
    <w:rsid w:val="00946FB0"/>
    <w:rsid w:val="00950362"/>
    <w:rsid w:val="009504E7"/>
    <w:rsid w:val="00950519"/>
    <w:rsid w:val="0095058E"/>
    <w:rsid w:val="00950600"/>
    <w:rsid w:val="009506BC"/>
    <w:rsid w:val="009507B7"/>
    <w:rsid w:val="0095086E"/>
    <w:rsid w:val="00950883"/>
    <w:rsid w:val="00950A80"/>
    <w:rsid w:val="00950B05"/>
    <w:rsid w:val="00950B8E"/>
    <w:rsid w:val="00951030"/>
    <w:rsid w:val="009511BC"/>
    <w:rsid w:val="0095127B"/>
    <w:rsid w:val="009513D5"/>
    <w:rsid w:val="009513FF"/>
    <w:rsid w:val="0095179A"/>
    <w:rsid w:val="00951814"/>
    <w:rsid w:val="00952001"/>
    <w:rsid w:val="0095238B"/>
    <w:rsid w:val="00952404"/>
    <w:rsid w:val="00952632"/>
    <w:rsid w:val="009527E6"/>
    <w:rsid w:val="009528D0"/>
    <w:rsid w:val="00952CFA"/>
    <w:rsid w:val="00952D85"/>
    <w:rsid w:val="009531D0"/>
    <w:rsid w:val="0095323B"/>
    <w:rsid w:val="00953536"/>
    <w:rsid w:val="009536A3"/>
    <w:rsid w:val="0095381F"/>
    <w:rsid w:val="0095397E"/>
    <w:rsid w:val="00953C1C"/>
    <w:rsid w:val="00953C3A"/>
    <w:rsid w:val="00953F94"/>
    <w:rsid w:val="00953FD0"/>
    <w:rsid w:val="00954535"/>
    <w:rsid w:val="009545E0"/>
    <w:rsid w:val="00954617"/>
    <w:rsid w:val="0095486C"/>
    <w:rsid w:val="0095514E"/>
    <w:rsid w:val="009551A9"/>
    <w:rsid w:val="0095548F"/>
    <w:rsid w:val="009558BC"/>
    <w:rsid w:val="00955984"/>
    <w:rsid w:val="00955DC4"/>
    <w:rsid w:val="009566BD"/>
    <w:rsid w:val="009568CA"/>
    <w:rsid w:val="00956973"/>
    <w:rsid w:val="00956A0C"/>
    <w:rsid w:val="00956A58"/>
    <w:rsid w:val="00956BD9"/>
    <w:rsid w:val="00956E41"/>
    <w:rsid w:val="0095716D"/>
    <w:rsid w:val="009575E1"/>
    <w:rsid w:val="00957714"/>
    <w:rsid w:val="00957728"/>
    <w:rsid w:val="00957754"/>
    <w:rsid w:val="009578DD"/>
    <w:rsid w:val="009579CA"/>
    <w:rsid w:val="00957AFD"/>
    <w:rsid w:val="00957D28"/>
    <w:rsid w:val="009605A0"/>
    <w:rsid w:val="00960815"/>
    <w:rsid w:val="009610DC"/>
    <w:rsid w:val="00961540"/>
    <w:rsid w:val="009619CE"/>
    <w:rsid w:val="00961E22"/>
    <w:rsid w:val="0096224B"/>
    <w:rsid w:val="00962489"/>
    <w:rsid w:val="0096291D"/>
    <w:rsid w:val="00962AD2"/>
    <w:rsid w:val="00963058"/>
    <w:rsid w:val="00963127"/>
    <w:rsid w:val="0096332E"/>
    <w:rsid w:val="0096372F"/>
    <w:rsid w:val="009637BE"/>
    <w:rsid w:val="009639F7"/>
    <w:rsid w:val="00963C96"/>
    <w:rsid w:val="00963D2F"/>
    <w:rsid w:val="00963E92"/>
    <w:rsid w:val="009648E7"/>
    <w:rsid w:val="00964993"/>
    <w:rsid w:val="00964BCB"/>
    <w:rsid w:val="00964C06"/>
    <w:rsid w:val="00964C7A"/>
    <w:rsid w:val="00964D13"/>
    <w:rsid w:val="00964FA5"/>
    <w:rsid w:val="0096509C"/>
    <w:rsid w:val="0096510B"/>
    <w:rsid w:val="009653EB"/>
    <w:rsid w:val="00965490"/>
    <w:rsid w:val="00965650"/>
    <w:rsid w:val="00965872"/>
    <w:rsid w:val="00965AAB"/>
    <w:rsid w:val="0096617B"/>
    <w:rsid w:val="00966287"/>
    <w:rsid w:val="009664CA"/>
    <w:rsid w:val="009668A8"/>
    <w:rsid w:val="00966B9F"/>
    <w:rsid w:val="00966D64"/>
    <w:rsid w:val="00967140"/>
    <w:rsid w:val="009679E9"/>
    <w:rsid w:val="00967AC4"/>
    <w:rsid w:val="00967CD3"/>
    <w:rsid w:val="00970747"/>
    <w:rsid w:val="00970A7B"/>
    <w:rsid w:val="00970CB0"/>
    <w:rsid w:val="00970F3A"/>
    <w:rsid w:val="0097106A"/>
    <w:rsid w:val="00971145"/>
    <w:rsid w:val="00971281"/>
    <w:rsid w:val="00971713"/>
    <w:rsid w:val="00971732"/>
    <w:rsid w:val="00971B20"/>
    <w:rsid w:val="009720BB"/>
    <w:rsid w:val="009724F4"/>
    <w:rsid w:val="009729C9"/>
    <w:rsid w:val="00972A2B"/>
    <w:rsid w:val="00972B99"/>
    <w:rsid w:val="00972BD1"/>
    <w:rsid w:val="00972E09"/>
    <w:rsid w:val="00972FF5"/>
    <w:rsid w:val="00973172"/>
    <w:rsid w:val="00973C93"/>
    <w:rsid w:val="00973CD1"/>
    <w:rsid w:val="00974316"/>
    <w:rsid w:val="00974754"/>
    <w:rsid w:val="009747A8"/>
    <w:rsid w:val="009749F0"/>
    <w:rsid w:val="00974C8B"/>
    <w:rsid w:val="00974CE5"/>
    <w:rsid w:val="009753F7"/>
    <w:rsid w:val="00975780"/>
    <w:rsid w:val="00975876"/>
    <w:rsid w:val="00975A7B"/>
    <w:rsid w:val="00975B5F"/>
    <w:rsid w:val="00975DFA"/>
    <w:rsid w:val="009761B8"/>
    <w:rsid w:val="009762A5"/>
    <w:rsid w:val="00976483"/>
    <w:rsid w:val="00976835"/>
    <w:rsid w:val="00976BDF"/>
    <w:rsid w:val="00977077"/>
    <w:rsid w:val="00977168"/>
    <w:rsid w:val="009771B2"/>
    <w:rsid w:val="009775A8"/>
    <w:rsid w:val="009776FD"/>
    <w:rsid w:val="00977762"/>
    <w:rsid w:val="00977A8E"/>
    <w:rsid w:val="0098016D"/>
    <w:rsid w:val="00980232"/>
    <w:rsid w:val="0098034B"/>
    <w:rsid w:val="00980391"/>
    <w:rsid w:val="00980584"/>
    <w:rsid w:val="009805CA"/>
    <w:rsid w:val="00981027"/>
    <w:rsid w:val="0098105E"/>
    <w:rsid w:val="00981086"/>
    <w:rsid w:val="009812F7"/>
    <w:rsid w:val="0098134B"/>
    <w:rsid w:val="009815DE"/>
    <w:rsid w:val="00981A1D"/>
    <w:rsid w:val="00981CB2"/>
    <w:rsid w:val="00981CED"/>
    <w:rsid w:val="00982FB2"/>
    <w:rsid w:val="0098323B"/>
    <w:rsid w:val="00983A7D"/>
    <w:rsid w:val="00983F7C"/>
    <w:rsid w:val="0098440E"/>
    <w:rsid w:val="009845A9"/>
    <w:rsid w:val="00984796"/>
    <w:rsid w:val="00984D48"/>
    <w:rsid w:val="00984DD0"/>
    <w:rsid w:val="00984E9B"/>
    <w:rsid w:val="009852D2"/>
    <w:rsid w:val="00985375"/>
    <w:rsid w:val="009853CC"/>
    <w:rsid w:val="0098558C"/>
    <w:rsid w:val="0098565A"/>
    <w:rsid w:val="00985716"/>
    <w:rsid w:val="00985781"/>
    <w:rsid w:val="00985977"/>
    <w:rsid w:val="009859AC"/>
    <w:rsid w:val="00985F40"/>
    <w:rsid w:val="00985F77"/>
    <w:rsid w:val="00986666"/>
    <w:rsid w:val="009866F3"/>
    <w:rsid w:val="00986D69"/>
    <w:rsid w:val="00986E5F"/>
    <w:rsid w:val="00986F0A"/>
    <w:rsid w:val="00986F7B"/>
    <w:rsid w:val="00987203"/>
    <w:rsid w:val="0099053F"/>
    <w:rsid w:val="00990A5A"/>
    <w:rsid w:val="00990C2C"/>
    <w:rsid w:val="00990E0C"/>
    <w:rsid w:val="00990EDA"/>
    <w:rsid w:val="00991285"/>
    <w:rsid w:val="00991549"/>
    <w:rsid w:val="0099184A"/>
    <w:rsid w:val="009918B5"/>
    <w:rsid w:val="009920FD"/>
    <w:rsid w:val="0099241A"/>
    <w:rsid w:val="0099242D"/>
    <w:rsid w:val="00992CD4"/>
    <w:rsid w:val="00992F76"/>
    <w:rsid w:val="00993135"/>
    <w:rsid w:val="009933B9"/>
    <w:rsid w:val="009938E0"/>
    <w:rsid w:val="0099390B"/>
    <w:rsid w:val="00993F6B"/>
    <w:rsid w:val="00994051"/>
    <w:rsid w:val="00994067"/>
    <w:rsid w:val="009941B2"/>
    <w:rsid w:val="0099433E"/>
    <w:rsid w:val="00994846"/>
    <w:rsid w:val="00994BAC"/>
    <w:rsid w:val="00994C44"/>
    <w:rsid w:val="00994D41"/>
    <w:rsid w:val="00994E65"/>
    <w:rsid w:val="00994F09"/>
    <w:rsid w:val="00995437"/>
    <w:rsid w:val="0099583D"/>
    <w:rsid w:val="00996274"/>
    <w:rsid w:val="00996492"/>
    <w:rsid w:val="00996A3A"/>
    <w:rsid w:val="00996B3A"/>
    <w:rsid w:val="00996ED8"/>
    <w:rsid w:val="00996FBA"/>
    <w:rsid w:val="0099707D"/>
    <w:rsid w:val="00997940"/>
    <w:rsid w:val="00997AAE"/>
    <w:rsid w:val="00997AC0"/>
    <w:rsid w:val="00997B4E"/>
    <w:rsid w:val="009A0045"/>
    <w:rsid w:val="009A0150"/>
    <w:rsid w:val="009A062A"/>
    <w:rsid w:val="009A133B"/>
    <w:rsid w:val="009A1461"/>
    <w:rsid w:val="009A14FD"/>
    <w:rsid w:val="009A19B9"/>
    <w:rsid w:val="009A216F"/>
    <w:rsid w:val="009A221E"/>
    <w:rsid w:val="009A22F4"/>
    <w:rsid w:val="009A2753"/>
    <w:rsid w:val="009A276C"/>
    <w:rsid w:val="009A2877"/>
    <w:rsid w:val="009A29DF"/>
    <w:rsid w:val="009A2DCE"/>
    <w:rsid w:val="009A3620"/>
    <w:rsid w:val="009A3D8B"/>
    <w:rsid w:val="009A3DC9"/>
    <w:rsid w:val="009A3E79"/>
    <w:rsid w:val="009A5099"/>
    <w:rsid w:val="009A5171"/>
    <w:rsid w:val="009A52EE"/>
    <w:rsid w:val="009A54F7"/>
    <w:rsid w:val="009A599A"/>
    <w:rsid w:val="009A5BC3"/>
    <w:rsid w:val="009A5D43"/>
    <w:rsid w:val="009A6395"/>
    <w:rsid w:val="009A674F"/>
    <w:rsid w:val="009A688C"/>
    <w:rsid w:val="009A7139"/>
    <w:rsid w:val="009A71BA"/>
    <w:rsid w:val="009A74E2"/>
    <w:rsid w:val="009A75B8"/>
    <w:rsid w:val="009A7704"/>
    <w:rsid w:val="009A7714"/>
    <w:rsid w:val="009A77B9"/>
    <w:rsid w:val="009A7B76"/>
    <w:rsid w:val="009B0580"/>
    <w:rsid w:val="009B09F1"/>
    <w:rsid w:val="009B0A3C"/>
    <w:rsid w:val="009B10FF"/>
    <w:rsid w:val="009B15FF"/>
    <w:rsid w:val="009B1A01"/>
    <w:rsid w:val="009B1AA7"/>
    <w:rsid w:val="009B1B53"/>
    <w:rsid w:val="009B1E08"/>
    <w:rsid w:val="009B1F8A"/>
    <w:rsid w:val="009B1FAB"/>
    <w:rsid w:val="009B27B3"/>
    <w:rsid w:val="009B27CE"/>
    <w:rsid w:val="009B2CDD"/>
    <w:rsid w:val="009B3195"/>
    <w:rsid w:val="009B3255"/>
    <w:rsid w:val="009B3712"/>
    <w:rsid w:val="009B41BF"/>
    <w:rsid w:val="009B4384"/>
    <w:rsid w:val="009B47C1"/>
    <w:rsid w:val="009B4A5D"/>
    <w:rsid w:val="009B4D9C"/>
    <w:rsid w:val="009B5464"/>
    <w:rsid w:val="009B5469"/>
    <w:rsid w:val="009B5531"/>
    <w:rsid w:val="009B566B"/>
    <w:rsid w:val="009B6050"/>
    <w:rsid w:val="009B6181"/>
    <w:rsid w:val="009B6358"/>
    <w:rsid w:val="009B63BD"/>
    <w:rsid w:val="009B64A6"/>
    <w:rsid w:val="009B6649"/>
    <w:rsid w:val="009B66A5"/>
    <w:rsid w:val="009B6CE2"/>
    <w:rsid w:val="009B6D1D"/>
    <w:rsid w:val="009B6F25"/>
    <w:rsid w:val="009B70A0"/>
    <w:rsid w:val="009B7BCB"/>
    <w:rsid w:val="009B7C83"/>
    <w:rsid w:val="009B7E6C"/>
    <w:rsid w:val="009C051A"/>
    <w:rsid w:val="009C07BF"/>
    <w:rsid w:val="009C0A4E"/>
    <w:rsid w:val="009C11F0"/>
    <w:rsid w:val="009C139F"/>
    <w:rsid w:val="009C1D58"/>
    <w:rsid w:val="009C1DDE"/>
    <w:rsid w:val="009C2314"/>
    <w:rsid w:val="009C238B"/>
    <w:rsid w:val="009C2BF4"/>
    <w:rsid w:val="009C3133"/>
    <w:rsid w:val="009C3815"/>
    <w:rsid w:val="009C38D7"/>
    <w:rsid w:val="009C3A60"/>
    <w:rsid w:val="009C3E45"/>
    <w:rsid w:val="009C3F22"/>
    <w:rsid w:val="009C3F49"/>
    <w:rsid w:val="009C40C6"/>
    <w:rsid w:val="009C4312"/>
    <w:rsid w:val="009C4413"/>
    <w:rsid w:val="009C52F1"/>
    <w:rsid w:val="009C5638"/>
    <w:rsid w:val="009C574F"/>
    <w:rsid w:val="009C5984"/>
    <w:rsid w:val="009C5B2D"/>
    <w:rsid w:val="009C5ED3"/>
    <w:rsid w:val="009C6003"/>
    <w:rsid w:val="009C639C"/>
    <w:rsid w:val="009C6747"/>
    <w:rsid w:val="009C6A58"/>
    <w:rsid w:val="009C6AD8"/>
    <w:rsid w:val="009C6B08"/>
    <w:rsid w:val="009C6B8A"/>
    <w:rsid w:val="009C6B8B"/>
    <w:rsid w:val="009C6D00"/>
    <w:rsid w:val="009C7011"/>
    <w:rsid w:val="009C7218"/>
    <w:rsid w:val="009C7597"/>
    <w:rsid w:val="009C7707"/>
    <w:rsid w:val="009C776D"/>
    <w:rsid w:val="009C7B5E"/>
    <w:rsid w:val="009D04FD"/>
    <w:rsid w:val="009D0520"/>
    <w:rsid w:val="009D0CD7"/>
    <w:rsid w:val="009D0D73"/>
    <w:rsid w:val="009D0E7F"/>
    <w:rsid w:val="009D0EDD"/>
    <w:rsid w:val="009D1011"/>
    <w:rsid w:val="009D1020"/>
    <w:rsid w:val="009D13D5"/>
    <w:rsid w:val="009D150E"/>
    <w:rsid w:val="009D1BCC"/>
    <w:rsid w:val="009D1CFA"/>
    <w:rsid w:val="009D1F60"/>
    <w:rsid w:val="009D217F"/>
    <w:rsid w:val="009D25D5"/>
    <w:rsid w:val="009D2BE2"/>
    <w:rsid w:val="009D2BFF"/>
    <w:rsid w:val="009D2CC9"/>
    <w:rsid w:val="009D2D37"/>
    <w:rsid w:val="009D2D55"/>
    <w:rsid w:val="009D2EB1"/>
    <w:rsid w:val="009D30FB"/>
    <w:rsid w:val="009D32E1"/>
    <w:rsid w:val="009D336F"/>
    <w:rsid w:val="009D35E9"/>
    <w:rsid w:val="009D36DE"/>
    <w:rsid w:val="009D3A08"/>
    <w:rsid w:val="009D42AC"/>
    <w:rsid w:val="009D46D4"/>
    <w:rsid w:val="009D4A45"/>
    <w:rsid w:val="009D560C"/>
    <w:rsid w:val="009D56CF"/>
    <w:rsid w:val="009D5A67"/>
    <w:rsid w:val="009D5DEC"/>
    <w:rsid w:val="009D5EED"/>
    <w:rsid w:val="009D6478"/>
    <w:rsid w:val="009D683D"/>
    <w:rsid w:val="009D6940"/>
    <w:rsid w:val="009D6D68"/>
    <w:rsid w:val="009D6DEB"/>
    <w:rsid w:val="009D7503"/>
    <w:rsid w:val="009D7601"/>
    <w:rsid w:val="009D78BA"/>
    <w:rsid w:val="009D7A37"/>
    <w:rsid w:val="009D7DD8"/>
    <w:rsid w:val="009E06D2"/>
    <w:rsid w:val="009E0872"/>
    <w:rsid w:val="009E0BFC"/>
    <w:rsid w:val="009E0C5C"/>
    <w:rsid w:val="009E0C6D"/>
    <w:rsid w:val="009E0D8E"/>
    <w:rsid w:val="009E0F88"/>
    <w:rsid w:val="009E12BC"/>
    <w:rsid w:val="009E175F"/>
    <w:rsid w:val="009E17CC"/>
    <w:rsid w:val="009E1844"/>
    <w:rsid w:val="009E1C5C"/>
    <w:rsid w:val="009E228C"/>
    <w:rsid w:val="009E25B7"/>
    <w:rsid w:val="009E26D5"/>
    <w:rsid w:val="009E2719"/>
    <w:rsid w:val="009E28FB"/>
    <w:rsid w:val="009E2D3C"/>
    <w:rsid w:val="009E2D58"/>
    <w:rsid w:val="009E2EB3"/>
    <w:rsid w:val="009E347E"/>
    <w:rsid w:val="009E375B"/>
    <w:rsid w:val="009E3876"/>
    <w:rsid w:val="009E39C4"/>
    <w:rsid w:val="009E4066"/>
    <w:rsid w:val="009E40B8"/>
    <w:rsid w:val="009E455A"/>
    <w:rsid w:val="009E4747"/>
    <w:rsid w:val="009E4836"/>
    <w:rsid w:val="009E49E0"/>
    <w:rsid w:val="009E511F"/>
    <w:rsid w:val="009E544A"/>
    <w:rsid w:val="009E5639"/>
    <w:rsid w:val="009E5783"/>
    <w:rsid w:val="009E58CD"/>
    <w:rsid w:val="009E667A"/>
    <w:rsid w:val="009E69EA"/>
    <w:rsid w:val="009E6A02"/>
    <w:rsid w:val="009E6B21"/>
    <w:rsid w:val="009E6D3A"/>
    <w:rsid w:val="009E7031"/>
    <w:rsid w:val="009E738B"/>
    <w:rsid w:val="009E7527"/>
    <w:rsid w:val="009E7DF7"/>
    <w:rsid w:val="009E7FFD"/>
    <w:rsid w:val="009F0134"/>
    <w:rsid w:val="009F01E6"/>
    <w:rsid w:val="009F0275"/>
    <w:rsid w:val="009F0443"/>
    <w:rsid w:val="009F05CC"/>
    <w:rsid w:val="009F07DE"/>
    <w:rsid w:val="009F0841"/>
    <w:rsid w:val="009F08AC"/>
    <w:rsid w:val="009F0C85"/>
    <w:rsid w:val="009F0D1B"/>
    <w:rsid w:val="009F1634"/>
    <w:rsid w:val="009F18D7"/>
    <w:rsid w:val="009F1CC8"/>
    <w:rsid w:val="009F1FF3"/>
    <w:rsid w:val="009F2384"/>
    <w:rsid w:val="009F28DE"/>
    <w:rsid w:val="009F29AD"/>
    <w:rsid w:val="009F2A07"/>
    <w:rsid w:val="009F2B48"/>
    <w:rsid w:val="009F35D1"/>
    <w:rsid w:val="009F36DC"/>
    <w:rsid w:val="009F3839"/>
    <w:rsid w:val="009F3D57"/>
    <w:rsid w:val="009F3E07"/>
    <w:rsid w:val="009F3E7A"/>
    <w:rsid w:val="009F40E8"/>
    <w:rsid w:val="009F43CD"/>
    <w:rsid w:val="009F4836"/>
    <w:rsid w:val="009F4B87"/>
    <w:rsid w:val="009F4BBA"/>
    <w:rsid w:val="009F4C3A"/>
    <w:rsid w:val="009F4C54"/>
    <w:rsid w:val="009F4D99"/>
    <w:rsid w:val="009F4F4F"/>
    <w:rsid w:val="009F53DD"/>
    <w:rsid w:val="009F5556"/>
    <w:rsid w:val="009F55E4"/>
    <w:rsid w:val="009F5923"/>
    <w:rsid w:val="009F5A69"/>
    <w:rsid w:val="009F5BBD"/>
    <w:rsid w:val="009F5D2D"/>
    <w:rsid w:val="009F5D81"/>
    <w:rsid w:val="009F5EDF"/>
    <w:rsid w:val="009F5F32"/>
    <w:rsid w:val="009F5FBE"/>
    <w:rsid w:val="009F60BE"/>
    <w:rsid w:val="009F696D"/>
    <w:rsid w:val="009F6A2A"/>
    <w:rsid w:val="009F6A8B"/>
    <w:rsid w:val="009F6B8F"/>
    <w:rsid w:val="009F6BC6"/>
    <w:rsid w:val="009F6DD1"/>
    <w:rsid w:val="009F6E07"/>
    <w:rsid w:val="009F6E2B"/>
    <w:rsid w:val="009F7259"/>
    <w:rsid w:val="009F74EF"/>
    <w:rsid w:val="009F7B91"/>
    <w:rsid w:val="009F7CD8"/>
    <w:rsid w:val="00A00318"/>
    <w:rsid w:val="00A0037C"/>
    <w:rsid w:val="00A00675"/>
    <w:rsid w:val="00A009B1"/>
    <w:rsid w:val="00A00AC3"/>
    <w:rsid w:val="00A00D8E"/>
    <w:rsid w:val="00A015C2"/>
    <w:rsid w:val="00A01828"/>
    <w:rsid w:val="00A0182C"/>
    <w:rsid w:val="00A01978"/>
    <w:rsid w:val="00A01A6A"/>
    <w:rsid w:val="00A01D36"/>
    <w:rsid w:val="00A0211D"/>
    <w:rsid w:val="00A024A8"/>
    <w:rsid w:val="00A024E1"/>
    <w:rsid w:val="00A025BF"/>
    <w:rsid w:val="00A025F9"/>
    <w:rsid w:val="00A02826"/>
    <w:rsid w:val="00A028BB"/>
    <w:rsid w:val="00A028C1"/>
    <w:rsid w:val="00A02CB5"/>
    <w:rsid w:val="00A02E92"/>
    <w:rsid w:val="00A03509"/>
    <w:rsid w:val="00A038C3"/>
    <w:rsid w:val="00A03A1D"/>
    <w:rsid w:val="00A03B22"/>
    <w:rsid w:val="00A042D6"/>
    <w:rsid w:val="00A0435B"/>
    <w:rsid w:val="00A0461F"/>
    <w:rsid w:val="00A04624"/>
    <w:rsid w:val="00A046FF"/>
    <w:rsid w:val="00A04A6F"/>
    <w:rsid w:val="00A04ABB"/>
    <w:rsid w:val="00A04D94"/>
    <w:rsid w:val="00A04E81"/>
    <w:rsid w:val="00A05028"/>
    <w:rsid w:val="00A053A2"/>
    <w:rsid w:val="00A05525"/>
    <w:rsid w:val="00A05F85"/>
    <w:rsid w:val="00A06826"/>
    <w:rsid w:val="00A06C8A"/>
    <w:rsid w:val="00A06D0C"/>
    <w:rsid w:val="00A073CA"/>
    <w:rsid w:val="00A074AC"/>
    <w:rsid w:val="00A076BA"/>
    <w:rsid w:val="00A076E5"/>
    <w:rsid w:val="00A07D83"/>
    <w:rsid w:val="00A10230"/>
    <w:rsid w:val="00A105FF"/>
    <w:rsid w:val="00A10701"/>
    <w:rsid w:val="00A114B7"/>
    <w:rsid w:val="00A1155D"/>
    <w:rsid w:val="00A11AB8"/>
    <w:rsid w:val="00A11AF9"/>
    <w:rsid w:val="00A1225F"/>
    <w:rsid w:val="00A1231A"/>
    <w:rsid w:val="00A1247C"/>
    <w:rsid w:val="00A12748"/>
    <w:rsid w:val="00A12B75"/>
    <w:rsid w:val="00A12BA4"/>
    <w:rsid w:val="00A12E2F"/>
    <w:rsid w:val="00A12EF7"/>
    <w:rsid w:val="00A12FF1"/>
    <w:rsid w:val="00A13159"/>
    <w:rsid w:val="00A138C5"/>
    <w:rsid w:val="00A1391E"/>
    <w:rsid w:val="00A13B27"/>
    <w:rsid w:val="00A13B46"/>
    <w:rsid w:val="00A13C7B"/>
    <w:rsid w:val="00A13EE2"/>
    <w:rsid w:val="00A1425F"/>
    <w:rsid w:val="00A14755"/>
    <w:rsid w:val="00A14D24"/>
    <w:rsid w:val="00A14F6A"/>
    <w:rsid w:val="00A1523A"/>
    <w:rsid w:val="00A15444"/>
    <w:rsid w:val="00A15873"/>
    <w:rsid w:val="00A15D5A"/>
    <w:rsid w:val="00A15E08"/>
    <w:rsid w:val="00A15F12"/>
    <w:rsid w:val="00A16424"/>
    <w:rsid w:val="00A165A1"/>
    <w:rsid w:val="00A16B7E"/>
    <w:rsid w:val="00A16EC6"/>
    <w:rsid w:val="00A16F71"/>
    <w:rsid w:val="00A1701A"/>
    <w:rsid w:val="00A17328"/>
    <w:rsid w:val="00A176E1"/>
    <w:rsid w:val="00A1789B"/>
    <w:rsid w:val="00A17AEE"/>
    <w:rsid w:val="00A17C87"/>
    <w:rsid w:val="00A17C9E"/>
    <w:rsid w:val="00A20235"/>
    <w:rsid w:val="00A2087B"/>
    <w:rsid w:val="00A20AE5"/>
    <w:rsid w:val="00A20C7B"/>
    <w:rsid w:val="00A20C91"/>
    <w:rsid w:val="00A21664"/>
    <w:rsid w:val="00A2168C"/>
    <w:rsid w:val="00A2178B"/>
    <w:rsid w:val="00A217D2"/>
    <w:rsid w:val="00A217FF"/>
    <w:rsid w:val="00A21A3B"/>
    <w:rsid w:val="00A22284"/>
    <w:rsid w:val="00A22640"/>
    <w:rsid w:val="00A22904"/>
    <w:rsid w:val="00A22EDF"/>
    <w:rsid w:val="00A2357E"/>
    <w:rsid w:val="00A23684"/>
    <w:rsid w:val="00A23743"/>
    <w:rsid w:val="00A23A20"/>
    <w:rsid w:val="00A23D8B"/>
    <w:rsid w:val="00A23EF6"/>
    <w:rsid w:val="00A24443"/>
    <w:rsid w:val="00A24718"/>
    <w:rsid w:val="00A2485E"/>
    <w:rsid w:val="00A24BCF"/>
    <w:rsid w:val="00A24E68"/>
    <w:rsid w:val="00A250E9"/>
    <w:rsid w:val="00A251CA"/>
    <w:rsid w:val="00A252DF"/>
    <w:rsid w:val="00A253F9"/>
    <w:rsid w:val="00A25651"/>
    <w:rsid w:val="00A2593D"/>
    <w:rsid w:val="00A25C08"/>
    <w:rsid w:val="00A25EAA"/>
    <w:rsid w:val="00A26041"/>
    <w:rsid w:val="00A267A7"/>
    <w:rsid w:val="00A268B9"/>
    <w:rsid w:val="00A26A9D"/>
    <w:rsid w:val="00A26F9E"/>
    <w:rsid w:val="00A2703A"/>
    <w:rsid w:val="00A27871"/>
    <w:rsid w:val="00A27A3E"/>
    <w:rsid w:val="00A27BBC"/>
    <w:rsid w:val="00A27BD7"/>
    <w:rsid w:val="00A27E0D"/>
    <w:rsid w:val="00A27F1F"/>
    <w:rsid w:val="00A30562"/>
    <w:rsid w:val="00A30641"/>
    <w:rsid w:val="00A3099C"/>
    <w:rsid w:val="00A30E8A"/>
    <w:rsid w:val="00A317C0"/>
    <w:rsid w:val="00A319E3"/>
    <w:rsid w:val="00A31B98"/>
    <w:rsid w:val="00A31BE5"/>
    <w:rsid w:val="00A31E5B"/>
    <w:rsid w:val="00A32410"/>
    <w:rsid w:val="00A3245E"/>
    <w:rsid w:val="00A32788"/>
    <w:rsid w:val="00A327A8"/>
    <w:rsid w:val="00A327A9"/>
    <w:rsid w:val="00A329DE"/>
    <w:rsid w:val="00A32DE1"/>
    <w:rsid w:val="00A32E8E"/>
    <w:rsid w:val="00A330EA"/>
    <w:rsid w:val="00A33354"/>
    <w:rsid w:val="00A333C5"/>
    <w:rsid w:val="00A33727"/>
    <w:rsid w:val="00A339BA"/>
    <w:rsid w:val="00A33D2A"/>
    <w:rsid w:val="00A33D7E"/>
    <w:rsid w:val="00A33DFF"/>
    <w:rsid w:val="00A340C7"/>
    <w:rsid w:val="00A3446B"/>
    <w:rsid w:val="00A35115"/>
    <w:rsid w:val="00A3514B"/>
    <w:rsid w:val="00A352D8"/>
    <w:rsid w:val="00A35503"/>
    <w:rsid w:val="00A35673"/>
    <w:rsid w:val="00A35DD1"/>
    <w:rsid w:val="00A36564"/>
    <w:rsid w:val="00A365C4"/>
    <w:rsid w:val="00A367F8"/>
    <w:rsid w:val="00A36B53"/>
    <w:rsid w:val="00A36D9A"/>
    <w:rsid w:val="00A36E4D"/>
    <w:rsid w:val="00A370C1"/>
    <w:rsid w:val="00A3743B"/>
    <w:rsid w:val="00A37B1F"/>
    <w:rsid w:val="00A37DDC"/>
    <w:rsid w:val="00A400DC"/>
    <w:rsid w:val="00A40270"/>
    <w:rsid w:val="00A40280"/>
    <w:rsid w:val="00A40387"/>
    <w:rsid w:val="00A40529"/>
    <w:rsid w:val="00A40779"/>
    <w:rsid w:val="00A4095D"/>
    <w:rsid w:val="00A410CD"/>
    <w:rsid w:val="00A4121D"/>
    <w:rsid w:val="00A4130E"/>
    <w:rsid w:val="00A4135A"/>
    <w:rsid w:val="00A41493"/>
    <w:rsid w:val="00A41FE4"/>
    <w:rsid w:val="00A42260"/>
    <w:rsid w:val="00A42556"/>
    <w:rsid w:val="00A42903"/>
    <w:rsid w:val="00A42A72"/>
    <w:rsid w:val="00A42F4B"/>
    <w:rsid w:val="00A4306F"/>
    <w:rsid w:val="00A433CC"/>
    <w:rsid w:val="00A4394E"/>
    <w:rsid w:val="00A43BF0"/>
    <w:rsid w:val="00A43F7B"/>
    <w:rsid w:val="00A441E8"/>
    <w:rsid w:val="00A441F7"/>
    <w:rsid w:val="00A4474E"/>
    <w:rsid w:val="00A44C44"/>
    <w:rsid w:val="00A44D00"/>
    <w:rsid w:val="00A44DD1"/>
    <w:rsid w:val="00A450F0"/>
    <w:rsid w:val="00A451DC"/>
    <w:rsid w:val="00A45553"/>
    <w:rsid w:val="00A4572F"/>
    <w:rsid w:val="00A45CBF"/>
    <w:rsid w:val="00A460A4"/>
    <w:rsid w:val="00A461A6"/>
    <w:rsid w:val="00A46342"/>
    <w:rsid w:val="00A4673E"/>
    <w:rsid w:val="00A467F9"/>
    <w:rsid w:val="00A46E24"/>
    <w:rsid w:val="00A470E6"/>
    <w:rsid w:val="00A472DD"/>
    <w:rsid w:val="00A473E2"/>
    <w:rsid w:val="00A47516"/>
    <w:rsid w:val="00A477AB"/>
    <w:rsid w:val="00A47933"/>
    <w:rsid w:val="00A47B23"/>
    <w:rsid w:val="00A47B8E"/>
    <w:rsid w:val="00A50160"/>
    <w:rsid w:val="00A501AB"/>
    <w:rsid w:val="00A50501"/>
    <w:rsid w:val="00A50C1C"/>
    <w:rsid w:val="00A5121B"/>
    <w:rsid w:val="00A513E9"/>
    <w:rsid w:val="00A5159E"/>
    <w:rsid w:val="00A5172E"/>
    <w:rsid w:val="00A517CD"/>
    <w:rsid w:val="00A51D5A"/>
    <w:rsid w:val="00A51E0D"/>
    <w:rsid w:val="00A51E60"/>
    <w:rsid w:val="00A52015"/>
    <w:rsid w:val="00A5211B"/>
    <w:rsid w:val="00A528CE"/>
    <w:rsid w:val="00A52F87"/>
    <w:rsid w:val="00A53397"/>
    <w:rsid w:val="00A53405"/>
    <w:rsid w:val="00A5349A"/>
    <w:rsid w:val="00A53562"/>
    <w:rsid w:val="00A53711"/>
    <w:rsid w:val="00A5373C"/>
    <w:rsid w:val="00A53743"/>
    <w:rsid w:val="00A53836"/>
    <w:rsid w:val="00A53C75"/>
    <w:rsid w:val="00A54633"/>
    <w:rsid w:val="00A54C32"/>
    <w:rsid w:val="00A5508B"/>
    <w:rsid w:val="00A554AB"/>
    <w:rsid w:val="00A558E2"/>
    <w:rsid w:val="00A55F16"/>
    <w:rsid w:val="00A55FC0"/>
    <w:rsid w:val="00A56199"/>
    <w:rsid w:val="00A56408"/>
    <w:rsid w:val="00A565C4"/>
    <w:rsid w:val="00A56997"/>
    <w:rsid w:val="00A57062"/>
    <w:rsid w:val="00A572EB"/>
    <w:rsid w:val="00A57C66"/>
    <w:rsid w:val="00A57D77"/>
    <w:rsid w:val="00A57ECE"/>
    <w:rsid w:val="00A60527"/>
    <w:rsid w:val="00A60F99"/>
    <w:rsid w:val="00A61125"/>
    <w:rsid w:val="00A61458"/>
    <w:rsid w:val="00A614A6"/>
    <w:rsid w:val="00A61540"/>
    <w:rsid w:val="00A61790"/>
    <w:rsid w:val="00A61D15"/>
    <w:rsid w:val="00A61EEB"/>
    <w:rsid w:val="00A61FEC"/>
    <w:rsid w:val="00A62277"/>
    <w:rsid w:val="00A628F6"/>
    <w:rsid w:val="00A62E08"/>
    <w:rsid w:val="00A62E28"/>
    <w:rsid w:val="00A62E2C"/>
    <w:rsid w:val="00A62EB1"/>
    <w:rsid w:val="00A63053"/>
    <w:rsid w:val="00A631D9"/>
    <w:rsid w:val="00A6363B"/>
    <w:rsid w:val="00A636F4"/>
    <w:rsid w:val="00A6375B"/>
    <w:rsid w:val="00A638B7"/>
    <w:rsid w:val="00A63F16"/>
    <w:rsid w:val="00A6442A"/>
    <w:rsid w:val="00A64522"/>
    <w:rsid w:val="00A64B16"/>
    <w:rsid w:val="00A64B7E"/>
    <w:rsid w:val="00A65060"/>
    <w:rsid w:val="00A651D8"/>
    <w:rsid w:val="00A6542B"/>
    <w:rsid w:val="00A6546A"/>
    <w:rsid w:val="00A65CC7"/>
    <w:rsid w:val="00A660F0"/>
    <w:rsid w:val="00A669A7"/>
    <w:rsid w:val="00A66E01"/>
    <w:rsid w:val="00A66EEA"/>
    <w:rsid w:val="00A6740A"/>
    <w:rsid w:val="00A6750B"/>
    <w:rsid w:val="00A67781"/>
    <w:rsid w:val="00A67DF3"/>
    <w:rsid w:val="00A67E42"/>
    <w:rsid w:val="00A7012D"/>
    <w:rsid w:val="00A70181"/>
    <w:rsid w:val="00A70305"/>
    <w:rsid w:val="00A705B5"/>
    <w:rsid w:val="00A7064E"/>
    <w:rsid w:val="00A7090E"/>
    <w:rsid w:val="00A71388"/>
    <w:rsid w:val="00A715EE"/>
    <w:rsid w:val="00A71725"/>
    <w:rsid w:val="00A7195C"/>
    <w:rsid w:val="00A72371"/>
    <w:rsid w:val="00A725C7"/>
    <w:rsid w:val="00A727AD"/>
    <w:rsid w:val="00A7307E"/>
    <w:rsid w:val="00A73492"/>
    <w:rsid w:val="00A7371D"/>
    <w:rsid w:val="00A73C1E"/>
    <w:rsid w:val="00A73D3E"/>
    <w:rsid w:val="00A73DB5"/>
    <w:rsid w:val="00A74173"/>
    <w:rsid w:val="00A742BD"/>
    <w:rsid w:val="00A74F9B"/>
    <w:rsid w:val="00A7557C"/>
    <w:rsid w:val="00A755F9"/>
    <w:rsid w:val="00A759FC"/>
    <w:rsid w:val="00A75A0F"/>
    <w:rsid w:val="00A75AC1"/>
    <w:rsid w:val="00A75B80"/>
    <w:rsid w:val="00A75EEB"/>
    <w:rsid w:val="00A75FF7"/>
    <w:rsid w:val="00A76195"/>
    <w:rsid w:val="00A761F9"/>
    <w:rsid w:val="00A76556"/>
    <w:rsid w:val="00A76743"/>
    <w:rsid w:val="00A76AA7"/>
    <w:rsid w:val="00A77598"/>
    <w:rsid w:val="00A803E8"/>
    <w:rsid w:val="00A8049F"/>
    <w:rsid w:val="00A806B7"/>
    <w:rsid w:val="00A8165F"/>
    <w:rsid w:val="00A81AE5"/>
    <w:rsid w:val="00A81D68"/>
    <w:rsid w:val="00A8224F"/>
    <w:rsid w:val="00A82258"/>
    <w:rsid w:val="00A822B6"/>
    <w:rsid w:val="00A825CC"/>
    <w:rsid w:val="00A82931"/>
    <w:rsid w:val="00A82A47"/>
    <w:rsid w:val="00A82AE6"/>
    <w:rsid w:val="00A83060"/>
    <w:rsid w:val="00A8332F"/>
    <w:rsid w:val="00A838D2"/>
    <w:rsid w:val="00A83932"/>
    <w:rsid w:val="00A83D12"/>
    <w:rsid w:val="00A83E9F"/>
    <w:rsid w:val="00A8411E"/>
    <w:rsid w:val="00A841F6"/>
    <w:rsid w:val="00A84746"/>
    <w:rsid w:val="00A84928"/>
    <w:rsid w:val="00A85772"/>
    <w:rsid w:val="00A859E7"/>
    <w:rsid w:val="00A85B74"/>
    <w:rsid w:val="00A85BE9"/>
    <w:rsid w:val="00A85CDC"/>
    <w:rsid w:val="00A85CDE"/>
    <w:rsid w:val="00A85D5D"/>
    <w:rsid w:val="00A8617B"/>
    <w:rsid w:val="00A86486"/>
    <w:rsid w:val="00A868D1"/>
    <w:rsid w:val="00A869FE"/>
    <w:rsid w:val="00A86C91"/>
    <w:rsid w:val="00A870DC"/>
    <w:rsid w:val="00A87419"/>
    <w:rsid w:val="00A8747D"/>
    <w:rsid w:val="00A87687"/>
    <w:rsid w:val="00A876CA"/>
    <w:rsid w:val="00A8786F"/>
    <w:rsid w:val="00A87B06"/>
    <w:rsid w:val="00A901EF"/>
    <w:rsid w:val="00A90363"/>
    <w:rsid w:val="00A904CC"/>
    <w:rsid w:val="00A90550"/>
    <w:rsid w:val="00A90AFB"/>
    <w:rsid w:val="00A90B07"/>
    <w:rsid w:val="00A90BEA"/>
    <w:rsid w:val="00A90FE4"/>
    <w:rsid w:val="00A9105B"/>
    <w:rsid w:val="00A913AD"/>
    <w:rsid w:val="00A91512"/>
    <w:rsid w:val="00A91900"/>
    <w:rsid w:val="00A92085"/>
    <w:rsid w:val="00A9224A"/>
    <w:rsid w:val="00A92619"/>
    <w:rsid w:val="00A92A36"/>
    <w:rsid w:val="00A92B53"/>
    <w:rsid w:val="00A92DC5"/>
    <w:rsid w:val="00A9349D"/>
    <w:rsid w:val="00A934DB"/>
    <w:rsid w:val="00A93808"/>
    <w:rsid w:val="00A938DB"/>
    <w:rsid w:val="00A93B93"/>
    <w:rsid w:val="00A93C41"/>
    <w:rsid w:val="00A93E72"/>
    <w:rsid w:val="00A93FF4"/>
    <w:rsid w:val="00A9436C"/>
    <w:rsid w:val="00A9449B"/>
    <w:rsid w:val="00A94B45"/>
    <w:rsid w:val="00A94FA6"/>
    <w:rsid w:val="00A956E3"/>
    <w:rsid w:val="00A957C4"/>
    <w:rsid w:val="00A95B52"/>
    <w:rsid w:val="00A95C70"/>
    <w:rsid w:val="00A9649A"/>
    <w:rsid w:val="00A969CB"/>
    <w:rsid w:val="00A96BB8"/>
    <w:rsid w:val="00A96C1A"/>
    <w:rsid w:val="00A97459"/>
    <w:rsid w:val="00A97879"/>
    <w:rsid w:val="00A97D26"/>
    <w:rsid w:val="00A97E67"/>
    <w:rsid w:val="00AA0281"/>
    <w:rsid w:val="00AA088A"/>
    <w:rsid w:val="00AA0AC6"/>
    <w:rsid w:val="00AA0E6F"/>
    <w:rsid w:val="00AA10D3"/>
    <w:rsid w:val="00AA1119"/>
    <w:rsid w:val="00AA11F4"/>
    <w:rsid w:val="00AA133D"/>
    <w:rsid w:val="00AA16D0"/>
    <w:rsid w:val="00AA194C"/>
    <w:rsid w:val="00AA19B0"/>
    <w:rsid w:val="00AA1B5F"/>
    <w:rsid w:val="00AA24FC"/>
    <w:rsid w:val="00AA25A6"/>
    <w:rsid w:val="00AA2620"/>
    <w:rsid w:val="00AA282F"/>
    <w:rsid w:val="00AA2C87"/>
    <w:rsid w:val="00AA314B"/>
    <w:rsid w:val="00AA354B"/>
    <w:rsid w:val="00AA3834"/>
    <w:rsid w:val="00AA3CB0"/>
    <w:rsid w:val="00AA43A1"/>
    <w:rsid w:val="00AA49A0"/>
    <w:rsid w:val="00AA4F2C"/>
    <w:rsid w:val="00AA501D"/>
    <w:rsid w:val="00AA5571"/>
    <w:rsid w:val="00AA5597"/>
    <w:rsid w:val="00AA55FC"/>
    <w:rsid w:val="00AA5908"/>
    <w:rsid w:val="00AA59C2"/>
    <w:rsid w:val="00AA5D39"/>
    <w:rsid w:val="00AA5D5B"/>
    <w:rsid w:val="00AA6304"/>
    <w:rsid w:val="00AA6710"/>
    <w:rsid w:val="00AA6C46"/>
    <w:rsid w:val="00AA6D79"/>
    <w:rsid w:val="00AA724B"/>
    <w:rsid w:val="00AA785B"/>
    <w:rsid w:val="00AA78E3"/>
    <w:rsid w:val="00AA7CC5"/>
    <w:rsid w:val="00AB001A"/>
    <w:rsid w:val="00AB0681"/>
    <w:rsid w:val="00AB0B28"/>
    <w:rsid w:val="00AB0CE0"/>
    <w:rsid w:val="00AB152E"/>
    <w:rsid w:val="00AB17E2"/>
    <w:rsid w:val="00AB1996"/>
    <w:rsid w:val="00AB1B9F"/>
    <w:rsid w:val="00AB2135"/>
    <w:rsid w:val="00AB2FE5"/>
    <w:rsid w:val="00AB35CD"/>
    <w:rsid w:val="00AB3782"/>
    <w:rsid w:val="00AB3829"/>
    <w:rsid w:val="00AB3A69"/>
    <w:rsid w:val="00AB3FC3"/>
    <w:rsid w:val="00AB410B"/>
    <w:rsid w:val="00AB42D3"/>
    <w:rsid w:val="00AB441A"/>
    <w:rsid w:val="00AB44AD"/>
    <w:rsid w:val="00AB45B1"/>
    <w:rsid w:val="00AB4B85"/>
    <w:rsid w:val="00AB51FF"/>
    <w:rsid w:val="00AB56BB"/>
    <w:rsid w:val="00AB58E4"/>
    <w:rsid w:val="00AB5DEB"/>
    <w:rsid w:val="00AB60E4"/>
    <w:rsid w:val="00AB61E6"/>
    <w:rsid w:val="00AB649A"/>
    <w:rsid w:val="00AB65A6"/>
    <w:rsid w:val="00AB6814"/>
    <w:rsid w:val="00AB6CDE"/>
    <w:rsid w:val="00AB72BC"/>
    <w:rsid w:val="00AB72C8"/>
    <w:rsid w:val="00AB75FD"/>
    <w:rsid w:val="00AB779F"/>
    <w:rsid w:val="00AB78AC"/>
    <w:rsid w:val="00AB7FE5"/>
    <w:rsid w:val="00AC0614"/>
    <w:rsid w:val="00AC0BC9"/>
    <w:rsid w:val="00AC0EFD"/>
    <w:rsid w:val="00AC11B8"/>
    <w:rsid w:val="00AC14FF"/>
    <w:rsid w:val="00AC1509"/>
    <w:rsid w:val="00AC152E"/>
    <w:rsid w:val="00AC1600"/>
    <w:rsid w:val="00AC1663"/>
    <w:rsid w:val="00AC1AEB"/>
    <w:rsid w:val="00AC1F5A"/>
    <w:rsid w:val="00AC1FAF"/>
    <w:rsid w:val="00AC1FDE"/>
    <w:rsid w:val="00AC2073"/>
    <w:rsid w:val="00AC21B4"/>
    <w:rsid w:val="00AC2260"/>
    <w:rsid w:val="00AC27EA"/>
    <w:rsid w:val="00AC2B83"/>
    <w:rsid w:val="00AC2C28"/>
    <w:rsid w:val="00AC2F1E"/>
    <w:rsid w:val="00AC317B"/>
    <w:rsid w:val="00AC3190"/>
    <w:rsid w:val="00AC342A"/>
    <w:rsid w:val="00AC3836"/>
    <w:rsid w:val="00AC384C"/>
    <w:rsid w:val="00AC3A15"/>
    <w:rsid w:val="00AC3C30"/>
    <w:rsid w:val="00AC3E48"/>
    <w:rsid w:val="00AC41B3"/>
    <w:rsid w:val="00AC4717"/>
    <w:rsid w:val="00AC4775"/>
    <w:rsid w:val="00AC48F2"/>
    <w:rsid w:val="00AC4913"/>
    <w:rsid w:val="00AC4F61"/>
    <w:rsid w:val="00AC532D"/>
    <w:rsid w:val="00AC5345"/>
    <w:rsid w:val="00AC5A8D"/>
    <w:rsid w:val="00AC5B6C"/>
    <w:rsid w:val="00AC601C"/>
    <w:rsid w:val="00AC6736"/>
    <w:rsid w:val="00AC6785"/>
    <w:rsid w:val="00AC6794"/>
    <w:rsid w:val="00AC6903"/>
    <w:rsid w:val="00AC6A1F"/>
    <w:rsid w:val="00AC6A3C"/>
    <w:rsid w:val="00AC6CAF"/>
    <w:rsid w:val="00AC6E48"/>
    <w:rsid w:val="00AC71C1"/>
    <w:rsid w:val="00AC7585"/>
    <w:rsid w:val="00AD03F0"/>
    <w:rsid w:val="00AD0BAC"/>
    <w:rsid w:val="00AD1108"/>
    <w:rsid w:val="00AD12D0"/>
    <w:rsid w:val="00AD165A"/>
    <w:rsid w:val="00AD1CCC"/>
    <w:rsid w:val="00AD2072"/>
    <w:rsid w:val="00AD2188"/>
    <w:rsid w:val="00AD21D2"/>
    <w:rsid w:val="00AD22E1"/>
    <w:rsid w:val="00AD23A7"/>
    <w:rsid w:val="00AD286C"/>
    <w:rsid w:val="00AD2D7F"/>
    <w:rsid w:val="00AD34AD"/>
    <w:rsid w:val="00AD34B5"/>
    <w:rsid w:val="00AD3534"/>
    <w:rsid w:val="00AD3F52"/>
    <w:rsid w:val="00AD410A"/>
    <w:rsid w:val="00AD431A"/>
    <w:rsid w:val="00AD464C"/>
    <w:rsid w:val="00AD50B2"/>
    <w:rsid w:val="00AD520B"/>
    <w:rsid w:val="00AD546F"/>
    <w:rsid w:val="00AD5493"/>
    <w:rsid w:val="00AD6442"/>
    <w:rsid w:val="00AD64F6"/>
    <w:rsid w:val="00AD67EA"/>
    <w:rsid w:val="00AD6D78"/>
    <w:rsid w:val="00AD7052"/>
    <w:rsid w:val="00AD72E2"/>
    <w:rsid w:val="00AE010F"/>
    <w:rsid w:val="00AE021A"/>
    <w:rsid w:val="00AE0288"/>
    <w:rsid w:val="00AE03DF"/>
    <w:rsid w:val="00AE042D"/>
    <w:rsid w:val="00AE0585"/>
    <w:rsid w:val="00AE0E0F"/>
    <w:rsid w:val="00AE0EB7"/>
    <w:rsid w:val="00AE0F11"/>
    <w:rsid w:val="00AE10FA"/>
    <w:rsid w:val="00AE1460"/>
    <w:rsid w:val="00AE19E5"/>
    <w:rsid w:val="00AE1DB7"/>
    <w:rsid w:val="00AE2242"/>
    <w:rsid w:val="00AE297E"/>
    <w:rsid w:val="00AE2C15"/>
    <w:rsid w:val="00AE34AA"/>
    <w:rsid w:val="00AE378A"/>
    <w:rsid w:val="00AE3B18"/>
    <w:rsid w:val="00AE3BCC"/>
    <w:rsid w:val="00AE417F"/>
    <w:rsid w:val="00AE498D"/>
    <w:rsid w:val="00AE49D9"/>
    <w:rsid w:val="00AE4D42"/>
    <w:rsid w:val="00AE5020"/>
    <w:rsid w:val="00AE50BA"/>
    <w:rsid w:val="00AE5429"/>
    <w:rsid w:val="00AE583A"/>
    <w:rsid w:val="00AE5952"/>
    <w:rsid w:val="00AE6101"/>
    <w:rsid w:val="00AE64B4"/>
    <w:rsid w:val="00AE64DB"/>
    <w:rsid w:val="00AE6527"/>
    <w:rsid w:val="00AE65B4"/>
    <w:rsid w:val="00AE78A4"/>
    <w:rsid w:val="00AE79B1"/>
    <w:rsid w:val="00AF00B9"/>
    <w:rsid w:val="00AF02B2"/>
    <w:rsid w:val="00AF0426"/>
    <w:rsid w:val="00AF0627"/>
    <w:rsid w:val="00AF07A1"/>
    <w:rsid w:val="00AF0849"/>
    <w:rsid w:val="00AF0A1F"/>
    <w:rsid w:val="00AF0CA9"/>
    <w:rsid w:val="00AF0D7A"/>
    <w:rsid w:val="00AF1A60"/>
    <w:rsid w:val="00AF2390"/>
    <w:rsid w:val="00AF28E4"/>
    <w:rsid w:val="00AF2B68"/>
    <w:rsid w:val="00AF2C3A"/>
    <w:rsid w:val="00AF2E5C"/>
    <w:rsid w:val="00AF30FD"/>
    <w:rsid w:val="00AF3687"/>
    <w:rsid w:val="00AF3756"/>
    <w:rsid w:val="00AF37EC"/>
    <w:rsid w:val="00AF3D6E"/>
    <w:rsid w:val="00AF3E62"/>
    <w:rsid w:val="00AF3F2C"/>
    <w:rsid w:val="00AF3FB5"/>
    <w:rsid w:val="00AF4456"/>
    <w:rsid w:val="00AF468D"/>
    <w:rsid w:val="00AF488C"/>
    <w:rsid w:val="00AF4CD9"/>
    <w:rsid w:val="00AF4D28"/>
    <w:rsid w:val="00AF4ECC"/>
    <w:rsid w:val="00AF5292"/>
    <w:rsid w:val="00AF5299"/>
    <w:rsid w:val="00AF5733"/>
    <w:rsid w:val="00AF5792"/>
    <w:rsid w:val="00AF5847"/>
    <w:rsid w:val="00AF5F4F"/>
    <w:rsid w:val="00AF64FE"/>
    <w:rsid w:val="00AF68DA"/>
    <w:rsid w:val="00AF6B5E"/>
    <w:rsid w:val="00AF7007"/>
    <w:rsid w:val="00AF7010"/>
    <w:rsid w:val="00AF74BC"/>
    <w:rsid w:val="00AF76F6"/>
    <w:rsid w:val="00AF7EFE"/>
    <w:rsid w:val="00AF7F26"/>
    <w:rsid w:val="00B002FD"/>
    <w:rsid w:val="00B00368"/>
    <w:rsid w:val="00B00560"/>
    <w:rsid w:val="00B0097E"/>
    <w:rsid w:val="00B00C18"/>
    <w:rsid w:val="00B00D37"/>
    <w:rsid w:val="00B00FF5"/>
    <w:rsid w:val="00B011BA"/>
    <w:rsid w:val="00B014A0"/>
    <w:rsid w:val="00B01732"/>
    <w:rsid w:val="00B01799"/>
    <w:rsid w:val="00B01A31"/>
    <w:rsid w:val="00B01EC5"/>
    <w:rsid w:val="00B01F7B"/>
    <w:rsid w:val="00B025D5"/>
    <w:rsid w:val="00B0269F"/>
    <w:rsid w:val="00B02997"/>
    <w:rsid w:val="00B02FF3"/>
    <w:rsid w:val="00B03251"/>
    <w:rsid w:val="00B03B12"/>
    <w:rsid w:val="00B03D8F"/>
    <w:rsid w:val="00B03F24"/>
    <w:rsid w:val="00B04067"/>
    <w:rsid w:val="00B04274"/>
    <w:rsid w:val="00B04513"/>
    <w:rsid w:val="00B04778"/>
    <w:rsid w:val="00B0496E"/>
    <w:rsid w:val="00B05687"/>
    <w:rsid w:val="00B057CD"/>
    <w:rsid w:val="00B06298"/>
    <w:rsid w:val="00B06501"/>
    <w:rsid w:val="00B06586"/>
    <w:rsid w:val="00B0672D"/>
    <w:rsid w:val="00B06818"/>
    <w:rsid w:val="00B069C1"/>
    <w:rsid w:val="00B06A4F"/>
    <w:rsid w:val="00B06DA1"/>
    <w:rsid w:val="00B06E19"/>
    <w:rsid w:val="00B0700F"/>
    <w:rsid w:val="00B0706D"/>
    <w:rsid w:val="00B072C9"/>
    <w:rsid w:val="00B07720"/>
    <w:rsid w:val="00B07914"/>
    <w:rsid w:val="00B07D8A"/>
    <w:rsid w:val="00B10945"/>
    <w:rsid w:val="00B10BFC"/>
    <w:rsid w:val="00B10D9C"/>
    <w:rsid w:val="00B10E18"/>
    <w:rsid w:val="00B10E42"/>
    <w:rsid w:val="00B1140A"/>
    <w:rsid w:val="00B11A13"/>
    <w:rsid w:val="00B11F0D"/>
    <w:rsid w:val="00B12052"/>
    <w:rsid w:val="00B1213F"/>
    <w:rsid w:val="00B12705"/>
    <w:rsid w:val="00B12CCC"/>
    <w:rsid w:val="00B12CEB"/>
    <w:rsid w:val="00B12EDA"/>
    <w:rsid w:val="00B13081"/>
    <w:rsid w:val="00B1337A"/>
    <w:rsid w:val="00B13460"/>
    <w:rsid w:val="00B13C0B"/>
    <w:rsid w:val="00B148A9"/>
    <w:rsid w:val="00B14AFF"/>
    <w:rsid w:val="00B15029"/>
    <w:rsid w:val="00B15604"/>
    <w:rsid w:val="00B15666"/>
    <w:rsid w:val="00B15E05"/>
    <w:rsid w:val="00B15EF5"/>
    <w:rsid w:val="00B15F91"/>
    <w:rsid w:val="00B162CB"/>
    <w:rsid w:val="00B16918"/>
    <w:rsid w:val="00B16A21"/>
    <w:rsid w:val="00B16FF5"/>
    <w:rsid w:val="00B17410"/>
    <w:rsid w:val="00B17863"/>
    <w:rsid w:val="00B2021F"/>
    <w:rsid w:val="00B207D5"/>
    <w:rsid w:val="00B20AC2"/>
    <w:rsid w:val="00B20F7B"/>
    <w:rsid w:val="00B2119D"/>
    <w:rsid w:val="00B212C5"/>
    <w:rsid w:val="00B213AA"/>
    <w:rsid w:val="00B21B3A"/>
    <w:rsid w:val="00B21CC0"/>
    <w:rsid w:val="00B22031"/>
    <w:rsid w:val="00B221F1"/>
    <w:rsid w:val="00B2226C"/>
    <w:rsid w:val="00B2248C"/>
    <w:rsid w:val="00B224EA"/>
    <w:rsid w:val="00B228E9"/>
    <w:rsid w:val="00B2310D"/>
    <w:rsid w:val="00B2335D"/>
    <w:rsid w:val="00B23772"/>
    <w:rsid w:val="00B23B27"/>
    <w:rsid w:val="00B23CD9"/>
    <w:rsid w:val="00B23CE8"/>
    <w:rsid w:val="00B23E3F"/>
    <w:rsid w:val="00B240D5"/>
    <w:rsid w:val="00B242E2"/>
    <w:rsid w:val="00B24324"/>
    <w:rsid w:val="00B24700"/>
    <w:rsid w:val="00B24809"/>
    <w:rsid w:val="00B24B48"/>
    <w:rsid w:val="00B24CB5"/>
    <w:rsid w:val="00B24CED"/>
    <w:rsid w:val="00B24D62"/>
    <w:rsid w:val="00B24DA7"/>
    <w:rsid w:val="00B2543A"/>
    <w:rsid w:val="00B25440"/>
    <w:rsid w:val="00B25693"/>
    <w:rsid w:val="00B25B56"/>
    <w:rsid w:val="00B25D52"/>
    <w:rsid w:val="00B263C6"/>
    <w:rsid w:val="00B2666F"/>
    <w:rsid w:val="00B26674"/>
    <w:rsid w:val="00B26893"/>
    <w:rsid w:val="00B2702F"/>
    <w:rsid w:val="00B270CA"/>
    <w:rsid w:val="00B27217"/>
    <w:rsid w:val="00B2737A"/>
    <w:rsid w:val="00B2764A"/>
    <w:rsid w:val="00B27868"/>
    <w:rsid w:val="00B27C45"/>
    <w:rsid w:val="00B27D8B"/>
    <w:rsid w:val="00B27D8E"/>
    <w:rsid w:val="00B30252"/>
    <w:rsid w:val="00B30533"/>
    <w:rsid w:val="00B30896"/>
    <w:rsid w:val="00B30C30"/>
    <w:rsid w:val="00B30F16"/>
    <w:rsid w:val="00B31106"/>
    <w:rsid w:val="00B311C8"/>
    <w:rsid w:val="00B314EC"/>
    <w:rsid w:val="00B3151E"/>
    <w:rsid w:val="00B3182D"/>
    <w:rsid w:val="00B31CBC"/>
    <w:rsid w:val="00B320C2"/>
    <w:rsid w:val="00B322F2"/>
    <w:rsid w:val="00B32609"/>
    <w:rsid w:val="00B3268C"/>
    <w:rsid w:val="00B327D9"/>
    <w:rsid w:val="00B32807"/>
    <w:rsid w:val="00B32A21"/>
    <w:rsid w:val="00B32A38"/>
    <w:rsid w:val="00B32F92"/>
    <w:rsid w:val="00B331E9"/>
    <w:rsid w:val="00B335AB"/>
    <w:rsid w:val="00B33790"/>
    <w:rsid w:val="00B33BE7"/>
    <w:rsid w:val="00B34667"/>
    <w:rsid w:val="00B346FB"/>
    <w:rsid w:val="00B34898"/>
    <w:rsid w:val="00B3489E"/>
    <w:rsid w:val="00B34BCB"/>
    <w:rsid w:val="00B34D58"/>
    <w:rsid w:val="00B34E9C"/>
    <w:rsid w:val="00B35070"/>
    <w:rsid w:val="00B3531F"/>
    <w:rsid w:val="00B35473"/>
    <w:rsid w:val="00B35522"/>
    <w:rsid w:val="00B356A1"/>
    <w:rsid w:val="00B3593B"/>
    <w:rsid w:val="00B35A22"/>
    <w:rsid w:val="00B35AE2"/>
    <w:rsid w:val="00B35C33"/>
    <w:rsid w:val="00B35CCB"/>
    <w:rsid w:val="00B35F76"/>
    <w:rsid w:val="00B36365"/>
    <w:rsid w:val="00B363FF"/>
    <w:rsid w:val="00B36BE3"/>
    <w:rsid w:val="00B36BEC"/>
    <w:rsid w:val="00B372DE"/>
    <w:rsid w:val="00B37407"/>
    <w:rsid w:val="00B37968"/>
    <w:rsid w:val="00B379E9"/>
    <w:rsid w:val="00B37C14"/>
    <w:rsid w:val="00B40823"/>
    <w:rsid w:val="00B41029"/>
    <w:rsid w:val="00B4156D"/>
    <w:rsid w:val="00B4181B"/>
    <w:rsid w:val="00B41B8E"/>
    <w:rsid w:val="00B41DFF"/>
    <w:rsid w:val="00B42101"/>
    <w:rsid w:val="00B42171"/>
    <w:rsid w:val="00B42258"/>
    <w:rsid w:val="00B424CD"/>
    <w:rsid w:val="00B4255E"/>
    <w:rsid w:val="00B425C3"/>
    <w:rsid w:val="00B42A62"/>
    <w:rsid w:val="00B42D5E"/>
    <w:rsid w:val="00B42DAC"/>
    <w:rsid w:val="00B42DDF"/>
    <w:rsid w:val="00B42E21"/>
    <w:rsid w:val="00B42E80"/>
    <w:rsid w:val="00B432F6"/>
    <w:rsid w:val="00B43574"/>
    <w:rsid w:val="00B4373D"/>
    <w:rsid w:val="00B43843"/>
    <w:rsid w:val="00B43AAC"/>
    <w:rsid w:val="00B43B28"/>
    <w:rsid w:val="00B43C0B"/>
    <w:rsid w:val="00B43C2B"/>
    <w:rsid w:val="00B440AD"/>
    <w:rsid w:val="00B445A2"/>
    <w:rsid w:val="00B4480A"/>
    <w:rsid w:val="00B44A56"/>
    <w:rsid w:val="00B44A63"/>
    <w:rsid w:val="00B44D02"/>
    <w:rsid w:val="00B44D9E"/>
    <w:rsid w:val="00B4506E"/>
    <w:rsid w:val="00B451A4"/>
    <w:rsid w:val="00B4523C"/>
    <w:rsid w:val="00B452B7"/>
    <w:rsid w:val="00B457B4"/>
    <w:rsid w:val="00B45909"/>
    <w:rsid w:val="00B45DA5"/>
    <w:rsid w:val="00B463D3"/>
    <w:rsid w:val="00B46423"/>
    <w:rsid w:val="00B46763"/>
    <w:rsid w:val="00B46A66"/>
    <w:rsid w:val="00B477D9"/>
    <w:rsid w:val="00B479BB"/>
    <w:rsid w:val="00B47AAF"/>
    <w:rsid w:val="00B47F0D"/>
    <w:rsid w:val="00B5010E"/>
    <w:rsid w:val="00B503CE"/>
    <w:rsid w:val="00B505F8"/>
    <w:rsid w:val="00B50CC3"/>
    <w:rsid w:val="00B50FB6"/>
    <w:rsid w:val="00B51303"/>
    <w:rsid w:val="00B5145F"/>
    <w:rsid w:val="00B5152D"/>
    <w:rsid w:val="00B5177E"/>
    <w:rsid w:val="00B51D3F"/>
    <w:rsid w:val="00B51DB0"/>
    <w:rsid w:val="00B51F3D"/>
    <w:rsid w:val="00B520FE"/>
    <w:rsid w:val="00B523A8"/>
    <w:rsid w:val="00B5278B"/>
    <w:rsid w:val="00B52CF7"/>
    <w:rsid w:val="00B52F07"/>
    <w:rsid w:val="00B5317D"/>
    <w:rsid w:val="00B536B2"/>
    <w:rsid w:val="00B536F0"/>
    <w:rsid w:val="00B53795"/>
    <w:rsid w:val="00B5386E"/>
    <w:rsid w:val="00B53DB6"/>
    <w:rsid w:val="00B53E7E"/>
    <w:rsid w:val="00B54601"/>
    <w:rsid w:val="00B54615"/>
    <w:rsid w:val="00B54782"/>
    <w:rsid w:val="00B54A6E"/>
    <w:rsid w:val="00B55249"/>
    <w:rsid w:val="00B5524A"/>
    <w:rsid w:val="00B556CC"/>
    <w:rsid w:val="00B55CFA"/>
    <w:rsid w:val="00B561D5"/>
    <w:rsid w:val="00B56597"/>
    <w:rsid w:val="00B5731C"/>
    <w:rsid w:val="00B573A6"/>
    <w:rsid w:val="00B5740D"/>
    <w:rsid w:val="00B5761C"/>
    <w:rsid w:val="00B57C3A"/>
    <w:rsid w:val="00B57EBA"/>
    <w:rsid w:val="00B6019E"/>
    <w:rsid w:val="00B60AC2"/>
    <w:rsid w:val="00B60B13"/>
    <w:rsid w:val="00B60EA0"/>
    <w:rsid w:val="00B6168D"/>
    <w:rsid w:val="00B62410"/>
    <w:rsid w:val="00B62482"/>
    <w:rsid w:val="00B626C3"/>
    <w:rsid w:val="00B6290F"/>
    <w:rsid w:val="00B62CF8"/>
    <w:rsid w:val="00B62FDB"/>
    <w:rsid w:val="00B6342E"/>
    <w:rsid w:val="00B63640"/>
    <w:rsid w:val="00B6369A"/>
    <w:rsid w:val="00B638B7"/>
    <w:rsid w:val="00B63AB8"/>
    <w:rsid w:val="00B63F63"/>
    <w:rsid w:val="00B64408"/>
    <w:rsid w:val="00B6466D"/>
    <w:rsid w:val="00B64B46"/>
    <w:rsid w:val="00B64B47"/>
    <w:rsid w:val="00B64B92"/>
    <w:rsid w:val="00B64F2C"/>
    <w:rsid w:val="00B65970"/>
    <w:rsid w:val="00B65AD4"/>
    <w:rsid w:val="00B66B19"/>
    <w:rsid w:val="00B66B2E"/>
    <w:rsid w:val="00B66D7E"/>
    <w:rsid w:val="00B67197"/>
    <w:rsid w:val="00B67990"/>
    <w:rsid w:val="00B679DB"/>
    <w:rsid w:val="00B67A63"/>
    <w:rsid w:val="00B7009F"/>
    <w:rsid w:val="00B70103"/>
    <w:rsid w:val="00B7096C"/>
    <w:rsid w:val="00B709C5"/>
    <w:rsid w:val="00B70FC0"/>
    <w:rsid w:val="00B7113F"/>
    <w:rsid w:val="00B71413"/>
    <w:rsid w:val="00B7154D"/>
    <w:rsid w:val="00B715C5"/>
    <w:rsid w:val="00B716F3"/>
    <w:rsid w:val="00B71766"/>
    <w:rsid w:val="00B720D2"/>
    <w:rsid w:val="00B72193"/>
    <w:rsid w:val="00B722A8"/>
    <w:rsid w:val="00B72695"/>
    <w:rsid w:val="00B726B4"/>
    <w:rsid w:val="00B7301D"/>
    <w:rsid w:val="00B7314A"/>
    <w:rsid w:val="00B733E4"/>
    <w:rsid w:val="00B736BC"/>
    <w:rsid w:val="00B73787"/>
    <w:rsid w:val="00B739FF"/>
    <w:rsid w:val="00B73AD4"/>
    <w:rsid w:val="00B73C41"/>
    <w:rsid w:val="00B73D0F"/>
    <w:rsid w:val="00B73DB4"/>
    <w:rsid w:val="00B73F30"/>
    <w:rsid w:val="00B7462A"/>
    <w:rsid w:val="00B7490F"/>
    <w:rsid w:val="00B756F8"/>
    <w:rsid w:val="00B757C0"/>
    <w:rsid w:val="00B75A41"/>
    <w:rsid w:val="00B75C07"/>
    <w:rsid w:val="00B75F8B"/>
    <w:rsid w:val="00B76155"/>
    <w:rsid w:val="00B76180"/>
    <w:rsid w:val="00B761FE"/>
    <w:rsid w:val="00B76214"/>
    <w:rsid w:val="00B76308"/>
    <w:rsid w:val="00B7630A"/>
    <w:rsid w:val="00B765AC"/>
    <w:rsid w:val="00B7676F"/>
    <w:rsid w:val="00B76AA8"/>
    <w:rsid w:val="00B775EE"/>
    <w:rsid w:val="00B77790"/>
    <w:rsid w:val="00B77967"/>
    <w:rsid w:val="00B8006D"/>
    <w:rsid w:val="00B80120"/>
    <w:rsid w:val="00B801E5"/>
    <w:rsid w:val="00B8078C"/>
    <w:rsid w:val="00B80834"/>
    <w:rsid w:val="00B808E9"/>
    <w:rsid w:val="00B80A0D"/>
    <w:rsid w:val="00B80CFD"/>
    <w:rsid w:val="00B814E3"/>
    <w:rsid w:val="00B8154B"/>
    <w:rsid w:val="00B81D09"/>
    <w:rsid w:val="00B82705"/>
    <w:rsid w:val="00B8293B"/>
    <w:rsid w:val="00B829B0"/>
    <w:rsid w:val="00B82B66"/>
    <w:rsid w:val="00B82BEA"/>
    <w:rsid w:val="00B82D4E"/>
    <w:rsid w:val="00B82F59"/>
    <w:rsid w:val="00B83038"/>
    <w:rsid w:val="00B83B99"/>
    <w:rsid w:val="00B83CB9"/>
    <w:rsid w:val="00B83FF3"/>
    <w:rsid w:val="00B841F9"/>
    <w:rsid w:val="00B84771"/>
    <w:rsid w:val="00B84892"/>
    <w:rsid w:val="00B84AD7"/>
    <w:rsid w:val="00B84EAE"/>
    <w:rsid w:val="00B850BF"/>
    <w:rsid w:val="00B850F1"/>
    <w:rsid w:val="00B853B6"/>
    <w:rsid w:val="00B85590"/>
    <w:rsid w:val="00B858F4"/>
    <w:rsid w:val="00B8613E"/>
    <w:rsid w:val="00B86256"/>
    <w:rsid w:val="00B862F5"/>
    <w:rsid w:val="00B865F0"/>
    <w:rsid w:val="00B8662E"/>
    <w:rsid w:val="00B868F9"/>
    <w:rsid w:val="00B87146"/>
    <w:rsid w:val="00B8720B"/>
    <w:rsid w:val="00B8742B"/>
    <w:rsid w:val="00B87564"/>
    <w:rsid w:val="00B876DC"/>
    <w:rsid w:val="00B8774A"/>
    <w:rsid w:val="00B877F2"/>
    <w:rsid w:val="00B87B92"/>
    <w:rsid w:val="00B87E97"/>
    <w:rsid w:val="00B900F8"/>
    <w:rsid w:val="00B901EF"/>
    <w:rsid w:val="00B90731"/>
    <w:rsid w:val="00B9077A"/>
    <w:rsid w:val="00B90D72"/>
    <w:rsid w:val="00B90D99"/>
    <w:rsid w:val="00B91352"/>
    <w:rsid w:val="00B919DD"/>
    <w:rsid w:val="00B9243D"/>
    <w:rsid w:val="00B92764"/>
    <w:rsid w:val="00B928DA"/>
    <w:rsid w:val="00B92956"/>
    <w:rsid w:val="00B9296A"/>
    <w:rsid w:val="00B930D6"/>
    <w:rsid w:val="00B934DF"/>
    <w:rsid w:val="00B93787"/>
    <w:rsid w:val="00B93850"/>
    <w:rsid w:val="00B938CF"/>
    <w:rsid w:val="00B9391E"/>
    <w:rsid w:val="00B93994"/>
    <w:rsid w:val="00B93A62"/>
    <w:rsid w:val="00B9411E"/>
    <w:rsid w:val="00B9420A"/>
    <w:rsid w:val="00B943FC"/>
    <w:rsid w:val="00B94876"/>
    <w:rsid w:val="00B9539F"/>
    <w:rsid w:val="00B955DB"/>
    <w:rsid w:val="00B958E9"/>
    <w:rsid w:val="00B9590E"/>
    <w:rsid w:val="00B95AA7"/>
    <w:rsid w:val="00B95C98"/>
    <w:rsid w:val="00B95F92"/>
    <w:rsid w:val="00B9607B"/>
    <w:rsid w:val="00B960B8"/>
    <w:rsid w:val="00B961F4"/>
    <w:rsid w:val="00B96635"/>
    <w:rsid w:val="00B9681B"/>
    <w:rsid w:val="00B969F2"/>
    <w:rsid w:val="00B96AF2"/>
    <w:rsid w:val="00B96B97"/>
    <w:rsid w:val="00B96C32"/>
    <w:rsid w:val="00B9726A"/>
    <w:rsid w:val="00B9732A"/>
    <w:rsid w:val="00B9754F"/>
    <w:rsid w:val="00B97647"/>
    <w:rsid w:val="00B976B9"/>
    <w:rsid w:val="00B97B42"/>
    <w:rsid w:val="00BA0048"/>
    <w:rsid w:val="00BA031B"/>
    <w:rsid w:val="00BA07E4"/>
    <w:rsid w:val="00BA08C0"/>
    <w:rsid w:val="00BA0A4B"/>
    <w:rsid w:val="00BA0E49"/>
    <w:rsid w:val="00BA0E7B"/>
    <w:rsid w:val="00BA1274"/>
    <w:rsid w:val="00BA17E0"/>
    <w:rsid w:val="00BA17EC"/>
    <w:rsid w:val="00BA18AD"/>
    <w:rsid w:val="00BA19E4"/>
    <w:rsid w:val="00BA1D96"/>
    <w:rsid w:val="00BA1E4E"/>
    <w:rsid w:val="00BA2399"/>
    <w:rsid w:val="00BA2611"/>
    <w:rsid w:val="00BA2714"/>
    <w:rsid w:val="00BA27C8"/>
    <w:rsid w:val="00BA2839"/>
    <w:rsid w:val="00BA2947"/>
    <w:rsid w:val="00BA2ACC"/>
    <w:rsid w:val="00BA2AE8"/>
    <w:rsid w:val="00BA2BCF"/>
    <w:rsid w:val="00BA31E1"/>
    <w:rsid w:val="00BA3585"/>
    <w:rsid w:val="00BA3AF1"/>
    <w:rsid w:val="00BA3D57"/>
    <w:rsid w:val="00BA3E24"/>
    <w:rsid w:val="00BA40E2"/>
    <w:rsid w:val="00BA4206"/>
    <w:rsid w:val="00BA43E8"/>
    <w:rsid w:val="00BA44A8"/>
    <w:rsid w:val="00BA4865"/>
    <w:rsid w:val="00BA49CA"/>
    <w:rsid w:val="00BA4ADD"/>
    <w:rsid w:val="00BA4CC4"/>
    <w:rsid w:val="00BA4DEA"/>
    <w:rsid w:val="00BA5334"/>
    <w:rsid w:val="00BA5B14"/>
    <w:rsid w:val="00BA5B72"/>
    <w:rsid w:val="00BA5EE1"/>
    <w:rsid w:val="00BA6022"/>
    <w:rsid w:val="00BA62C5"/>
    <w:rsid w:val="00BA6357"/>
    <w:rsid w:val="00BA6410"/>
    <w:rsid w:val="00BA6B1D"/>
    <w:rsid w:val="00BA6D58"/>
    <w:rsid w:val="00BA6FBE"/>
    <w:rsid w:val="00BA73B6"/>
    <w:rsid w:val="00BA7837"/>
    <w:rsid w:val="00BA7917"/>
    <w:rsid w:val="00BA7BC4"/>
    <w:rsid w:val="00BA7C92"/>
    <w:rsid w:val="00BA7E27"/>
    <w:rsid w:val="00BA7EBB"/>
    <w:rsid w:val="00BB00A8"/>
    <w:rsid w:val="00BB0739"/>
    <w:rsid w:val="00BB0961"/>
    <w:rsid w:val="00BB1093"/>
    <w:rsid w:val="00BB10CB"/>
    <w:rsid w:val="00BB111B"/>
    <w:rsid w:val="00BB117B"/>
    <w:rsid w:val="00BB11A7"/>
    <w:rsid w:val="00BB11B5"/>
    <w:rsid w:val="00BB12BA"/>
    <w:rsid w:val="00BB19C6"/>
    <w:rsid w:val="00BB2086"/>
    <w:rsid w:val="00BB2560"/>
    <w:rsid w:val="00BB2603"/>
    <w:rsid w:val="00BB29D9"/>
    <w:rsid w:val="00BB2A7A"/>
    <w:rsid w:val="00BB2F29"/>
    <w:rsid w:val="00BB2F55"/>
    <w:rsid w:val="00BB30BE"/>
    <w:rsid w:val="00BB319D"/>
    <w:rsid w:val="00BB351F"/>
    <w:rsid w:val="00BB3706"/>
    <w:rsid w:val="00BB3801"/>
    <w:rsid w:val="00BB3B2F"/>
    <w:rsid w:val="00BB3E25"/>
    <w:rsid w:val="00BB3EBF"/>
    <w:rsid w:val="00BB3F88"/>
    <w:rsid w:val="00BB49AB"/>
    <w:rsid w:val="00BB4FCD"/>
    <w:rsid w:val="00BB4FD0"/>
    <w:rsid w:val="00BB52BD"/>
    <w:rsid w:val="00BB56BB"/>
    <w:rsid w:val="00BB5702"/>
    <w:rsid w:val="00BB5CCB"/>
    <w:rsid w:val="00BB606A"/>
    <w:rsid w:val="00BB6358"/>
    <w:rsid w:val="00BB659E"/>
    <w:rsid w:val="00BB668E"/>
    <w:rsid w:val="00BB6712"/>
    <w:rsid w:val="00BB6DD8"/>
    <w:rsid w:val="00BB6E8B"/>
    <w:rsid w:val="00BB6F2A"/>
    <w:rsid w:val="00BB74CC"/>
    <w:rsid w:val="00BB7509"/>
    <w:rsid w:val="00BC007D"/>
    <w:rsid w:val="00BC01DB"/>
    <w:rsid w:val="00BC03EF"/>
    <w:rsid w:val="00BC04E9"/>
    <w:rsid w:val="00BC0A1F"/>
    <w:rsid w:val="00BC0DD1"/>
    <w:rsid w:val="00BC1484"/>
    <w:rsid w:val="00BC15F2"/>
    <w:rsid w:val="00BC1A86"/>
    <w:rsid w:val="00BC20EF"/>
    <w:rsid w:val="00BC2160"/>
    <w:rsid w:val="00BC235B"/>
    <w:rsid w:val="00BC24C2"/>
    <w:rsid w:val="00BC24C7"/>
    <w:rsid w:val="00BC275E"/>
    <w:rsid w:val="00BC2D20"/>
    <w:rsid w:val="00BC2F46"/>
    <w:rsid w:val="00BC2F71"/>
    <w:rsid w:val="00BC3246"/>
    <w:rsid w:val="00BC33B7"/>
    <w:rsid w:val="00BC3529"/>
    <w:rsid w:val="00BC371A"/>
    <w:rsid w:val="00BC377E"/>
    <w:rsid w:val="00BC3D4D"/>
    <w:rsid w:val="00BC4293"/>
    <w:rsid w:val="00BC42DE"/>
    <w:rsid w:val="00BC4482"/>
    <w:rsid w:val="00BC475A"/>
    <w:rsid w:val="00BC48B3"/>
    <w:rsid w:val="00BC48ED"/>
    <w:rsid w:val="00BC4AC3"/>
    <w:rsid w:val="00BC57BA"/>
    <w:rsid w:val="00BC591F"/>
    <w:rsid w:val="00BC596F"/>
    <w:rsid w:val="00BC64E4"/>
    <w:rsid w:val="00BC656A"/>
    <w:rsid w:val="00BC685E"/>
    <w:rsid w:val="00BC69B3"/>
    <w:rsid w:val="00BC6BFD"/>
    <w:rsid w:val="00BC6F77"/>
    <w:rsid w:val="00BC7366"/>
    <w:rsid w:val="00BC7609"/>
    <w:rsid w:val="00BC77AE"/>
    <w:rsid w:val="00BC781D"/>
    <w:rsid w:val="00BC7914"/>
    <w:rsid w:val="00BC7956"/>
    <w:rsid w:val="00BD0BC8"/>
    <w:rsid w:val="00BD0DE7"/>
    <w:rsid w:val="00BD0E31"/>
    <w:rsid w:val="00BD0EC8"/>
    <w:rsid w:val="00BD13EA"/>
    <w:rsid w:val="00BD15A6"/>
    <w:rsid w:val="00BD183A"/>
    <w:rsid w:val="00BD1B4D"/>
    <w:rsid w:val="00BD1B80"/>
    <w:rsid w:val="00BD1CA1"/>
    <w:rsid w:val="00BD1F26"/>
    <w:rsid w:val="00BD20A5"/>
    <w:rsid w:val="00BD2177"/>
    <w:rsid w:val="00BD24FB"/>
    <w:rsid w:val="00BD2BD9"/>
    <w:rsid w:val="00BD2BEA"/>
    <w:rsid w:val="00BD2BF8"/>
    <w:rsid w:val="00BD2EE6"/>
    <w:rsid w:val="00BD2F0D"/>
    <w:rsid w:val="00BD32CA"/>
    <w:rsid w:val="00BD391F"/>
    <w:rsid w:val="00BD397B"/>
    <w:rsid w:val="00BD3C04"/>
    <w:rsid w:val="00BD3E18"/>
    <w:rsid w:val="00BD3E3C"/>
    <w:rsid w:val="00BD4006"/>
    <w:rsid w:val="00BD41CF"/>
    <w:rsid w:val="00BD42AD"/>
    <w:rsid w:val="00BD42CB"/>
    <w:rsid w:val="00BD479B"/>
    <w:rsid w:val="00BD4984"/>
    <w:rsid w:val="00BD49F1"/>
    <w:rsid w:val="00BD4A24"/>
    <w:rsid w:val="00BD506D"/>
    <w:rsid w:val="00BD5073"/>
    <w:rsid w:val="00BD512D"/>
    <w:rsid w:val="00BD516D"/>
    <w:rsid w:val="00BD51F1"/>
    <w:rsid w:val="00BD5374"/>
    <w:rsid w:val="00BD5721"/>
    <w:rsid w:val="00BD5ABD"/>
    <w:rsid w:val="00BD5C59"/>
    <w:rsid w:val="00BD5EAD"/>
    <w:rsid w:val="00BD6188"/>
    <w:rsid w:val="00BD630E"/>
    <w:rsid w:val="00BD63BD"/>
    <w:rsid w:val="00BD663D"/>
    <w:rsid w:val="00BD6727"/>
    <w:rsid w:val="00BD6896"/>
    <w:rsid w:val="00BD6C0C"/>
    <w:rsid w:val="00BD6C75"/>
    <w:rsid w:val="00BD6DEC"/>
    <w:rsid w:val="00BD725B"/>
    <w:rsid w:val="00BD7347"/>
    <w:rsid w:val="00BD79CE"/>
    <w:rsid w:val="00BD7AC7"/>
    <w:rsid w:val="00BD7C71"/>
    <w:rsid w:val="00BE0AD8"/>
    <w:rsid w:val="00BE0BB1"/>
    <w:rsid w:val="00BE1184"/>
    <w:rsid w:val="00BE136B"/>
    <w:rsid w:val="00BE1509"/>
    <w:rsid w:val="00BE1606"/>
    <w:rsid w:val="00BE1C1F"/>
    <w:rsid w:val="00BE205C"/>
    <w:rsid w:val="00BE215A"/>
    <w:rsid w:val="00BE2234"/>
    <w:rsid w:val="00BE25E0"/>
    <w:rsid w:val="00BE26EC"/>
    <w:rsid w:val="00BE2AD1"/>
    <w:rsid w:val="00BE2AD9"/>
    <w:rsid w:val="00BE2F39"/>
    <w:rsid w:val="00BE2FE5"/>
    <w:rsid w:val="00BE308F"/>
    <w:rsid w:val="00BE30B8"/>
    <w:rsid w:val="00BE3342"/>
    <w:rsid w:val="00BE348E"/>
    <w:rsid w:val="00BE3808"/>
    <w:rsid w:val="00BE3EC2"/>
    <w:rsid w:val="00BE4039"/>
    <w:rsid w:val="00BE40E2"/>
    <w:rsid w:val="00BE4BD6"/>
    <w:rsid w:val="00BE56B2"/>
    <w:rsid w:val="00BE5904"/>
    <w:rsid w:val="00BE6251"/>
    <w:rsid w:val="00BE6301"/>
    <w:rsid w:val="00BE6FF9"/>
    <w:rsid w:val="00BE715D"/>
    <w:rsid w:val="00BE7260"/>
    <w:rsid w:val="00BE7652"/>
    <w:rsid w:val="00BE77DA"/>
    <w:rsid w:val="00BE7881"/>
    <w:rsid w:val="00BF003D"/>
    <w:rsid w:val="00BF0992"/>
    <w:rsid w:val="00BF0B1C"/>
    <w:rsid w:val="00BF0C9C"/>
    <w:rsid w:val="00BF0F5B"/>
    <w:rsid w:val="00BF105F"/>
    <w:rsid w:val="00BF144A"/>
    <w:rsid w:val="00BF1835"/>
    <w:rsid w:val="00BF18C6"/>
    <w:rsid w:val="00BF198F"/>
    <w:rsid w:val="00BF1ABE"/>
    <w:rsid w:val="00BF1BBA"/>
    <w:rsid w:val="00BF1CC6"/>
    <w:rsid w:val="00BF1D4B"/>
    <w:rsid w:val="00BF230E"/>
    <w:rsid w:val="00BF24F1"/>
    <w:rsid w:val="00BF25F1"/>
    <w:rsid w:val="00BF2953"/>
    <w:rsid w:val="00BF2F02"/>
    <w:rsid w:val="00BF3213"/>
    <w:rsid w:val="00BF3531"/>
    <w:rsid w:val="00BF3BE9"/>
    <w:rsid w:val="00BF3CBA"/>
    <w:rsid w:val="00BF458B"/>
    <w:rsid w:val="00BF4A47"/>
    <w:rsid w:val="00BF4A55"/>
    <w:rsid w:val="00BF4A84"/>
    <w:rsid w:val="00BF4FC8"/>
    <w:rsid w:val="00BF56E8"/>
    <w:rsid w:val="00BF577D"/>
    <w:rsid w:val="00BF6288"/>
    <w:rsid w:val="00BF62AF"/>
    <w:rsid w:val="00BF65E7"/>
    <w:rsid w:val="00BF65FB"/>
    <w:rsid w:val="00BF662F"/>
    <w:rsid w:val="00BF6F6C"/>
    <w:rsid w:val="00BF7373"/>
    <w:rsid w:val="00BF742B"/>
    <w:rsid w:val="00BF79AC"/>
    <w:rsid w:val="00C00372"/>
    <w:rsid w:val="00C00504"/>
    <w:rsid w:val="00C00620"/>
    <w:rsid w:val="00C007D7"/>
    <w:rsid w:val="00C009D4"/>
    <w:rsid w:val="00C00A87"/>
    <w:rsid w:val="00C00C23"/>
    <w:rsid w:val="00C0125D"/>
    <w:rsid w:val="00C0127B"/>
    <w:rsid w:val="00C01DFD"/>
    <w:rsid w:val="00C020AC"/>
    <w:rsid w:val="00C02444"/>
    <w:rsid w:val="00C0244C"/>
    <w:rsid w:val="00C02A18"/>
    <w:rsid w:val="00C02CDD"/>
    <w:rsid w:val="00C02D66"/>
    <w:rsid w:val="00C02DB9"/>
    <w:rsid w:val="00C02DDE"/>
    <w:rsid w:val="00C02E82"/>
    <w:rsid w:val="00C031BA"/>
    <w:rsid w:val="00C03658"/>
    <w:rsid w:val="00C03679"/>
    <w:rsid w:val="00C03681"/>
    <w:rsid w:val="00C037C7"/>
    <w:rsid w:val="00C03809"/>
    <w:rsid w:val="00C03827"/>
    <w:rsid w:val="00C03B88"/>
    <w:rsid w:val="00C03FE1"/>
    <w:rsid w:val="00C0448A"/>
    <w:rsid w:val="00C04BBA"/>
    <w:rsid w:val="00C05215"/>
    <w:rsid w:val="00C05371"/>
    <w:rsid w:val="00C0562E"/>
    <w:rsid w:val="00C05720"/>
    <w:rsid w:val="00C059DA"/>
    <w:rsid w:val="00C05A70"/>
    <w:rsid w:val="00C05BE6"/>
    <w:rsid w:val="00C05DE3"/>
    <w:rsid w:val="00C0627A"/>
    <w:rsid w:val="00C062E9"/>
    <w:rsid w:val="00C0655A"/>
    <w:rsid w:val="00C06624"/>
    <w:rsid w:val="00C069AA"/>
    <w:rsid w:val="00C06AC8"/>
    <w:rsid w:val="00C06CBE"/>
    <w:rsid w:val="00C06F84"/>
    <w:rsid w:val="00C07131"/>
    <w:rsid w:val="00C0784B"/>
    <w:rsid w:val="00C07B5F"/>
    <w:rsid w:val="00C07B64"/>
    <w:rsid w:val="00C07BBC"/>
    <w:rsid w:val="00C07E60"/>
    <w:rsid w:val="00C07ED3"/>
    <w:rsid w:val="00C1025F"/>
    <w:rsid w:val="00C10587"/>
    <w:rsid w:val="00C105E6"/>
    <w:rsid w:val="00C1061B"/>
    <w:rsid w:val="00C10F64"/>
    <w:rsid w:val="00C1107D"/>
    <w:rsid w:val="00C11221"/>
    <w:rsid w:val="00C114A9"/>
    <w:rsid w:val="00C122B9"/>
    <w:rsid w:val="00C123B5"/>
    <w:rsid w:val="00C12788"/>
    <w:rsid w:val="00C12BF0"/>
    <w:rsid w:val="00C12DE6"/>
    <w:rsid w:val="00C13335"/>
    <w:rsid w:val="00C13721"/>
    <w:rsid w:val="00C13D10"/>
    <w:rsid w:val="00C14080"/>
    <w:rsid w:val="00C14095"/>
    <w:rsid w:val="00C14762"/>
    <w:rsid w:val="00C148D5"/>
    <w:rsid w:val="00C148D8"/>
    <w:rsid w:val="00C14BFE"/>
    <w:rsid w:val="00C14C78"/>
    <w:rsid w:val="00C14EA7"/>
    <w:rsid w:val="00C14FE4"/>
    <w:rsid w:val="00C1521A"/>
    <w:rsid w:val="00C157BB"/>
    <w:rsid w:val="00C158C3"/>
    <w:rsid w:val="00C15951"/>
    <w:rsid w:val="00C15A0F"/>
    <w:rsid w:val="00C15BFA"/>
    <w:rsid w:val="00C165D4"/>
    <w:rsid w:val="00C168A9"/>
    <w:rsid w:val="00C16CB6"/>
    <w:rsid w:val="00C16CDA"/>
    <w:rsid w:val="00C172BC"/>
    <w:rsid w:val="00C173A7"/>
    <w:rsid w:val="00C17561"/>
    <w:rsid w:val="00C175C9"/>
    <w:rsid w:val="00C17752"/>
    <w:rsid w:val="00C17D69"/>
    <w:rsid w:val="00C17E73"/>
    <w:rsid w:val="00C17FF7"/>
    <w:rsid w:val="00C2013A"/>
    <w:rsid w:val="00C2085A"/>
    <w:rsid w:val="00C20B77"/>
    <w:rsid w:val="00C20B8D"/>
    <w:rsid w:val="00C20E12"/>
    <w:rsid w:val="00C21212"/>
    <w:rsid w:val="00C21758"/>
    <w:rsid w:val="00C21958"/>
    <w:rsid w:val="00C22275"/>
    <w:rsid w:val="00C222C7"/>
    <w:rsid w:val="00C22380"/>
    <w:rsid w:val="00C22399"/>
    <w:rsid w:val="00C22797"/>
    <w:rsid w:val="00C228F3"/>
    <w:rsid w:val="00C22E15"/>
    <w:rsid w:val="00C22EA7"/>
    <w:rsid w:val="00C23177"/>
    <w:rsid w:val="00C234B5"/>
    <w:rsid w:val="00C234F1"/>
    <w:rsid w:val="00C2376D"/>
    <w:rsid w:val="00C23EE0"/>
    <w:rsid w:val="00C24301"/>
    <w:rsid w:val="00C24496"/>
    <w:rsid w:val="00C24D59"/>
    <w:rsid w:val="00C24F13"/>
    <w:rsid w:val="00C24F66"/>
    <w:rsid w:val="00C25017"/>
    <w:rsid w:val="00C25039"/>
    <w:rsid w:val="00C2522F"/>
    <w:rsid w:val="00C252FC"/>
    <w:rsid w:val="00C253E7"/>
    <w:rsid w:val="00C254E2"/>
    <w:rsid w:val="00C255AD"/>
    <w:rsid w:val="00C25807"/>
    <w:rsid w:val="00C25881"/>
    <w:rsid w:val="00C259FC"/>
    <w:rsid w:val="00C25AF1"/>
    <w:rsid w:val="00C25B37"/>
    <w:rsid w:val="00C25B8A"/>
    <w:rsid w:val="00C265AC"/>
    <w:rsid w:val="00C266E2"/>
    <w:rsid w:val="00C26890"/>
    <w:rsid w:val="00C26B14"/>
    <w:rsid w:val="00C26DFE"/>
    <w:rsid w:val="00C26ECD"/>
    <w:rsid w:val="00C27687"/>
    <w:rsid w:val="00C27CBF"/>
    <w:rsid w:val="00C27D00"/>
    <w:rsid w:val="00C27D3C"/>
    <w:rsid w:val="00C30201"/>
    <w:rsid w:val="00C3023F"/>
    <w:rsid w:val="00C302AA"/>
    <w:rsid w:val="00C3066D"/>
    <w:rsid w:val="00C30935"/>
    <w:rsid w:val="00C30944"/>
    <w:rsid w:val="00C30959"/>
    <w:rsid w:val="00C30F0A"/>
    <w:rsid w:val="00C3128A"/>
    <w:rsid w:val="00C319C3"/>
    <w:rsid w:val="00C319E7"/>
    <w:rsid w:val="00C31AAD"/>
    <w:rsid w:val="00C31FAA"/>
    <w:rsid w:val="00C32395"/>
    <w:rsid w:val="00C323A7"/>
    <w:rsid w:val="00C3247A"/>
    <w:rsid w:val="00C3252B"/>
    <w:rsid w:val="00C325C2"/>
    <w:rsid w:val="00C32638"/>
    <w:rsid w:val="00C3287F"/>
    <w:rsid w:val="00C32916"/>
    <w:rsid w:val="00C32A26"/>
    <w:rsid w:val="00C32DB7"/>
    <w:rsid w:val="00C32ED7"/>
    <w:rsid w:val="00C333F2"/>
    <w:rsid w:val="00C3392D"/>
    <w:rsid w:val="00C33A70"/>
    <w:rsid w:val="00C33C25"/>
    <w:rsid w:val="00C3405F"/>
    <w:rsid w:val="00C34126"/>
    <w:rsid w:val="00C347C1"/>
    <w:rsid w:val="00C34B26"/>
    <w:rsid w:val="00C35152"/>
    <w:rsid w:val="00C35A0D"/>
    <w:rsid w:val="00C35B69"/>
    <w:rsid w:val="00C35E3F"/>
    <w:rsid w:val="00C360C9"/>
    <w:rsid w:val="00C36186"/>
    <w:rsid w:val="00C36211"/>
    <w:rsid w:val="00C362B7"/>
    <w:rsid w:val="00C367CE"/>
    <w:rsid w:val="00C36D2A"/>
    <w:rsid w:val="00C37240"/>
    <w:rsid w:val="00C3737B"/>
    <w:rsid w:val="00C373F0"/>
    <w:rsid w:val="00C37536"/>
    <w:rsid w:val="00C37547"/>
    <w:rsid w:val="00C3770B"/>
    <w:rsid w:val="00C37897"/>
    <w:rsid w:val="00C3794D"/>
    <w:rsid w:val="00C37954"/>
    <w:rsid w:val="00C37A80"/>
    <w:rsid w:val="00C4006F"/>
    <w:rsid w:val="00C4034E"/>
    <w:rsid w:val="00C403E7"/>
    <w:rsid w:val="00C404D8"/>
    <w:rsid w:val="00C40AC2"/>
    <w:rsid w:val="00C41236"/>
    <w:rsid w:val="00C41303"/>
    <w:rsid w:val="00C414C8"/>
    <w:rsid w:val="00C417A7"/>
    <w:rsid w:val="00C422FB"/>
    <w:rsid w:val="00C42474"/>
    <w:rsid w:val="00C427FB"/>
    <w:rsid w:val="00C42D99"/>
    <w:rsid w:val="00C42F3B"/>
    <w:rsid w:val="00C430CD"/>
    <w:rsid w:val="00C431D3"/>
    <w:rsid w:val="00C43325"/>
    <w:rsid w:val="00C43455"/>
    <w:rsid w:val="00C435D2"/>
    <w:rsid w:val="00C437F9"/>
    <w:rsid w:val="00C438F0"/>
    <w:rsid w:val="00C43A2F"/>
    <w:rsid w:val="00C44261"/>
    <w:rsid w:val="00C443A2"/>
    <w:rsid w:val="00C443B6"/>
    <w:rsid w:val="00C446D9"/>
    <w:rsid w:val="00C44749"/>
    <w:rsid w:val="00C44B1A"/>
    <w:rsid w:val="00C454AF"/>
    <w:rsid w:val="00C45544"/>
    <w:rsid w:val="00C4561C"/>
    <w:rsid w:val="00C456DB"/>
    <w:rsid w:val="00C457C5"/>
    <w:rsid w:val="00C457DF"/>
    <w:rsid w:val="00C45BF3"/>
    <w:rsid w:val="00C464F9"/>
    <w:rsid w:val="00C465FF"/>
    <w:rsid w:val="00C46A7D"/>
    <w:rsid w:val="00C46DCB"/>
    <w:rsid w:val="00C46F40"/>
    <w:rsid w:val="00C46F69"/>
    <w:rsid w:val="00C47091"/>
    <w:rsid w:val="00C474B3"/>
    <w:rsid w:val="00C47735"/>
    <w:rsid w:val="00C47A29"/>
    <w:rsid w:val="00C50367"/>
    <w:rsid w:val="00C5072A"/>
    <w:rsid w:val="00C509C7"/>
    <w:rsid w:val="00C50C84"/>
    <w:rsid w:val="00C51071"/>
    <w:rsid w:val="00C51349"/>
    <w:rsid w:val="00C5139F"/>
    <w:rsid w:val="00C519F6"/>
    <w:rsid w:val="00C51AB5"/>
    <w:rsid w:val="00C52044"/>
    <w:rsid w:val="00C52256"/>
    <w:rsid w:val="00C5236F"/>
    <w:rsid w:val="00C52416"/>
    <w:rsid w:val="00C52519"/>
    <w:rsid w:val="00C52747"/>
    <w:rsid w:val="00C52C3D"/>
    <w:rsid w:val="00C5301C"/>
    <w:rsid w:val="00C533C7"/>
    <w:rsid w:val="00C53521"/>
    <w:rsid w:val="00C5372E"/>
    <w:rsid w:val="00C537F0"/>
    <w:rsid w:val="00C53919"/>
    <w:rsid w:val="00C53A28"/>
    <w:rsid w:val="00C53B0C"/>
    <w:rsid w:val="00C53CBE"/>
    <w:rsid w:val="00C542F9"/>
    <w:rsid w:val="00C543F4"/>
    <w:rsid w:val="00C544CC"/>
    <w:rsid w:val="00C549A6"/>
    <w:rsid w:val="00C54B3D"/>
    <w:rsid w:val="00C54C23"/>
    <w:rsid w:val="00C54D1A"/>
    <w:rsid w:val="00C54EAA"/>
    <w:rsid w:val="00C54EB4"/>
    <w:rsid w:val="00C54FE3"/>
    <w:rsid w:val="00C55044"/>
    <w:rsid w:val="00C55774"/>
    <w:rsid w:val="00C55833"/>
    <w:rsid w:val="00C55943"/>
    <w:rsid w:val="00C55D68"/>
    <w:rsid w:val="00C55E98"/>
    <w:rsid w:val="00C55F59"/>
    <w:rsid w:val="00C5627F"/>
    <w:rsid w:val="00C56C1C"/>
    <w:rsid w:val="00C56C82"/>
    <w:rsid w:val="00C56C93"/>
    <w:rsid w:val="00C56FBA"/>
    <w:rsid w:val="00C57006"/>
    <w:rsid w:val="00C572F5"/>
    <w:rsid w:val="00C57690"/>
    <w:rsid w:val="00C57962"/>
    <w:rsid w:val="00C57A62"/>
    <w:rsid w:val="00C57CB3"/>
    <w:rsid w:val="00C57F99"/>
    <w:rsid w:val="00C60409"/>
    <w:rsid w:val="00C6071B"/>
    <w:rsid w:val="00C607A8"/>
    <w:rsid w:val="00C609D9"/>
    <w:rsid w:val="00C60C2C"/>
    <w:rsid w:val="00C60E12"/>
    <w:rsid w:val="00C610BB"/>
    <w:rsid w:val="00C61555"/>
    <w:rsid w:val="00C61638"/>
    <w:rsid w:val="00C61E89"/>
    <w:rsid w:val="00C620A9"/>
    <w:rsid w:val="00C6274D"/>
    <w:rsid w:val="00C6291C"/>
    <w:rsid w:val="00C62E29"/>
    <w:rsid w:val="00C63225"/>
    <w:rsid w:val="00C6323D"/>
    <w:rsid w:val="00C633CB"/>
    <w:rsid w:val="00C635C0"/>
    <w:rsid w:val="00C63623"/>
    <w:rsid w:val="00C636C1"/>
    <w:rsid w:val="00C63981"/>
    <w:rsid w:val="00C64234"/>
    <w:rsid w:val="00C6427E"/>
    <w:rsid w:val="00C64F15"/>
    <w:rsid w:val="00C64FB7"/>
    <w:rsid w:val="00C65530"/>
    <w:rsid w:val="00C65559"/>
    <w:rsid w:val="00C65D3B"/>
    <w:rsid w:val="00C664CD"/>
    <w:rsid w:val="00C66578"/>
    <w:rsid w:val="00C665C9"/>
    <w:rsid w:val="00C667E2"/>
    <w:rsid w:val="00C66A0E"/>
    <w:rsid w:val="00C66B31"/>
    <w:rsid w:val="00C66C7F"/>
    <w:rsid w:val="00C66EDF"/>
    <w:rsid w:val="00C67A83"/>
    <w:rsid w:val="00C710FE"/>
    <w:rsid w:val="00C711BE"/>
    <w:rsid w:val="00C7134F"/>
    <w:rsid w:val="00C71401"/>
    <w:rsid w:val="00C71786"/>
    <w:rsid w:val="00C71A10"/>
    <w:rsid w:val="00C7220F"/>
    <w:rsid w:val="00C7227A"/>
    <w:rsid w:val="00C728C9"/>
    <w:rsid w:val="00C73162"/>
    <w:rsid w:val="00C736B7"/>
    <w:rsid w:val="00C73D86"/>
    <w:rsid w:val="00C73F62"/>
    <w:rsid w:val="00C7400D"/>
    <w:rsid w:val="00C74188"/>
    <w:rsid w:val="00C7418E"/>
    <w:rsid w:val="00C74405"/>
    <w:rsid w:val="00C745C3"/>
    <w:rsid w:val="00C74916"/>
    <w:rsid w:val="00C74B61"/>
    <w:rsid w:val="00C74BA1"/>
    <w:rsid w:val="00C74F73"/>
    <w:rsid w:val="00C74FDE"/>
    <w:rsid w:val="00C7521F"/>
    <w:rsid w:val="00C755D9"/>
    <w:rsid w:val="00C756CF"/>
    <w:rsid w:val="00C75759"/>
    <w:rsid w:val="00C76582"/>
    <w:rsid w:val="00C767C9"/>
    <w:rsid w:val="00C76CBC"/>
    <w:rsid w:val="00C76D69"/>
    <w:rsid w:val="00C76ED9"/>
    <w:rsid w:val="00C77426"/>
    <w:rsid w:val="00C774A0"/>
    <w:rsid w:val="00C77B39"/>
    <w:rsid w:val="00C77C3F"/>
    <w:rsid w:val="00C800C3"/>
    <w:rsid w:val="00C80716"/>
    <w:rsid w:val="00C807F2"/>
    <w:rsid w:val="00C809B8"/>
    <w:rsid w:val="00C8105B"/>
    <w:rsid w:val="00C813F3"/>
    <w:rsid w:val="00C81875"/>
    <w:rsid w:val="00C81B56"/>
    <w:rsid w:val="00C81B97"/>
    <w:rsid w:val="00C81D4A"/>
    <w:rsid w:val="00C81DC7"/>
    <w:rsid w:val="00C81EEE"/>
    <w:rsid w:val="00C81F6B"/>
    <w:rsid w:val="00C82041"/>
    <w:rsid w:val="00C820A6"/>
    <w:rsid w:val="00C82305"/>
    <w:rsid w:val="00C82586"/>
    <w:rsid w:val="00C82BFF"/>
    <w:rsid w:val="00C82DE4"/>
    <w:rsid w:val="00C82F17"/>
    <w:rsid w:val="00C83000"/>
    <w:rsid w:val="00C831A0"/>
    <w:rsid w:val="00C8338E"/>
    <w:rsid w:val="00C833E0"/>
    <w:rsid w:val="00C83735"/>
    <w:rsid w:val="00C839DE"/>
    <w:rsid w:val="00C83AB1"/>
    <w:rsid w:val="00C83C04"/>
    <w:rsid w:val="00C83E1C"/>
    <w:rsid w:val="00C84BD2"/>
    <w:rsid w:val="00C85031"/>
    <w:rsid w:val="00C852A0"/>
    <w:rsid w:val="00C85A81"/>
    <w:rsid w:val="00C862D4"/>
    <w:rsid w:val="00C8656F"/>
    <w:rsid w:val="00C86675"/>
    <w:rsid w:val="00C866D9"/>
    <w:rsid w:val="00C867DB"/>
    <w:rsid w:val="00C868AD"/>
    <w:rsid w:val="00C8719F"/>
    <w:rsid w:val="00C87568"/>
    <w:rsid w:val="00C8762C"/>
    <w:rsid w:val="00C87995"/>
    <w:rsid w:val="00C87B51"/>
    <w:rsid w:val="00C87C95"/>
    <w:rsid w:val="00C87FFA"/>
    <w:rsid w:val="00C90726"/>
    <w:rsid w:val="00C90862"/>
    <w:rsid w:val="00C90969"/>
    <w:rsid w:val="00C90F1F"/>
    <w:rsid w:val="00C9125A"/>
    <w:rsid w:val="00C9142A"/>
    <w:rsid w:val="00C9152D"/>
    <w:rsid w:val="00C91644"/>
    <w:rsid w:val="00C919B7"/>
    <w:rsid w:val="00C9216A"/>
    <w:rsid w:val="00C92194"/>
    <w:rsid w:val="00C925A3"/>
    <w:rsid w:val="00C92811"/>
    <w:rsid w:val="00C929E9"/>
    <w:rsid w:val="00C92DCE"/>
    <w:rsid w:val="00C93034"/>
    <w:rsid w:val="00C93090"/>
    <w:rsid w:val="00C93367"/>
    <w:rsid w:val="00C933B1"/>
    <w:rsid w:val="00C93A2B"/>
    <w:rsid w:val="00C9409F"/>
    <w:rsid w:val="00C946C3"/>
    <w:rsid w:val="00C94A60"/>
    <w:rsid w:val="00C94ACA"/>
    <w:rsid w:val="00C94B4C"/>
    <w:rsid w:val="00C94D9C"/>
    <w:rsid w:val="00C9513E"/>
    <w:rsid w:val="00C95318"/>
    <w:rsid w:val="00C95484"/>
    <w:rsid w:val="00C95667"/>
    <w:rsid w:val="00C95DCA"/>
    <w:rsid w:val="00C9627C"/>
    <w:rsid w:val="00C964EB"/>
    <w:rsid w:val="00C9663E"/>
    <w:rsid w:val="00C96ACA"/>
    <w:rsid w:val="00C96F3D"/>
    <w:rsid w:val="00C97253"/>
    <w:rsid w:val="00C9757A"/>
    <w:rsid w:val="00C97C70"/>
    <w:rsid w:val="00C97CB3"/>
    <w:rsid w:val="00C97F64"/>
    <w:rsid w:val="00CA00F9"/>
    <w:rsid w:val="00CA043F"/>
    <w:rsid w:val="00CA0698"/>
    <w:rsid w:val="00CA08CB"/>
    <w:rsid w:val="00CA0909"/>
    <w:rsid w:val="00CA0BB7"/>
    <w:rsid w:val="00CA0D57"/>
    <w:rsid w:val="00CA15CF"/>
    <w:rsid w:val="00CA1729"/>
    <w:rsid w:val="00CA19E5"/>
    <w:rsid w:val="00CA1DCB"/>
    <w:rsid w:val="00CA21AB"/>
    <w:rsid w:val="00CA24DA"/>
    <w:rsid w:val="00CA268D"/>
    <w:rsid w:val="00CA26FF"/>
    <w:rsid w:val="00CA2961"/>
    <w:rsid w:val="00CA2AAF"/>
    <w:rsid w:val="00CA2C5A"/>
    <w:rsid w:val="00CA2E78"/>
    <w:rsid w:val="00CA37D2"/>
    <w:rsid w:val="00CA39ED"/>
    <w:rsid w:val="00CA3CDD"/>
    <w:rsid w:val="00CA3DAA"/>
    <w:rsid w:val="00CA44DB"/>
    <w:rsid w:val="00CA4C9B"/>
    <w:rsid w:val="00CA4DA2"/>
    <w:rsid w:val="00CA4EFD"/>
    <w:rsid w:val="00CA51DC"/>
    <w:rsid w:val="00CA54EE"/>
    <w:rsid w:val="00CA5754"/>
    <w:rsid w:val="00CA58D6"/>
    <w:rsid w:val="00CA5AD1"/>
    <w:rsid w:val="00CA5DEF"/>
    <w:rsid w:val="00CA5F08"/>
    <w:rsid w:val="00CA5F71"/>
    <w:rsid w:val="00CA6032"/>
    <w:rsid w:val="00CA64E6"/>
    <w:rsid w:val="00CA65AF"/>
    <w:rsid w:val="00CA6799"/>
    <w:rsid w:val="00CA6B1D"/>
    <w:rsid w:val="00CA706A"/>
    <w:rsid w:val="00CA7380"/>
    <w:rsid w:val="00CA73F9"/>
    <w:rsid w:val="00CA76BA"/>
    <w:rsid w:val="00CA7BEB"/>
    <w:rsid w:val="00CB00CD"/>
    <w:rsid w:val="00CB038B"/>
    <w:rsid w:val="00CB03B4"/>
    <w:rsid w:val="00CB0AC0"/>
    <w:rsid w:val="00CB0C9D"/>
    <w:rsid w:val="00CB0CB5"/>
    <w:rsid w:val="00CB0D4E"/>
    <w:rsid w:val="00CB0DAC"/>
    <w:rsid w:val="00CB1740"/>
    <w:rsid w:val="00CB196B"/>
    <w:rsid w:val="00CB1A55"/>
    <w:rsid w:val="00CB1AD9"/>
    <w:rsid w:val="00CB1CF9"/>
    <w:rsid w:val="00CB20B8"/>
    <w:rsid w:val="00CB23F6"/>
    <w:rsid w:val="00CB2472"/>
    <w:rsid w:val="00CB2569"/>
    <w:rsid w:val="00CB25EB"/>
    <w:rsid w:val="00CB269B"/>
    <w:rsid w:val="00CB272D"/>
    <w:rsid w:val="00CB29E7"/>
    <w:rsid w:val="00CB2EF8"/>
    <w:rsid w:val="00CB3195"/>
    <w:rsid w:val="00CB31BC"/>
    <w:rsid w:val="00CB3229"/>
    <w:rsid w:val="00CB38B9"/>
    <w:rsid w:val="00CB3AFC"/>
    <w:rsid w:val="00CB3D36"/>
    <w:rsid w:val="00CB4111"/>
    <w:rsid w:val="00CB459A"/>
    <w:rsid w:val="00CB4738"/>
    <w:rsid w:val="00CB4AC6"/>
    <w:rsid w:val="00CB4F77"/>
    <w:rsid w:val="00CB50D7"/>
    <w:rsid w:val="00CB51F9"/>
    <w:rsid w:val="00CB52D8"/>
    <w:rsid w:val="00CB54BA"/>
    <w:rsid w:val="00CB59D1"/>
    <w:rsid w:val="00CB5B5D"/>
    <w:rsid w:val="00CB604C"/>
    <w:rsid w:val="00CB6306"/>
    <w:rsid w:val="00CB63E0"/>
    <w:rsid w:val="00CB6E88"/>
    <w:rsid w:val="00CB7177"/>
    <w:rsid w:val="00CB72AB"/>
    <w:rsid w:val="00CB7417"/>
    <w:rsid w:val="00CB7ABB"/>
    <w:rsid w:val="00CB7C2B"/>
    <w:rsid w:val="00CB7CED"/>
    <w:rsid w:val="00CC0568"/>
    <w:rsid w:val="00CC070F"/>
    <w:rsid w:val="00CC0AFA"/>
    <w:rsid w:val="00CC171F"/>
    <w:rsid w:val="00CC17B5"/>
    <w:rsid w:val="00CC1998"/>
    <w:rsid w:val="00CC1A30"/>
    <w:rsid w:val="00CC1AE9"/>
    <w:rsid w:val="00CC1AEB"/>
    <w:rsid w:val="00CC2045"/>
    <w:rsid w:val="00CC20C0"/>
    <w:rsid w:val="00CC2382"/>
    <w:rsid w:val="00CC25E9"/>
    <w:rsid w:val="00CC27C2"/>
    <w:rsid w:val="00CC27E4"/>
    <w:rsid w:val="00CC2B6A"/>
    <w:rsid w:val="00CC2EF6"/>
    <w:rsid w:val="00CC3333"/>
    <w:rsid w:val="00CC3347"/>
    <w:rsid w:val="00CC352F"/>
    <w:rsid w:val="00CC3913"/>
    <w:rsid w:val="00CC3A4E"/>
    <w:rsid w:val="00CC3EC1"/>
    <w:rsid w:val="00CC47BC"/>
    <w:rsid w:val="00CC48B6"/>
    <w:rsid w:val="00CC48E6"/>
    <w:rsid w:val="00CC4946"/>
    <w:rsid w:val="00CC4BBA"/>
    <w:rsid w:val="00CC4CF3"/>
    <w:rsid w:val="00CC5106"/>
    <w:rsid w:val="00CC52E3"/>
    <w:rsid w:val="00CC5A3F"/>
    <w:rsid w:val="00CC5C39"/>
    <w:rsid w:val="00CC64A1"/>
    <w:rsid w:val="00CC64DC"/>
    <w:rsid w:val="00CC6506"/>
    <w:rsid w:val="00CC685C"/>
    <w:rsid w:val="00CC6BD4"/>
    <w:rsid w:val="00CC76FB"/>
    <w:rsid w:val="00CC7E72"/>
    <w:rsid w:val="00CC7E82"/>
    <w:rsid w:val="00CD0323"/>
    <w:rsid w:val="00CD0BD9"/>
    <w:rsid w:val="00CD102C"/>
    <w:rsid w:val="00CD1068"/>
    <w:rsid w:val="00CD1166"/>
    <w:rsid w:val="00CD14D1"/>
    <w:rsid w:val="00CD198E"/>
    <w:rsid w:val="00CD1999"/>
    <w:rsid w:val="00CD1A26"/>
    <w:rsid w:val="00CD1C5F"/>
    <w:rsid w:val="00CD1CE4"/>
    <w:rsid w:val="00CD1D2F"/>
    <w:rsid w:val="00CD2204"/>
    <w:rsid w:val="00CD25AF"/>
    <w:rsid w:val="00CD281C"/>
    <w:rsid w:val="00CD29F5"/>
    <w:rsid w:val="00CD2DAB"/>
    <w:rsid w:val="00CD368A"/>
    <w:rsid w:val="00CD37D3"/>
    <w:rsid w:val="00CD3814"/>
    <w:rsid w:val="00CD3824"/>
    <w:rsid w:val="00CD39CD"/>
    <w:rsid w:val="00CD3AB9"/>
    <w:rsid w:val="00CD3B36"/>
    <w:rsid w:val="00CD3BEC"/>
    <w:rsid w:val="00CD3BFF"/>
    <w:rsid w:val="00CD44DC"/>
    <w:rsid w:val="00CD4C63"/>
    <w:rsid w:val="00CD4DBA"/>
    <w:rsid w:val="00CD4EF1"/>
    <w:rsid w:val="00CD53BF"/>
    <w:rsid w:val="00CD56F6"/>
    <w:rsid w:val="00CD5746"/>
    <w:rsid w:val="00CD5749"/>
    <w:rsid w:val="00CD5A2A"/>
    <w:rsid w:val="00CD5D1F"/>
    <w:rsid w:val="00CD6181"/>
    <w:rsid w:val="00CD6281"/>
    <w:rsid w:val="00CD63EF"/>
    <w:rsid w:val="00CD64E4"/>
    <w:rsid w:val="00CD6564"/>
    <w:rsid w:val="00CD6753"/>
    <w:rsid w:val="00CD6D2F"/>
    <w:rsid w:val="00CD6D9C"/>
    <w:rsid w:val="00CD761F"/>
    <w:rsid w:val="00CD776A"/>
    <w:rsid w:val="00CD7DAC"/>
    <w:rsid w:val="00CE05D9"/>
    <w:rsid w:val="00CE178B"/>
    <w:rsid w:val="00CE1B0D"/>
    <w:rsid w:val="00CE1C69"/>
    <w:rsid w:val="00CE26A8"/>
    <w:rsid w:val="00CE2886"/>
    <w:rsid w:val="00CE2B45"/>
    <w:rsid w:val="00CE30F6"/>
    <w:rsid w:val="00CE3378"/>
    <w:rsid w:val="00CE350B"/>
    <w:rsid w:val="00CE3637"/>
    <w:rsid w:val="00CE38B1"/>
    <w:rsid w:val="00CE3BE5"/>
    <w:rsid w:val="00CE45A6"/>
    <w:rsid w:val="00CE465D"/>
    <w:rsid w:val="00CE48E1"/>
    <w:rsid w:val="00CE4F77"/>
    <w:rsid w:val="00CE5140"/>
    <w:rsid w:val="00CE54ED"/>
    <w:rsid w:val="00CE5B01"/>
    <w:rsid w:val="00CE62B9"/>
    <w:rsid w:val="00CE64AB"/>
    <w:rsid w:val="00CE660D"/>
    <w:rsid w:val="00CE67B0"/>
    <w:rsid w:val="00CE6801"/>
    <w:rsid w:val="00CE6AEA"/>
    <w:rsid w:val="00CE6AF1"/>
    <w:rsid w:val="00CE6D82"/>
    <w:rsid w:val="00CE729C"/>
    <w:rsid w:val="00CE762A"/>
    <w:rsid w:val="00CE7755"/>
    <w:rsid w:val="00CE7AE5"/>
    <w:rsid w:val="00CE7B50"/>
    <w:rsid w:val="00CE7C3F"/>
    <w:rsid w:val="00CE7F42"/>
    <w:rsid w:val="00CF0663"/>
    <w:rsid w:val="00CF07BB"/>
    <w:rsid w:val="00CF0823"/>
    <w:rsid w:val="00CF0941"/>
    <w:rsid w:val="00CF0EB8"/>
    <w:rsid w:val="00CF1194"/>
    <w:rsid w:val="00CF1241"/>
    <w:rsid w:val="00CF16CA"/>
    <w:rsid w:val="00CF1978"/>
    <w:rsid w:val="00CF1A7E"/>
    <w:rsid w:val="00CF29D0"/>
    <w:rsid w:val="00CF2A69"/>
    <w:rsid w:val="00CF2AFE"/>
    <w:rsid w:val="00CF2BF2"/>
    <w:rsid w:val="00CF2DF3"/>
    <w:rsid w:val="00CF3141"/>
    <w:rsid w:val="00CF3689"/>
    <w:rsid w:val="00CF374F"/>
    <w:rsid w:val="00CF3A44"/>
    <w:rsid w:val="00CF3B11"/>
    <w:rsid w:val="00CF427C"/>
    <w:rsid w:val="00CF470F"/>
    <w:rsid w:val="00CF47F6"/>
    <w:rsid w:val="00CF4A38"/>
    <w:rsid w:val="00CF4DA8"/>
    <w:rsid w:val="00CF501C"/>
    <w:rsid w:val="00CF52FA"/>
    <w:rsid w:val="00CF532E"/>
    <w:rsid w:val="00CF5741"/>
    <w:rsid w:val="00CF5748"/>
    <w:rsid w:val="00CF5B58"/>
    <w:rsid w:val="00CF5C40"/>
    <w:rsid w:val="00CF5D8E"/>
    <w:rsid w:val="00CF5FC8"/>
    <w:rsid w:val="00CF624A"/>
    <w:rsid w:val="00CF6A48"/>
    <w:rsid w:val="00CF6A63"/>
    <w:rsid w:val="00CF6A9B"/>
    <w:rsid w:val="00CF6E36"/>
    <w:rsid w:val="00CF6E82"/>
    <w:rsid w:val="00CF76BF"/>
    <w:rsid w:val="00CF7E2A"/>
    <w:rsid w:val="00D00198"/>
    <w:rsid w:val="00D001E0"/>
    <w:rsid w:val="00D004EC"/>
    <w:rsid w:val="00D00CC9"/>
    <w:rsid w:val="00D00E3F"/>
    <w:rsid w:val="00D014D2"/>
    <w:rsid w:val="00D01578"/>
    <w:rsid w:val="00D01D96"/>
    <w:rsid w:val="00D02981"/>
    <w:rsid w:val="00D02BC9"/>
    <w:rsid w:val="00D0329B"/>
    <w:rsid w:val="00D032A8"/>
    <w:rsid w:val="00D0332A"/>
    <w:rsid w:val="00D0340E"/>
    <w:rsid w:val="00D036BD"/>
    <w:rsid w:val="00D0373B"/>
    <w:rsid w:val="00D03AE0"/>
    <w:rsid w:val="00D03C4F"/>
    <w:rsid w:val="00D03E07"/>
    <w:rsid w:val="00D03FA5"/>
    <w:rsid w:val="00D0438A"/>
    <w:rsid w:val="00D04492"/>
    <w:rsid w:val="00D0469D"/>
    <w:rsid w:val="00D048D6"/>
    <w:rsid w:val="00D04C66"/>
    <w:rsid w:val="00D04F62"/>
    <w:rsid w:val="00D0538D"/>
    <w:rsid w:val="00D053B9"/>
    <w:rsid w:val="00D0560E"/>
    <w:rsid w:val="00D05984"/>
    <w:rsid w:val="00D05E54"/>
    <w:rsid w:val="00D05EC2"/>
    <w:rsid w:val="00D062CC"/>
    <w:rsid w:val="00D063FF"/>
    <w:rsid w:val="00D06456"/>
    <w:rsid w:val="00D064A4"/>
    <w:rsid w:val="00D071C1"/>
    <w:rsid w:val="00D073F7"/>
    <w:rsid w:val="00D074C6"/>
    <w:rsid w:val="00D0759A"/>
    <w:rsid w:val="00D07879"/>
    <w:rsid w:val="00D079B2"/>
    <w:rsid w:val="00D07C51"/>
    <w:rsid w:val="00D07E90"/>
    <w:rsid w:val="00D07EB7"/>
    <w:rsid w:val="00D10035"/>
    <w:rsid w:val="00D10562"/>
    <w:rsid w:val="00D1092E"/>
    <w:rsid w:val="00D10AB4"/>
    <w:rsid w:val="00D10CBC"/>
    <w:rsid w:val="00D10D7F"/>
    <w:rsid w:val="00D10F66"/>
    <w:rsid w:val="00D1119D"/>
    <w:rsid w:val="00D11375"/>
    <w:rsid w:val="00D11561"/>
    <w:rsid w:val="00D116DB"/>
    <w:rsid w:val="00D118B6"/>
    <w:rsid w:val="00D11A96"/>
    <w:rsid w:val="00D11D74"/>
    <w:rsid w:val="00D11E61"/>
    <w:rsid w:val="00D120B8"/>
    <w:rsid w:val="00D121BF"/>
    <w:rsid w:val="00D12313"/>
    <w:rsid w:val="00D12EBD"/>
    <w:rsid w:val="00D12F3B"/>
    <w:rsid w:val="00D12F80"/>
    <w:rsid w:val="00D12FD1"/>
    <w:rsid w:val="00D12FE2"/>
    <w:rsid w:val="00D13145"/>
    <w:rsid w:val="00D1323E"/>
    <w:rsid w:val="00D1329A"/>
    <w:rsid w:val="00D13438"/>
    <w:rsid w:val="00D13AE8"/>
    <w:rsid w:val="00D13DE3"/>
    <w:rsid w:val="00D1431B"/>
    <w:rsid w:val="00D14400"/>
    <w:rsid w:val="00D14543"/>
    <w:rsid w:val="00D145DF"/>
    <w:rsid w:val="00D1486E"/>
    <w:rsid w:val="00D14B17"/>
    <w:rsid w:val="00D14D96"/>
    <w:rsid w:val="00D14F96"/>
    <w:rsid w:val="00D15457"/>
    <w:rsid w:val="00D154EB"/>
    <w:rsid w:val="00D1579F"/>
    <w:rsid w:val="00D15F3E"/>
    <w:rsid w:val="00D161AC"/>
    <w:rsid w:val="00D16256"/>
    <w:rsid w:val="00D16327"/>
    <w:rsid w:val="00D16485"/>
    <w:rsid w:val="00D165F6"/>
    <w:rsid w:val="00D16B45"/>
    <w:rsid w:val="00D16E94"/>
    <w:rsid w:val="00D1762B"/>
    <w:rsid w:val="00D17BAA"/>
    <w:rsid w:val="00D20191"/>
    <w:rsid w:val="00D2026A"/>
    <w:rsid w:val="00D2032B"/>
    <w:rsid w:val="00D2044D"/>
    <w:rsid w:val="00D20566"/>
    <w:rsid w:val="00D20DE2"/>
    <w:rsid w:val="00D21812"/>
    <w:rsid w:val="00D21890"/>
    <w:rsid w:val="00D2198B"/>
    <w:rsid w:val="00D21B6E"/>
    <w:rsid w:val="00D21C4D"/>
    <w:rsid w:val="00D21CEE"/>
    <w:rsid w:val="00D220D5"/>
    <w:rsid w:val="00D220ED"/>
    <w:rsid w:val="00D2265D"/>
    <w:rsid w:val="00D22770"/>
    <w:rsid w:val="00D227E6"/>
    <w:rsid w:val="00D247C9"/>
    <w:rsid w:val="00D24C93"/>
    <w:rsid w:val="00D2538C"/>
    <w:rsid w:val="00D253D5"/>
    <w:rsid w:val="00D25542"/>
    <w:rsid w:val="00D259D8"/>
    <w:rsid w:val="00D25B55"/>
    <w:rsid w:val="00D25C0E"/>
    <w:rsid w:val="00D25FC0"/>
    <w:rsid w:val="00D26381"/>
    <w:rsid w:val="00D265D5"/>
    <w:rsid w:val="00D266E7"/>
    <w:rsid w:val="00D26731"/>
    <w:rsid w:val="00D26D35"/>
    <w:rsid w:val="00D26D3F"/>
    <w:rsid w:val="00D26DEE"/>
    <w:rsid w:val="00D26E17"/>
    <w:rsid w:val="00D26E6E"/>
    <w:rsid w:val="00D27087"/>
    <w:rsid w:val="00D270A4"/>
    <w:rsid w:val="00D272BC"/>
    <w:rsid w:val="00D275AD"/>
    <w:rsid w:val="00D275D4"/>
    <w:rsid w:val="00D277B4"/>
    <w:rsid w:val="00D2781B"/>
    <w:rsid w:val="00D27C94"/>
    <w:rsid w:val="00D27F6A"/>
    <w:rsid w:val="00D300C2"/>
    <w:rsid w:val="00D302D3"/>
    <w:rsid w:val="00D307DB"/>
    <w:rsid w:val="00D30D43"/>
    <w:rsid w:val="00D30E9C"/>
    <w:rsid w:val="00D30F19"/>
    <w:rsid w:val="00D30F65"/>
    <w:rsid w:val="00D3110E"/>
    <w:rsid w:val="00D31409"/>
    <w:rsid w:val="00D31736"/>
    <w:rsid w:val="00D31A60"/>
    <w:rsid w:val="00D31A69"/>
    <w:rsid w:val="00D31FE9"/>
    <w:rsid w:val="00D32083"/>
    <w:rsid w:val="00D321A1"/>
    <w:rsid w:val="00D321AE"/>
    <w:rsid w:val="00D32633"/>
    <w:rsid w:val="00D32987"/>
    <w:rsid w:val="00D32B76"/>
    <w:rsid w:val="00D32F06"/>
    <w:rsid w:val="00D332B0"/>
    <w:rsid w:val="00D332B5"/>
    <w:rsid w:val="00D332C7"/>
    <w:rsid w:val="00D334D7"/>
    <w:rsid w:val="00D33681"/>
    <w:rsid w:val="00D338AB"/>
    <w:rsid w:val="00D33F71"/>
    <w:rsid w:val="00D34544"/>
    <w:rsid w:val="00D34750"/>
    <w:rsid w:val="00D34793"/>
    <w:rsid w:val="00D34AE9"/>
    <w:rsid w:val="00D34E1B"/>
    <w:rsid w:val="00D35D48"/>
    <w:rsid w:val="00D35F22"/>
    <w:rsid w:val="00D36CB8"/>
    <w:rsid w:val="00D36E9F"/>
    <w:rsid w:val="00D36EEA"/>
    <w:rsid w:val="00D374ED"/>
    <w:rsid w:val="00D376BA"/>
    <w:rsid w:val="00D37739"/>
    <w:rsid w:val="00D378E3"/>
    <w:rsid w:val="00D37A17"/>
    <w:rsid w:val="00D37A1C"/>
    <w:rsid w:val="00D37A9C"/>
    <w:rsid w:val="00D37AE1"/>
    <w:rsid w:val="00D37FE6"/>
    <w:rsid w:val="00D400DC"/>
    <w:rsid w:val="00D403DC"/>
    <w:rsid w:val="00D4047B"/>
    <w:rsid w:val="00D40666"/>
    <w:rsid w:val="00D4080C"/>
    <w:rsid w:val="00D40B2F"/>
    <w:rsid w:val="00D413D0"/>
    <w:rsid w:val="00D41412"/>
    <w:rsid w:val="00D4159C"/>
    <w:rsid w:val="00D415DB"/>
    <w:rsid w:val="00D4170C"/>
    <w:rsid w:val="00D41AB4"/>
    <w:rsid w:val="00D41D2E"/>
    <w:rsid w:val="00D42095"/>
    <w:rsid w:val="00D42294"/>
    <w:rsid w:val="00D423F2"/>
    <w:rsid w:val="00D424B9"/>
    <w:rsid w:val="00D42500"/>
    <w:rsid w:val="00D42509"/>
    <w:rsid w:val="00D42C3F"/>
    <w:rsid w:val="00D42D66"/>
    <w:rsid w:val="00D42D88"/>
    <w:rsid w:val="00D4311F"/>
    <w:rsid w:val="00D43188"/>
    <w:rsid w:val="00D434A0"/>
    <w:rsid w:val="00D43AD8"/>
    <w:rsid w:val="00D43D22"/>
    <w:rsid w:val="00D43F24"/>
    <w:rsid w:val="00D443D2"/>
    <w:rsid w:val="00D44402"/>
    <w:rsid w:val="00D444EE"/>
    <w:rsid w:val="00D44613"/>
    <w:rsid w:val="00D446C8"/>
    <w:rsid w:val="00D447F4"/>
    <w:rsid w:val="00D448B4"/>
    <w:rsid w:val="00D44973"/>
    <w:rsid w:val="00D44A10"/>
    <w:rsid w:val="00D44C73"/>
    <w:rsid w:val="00D45407"/>
    <w:rsid w:val="00D454A4"/>
    <w:rsid w:val="00D45634"/>
    <w:rsid w:val="00D46880"/>
    <w:rsid w:val="00D46975"/>
    <w:rsid w:val="00D46D9C"/>
    <w:rsid w:val="00D46E7C"/>
    <w:rsid w:val="00D47089"/>
    <w:rsid w:val="00D47256"/>
    <w:rsid w:val="00D4736F"/>
    <w:rsid w:val="00D4775C"/>
    <w:rsid w:val="00D47760"/>
    <w:rsid w:val="00D47ACE"/>
    <w:rsid w:val="00D50311"/>
    <w:rsid w:val="00D5077A"/>
    <w:rsid w:val="00D50836"/>
    <w:rsid w:val="00D5084D"/>
    <w:rsid w:val="00D50BD2"/>
    <w:rsid w:val="00D50C39"/>
    <w:rsid w:val="00D518E5"/>
    <w:rsid w:val="00D5192E"/>
    <w:rsid w:val="00D51C18"/>
    <w:rsid w:val="00D51FD5"/>
    <w:rsid w:val="00D52043"/>
    <w:rsid w:val="00D52400"/>
    <w:rsid w:val="00D5243A"/>
    <w:rsid w:val="00D525AE"/>
    <w:rsid w:val="00D52853"/>
    <w:rsid w:val="00D529DC"/>
    <w:rsid w:val="00D52AB1"/>
    <w:rsid w:val="00D52B73"/>
    <w:rsid w:val="00D52F70"/>
    <w:rsid w:val="00D5329F"/>
    <w:rsid w:val="00D533CA"/>
    <w:rsid w:val="00D53532"/>
    <w:rsid w:val="00D53533"/>
    <w:rsid w:val="00D537CD"/>
    <w:rsid w:val="00D53E35"/>
    <w:rsid w:val="00D53F67"/>
    <w:rsid w:val="00D542CA"/>
    <w:rsid w:val="00D545FE"/>
    <w:rsid w:val="00D54641"/>
    <w:rsid w:val="00D54806"/>
    <w:rsid w:val="00D54A4A"/>
    <w:rsid w:val="00D54F36"/>
    <w:rsid w:val="00D5526D"/>
    <w:rsid w:val="00D5532C"/>
    <w:rsid w:val="00D554D5"/>
    <w:rsid w:val="00D5568A"/>
    <w:rsid w:val="00D55E6B"/>
    <w:rsid w:val="00D55F39"/>
    <w:rsid w:val="00D55F57"/>
    <w:rsid w:val="00D564A9"/>
    <w:rsid w:val="00D564EE"/>
    <w:rsid w:val="00D5674E"/>
    <w:rsid w:val="00D56A7C"/>
    <w:rsid w:val="00D570CB"/>
    <w:rsid w:val="00D57BD3"/>
    <w:rsid w:val="00D57CA2"/>
    <w:rsid w:val="00D57DB3"/>
    <w:rsid w:val="00D57EC0"/>
    <w:rsid w:val="00D60468"/>
    <w:rsid w:val="00D609FC"/>
    <w:rsid w:val="00D60AC3"/>
    <w:rsid w:val="00D60C1F"/>
    <w:rsid w:val="00D60D7E"/>
    <w:rsid w:val="00D60D9C"/>
    <w:rsid w:val="00D60E17"/>
    <w:rsid w:val="00D610F1"/>
    <w:rsid w:val="00D615AC"/>
    <w:rsid w:val="00D61D8A"/>
    <w:rsid w:val="00D61E1B"/>
    <w:rsid w:val="00D62137"/>
    <w:rsid w:val="00D62284"/>
    <w:rsid w:val="00D623BE"/>
    <w:rsid w:val="00D624BA"/>
    <w:rsid w:val="00D6254A"/>
    <w:rsid w:val="00D62ACC"/>
    <w:rsid w:val="00D63208"/>
    <w:rsid w:val="00D634DB"/>
    <w:rsid w:val="00D63B13"/>
    <w:rsid w:val="00D63D73"/>
    <w:rsid w:val="00D63EB8"/>
    <w:rsid w:val="00D63FCE"/>
    <w:rsid w:val="00D64452"/>
    <w:rsid w:val="00D6448F"/>
    <w:rsid w:val="00D64D20"/>
    <w:rsid w:val="00D64DC8"/>
    <w:rsid w:val="00D64F58"/>
    <w:rsid w:val="00D6511F"/>
    <w:rsid w:val="00D657ED"/>
    <w:rsid w:val="00D65AA2"/>
    <w:rsid w:val="00D65BDB"/>
    <w:rsid w:val="00D66280"/>
    <w:rsid w:val="00D665AF"/>
    <w:rsid w:val="00D6664E"/>
    <w:rsid w:val="00D669D6"/>
    <w:rsid w:val="00D669DC"/>
    <w:rsid w:val="00D66AB4"/>
    <w:rsid w:val="00D66C0D"/>
    <w:rsid w:val="00D66E1E"/>
    <w:rsid w:val="00D676CF"/>
    <w:rsid w:val="00D677E0"/>
    <w:rsid w:val="00D705D1"/>
    <w:rsid w:val="00D70696"/>
    <w:rsid w:val="00D70856"/>
    <w:rsid w:val="00D70C73"/>
    <w:rsid w:val="00D71179"/>
    <w:rsid w:val="00D714EF"/>
    <w:rsid w:val="00D7157D"/>
    <w:rsid w:val="00D71582"/>
    <w:rsid w:val="00D71937"/>
    <w:rsid w:val="00D71A1E"/>
    <w:rsid w:val="00D720EB"/>
    <w:rsid w:val="00D7213E"/>
    <w:rsid w:val="00D722D1"/>
    <w:rsid w:val="00D722D6"/>
    <w:rsid w:val="00D7247E"/>
    <w:rsid w:val="00D72666"/>
    <w:rsid w:val="00D72E48"/>
    <w:rsid w:val="00D730B0"/>
    <w:rsid w:val="00D73182"/>
    <w:rsid w:val="00D7323C"/>
    <w:rsid w:val="00D734DD"/>
    <w:rsid w:val="00D7390E"/>
    <w:rsid w:val="00D73D7F"/>
    <w:rsid w:val="00D741B6"/>
    <w:rsid w:val="00D74284"/>
    <w:rsid w:val="00D7446B"/>
    <w:rsid w:val="00D7493C"/>
    <w:rsid w:val="00D74FB6"/>
    <w:rsid w:val="00D751C3"/>
    <w:rsid w:val="00D75722"/>
    <w:rsid w:val="00D75C2D"/>
    <w:rsid w:val="00D75C99"/>
    <w:rsid w:val="00D75CCD"/>
    <w:rsid w:val="00D75E6F"/>
    <w:rsid w:val="00D76692"/>
    <w:rsid w:val="00D766B2"/>
    <w:rsid w:val="00D77362"/>
    <w:rsid w:val="00D7767C"/>
    <w:rsid w:val="00D77EF9"/>
    <w:rsid w:val="00D80019"/>
    <w:rsid w:val="00D801F8"/>
    <w:rsid w:val="00D808E8"/>
    <w:rsid w:val="00D80A9C"/>
    <w:rsid w:val="00D80CF5"/>
    <w:rsid w:val="00D80F96"/>
    <w:rsid w:val="00D8105B"/>
    <w:rsid w:val="00D81621"/>
    <w:rsid w:val="00D819DA"/>
    <w:rsid w:val="00D8208B"/>
    <w:rsid w:val="00D8261A"/>
    <w:rsid w:val="00D82793"/>
    <w:rsid w:val="00D8286E"/>
    <w:rsid w:val="00D82A8A"/>
    <w:rsid w:val="00D82CC8"/>
    <w:rsid w:val="00D82CCE"/>
    <w:rsid w:val="00D82CE6"/>
    <w:rsid w:val="00D82D5F"/>
    <w:rsid w:val="00D834BC"/>
    <w:rsid w:val="00D83884"/>
    <w:rsid w:val="00D839AD"/>
    <w:rsid w:val="00D83A32"/>
    <w:rsid w:val="00D83D96"/>
    <w:rsid w:val="00D842AE"/>
    <w:rsid w:val="00D846A2"/>
    <w:rsid w:val="00D84E49"/>
    <w:rsid w:val="00D85571"/>
    <w:rsid w:val="00D85AF7"/>
    <w:rsid w:val="00D85E4C"/>
    <w:rsid w:val="00D85F96"/>
    <w:rsid w:val="00D860D2"/>
    <w:rsid w:val="00D8624D"/>
    <w:rsid w:val="00D86341"/>
    <w:rsid w:val="00D8659D"/>
    <w:rsid w:val="00D866C3"/>
    <w:rsid w:val="00D8684D"/>
    <w:rsid w:val="00D86A2A"/>
    <w:rsid w:val="00D86AAA"/>
    <w:rsid w:val="00D86AD5"/>
    <w:rsid w:val="00D86FCE"/>
    <w:rsid w:val="00D87181"/>
    <w:rsid w:val="00D876E6"/>
    <w:rsid w:val="00D877AF"/>
    <w:rsid w:val="00D87C7F"/>
    <w:rsid w:val="00D87D26"/>
    <w:rsid w:val="00D902E8"/>
    <w:rsid w:val="00D90749"/>
    <w:rsid w:val="00D909CE"/>
    <w:rsid w:val="00D90B2B"/>
    <w:rsid w:val="00D90B93"/>
    <w:rsid w:val="00D90E2A"/>
    <w:rsid w:val="00D90E9B"/>
    <w:rsid w:val="00D911C7"/>
    <w:rsid w:val="00D91417"/>
    <w:rsid w:val="00D9149C"/>
    <w:rsid w:val="00D91B36"/>
    <w:rsid w:val="00D91C1F"/>
    <w:rsid w:val="00D91FCB"/>
    <w:rsid w:val="00D92030"/>
    <w:rsid w:val="00D92458"/>
    <w:rsid w:val="00D927E9"/>
    <w:rsid w:val="00D92B5B"/>
    <w:rsid w:val="00D92E08"/>
    <w:rsid w:val="00D9304E"/>
    <w:rsid w:val="00D9352E"/>
    <w:rsid w:val="00D93540"/>
    <w:rsid w:val="00D93716"/>
    <w:rsid w:val="00D939FE"/>
    <w:rsid w:val="00D93C8A"/>
    <w:rsid w:val="00D93CE7"/>
    <w:rsid w:val="00D93EE2"/>
    <w:rsid w:val="00D9412A"/>
    <w:rsid w:val="00D94B88"/>
    <w:rsid w:val="00D94DF1"/>
    <w:rsid w:val="00D95447"/>
    <w:rsid w:val="00D95A2E"/>
    <w:rsid w:val="00D95BD5"/>
    <w:rsid w:val="00D95E9A"/>
    <w:rsid w:val="00D9692B"/>
    <w:rsid w:val="00D969FB"/>
    <w:rsid w:val="00D96B31"/>
    <w:rsid w:val="00D96C48"/>
    <w:rsid w:val="00D96D96"/>
    <w:rsid w:val="00D96D99"/>
    <w:rsid w:val="00D9708B"/>
    <w:rsid w:val="00D9710B"/>
    <w:rsid w:val="00D97954"/>
    <w:rsid w:val="00D97D80"/>
    <w:rsid w:val="00DA0229"/>
    <w:rsid w:val="00DA061B"/>
    <w:rsid w:val="00DA0BBF"/>
    <w:rsid w:val="00DA0E33"/>
    <w:rsid w:val="00DA0F1E"/>
    <w:rsid w:val="00DA1410"/>
    <w:rsid w:val="00DA1A8D"/>
    <w:rsid w:val="00DA1AFA"/>
    <w:rsid w:val="00DA20CD"/>
    <w:rsid w:val="00DA25A4"/>
    <w:rsid w:val="00DA262C"/>
    <w:rsid w:val="00DA2E73"/>
    <w:rsid w:val="00DA2E8E"/>
    <w:rsid w:val="00DA2F25"/>
    <w:rsid w:val="00DA3484"/>
    <w:rsid w:val="00DA3506"/>
    <w:rsid w:val="00DA3687"/>
    <w:rsid w:val="00DA3713"/>
    <w:rsid w:val="00DA3733"/>
    <w:rsid w:val="00DA3847"/>
    <w:rsid w:val="00DA3B11"/>
    <w:rsid w:val="00DA4F62"/>
    <w:rsid w:val="00DA5210"/>
    <w:rsid w:val="00DA5758"/>
    <w:rsid w:val="00DA58EA"/>
    <w:rsid w:val="00DA59E5"/>
    <w:rsid w:val="00DA5AF8"/>
    <w:rsid w:val="00DA5BBA"/>
    <w:rsid w:val="00DA5CC4"/>
    <w:rsid w:val="00DA60B3"/>
    <w:rsid w:val="00DA61CD"/>
    <w:rsid w:val="00DA623B"/>
    <w:rsid w:val="00DA6804"/>
    <w:rsid w:val="00DA68B1"/>
    <w:rsid w:val="00DA6A0F"/>
    <w:rsid w:val="00DA6AB5"/>
    <w:rsid w:val="00DA6D7C"/>
    <w:rsid w:val="00DA6ED5"/>
    <w:rsid w:val="00DA75D7"/>
    <w:rsid w:val="00DA7B61"/>
    <w:rsid w:val="00DB0607"/>
    <w:rsid w:val="00DB063B"/>
    <w:rsid w:val="00DB08EA"/>
    <w:rsid w:val="00DB0AF9"/>
    <w:rsid w:val="00DB0CA0"/>
    <w:rsid w:val="00DB117D"/>
    <w:rsid w:val="00DB1255"/>
    <w:rsid w:val="00DB151F"/>
    <w:rsid w:val="00DB15A3"/>
    <w:rsid w:val="00DB1A6D"/>
    <w:rsid w:val="00DB1C4C"/>
    <w:rsid w:val="00DB1CA5"/>
    <w:rsid w:val="00DB21B3"/>
    <w:rsid w:val="00DB225F"/>
    <w:rsid w:val="00DB233D"/>
    <w:rsid w:val="00DB250C"/>
    <w:rsid w:val="00DB26D2"/>
    <w:rsid w:val="00DB27FA"/>
    <w:rsid w:val="00DB293F"/>
    <w:rsid w:val="00DB2E7E"/>
    <w:rsid w:val="00DB3734"/>
    <w:rsid w:val="00DB3940"/>
    <w:rsid w:val="00DB40E8"/>
    <w:rsid w:val="00DB44FC"/>
    <w:rsid w:val="00DB4B84"/>
    <w:rsid w:val="00DB4C66"/>
    <w:rsid w:val="00DB4DA6"/>
    <w:rsid w:val="00DB4EAF"/>
    <w:rsid w:val="00DB501D"/>
    <w:rsid w:val="00DB50CA"/>
    <w:rsid w:val="00DB559E"/>
    <w:rsid w:val="00DB583B"/>
    <w:rsid w:val="00DB5BC1"/>
    <w:rsid w:val="00DB5E55"/>
    <w:rsid w:val="00DB67C9"/>
    <w:rsid w:val="00DB690B"/>
    <w:rsid w:val="00DB6ABC"/>
    <w:rsid w:val="00DB6F45"/>
    <w:rsid w:val="00DB71BB"/>
    <w:rsid w:val="00DB7208"/>
    <w:rsid w:val="00DB73AA"/>
    <w:rsid w:val="00DB7881"/>
    <w:rsid w:val="00DB7D6C"/>
    <w:rsid w:val="00DB7E30"/>
    <w:rsid w:val="00DB7EE8"/>
    <w:rsid w:val="00DC009E"/>
    <w:rsid w:val="00DC087B"/>
    <w:rsid w:val="00DC087D"/>
    <w:rsid w:val="00DC08BD"/>
    <w:rsid w:val="00DC0A66"/>
    <w:rsid w:val="00DC0C95"/>
    <w:rsid w:val="00DC0C9B"/>
    <w:rsid w:val="00DC102B"/>
    <w:rsid w:val="00DC16C4"/>
    <w:rsid w:val="00DC183C"/>
    <w:rsid w:val="00DC1BBF"/>
    <w:rsid w:val="00DC1DBD"/>
    <w:rsid w:val="00DC1F7E"/>
    <w:rsid w:val="00DC2457"/>
    <w:rsid w:val="00DC259A"/>
    <w:rsid w:val="00DC26D5"/>
    <w:rsid w:val="00DC2732"/>
    <w:rsid w:val="00DC2D85"/>
    <w:rsid w:val="00DC2E68"/>
    <w:rsid w:val="00DC3A9D"/>
    <w:rsid w:val="00DC3F4C"/>
    <w:rsid w:val="00DC3FBE"/>
    <w:rsid w:val="00DC49F0"/>
    <w:rsid w:val="00DC4F0B"/>
    <w:rsid w:val="00DC5491"/>
    <w:rsid w:val="00DC5694"/>
    <w:rsid w:val="00DC57A1"/>
    <w:rsid w:val="00DC58CC"/>
    <w:rsid w:val="00DC6138"/>
    <w:rsid w:val="00DC62B7"/>
    <w:rsid w:val="00DC6371"/>
    <w:rsid w:val="00DC63EF"/>
    <w:rsid w:val="00DC65FA"/>
    <w:rsid w:val="00DC6621"/>
    <w:rsid w:val="00DC6922"/>
    <w:rsid w:val="00DC6A62"/>
    <w:rsid w:val="00DC6A92"/>
    <w:rsid w:val="00DC6BA9"/>
    <w:rsid w:val="00DC6C77"/>
    <w:rsid w:val="00DC781C"/>
    <w:rsid w:val="00DC7CDF"/>
    <w:rsid w:val="00DC7CF5"/>
    <w:rsid w:val="00DC7E46"/>
    <w:rsid w:val="00DD02EC"/>
    <w:rsid w:val="00DD0655"/>
    <w:rsid w:val="00DD089F"/>
    <w:rsid w:val="00DD0E0B"/>
    <w:rsid w:val="00DD105B"/>
    <w:rsid w:val="00DD197E"/>
    <w:rsid w:val="00DD1B39"/>
    <w:rsid w:val="00DD223C"/>
    <w:rsid w:val="00DD226C"/>
    <w:rsid w:val="00DD2291"/>
    <w:rsid w:val="00DD2528"/>
    <w:rsid w:val="00DD2E28"/>
    <w:rsid w:val="00DD30D7"/>
    <w:rsid w:val="00DD3128"/>
    <w:rsid w:val="00DD38AA"/>
    <w:rsid w:val="00DD3C9E"/>
    <w:rsid w:val="00DD3D19"/>
    <w:rsid w:val="00DD4023"/>
    <w:rsid w:val="00DD4072"/>
    <w:rsid w:val="00DD407D"/>
    <w:rsid w:val="00DD4261"/>
    <w:rsid w:val="00DD481F"/>
    <w:rsid w:val="00DD4927"/>
    <w:rsid w:val="00DD4A2F"/>
    <w:rsid w:val="00DD4C5A"/>
    <w:rsid w:val="00DD4C5D"/>
    <w:rsid w:val="00DD4EF1"/>
    <w:rsid w:val="00DD4FC7"/>
    <w:rsid w:val="00DD5051"/>
    <w:rsid w:val="00DD5101"/>
    <w:rsid w:val="00DD54E4"/>
    <w:rsid w:val="00DD56AA"/>
    <w:rsid w:val="00DD5BE5"/>
    <w:rsid w:val="00DD6434"/>
    <w:rsid w:val="00DD6580"/>
    <w:rsid w:val="00DD65B1"/>
    <w:rsid w:val="00DD6749"/>
    <w:rsid w:val="00DD6FA1"/>
    <w:rsid w:val="00DD7B2B"/>
    <w:rsid w:val="00DD7B87"/>
    <w:rsid w:val="00DD7E02"/>
    <w:rsid w:val="00DD7FD4"/>
    <w:rsid w:val="00DE0306"/>
    <w:rsid w:val="00DE0408"/>
    <w:rsid w:val="00DE0988"/>
    <w:rsid w:val="00DE13B9"/>
    <w:rsid w:val="00DE177A"/>
    <w:rsid w:val="00DE1A06"/>
    <w:rsid w:val="00DE1BB5"/>
    <w:rsid w:val="00DE253E"/>
    <w:rsid w:val="00DE255B"/>
    <w:rsid w:val="00DE263A"/>
    <w:rsid w:val="00DE2DC3"/>
    <w:rsid w:val="00DE30B1"/>
    <w:rsid w:val="00DE31B4"/>
    <w:rsid w:val="00DE3A96"/>
    <w:rsid w:val="00DE3DDF"/>
    <w:rsid w:val="00DE3E29"/>
    <w:rsid w:val="00DE409E"/>
    <w:rsid w:val="00DE416F"/>
    <w:rsid w:val="00DE49A0"/>
    <w:rsid w:val="00DE4EA5"/>
    <w:rsid w:val="00DE5107"/>
    <w:rsid w:val="00DE5591"/>
    <w:rsid w:val="00DE7379"/>
    <w:rsid w:val="00DE790F"/>
    <w:rsid w:val="00DF030E"/>
    <w:rsid w:val="00DF0422"/>
    <w:rsid w:val="00DF0628"/>
    <w:rsid w:val="00DF0CB2"/>
    <w:rsid w:val="00DF0DC6"/>
    <w:rsid w:val="00DF101D"/>
    <w:rsid w:val="00DF1994"/>
    <w:rsid w:val="00DF1B04"/>
    <w:rsid w:val="00DF1D03"/>
    <w:rsid w:val="00DF1E8A"/>
    <w:rsid w:val="00DF1EC5"/>
    <w:rsid w:val="00DF1ECB"/>
    <w:rsid w:val="00DF20AF"/>
    <w:rsid w:val="00DF2726"/>
    <w:rsid w:val="00DF2894"/>
    <w:rsid w:val="00DF2967"/>
    <w:rsid w:val="00DF2DC0"/>
    <w:rsid w:val="00DF2E03"/>
    <w:rsid w:val="00DF31F5"/>
    <w:rsid w:val="00DF325E"/>
    <w:rsid w:val="00DF3757"/>
    <w:rsid w:val="00DF3C52"/>
    <w:rsid w:val="00DF3E8C"/>
    <w:rsid w:val="00DF4CB0"/>
    <w:rsid w:val="00DF5815"/>
    <w:rsid w:val="00DF594E"/>
    <w:rsid w:val="00DF60D1"/>
    <w:rsid w:val="00DF6250"/>
    <w:rsid w:val="00DF6611"/>
    <w:rsid w:val="00DF663F"/>
    <w:rsid w:val="00DF699D"/>
    <w:rsid w:val="00DF6F71"/>
    <w:rsid w:val="00DF74E9"/>
    <w:rsid w:val="00DF7511"/>
    <w:rsid w:val="00DF7893"/>
    <w:rsid w:val="00DF78D4"/>
    <w:rsid w:val="00E00051"/>
    <w:rsid w:val="00E0017E"/>
    <w:rsid w:val="00E002D8"/>
    <w:rsid w:val="00E002FD"/>
    <w:rsid w:val="00E003D2"/>
    <w:rsid w:val="00E00412"/>
    <w:rsid w:val="00E0055C"/>
    <w:rsid w:val="00E006A1"/>
    <w:rsid w:val="00E006DC"/>
    <w:rsid w:val="00E009C5"/>
    <w:rsid w:val="00E009C9"/>
    <w:rsid w:val="00E00A79"/>
    <w:rsid w:val="00E01220"/>
    <w:rsid w:val="00E01223"/>
    <w:rsid w:val="00E016A6"/>
    <w:rsid w:val="00E016D4"/>
    <w:rsid w:val="00E0174E"/>
    <w:rsid w:val="00E017C4"/>
    <w:rsid w:val="00E017D3"/>
    <w:rsid w:val="00E01CC1"/>
    <w:rsid w:val="00E01D7F"/>
    <w:rsid w:val="00E02243"/>
    <w:rsid w:val="00E02AC2"/>
    <w:rsid w:val="00E02B0F"/>
    <w:rsid w:val="00E02B24"/>
    <w:rsid w:val="00E03097"/>
    <w:rsid w:val="00E03392"/>
    <w:rsid w:val="00E03588"/>
    <w:rsid w:val="00E03935"/>
    <w:rsid w:val="00E03EEC"/>
    <w:rsid w:val="00E0404B"/>
    <w:rsid w:val="00E040B6"/>
    <w:rsid w:val="00E0420C"/>
    <w:rsid w:val="00E0511D"/>
    <w:rsid w:val="00E0537D"/>
    <w:rsid w:val="00E05AB5"/>
    <w:rsid w:val="00E05C03"/>
    <w:rsid w:val="00E060F7"/>
    <w:rsid w:val="00E06239"/>
    <w:rsid w:val="00E067DA"/>
    <w:rsid w:val="00E068C7"/>
    <w:rsid w:val="00E07505"/>
    <w:rsid w:val="00E07612"/>
    <w:rsid w:val="00E077FC"/>
    <w:rsid w:val="00E078EF"/>
    <w:rsid w:val="00E07B25"/>
    <w:rsid w:val="00E07E75"/>
    <w:rsid w:val="00E1012C"/>
    <w:rsid w:val="00E101B0"/>
    <w:rsid w:val="00E10AA8"/>
    <w:rsid w:val="00E10BB9"/>
    <w:rsid w:val="00E110A1"/>
    <w:rsid w:val="00E110FA"/>
    <w:rsid w:val="00E121D0"/>
    <w:rsid w:val="00E121D2"/>
    <w:rsid w:val="00E12381"/>
    <w:rsid w:val="00E12840"/>
    <w:rsid w:val="00E128B4"/>
    <w:rsid w:val="00E12C77"/>
    <w:rsid w:val="00E12CA1"/>
    <w:rsid w:val="00E12F1E"/>
    <w:rsid w:val="00E13374"/>
    <w:rsid w:val="00E135DE"/>
    <w:rsid w:val="00E135FC"/>
    <w:rsid w:val="00E13F63"/>
    <w:rsid w:val="00E13F7B"/>
    <w:rsid w:val="00E14207"/>
    <w:rsid w:val="00E14249"/>
    <w:rsid w:val="00E14542"/>
    <w:rsid w:val="00E145E2"/>
    <w:rsid w:val="00E14B12"/>
    <w:rsid w:val="00E14C4D"/>
    <w:rsid w:val="00E14D33"/>
    <w:rsid w:val="00E151CB"/>
    <w:rsid w:val="00E151E6"/>
    <w:rsid w:val="00E1536C"/>
    <w:rsid w:val="00E155B9"/>
    <w:rsid w:val="00E15885"/>
    <w:rsid w:val="00E15B43"/>
    <w:rsid w:val="00E15BD8"/>
    <w:rsid w:val="00E160C3"/>
    <w:rsid w:val="00E16234"/>
    <w:rsid w:val="00E16519"/>
    <w:rsid w:val="00E1664E"/>
    <w:rsid w:val="00E16F83"/>
    <w:rsid w:val="00E177BA"/>
    <w:rsid w:val="00E17C72"/>
    <w:rsid w:val="00E17E28"/>
    <w:rsid w:val="00E17FA4"/>
    <w:rsid w:val="00E203BA"/>
    <w:rsid w:val="00E20569"/>
    <w:rsid w:val="00E207B3"/>
    <w:rsid w:val="00E20830"/>
    <w:rsid w:val="00E20C95"/>
    <w:rsid w:val="00E212BC"/>
    <w:rsid w:val="00E21349"/>
    <w:rsid w:val="00E21A27"/>
    <w:rsid w:val="00E21F21"/>
    <w:rsid w:val="00E21FC6"/>
    <w:rsid w:val="00E220CD"/>
    <w:rsid w:val="00E22298"/>
    <w:rsid w:val="00E222F8"/>
    <w:rsid w:val="00E228C5"/>
    <w:rsid w:val="00E22DC9"/>
    <w:rsid w:val="00E23043"/>
    <w:rsid w:val="00E2380E"/>
    <w:rsid w:val="00E23BD9"/>
    <w:rsid w:val="00E23D5D"/>
    <w:rsid w:val="00E23DB4"/>
    <w:rsid w:val="00E23DFE"/>
    <w:rsid w:val="00E23E6A"/>
    <w:rsid w:val="00E23FB8"/>
    <w:rsid w:val="00E23FCC"/>
    <w:rsid w:val="00E24247"/>
    <w:rsid w:val="00E24369"/>
    <w:rsid w:val="00E244D0"/>
    <w:rsid w:val="00E2480F"/>
    <w:rsid w:val="00E24B5A"/>
    <w:rsid w:val="00E24C41"/>
    <w:rsid w:val="00E24C7A"/>
    <w:rsid w:val="00E24CC2"/>
    <w:rsid w:val="00E24F04"/>
    <w:rsid w:val="00E250D5"/>
    <w:rsid w:val="00E251F9"/>
    <w:rsid w:val="00E2565B"/>
    <w:rsid w:val="00E25700"/>
    <w:rsid w:val="00E25E64"/>
    <w:rsid w:val="00E26B70"/>
    <w:rsid w:val="00E26DBD"/>
    <w:rsid w:val="00E26E3B"/>
    <w:rsid w:val="00E26E53"/>
    <w:rsid w:val="00E270C9"/>
    <w:rsid w:val="00E27462"/>
    <w:rsid w:val="00E27571"/>
    <w:rsid w:val="00E2785F"/>
    <w:rsid w:val="00E2787E"/>
    <w:rsid w:val="00E27B54"/>
    <w:rsid w:val="00E27FF1"/>
    <w:rsid w:val="00E30161"/>
    <w:rsid w:val="00E30865"/>
    <w:rsid w:val="00E3104E"/>
    <w:rsid w:val="00E313C7"/>
    <w:rsid w:val="00E315DE"/>
    <w:rsid w:val="00E317EA"/>
    <w:rsid w:val="00E31D55"/>
    <w:rsid w:val="00E31D6F"/>
    <w:rsid w:val="00E32DD4"/>
    <w:rsid w:val="00E32FD4"/>
    <w:rsid w:val="00E33BF4"/>
    <w:rsid w:val="00E33C06"/>
    <w:rsid w:val="00E33FAC"/>
    <w:rsid w:val="00E34477"/>
    <w:rsid w:val="00E34577"/>
    <w:rsid w:val="00E345ED"/>
    <w:rsid w:val="00E3463E"/>
    <w:rsid w:val="00E34C65"/>
    <w:rsid w:val="00E34D28"/>
    <w:rsid w:val="00E34DBB"/>
    <w:rsid w:val="00E34E0A"/>
    <w:rsid w:val="00E35000"/>
    <w:rsid w:val="00E355C8"/>
    <w:rsid w:val="00E35689"/>
    <w:rsid w:val="00E35696"/>
    <w:rsid w:val="00E35795"/>
    <w:rsid w:val="00E35AAA"/>
    <w:rsid w:val="00E35BA8"/>
    <w:rsid w:val="00E36026"/>
    <w:rsid w:val="00E36051"/>
    <w:rsid w:val="00E362BD"/>
    <w:rsid w:val="00E364C3"/>
    <w:rsid w:val="00E36AB2"/>
    <w:rsid w:val="00E370FA"/>
    <w:rsid w:val="00E37159"/>
    <w:rsid w:val="00E37544"/>
    <w:rsid w:val="00E376C9"/>
    <w:rsid w:val="00E376E3"/>
    <w:rsid w:val="00E37963"/>
    <w:rsid w:val="00E379A1"/>
    <w:rsid w:val="00E37C7B"/>
    <w:rsid w:val="00E37CB5"/>
    <w:rsid w:val="00E37D65"/>
    <w:rsid w:val="00E40092"/>
    <w:rsid w:val="00E41AD4"/>
    <w:rsid w:val="00E41F03"/>
    <w:rsid w:val="00E41FDC"/>
    <w:rsid w:val="00E42735"/>
    <w:rsid w:val="00E4287B"/>
    <w:rsid w:val="00E4288D"/>
    <w:rsid w:val="00E42B53"/>
    <w:rsid w:val="00E431A9"/>
    <w:rsid w:val="00E43367"/>
    <w:rsid w:val="00E438D6"/>
    <w:rsid w:val="00E439C7"/>
    <w:rsid w:val="00E43AEE"/>
    <w:rsid w:val="00E43C62"/>
    <w:rsid w:val="00E43E85"/>
    <w:rsid w:val="00E4464A"/>
    <w:rsid w:val="00E447BA"/>
    <w:rsid w:val="00E4495A"/>
    <w:rsid w:val="00E44F3A"/>
    <w:rsid w:val="00E45028"/>
    <w:rsid w:val="00E452DF"/>
    <w:rsid w:val="00E453F3"/>
    <w:rsid w:val="00E459C5"/>
    <w:rsid w:val="00E45E41"/>
    <w:rsid w:val="00E45E63"/>
    <w:rsid w:val="00E46610"/>
    <w:rsid w:val="00E46B0D"/>
    <w:rsid w:val="00E46B8D"/>
    <w:rsid w:val="00E46E69"/>
    <w:rsid w:val="00E47029"/>
    <w:rsid w:val="00E4737A"/>
    <w:rsid w:val="00E47561"/>
    <w:rsid w:val="00E47898"/>
    <w:rsid w:val="00E47A7A"/>
    <w:rsid w:val="00E47C5E"/>
    <w:rsid w:val="00E47E1E"/>
    <w:rsid w:val="00E47FA7"/>
    <w:rsid w:val="00E504CC"/>
    <w:rsid w:val="00E5068D"/>
    <w:rsid w:val="00E50C07"/>
    <w:rsid w:val="00E50E4F"/>
    <w:rsid w:val="00E50FB2"/>
    <w:rsid w:val="00E51281"/>
    <w:rsid w:val="00E51656"/>
    <w:rsid w:val="00E51A6B"/>
    <w:rsid w:val="00E51EB0"/>
    <w:rsid w:val="00E52189"/>
    <w:rsid w:val="00E522FF"/>
    <w:rsid w:val="00E523F2"/>
    <w:rsid w:val="00E52627"/>
    <w:rsid w:val="00E528FE"/>
    <w:rsid w:val="00E52A1B"/>
    <w:rsid w:val="00E53078"/>
    <w:rsid w:val="00E5316D"/>
    <w:rsid w:val="00E53296"/>
    <w:rsid w:val="00E535F9"/>
    <w:rsid w:val="00E5386B"/>
    <w:rsid w:val="00E53AC4"/>
    <w:rsid w:val="00E53ED2"/>
    <w:rsid w:val="00E53FB7"/>
    <w:rsid w:val="00E54254"/>
    <w:rsid w:val="00E542BD"/>
    <w:rsid w:val="00E5441C"/>
    <w:rsid w:val="00E545B0"/>
    <w:rsid w:val="00E546BB"/>
    <w:rsid w:val="00E548EF"/>
    <w:rsid w:val="00E54F9A"/>
    <w:rsid w:val="00E5511C"/>
    <w:rsid w:val="00E55283"/>
    <w:rsid w:val="00E55EED"/>
    <w:rsid w:val="00E563BC"/>
    <w:rsid w:val="00E5663B"/>
    <w:rsid w:val="00E56855"/>
    <w:rsid w:val="00E56A6B"/>
    <w:rsid w:val="00E56AB7"/>
    <w:rsid w:val="00E56C37"/>
    <w:rsid w:val="00E56DE0"/>
    <w:rsid w:val="00E5755D"/>
    <w:rsid w:val="00E577F1"/>
    <w:rsid w:val="00E57F66"/>
    <w:rsid w:val="00E603A3"/>
    <w:rsid w:val="00E60732"/>
    <w:rsid w:val="00E615B6"/>
    <w:rsid w:val="00E6179F"/>
    <w:rsid w:val="00E61BAF"/>
    <w:rsid w:val="00E61ED4"/>
    <w:rsid w:val="00E61F3F"/>
    <w:rsid w:val="00E6254C"/>
    <w:rsid w:val="00E625E6"/>
    <w:rsid w:val="00E62ECC"/>
    <w:rsid w:val="00E63031"/>
    <w:rsid w:val="00E63178"/>
    <w:rsid w:val="00E6318C"/>
    <w:rsid w:val="00E633CA"/>
    <w:rsid w:val="00E63574"/>
    <w:rsid w:val="00E63807"/>
    <w:rsid w:val="00E6390F"/>
    <w:rsid w:val="00E63B9D"/>
    <w:rsid w:val="00E64573"/>
    <w:rsid w:val="00E6482A"/>
    <w:rsid w:val="00E6494B"/>
    <w:rsid w:val="00E64B83"/>
    <w:rsid w:val="00E64CE9"/>
    <w:rsid w:val="00E64FC7"/>
    <w:rsid w:val="00E6506C"/>
    <w:rsid w:val="00E653D0"/>
    <w:rsid w:val="00E653FB"/>
    <w:rsid w:val="00E65470"/>
    <w:rsid w:val="00E654A5"/>
    <w:rsid w:val="00E65763"/>
    <w:rsid w:val="00E6591B"/>
    <w:rsid w:val="00E65AD7"/>
    <w:rsid w:val="00E65F02"/>
    <w:rsid w:val="00E663DF"/>
    <w:rsid w:val="00E66817"/>
    <w:rsid w:val="00E66950"/>
    <w:rsid w:val="00E669CA"/>
    <w:rsid w:val="00E669E2"/>
    <w:rsid w:val="00E669F4"/>
    <w:rsid w:val="00E66AC3"/>
    <w:rsid w:val="00E66B3E"/>
    <w:rsid w:val="00E66B5B"/>
    <w:rsid w:val="00E671F8"/>
    <w:rsid w:val="00E67466"/>
    <w:rsid w:val="00E674CE"/>
    <w:rsid w:val="00E67ACC"/>
    <w:rsid w:val="00E67F4E"/>
    <w:rsid w:val="00E70145"/>
    <w:rsid w:val="00E702CC"/>
    <w:rsid w:val="00E70425"/>
    <w:rsid w:val="00E70433"/>
    <w:rsid w:val="00E70756"/>
    <w:rsid w:val="00E70D9B"/>
    <w:rsid w:val="00E7169B"/>
    <w:rsid w:val="00E7172F"/>
    <w:rsid w:val="00E7191D"/>
    <w:rsid w:val="00E719CE"/>
    <w:rsid w:val="00E71A4F"/>
    <w:rsid w:val="00E72173"/>
    <w:rsid w:val="00E721A6"/>
    <w:rsid w:val="00E72231"/>
    <w:rsid w:val="00E72271"/>
    <w:rsid w:val="00E72521"/>
    <w:rsid w:val="00E725D1"/>
    <w:rsid w:val="00E72871"/>
    <w:rsid w:val="00E72A4E"/>
    <w:rsid w:val="00E72E26"/>
    <w:rsid w:val="00E72E6D"/>
    <w:rsid w:val="00E72F24"/>
    <w:rsid w:val="00E730B6"/>
    <w:rsid w:val="00E731A5"/>
    <w:rsid w:val="00E7324F"/>
    <w:rsid w:val="00E735B1"/>
    <w:rsid w:val="00E73DA8"/>
    <w:rsid w:val="00E743E9"/>
    <w:rsid w:val="00E74859"/>
    <w:rsid w:val="00E74A1E"/>
    <w:rsid w:val="00E74AB2"/>
    <w:rsid w:val="00E756F0"/>
    <w:rsid w:val="00E75778"/>
    <w:rsid w:val="00E75E45"/>
    <w:rsid w:val="00E760F6"/>
    <w:rsid w:val="00E76135"/>
    <w:rsid w:val="00E761FB"/>
    <w:rsid w:val="00E763B9"/>
    <w:rsid w:val="00E77800"/>
    <w:rsid w:val="00E77803"/>
    <w:rsid w:val="00E80182"/>
    <w:rsid w:val="00E80467"/>
    <w:rsid w:val="00E80487"/>
    <w:rsid w:val="00E80866"/>
    <w:rsid w:val="00E80A84"/>
    <w:rsid w:val="00E80C8B"/>
    <w:rsid w:val="00E811EF"/>
    <w:rsid w:val="00E812C8"/>
    <w:rsid w:val="00E81655"/>
    <w:rsid w:val="00E81B12"/>
    <w:rsid w:val="00E81D38"/>
    <w:rsid w:val="00E82397"/>
    <w:rsid w:val="00E82728"/>
    <w:rsid w:val="00E828C2"/>
    <w:rsid w:val="00E82CE4"/>
    <w:rsid w:val="00E82F4F"/>
    <w:rsid w:val="00E830EC"/>
    <w:rsid w:val="00E8316C"/>
    <w:rsid w:val="00E8384E"/>
    <w:rsid w:val="00E83D97"/>
    <w:rsid w:val="00E83E5E"/>
    <w:rsid w:val="00E841B5"/>
    <w:rsid w:val="00E84265"/>
    <w:rsid w:val="00E8475D"/>
    <w:rsid w:val="00E84EFC"/>
    <w:rsid w:val="00E85174"/>
    <w:rsid w:val="00E854E8"/>
    <w:rsid w:val="00E85714"/>
    <w:rsid w:val="00E859B0"/>
    <w:rsid w:val="00E859C1"/>
    <w:rsid w:val="00E85FD4"/>
    <w:rsid w:val="00E86129"/>
    <w:rsid w:val="00E862C3"/>
    <w:rsid w:val="00E86359"/>
    <w:rsid w:val="00E863DC"/>
    <w:rsid w:val="00E864DF"/>
    <w:rsid w:val="00E86622"/>
    <w:rsid w:val="00E86ADE"/>
    <w:rsid w:val="00E86B94"/>
    <w:rsid w:val="00E87107"/>
    <w:rsid w:val="00E8712C"/>
    <w:rsid w:val="00E87420"/>
    <w:rsid w:val="00E87671"/>
    <w:rsid w:val="00E878E5"/>
    <w:rsid w:val="00E878FE"/>
    <w:rsid w:val="00E87C95"/>
    <w:rsid w:val="00E87CC2"/>
    <w:rsid w:val="00E87F35"/>
    <w:rsid w:val="00E90090"/>
    <w:rsid w:val="00E9040B"/>
    <w:rsid w:val="00E90797"/>
    <w:rsid w:val="00E90A74"/>
    <w:rsid w:val="00E913D5"/>
    <w:rsid w:val="00E9155C"/>
    <w:rsid w:val="00E91FCE"/>
    <w:rsid w:val="00E923CE"/>
    <w:rsid w:val="00E927FC"/>
    <w:rsid w:val="00E92AD1"/>
    <w:rsid w:val="00E92BB3"/>
    <w:rsid w:val="00E92C56"/>
    <w:rsid w:val="00E92D06"/>
    <w:rsid w:val="00E92D1A"/>
    <w:rsid w:val="00E9336A"/>
    <w:rsid w:val="00E933D4"/>
    <w:rsid w:val="00E93FFE"/>
    <w:rsid w:val="00E94010"/>
    <w:rsid w:val="00E944A7"/>
    <w:rsid w:val="00E958C1"/>
    <w:rsid w:val="00E958EC"/>
    <w:rsid w:val="00E959CB"/>
    <w:rsid w:val="00E95B74"/>
    <w:rsid w:val="00E95D9C"/>
    <w:rsid w:val="00E95F7C"/>
    <w:rsid w:val="00E95FEE"/>
    <w:rsid w:val="00E960F8"/>
    <w:rsid w:val="00E960FC"/>
    <w:rsid w:val="00E961DC"/>
    <w:rsid w:val="00E9627F"/>
    <w:rsid w:val="00E967D4"/>
    <w:rsid w:val="00E973FE"/>
    <w:rsid w:val="00E977DD"/>
    <w:rsid w:val="00E978A0"/>
    <w:rsid w:val="00E97AE3"/>
    <w:rsid w:val="00EA0994"/>
    <w:rsid w:val="00EA0C77"/>
    <w:rsid w:val="00EA0CDA"/>
    <w:rsid w:val="00EA0ED3"/>
    <w:rsid w:val="00EA0EF7"/>
    <w:rsid w:val="00EA119D"/>
    <w:rsid w:val="00EA192D"/>
    <w:rsid w:val="00EA19E5"/>
    <w:rsid w:val="00EA1C15"/>
    <w:rsid w:val="00EA21D9"/>
    <w:rsid w:val="00EA2702"/>
    <w:rsid w:val="00EA29C0"/>
    <w:rsid w:val="00EA2A34"/>
    <w:rsid w:val="00EA2B4A"/>
    <w:rsid w:val="00EA2B9E"/>
    <w:rsid w:val="00EA2DCD"/>
    <w:rsid w:val="00EA30AE"/>
    <w:rsid w:val="00EA382C"/>
    <w:rsid w:val="00EA38E0"/>
    <w:rsid w:val="00EA3BB2"/>
    <w:rsid w:val="00EA3BBD"/>
    <w:rsid w:val="00EA3BF4"/>
    <w:rsid w:val="00EA3DBE"/>
    <w:rsid w:val="00EA3E68"/>
    <w:rsid w:val="00EA4115"/>
    <w:rsid w:val="00EA413F"/>
    <w:rsid w:val="00EA44FD"/>
    <w:rsid w:val="00EA498A"/>
    <w:rsid w:val="00EA4D4E"/>
    <w:rsid w:val="00EA4EA6"/>
    <w:rsid w:val="00EA5251"/>
    <w:rsid w:val="00EA52E4"/>
    <w:rsid w:val="00EA53A8"/>
    <w:rsid w:val="00EA5884"/>
    <w:rsid w:val="00EA58CB"/>
    <w:rsid w:val="00EA5BC9"/>
    <w:rsid w:val="00EA5BE2"/>
    <w:rsid w:val="00EA5C0E"/>
    <w:rsid w:val="00EA5E2B"/>
    <w:rsid w:val="00EA60C5"/>
    <w:rsid w:val="00EA61D8"/>
    <w:rsid w:val="00EA67C5"/>
    <w:rsid w:val="00EA690C"/>
    <w:rsid w:val="00EA6A6E"/>
    <w:rsid w:val="00EA6AB9"/>
    <w:rsid w:val="00EA6E84"/>
    <w:rsid w:val="00EA6ED0"/>
    <w:rsid w:val="00EA6F04"/>
    <w:rsid w:val="00EA6FAA"/>
    <w:rsid w:val="00EA715B"/>
    <w:rsid w:val="00EA7979"/>
    <w:rsid w:val="00EA7B6D"/>
    <w:rsid w:val="00EB040E"/>
    <w:rsid w:val="00EB0429"/>
    <w:rsid w:val="00EB0520"/>
    <w:rsid w:val="00EB0536"/>
    <w:rsid w:val="00EB055E"/>
    <w:rsid w:val="00EB0C96"/>
    <w:rsid w:val="00EB0D5C"/>
    <w:rsid w:val="00EB0F71"/>
    <w:rsid w:val="00EB12AD"/>
    <w:rsid w:val="00EB14D3"/>
    <w:rsid w:val="00EB1903"/>
    <w:rsid w:val="00EB1BEF"/>
    <w:rsid w:val="00EB1C25"/>
    <w:rsid w:val="00EB22EF"/>
    <w:rsid w:val="00EB247B"/>
    <w:rsid w:val="00EB2647"/>
    <w:rsid w:val="00EB2782"/>
    <w:rsid w:val="00EB2B14"/>
    <w:rsid w:val="00EB2B66"/>
    <w:rsid w:val="00EB2CC3"/>
    <w:rsid w:val="00EB2DFD"/>
    <w:rsid w:val="00EB302D"/>
    <w:rsid w:val="00EB3750"/>
    <w:rsid w:val="00EB391C"/>
    <w:rsid w:val="00EB45F7"/>
    <w:rsid w:val="00EB46E8"/>
    <w:rsid w:val="00EB4825"/>
    <w:rsid w:val="00EB4F98"/>
    <w:rsid w:val="00EB50BB"/>
    <w:rsid w:val="00EB51B9"/>
    <w:rsid w:val="00EB5217"/>
    <w:rsid w:val="00EB5484"/>
    <w:rsid w:val="00EB5498"/>
    <w:rsid w:val="00EB56E3"/>
    <w:rsid w:val="00EB58C7"/>
    <w:rsid w:val="00EB592E"/>
    <w:rsid w:val="00EB5BE8"/>
    <w:rsid w:val="00EB5F30"/>
    <w:rsid w:val="00EB6200"/>
    <w:rsid w:val="00EB63A1"/>
    <w:rsid w:val="00EB6434"/>
    <w:rsid w:val="00EB6A7A"/>
    <w:rsid w:val="00EB6C4A"/>
    <w:rsid w:val="00EB6C4C"/>
    <w:rsid w:val="00EB6C92"/>
    <w:rsid w:val="00EB6CD6"/>
    <w:rsid w:val="00EB6EB4"/>
    <w:rsid w:val="00EB7131"/>
    <w:rsid w:val="00EB7969"/>
    <w:rsid w:val="00EB7AB5"/>
    <w:rsid w:val="00EB7B0D"/>
    <w:rsid w:val="00EB7C52"/>
    <w:rsid w:val="00EC0023"/>
    <w:rsid w:val="00EC0127"/>
    <w:rsid w:val="00EC03B5"/>
    <w:rsid w:val="00EC0952"/>
    <w:rsid w:val="00EC1081"/>
    <w:rsid w:val="00EC15A9"/>
    <w:rsid w:val="00EC24D3"/>
    <w:rsid w:val="00EC2844"/>
    <w:rsid w:val="00EC2C4D"/>
    <w:rsid w:val="00EC30FE"/>
    <w:rsid w:val="00EC362A"/>
    <w:rsid w:val="00EC372F"/>
    <w:rsid w:val="00EC3975"/>
    <w:rsid w:val="00EC3E85"/>
    <w:rsid w:val="00EC40B6"/>
    <w:rsid w:val="00EC41B4"/>
    <w:rsid w:val="00EC427F"/>
    <w:rsid w:val="00EC442C"/>
    <w:rsid w:val="00EC459C"/>
    <w:rsid w:val="00EC4608"/>
    <w:rsid w:val="00EC4609"/>
    <w:rsid w:val="00EC48FD"/>
    <w:rsid w:val="00EC4C80"/>
    <w:rsid w:val="00EC4CBC"/>
    <w:rsid w:val="00EC4D11"/>
    <w:rsid w:val="00EC4D3B"/>
    <w:rsid w:val="00EC5464"/>
    <w:rsid w:val="00EC54AE"/>
    <w:rsid w:val="00EC5500"/>
    <w:rsid w:val="00EC57E2"/>
    <w:rsid w:val="00EC583D"/>
    <w:rsid w:val="00EC5984"/>
    <w:rsid w:val="00EC5CFB"/>
    <w:rsid w:val="00EC5D1E"/>
    <w:rsid w:val="00EC5FD0"/>
    <w:rsid w:val="00EC610D"/>
    <w:rsid w:val="00EC6D36"/>
    <w:rsid w:val="00EC6F2C"/>
    <w:rsid w:val="00EC76FD"/>
    <w:rsid w:val="00EC78E0"/>
    <w:rsid w:val="00EC7977"/>
    <w:rsid w:val="00EC7B56"/>
    <w:rsid w:val="00EC7C97"/>
    <w:rsid w:val="00ED007A"/>
    <w:rsid w:val="00ED01E3"/>
    <w:rsid w:val="00ED05E2"/>
    <w:rsid w:val="00ED13FA"/>
    <w:rsid w:val="00ED14A0"/>
    <w:rsid w:val="00ED153B"/>
    <w:rsid w:val="00ED1888"/>
    <w:rsid w:val="00ED18F8"/>
    <w:rsid w:val="00ED1C72"/>
    <w:rsid w:val="00ED1F24"/>
    <w:rsid w:val="00ED246E"/>
    <w:rsid w:val="00ED250E"/>
    <w:rsid w:val="00ED32D1"/>
    <w:rsid w:val="00ED3438"/>
    <w:rsid w:val="00ED34B3"/>
    <w:rsid w:val="00ED3712"/>
    <w:rsid w:val="00ED3762"/>
    <w:rsid w:val="00ED3E25"/>
    <w:rsid w:val="00ED3E33"/>
    <w:rsid w:val="00ED422C"/>
    <w:rsid w:val="00ED4354"/>
    <w:rsid w:val="00ED4488"/>
    <w:rsid w:val="00ED45EC"/>
    <w:rsid w:val="00ED487E"/>
    <w:rsid w:val="00ED4922"/>
    <w:rsid w:val="00ED58BA"/>
    <w:rsid w:val="00ED59C4"/>
    <w:rsid w:val="00ED5DD8"/>
    <w:rsid w:val="00ED5EE9"/>
    <w:rsid w:val="00ED693F"/>
    <w:rsid w:val="00ED6B82"/>
    <w:rsid w:val="00ED6C6E"/>
    <w:rsid w:val="00ED6FB1"/>
    <w:rsid w:val="00ED74F7"/>
    <w:rsid w:val="00ED75D6"/>
    <w:rsid w:val="00ED782F"/>
    <w:rsid w:val="00ED7CA2"/>
    <w:rsid w:val="00EE06D5"/>
    <w:rsid w:val="00EE070F"/>
    <w:rsid w:val="00EE08EB"/>
    <w:rsid w:val="00EE0C95"/>
    <w:rsid w:val="00EE0D2F"/>
    <w:rsid w:val="00EE0ECD"/>
    <w:rsid w:val="00EE0F56"/>
    <w:rsid w:val="00EE13F8"/>
    <w:rsid w:val="00EE161A"/>
    <w:rsid w:val="00EE1704"/>
    <w:rsid w:val="00EE1758"/>
    <w:rsid w:val="00EE1C39"/>
    <w:rsid w:val="00EE1E0C"/>
    <w:rsid w:val="00EE1E46"/>
    <w:rsid w:val="00EE1F1E"/>
    <w:rsid w:val="00EE1FDC"/>
    <w:rsid w:val="00EE2416"/>
    <w:rsid w:val="00EE2485"/>
    <w:rsid w:val="00EE2768"/>
    <w:rsid w:val="00EE2774"/>
    <w:rsid w:val="00EE2848"/>
    <w:rsid w:val="00EE28B4"/>
    <w:rsid w:val="00EE2D3D"/>
    <w:rsid w:val="00EE3335"/>
    <w:rsid w:val="00EE3B3D"/>
    <w:rsid w:val="00EE3D78"/>
    <w:rsid w:val="00EE3D8F"/>
    <w:rsid w:val="00EE3E1F"/>
    <w:rsid w:val="00EE3E7B"/>
    <w:rsid w:val="00EE40FF"/>
    <w:rsid w:val="00EE424B"/>
    <w:rsid w:val="00EE42BD"/>
    <w:rsid w:val="00EE488F"/>
    <w:rsid w:val="00EE4C92"/>
    <w:rsid w:val="00EE501A"/>
    <w:rsid w:val="00EE5675"/>
    <w:rsid w:val="00EE57FE"/>
    <w:rsid w:val="00EE5985"/>
    <w:rsid w:val="00EE5A14"/>
    <w:rsid w:val="00EE5CC4"/>
    <w:rsid w:val="00EE6010"/>
    <w:rsid w:val="00EE6C0F"/>
    <w:rsid w:val="00EE6EDA"/>
    <w:rsid w:val="00EE6EF4"/>
    <w:rsid w:val="00EE735C"/>
    <w:rsid w:val="00EE73D9"/>
    <w:rsid w:val="00EE7446"/>
    <w:rsid w:val="00EE778E"/>
    <w:rsid w:val="00EE791C"/>
    <w:rsid w:val="00EE79D7"/>
    <w:rsid w:val="00EE7A56"/>
    <w:rsid w:val="00EE7A6C"/>
    <w:rsid w:val="00EE7B97"/>
    <w:rsid w:val="00EF1326"/>
    <w:rsid w:val="00EF1427"/>
    <w:rsid w:val="00EF1785"/>
    <w:rsid w:val="00EF1854"/>
    <w:rsid w:val="00EF1EA3"/>
    <w:rsid w:val="00EF24E7"/>
    <w:rsid w:val="00EF2539"/>
    <w:rsid w:val="00EF2B97"/>
    <w:rsid w:val="00EF3107"/>
    <w:rsid w:val="00EF3A79"/>
    <w:rsid w:val="00EF3AA7"/>
    <w:rsid w:val="00EF3D28"/>
    <w:rsid w:val="00EF3DD0"/>
    <w:rsid w:val="00EF4400"/>
    <w:rsid w:val="00EF4F50"/>
    <w:rsid w:val="00EF5100"/>
    <w:rsid w:val="00EF548C"/>
    <w:rsid w:val="00EF5536"/>
    <w:rsid w:val="00EF5F90"/>
    <w:rsid w:val="00EF6122"/>
    <w:rsid w:val="00EF613E"/>
    <w:rsid w:val="00EF6355"/>
    <w:rsid w:val="00EF6719"/>
    <w:rsid w:val="00EF67ED"/>
    <w:rsid w:val="00EF69F2"/>
    <w:rsid w:val="00EF6B9C"/>
    <w:rsid w:val="00EF6C6C"/>
    <w:rsid w:val="00EF709E"/>
    <w:rsid w:val="00EF72D1"/>
    <w:rsid w:val="00EF75DC"/>
    <w:rsid w:val="00EF7756"/>
    <w:rsid w:val="00EF79C3"/>
    <w:rsid w:val="00EF7B02"/>
    <w:rsid w:val="00EF7B0C"/>
    <w:rsid w:val="00F00077"/>
    <w:rsid w:val="00F0038E"/>
    <w:rsid w:val="00F00541"/>
    <w:rsid w:val="00F0084C"/>
    <w:rsid w:val="00F009C0"/>
    <w:rsid w:val="00F009F0"/>
    <w:rsid w:val="00F00C80"/>
    <w:rsid w:val="00F0115A"/>
    <w:rsid w:val="00F01480"/>
    <w:rsid w:val="00F01624"/>
    <w:rsid w:val="00F01862"/>
    <w:rsid w:val="00F01AC0"/>
    <w:rsid w:val="00F0229D"/>
    <w:rsid w:val="00F0234B"/>
    <w:rsid w:val="00F02BCE"/>
    <w:rsid w:val="00F02D79"/>
    <w:rsid w:val="00F02D9E"/>
    <w:rsid w:val="00F03051"/>
    <w:rsid w:val="00F031EC"/>
    <w:rsid w:val="00F0381A"/>
    <w:rsid w:val="00F03E43"/>
    <w:rsid w:val="00F040B1"/>
    <w:rsid w:val="00F04758"/>
    <w:rsid w:val="00F04E0F"/>
    <w:rsid w:val="00F05164"/>
    <w:rsid w:val="00F05294"/>
    <w:rsid w:val="00F05436"/>
    <w:rsid w:val="00F056FC"/>
    <w:rsid w:val="00F05747"/>
    <w:rsid w:val="00F05E12"/>
    <w:rsid w:val="00F06197"/>
    <w:rsid w:val="00F0632F"/>
    <w:rsid w:val="00F06552"/>
    <w:rsid w:val="00F069AE"/>
    <w:rsid w:val="00F06A61"/>
    <w:rsid w:val="00F06DA7"/>
    <w:rsid w:val="00F07B48"/>
    <w:rsid w:val="00F07F90"/>
    <w:rsid w:val="00F10476"/>
    <w:rsid w:val="00F108EE"/>
    <w:rsid w:val="00F10E4B"/>
    <w:rsid w:val="00F10EF7"/>
    <w:rsid w:val="00F10EF8"/>
    <w:rsid w:val="00F112BE"/>
    <w:rsid w:val="00F112EE"/>
    <w:rsid w:val="00F114F1"/>
    <w:rsid w:val="00F1162F"/>
    <w:rsid w:val="00F11659"/>
    <w:rsid w:val="00F11713"/>
    <w:rsid w:val="00F1183A"/>
    <w:rsid w:val="00F12469"/>
    <w:rsid w:val="00F125FC"/>
    <w:rsid w:val="00F12A6A"/>
    <w:rsid w:val="00F12BA1"/>
    <w:rsid w:val="00F135D8"/>
    <w:rsid w:val="00F13E88"/>
    <w:rsid w:val="00F1430A"/>
    <w:rsid w:val="00F14364"/>
    <w:rsid w:val="00F14689"/>
    <w:rsid w:val="00F1482A"/>
    <w:rsid w:val="00F14A0B"/>
    <w:rsid w:val="00F14B7B"/>
    <w:rsid w:val="00F14EFE"/>
    <w:rsid w:val="00F15353"/>
    <w:rsid w:val="00F15645"/>
    <w:rsid w:val="00F15806"/>
    <w:rsid w:val="00F15824"/>
    <w:rsid w:val="00F15E8A"/>
    <w:rsid w:val="00F1632E"/>
    <w:rsid w:val="00F16B1E"/>
    <w:rsid w:val="00F16B43"/>
    <w:rsid w:val="00F16D58"/>
    <w:rsid w:val="00F16D66"/>
    <w:rsid w:val="00F171CD"/>
    <w:rsid w:val="00F1762B"/>
    <w:rsid w:val="00F17908"/>
    <w:rsid w:val="00F17BC3"/>
    <w:rsid w:val="00F17F53"/>
    <w:rsid w:val="00F2022B"/>
    <w:rsid w:val="00F20418"/>
    <w:rsid w:val="00F205B5"/>
    <w:rsid w:val="00F2079B"/>
    <w:rsid w:val="00F20939"/>
    <w:rsid w:val="00F20C1A"/>
    <w:rsid w:val="00F20F4A"/>
    <w:rsid w:val="00F2131B"/>
    <w:rsid w:val="00F2174E"/>
    <w:rsid w:val="00F21783"/>
    <w:rsid w:val="00F21BBD"/>
    <w:rsid w:val="00F21DC1"/>
    <w:rsid w:val="00F22261"/>
    <w:rsid w:val="00F224BD"/>
    <w:rsid w:val="00F2253F"/>
    <w:rsid w:val="00F2286E"/>
    <w:rsid w:val="00F22884"/>
    <w:rsid w:val="00F22A00"/>
    <w:rsid w:val="00F238C7"/>
    <w:rsid w:val="00F23B89"/>
    <w:rsid w:val="00F23F6D"/>
    <w:rsid w:val="00F23F82"/>
    <w:rsid w:val="00F24207"/>
    <w:rsid w:val="00F242BF"/>
    <w:rsid w:val="00F2495F"/>
    <w:rsid w:val="00F2496B"/>
    <w:rsid w:val="00F24C46"/>
    <w:rsid w:val="00F24F7A"/>
    <w:rsid w:val="00F252BE"/>
    <w:rsid w:val="00F2546C"/>
    <w:rsid w:val="00F254F4"/>
    <w:rsid w:val="00F256AD"/>
    <w:rsid w:val="00F257E5"/>
    <w:rsid w:val="00F258BD"/>
    <w:rsid w:val="00F25E7B"/>
    <w:rsid w:val="00F25F98"/>
    <w:rsid w:val="00F26299"/>
    <w:rsid w:val="00F2648E"/>
    <w:rsid w:val="00F264D8"/>
    <w:rsid w:val="00F2668F"/>
    <w:rsid w:val="00F26C36"/>
    <w:rsid w:val="00F26DB5"/>
    <w:rsid w:val="00F278FE"/>
    <w:rsid w:val="00F27AA9"/>
    <w:rsid w:val="00F27C21"/>
    <w:rsid w:val="00F27E8C"/>
    <w:rsid w:val="00F3007B"/>
    <w:rsid w:val="00F303E9"/>
    <w:rsid w:val="00F3045B"/>
    <w:rsid w:val="00F3056C"/>
    <w:rsid w:val="00F307E1"/>
    <w:rsid w:val="00F307E9"/>
    <w:rsid w:val="00F308C4"/>
    <w:rsid w:val="00F30E5D"/>
    <w:rsid w:val="00F31191"/>
    <w:rsid w:val="00F31299"/>
    <w:rsid w:val="00F31365"/>
    <w:rsid w:val="00F3163E"/>
    <w:rsid w:val="00F31A73"/>
    <w:rsid w:val="00F31C4E"/>
    <w:rsid w:val="00F327A8"/>
    <w:rsid w:val="00F32ADF"/>
    <w:rsid w:val="00F3318B"/>
    <w:rsid w:val="00F33740"/>
    <w:rsid w:val="00F33D4E"/>
    <w:rsid w:val="00F340B8"/>
    <w:rsid w:val="00F34219"/>
    <w:rsid w:val="00F344E7"/>
    <w:rsid w:val="00F347F9"/>
    <w:rsid w:val="00F34848"/>
    <w:rsid w:val="00F349DF"/>
    <w:rsid w:val="00F34CAC"/>
    <w:rsid w:val="00F34F64"/>
    <w:rsid w:val="00F3501E"/>
    <w:rsid w:val="00F352D8"/>
    <w:rsid w:val="00F3534A"/>
    <w:rsid w:val="00F354D3"/>
    <w:rsid w:val="00F35592"/>
    <w:rsid w:val="00F35A71"/>
    <w:rsid w:val="00F35BFB"/>
    <w:rsid w:val="00F35F1E"/>
    <w:rsid w:val="00F360CD"/>
    <w:rsid w:val="00F36337"/>
    <w:rsid w:val="00F3660A"/>
    <w:rsid w:val="00F36906"/>
    <w:rsid w:val="00F36ACC"/>
    <w:rsid w:val="00F36ACD"/>
    <w:rsid w:val="00F36C63"/>
    <w:rsid w:val="00F36CE3"/>
    <w:rsid w:val="00F36DF8"/>
    <w:rsid w:val="00F36F8C"/>
    <w:rsid w:val="00F37334"/>
    <w:rsid w:val="00F37591"/>
    <w:rsid w:val="00F3764C"/>
    <w:rsid w:val="00F378C8"/>
    <w:rsid w:val="00F37956"/>
    <w:rsid w:val="00F37E9B"/>
    <w:rsid w:val="00F40D05"/>
    <w:rsid w:val="00F40D90"/>
    <w:rsid w:val="00F41058"/>
    <w:rsid w:val="00F411FF"/>
    <w:rsid w:val="00F412A3"/>
    <w:rsid w:val="00F41969"/>
    <w:rsid w:val="00F41ACF"/>
    <w:rsid w:val="00F42295"/>
    <w:rsid w:val="00F42784"/>
    <w:rsid w:val="00F428A3"/>
    <w:rsid w:val="00F43245"/>
    <w:rsid w:val="00F43724"/>
    <w:rsid w:val="00F438FE"/>
    <w:rsid w:val="00F43945"/>
    <w:rsid w:val="00F43DE0"/>
    <w:rsid w:val="00F440CA"/>
    <w:rsid w:val="00F444D5"/>
    <w:rsid w:val="00F4488C"/>
    <w:rsid w:val="00F448CD"/>
    <w:rsid w:val="00F44AFF"/>
    <w:rsid w:val="00F452FB"/>
    <w:rsid w:val="00F45331"/>
    <w:rsid w:val="00F45394"/>
    <w:rsid w:val="00F457A5"/>
    <w:rsid w:val="00F45C90"/>
    <w:rsid w:val="00F45E5A"/>
    <w:rsid w:val="00F45F94"/>
    <w:rsid w:val="00F461DA"/>
    <w:rsid w:val="00F462F9"/>
    <w:rsid w:val="00F46553"/>
    <w:rsid w:val="00F46C97"/>
    <w:rsid w:val="00F46FB2"/>
    <w:rsid w:val="00F4762F"/>
    <w:rsid w:val="00F47785"/>
    <w:rsid w:val="00F47849"/>
    <w:rsid w:val="00F47BC1"/>
    <w:rsid w:val="00F47C9E"/>
    <w:rsid w:val="00F5019C"/>
    <w:rsid w:val="00F50478"/>
    <w:rsid w:val="00F508B6"/>
    <w:rsid w:val="00F50BB7"/>
    <w:rsid w:val="00F50E64"/>
    <w:rsid w:val="00F51298"/>
    <w:rsid w:val="00F514D7"/>
    <w:rsid w:val="00F51609"/>
    <w:rsid w:val="00F5170F"/>
    <w:rsid w:val="00F5255A"/>
    <w:rsid w:val="00F525AF"/>
    <w:rsid w:val="00F5260E"/>
    <w:rsid w:val="00F527A9"/>
    <w:rsid w:val="00F52BFB"/>
    <w:rsid w:val="00F52D85"/>
    <w:rsid w:val="00F5327E"/>
    <w:rsid w:val="00F533B5"/>
    <w:rsid w:val="00F53A07"/>
    <w:rsid w:val="00F53C94"/>
    <w:rsid w:val="00F53FAB"/>
    <w:rsid w:val="00F545D6"/>
    <w:rsid w:val="00F5471B"/>
    <w:rsid w:val="00F548BF"/>
    <w:rsid w:val="00F54935"/>
    <w:rsid w:val="00F54952"/>
    <w:rsid w:val="00F54C7E"/>
    <w:rsid w:val="00F54CAD"/>
    <w:rsid w:val="00F551EE"/>
    <w:rsid w:val="00F555BD"/>
    <w:rsid w:val="00F5583D"/>
    <w:rsid w:val="00F55C25"/>
    <w:rsid w:val="00F55F56"/>
    <w:rsid w:val="00F56040"/>
    <w:rsid w:val="00F56325"/>
    <w:rsid w:val="00F566A2"/>
    <w:rsid w:val="00F56762"/>
    <w:rsid w:val="00F56878"/>
    <w:rsid w:val="00F569C5"/>
    <w:rsid w:val="00F56CFA"/>
    <w:rsid w:val="00F56D11"/>
    <w:rsid w:val="00F56EB8"/>
    <w:rsid w:val="00F57244"/>
    <w:rsid w:val="00F5741B"/>
    <w:rsid w:val="00F5787D"/>
    <w:rsid w:val="00F578B0"/>
    <w:rsid w:val="00F579C7"/>
    <w:rsid w:val="00F57AE1"/>
    <w:rsid w:val="00F57D09"/>
    <w:rsid w:val="00F6019D"/>
    <w:rsid w:val="00F602CF"/>
    <w:rsid w:val="00F60403"/>
    <w:rsid w:val="00F6069E"/>
    <w:rsid w:val="00F6124B"/>
    <w:rsid w:val="00F612C3"/>
    <w:rsid w:val="00F61394"/>
    <w:rsid w:val="00F613D7"/>
    <w:rsid w:val="00F61589"/>
    <w:rsid w:val="00F615A9"/>
    <w:rsid w:val="00F61814"/>
    <w:rsid w:val="00F619E1"/>
    <w:rsid w:val="00F61A35"/>
    <w:rsid w:val="00F61FCF"/>
    <w:rsid w:val="00F6223D"/>
    <w:rsid w:val="00F62243"/>
    <w:rsid w:val="00F6248F"/>
    <w:rsid w:val="00F625E4"/>
    <w:rsid w:val="00F62647"/>
    <w:rsid w:val="00F62710"/>
    <w:rsid w:val="00F62936"/>
    <w:rsid w:val="00F634AC"/>
    <w:rsid w:val="00F649A8"/>
    <w:rsid w:val="00F64B0F"/>
    <w:rsid w:val="00F64CE5"/>
    <w:rsid w:val="00F64DC2"/>
    <w:rsid w:val="00F64F0B"/>
    <w:rsid w:val="00F6515A"/>
    <w:rsid w:val="00F65643"/>
    <w:rsid w:val="00F65B18"/>
    <w:rsid w:val="00F65D25"/>
    <w:rsid w:val="00F6617A"/>
    <w:rsid w:val="00F663D3"/>
    <w:rsid w:val="00F66567"/>
    <w:rsid w:val="00F665B8"/>
    <w:rsid w:val="00F6704B"/>
    <w:rsid w:val="00F67125"/>
    <w:rsid w:val="00F6730F"/>
    <w:rsid w:val="00F676EE"/>
    <w:rsid w:val="00F67F7A"/>
    <w:rsid w:val="00F67FD9"/>
    <w:rsid w:val="00F70902"/>
    <w:rsid w:val="00F710B7"/>
    <w:rsid w:val="00F712D8"/>
    <w:rsid w:val="00F71847"/>
    <w:rsid w:val="00F71B8B"/>
    <w:rsid w:val="00F71EB3"/>
    <w:rsid w:val="00F72254"/>
    <w:rsid w:val="00F723D7"/>
    <w:rsid w:val="00F7240F"/>
    <w:rsid w:val="00F72C9F"/>
    <w:rsid w:val="00F72FEA"/>
    <w:rsid w:val="00F73183"/>
    <w:rsid w:val="00F731C5"/>
    <w:rsid w:val="00F73377"/>
    <w:rsid w:val="00F73640"/>
    <w:rsid w:val="00F73727"/>
    <w:rsid w:val="00F737B3"/>
    <w:rsid w:val="00F73D17"/>
    <w:rsid w:val="00F73EFD"/>
    <w:rsid w:val="00F73FB0"/>
    <w:rsid w:val="00F74082"/>
    <w:rsid w:val="00F74368"/>
    <w:rsid w:val="00F7446C"/>
    <w:rsid w:val="00F74B83"/>
    <w:rsid w:val="00F7572E"/>
    <w:rsid w:val="00F75EB2"/>
    <w:rsid w:val="00F760AC"/>
    <w:rsid w:val="00F76120"/>
    <w:rsid w:val="00F76192"/>
    <w:rsid w:val="00F7633D"/>
    <w:rsid w:val="00F766A7"/>
    <w:rsid w:val="00F76B3B"/>
    <w:rsid w:val="00F77355"/>
    <w:rsid w:val="00F77370"/>
    <w:rsid w:val="00F7745B"/>
    <w:rsid w:val="00F77584"/>
    <w:rsid w:val="00F77931"/>
    <w:rsid w:val="00F77C71"/>
    <w:rsid w:val="00F77DA2"/>
    <w:rsid w:val="00F800E9"/>
    <w:rsid w:val="00F808EB"/>
    <w:rsid w:val="00F80962"/>
    <w:rsid w:val="00F80D1A"/>
    <w:rsid w:val="00F80F85"/>
    <w:rsid w:val="00F81006"/>
    <w:rsid w:val="00F8118A"/>
    <w:rsid w:val="00F811FA"/>
    <w:rsid w:val="00F8188B"/>
    <w:rsid w:val="00F818B1"/>
    <w:rsid w:val="00F81918"/>
    <w:rsid w:val="00F81D09"/>
    <w:rsid w:val="00F8220C"/>
    <w:rsid w:val="00F82578"/>
    <w:rsid w:val="00F82A38"/>
    <w:rsid w:val="00F82C43"/>
    <w:rsid w:val="00F830FA"/>
    <w:rsid w:val="00F83190"/>
    <w:rsid w:val="00F83560"/>
    <w:rsid w:val="00F83DAF"/>
    <w:rsid w:val="00F83FA9"/>
    <w:rsid w:val="00F84218"/>
    <w:rsid w:val="00F849D8"/>
    <w:rsid w:val="00F84A25"/>
    <w:rsid w:val="00F84B60"/>
    <w:rsid w:val="00F84C75"/>
    <w:rsid w:val="00F84CDA"/>
    <w:rsid w:val="00F84DF7"/>
    <w:rsid w:val="00F85325"/>
    <w:rsid w:val="00F85413"/>
    <w:rsid w:val="00F85453"/>
    <w:rsid w:val="00F8570B"/>
    <w:rsid w:val="00F85735"/>
    <w:rsid w:val="00F8597A"/>
    <w:rsid w:val="00F85C56"/>
    <w:rsid w:val="00F85CAB"/>
    <w:rsid w:val="00F86068"/>
    <w:rsid w:val="00F860BB"/>
    <w:rsid w:val="00F8628F"/>
    <w:rsid w:val="00F86443"/>
    <w:rsid w:val="00F86D57"/>
    <w:rsid w:val="00F86F4E"/>
    <w:rsid w:val="00F874CE"/>
    <w:rsid w:val="00F87934"/>
    <w:rsid w:val="00F87979"/>
    <w:rsid w:val="00F87C7C"/>
    <w:rsid w:val="00F87D41"/>
    <w:rsid w:val="00F87E67"/>
    <w:rsid w:val="00F900ED"/>
    <w:rsid w:val="00F9050F"/>
    <w:rsid w:val="00F90554"/>
    <w:rsid w:val="00F90902"/>
    <w:rsid w:val="00F90979"/>
    <w:rsid w:val="00F90AF8"/>
    <w:rsid w:val="00F90C57"/>
    <w:rsid w:val="00F9141D"/>
    <w:rsid w:val="00F916DA"/>
    <w:rsid w:val="00F91700"/>
    <w:rsid w:val="00F9179B"/>
    <w:rsid w:val="00F91BA8"/>
    <w:rsid w:val="00F92120"/>
    <w:rsid w:val="00F924CE"/>
    <w:rsid w:val="00F929A8"/>
    <w:rsid w:val="00F92E92"/>
    <w:rsid w:val="00F92FF2"/>
    <w:rsid w:val="00F934EB"/>
    <w:rsid w:val="00F93607"/>
    <w:rsid w:val="00F9396D"/>
    <w:rsid w:val="00F942A1"/>
    <w:rsid w:val="00F94608"/>
    <w:rsid w:val="00F94799"/>
    <w:rsid w:val="00F94BE7"/>
    <w:rsid w:val="00F94C8D"/>
    <w:rsid w:val="00F94DBF"/>
    <w:rsid w:val="00F94F7F"/>
    <w:rsid w:val="00F95232"/>
    <w:rsid w:val="00F95253"/>
    <w:rsid w:val="00F954BB"/>
    <w:rsid w:val="00F954D5"/>
    <w:rsid w:val="00F958CD"/>
    <w:rsid w:val="00F95DCD"/>
    <w:rsid w:val="00F95E70"/>
    <w:rsid w:val="00F95ECB"/>
    <w:rsid w:val="00F96132"/>
    <w:rsid w:val="00F96763"/>
    <w:rsid w:val="00F96806"/>
    <w:rsid w:val="00F9684F"/>
    <w:rsid w:val="00F96911"/>
    <w:rsid w:val="00F97082"/>
    <w:rsid w:val="00F97B6F"/>
    <w:rsid w:val="00F97D8E"/>
    <w:rsid w:val="00F97DE9"/>
    <w:rsid w:val="00FA001A"/>
    <w:rsid w:val="00FA0221"/>
    <w:rsid w:val="00FA032E"/>
    <w:rsid w:val="00FA0A5F"/>
    <w:rsid w:val="00FA0C86"/>
    <w:rsid w:val="00FA0CE6"/>
    <w:rsid w:val="00FA0F7D"/>
    <w:rsid w:val="00FA1539"/>
    <w:rsid w:val="00FA19D9"/>
    <w:rsid w:val="00FA237E"/>
    <w:rsid w:val="00FA244A"/>
    <w:rsid w:val="00FA28B5"/>
    <w:rsid w:val="00FA29BD"/>
    <w:rsid w:val="00FA2A47"/>
    <w:rsid w:val="00FA2D3A"/>
    <w:rsid w:val="00FA2D54"/>
    <w:rsid w:val="00FA2D56"/>
    <w:rsid w:val="00FA309E"/>
    <w:rsid w:val="00FA32C5"/>
    <w:rsid w:val="00FA34ED"/>
    <w:rsid w:val="00FA40FC"/>
    <w:rsid w:val="00FA47D4"/>
    <w:rsid w:val="00FA48E4"/>
    <w:rsid w:val="00FA4CA4"/>
    <w:rsid w:val="00FA54B3"/>
    <w:rsid w:val="00FA5522"/>
    <w:rsid w:val="00FA5A31"/>
    <w:rsid w:val="00FA5B05"/>
    <w:rsid w:val="00FA6457"/>
    <w:rsid w:val="00FA6C1F"/>
    <w:rsid w:val="00FA713D"/>
    <w:rsid w:val="00FA7949"/>
    <w:rsid w:val="00FA7A12"/>
    <w:rsid w:val="00FA7B3B"/>
    <w:rsid w:val="00FA7C6E"/>
    <w:rsid w:val="00FA7E0A"/>
    <w:rsid w:val="00FA7E8B"/>
    <w:rsid w:val="00FA7FA9"/>
    <w:rsid w:val="00FA7FFB"/>
    <w:rsid w:val="00FB0433"/>
    <w:rsid w:val="00FB0764"/>
    <w:rsid w:val="00FB0810"/>
    <w:rsid w:val="00FB103C"/>
    <w:rsid w:val="00FB123D"/>
    <w:rsid w:val="00FB13E2"/>
    <w:rsid w:val="00FB1711"/>
    <w:rsid w:val="00FB183D"/>
    <w:rsid w:val="00FB1904"/>
    <w:rsid w:val="00FB1AD6"/>
    <w:rsid w:val="00FB1BCB"/>
    <w:rsid w:val="00FB223B"/>
    <w:rsid w:val="00FB2B2B"/>
    <w:rsid w:val="00FB2B79"/>
    <w:rsid w:val="00FB2C86"/>
    <w:rsid w:val="00FB2E10"/>
    <w:rsid w:val="00FB2FBC"/>
    <w:rsid w:val="00FB3607"/>
    <w:rsid w:val="00FB3BDC"/>
    <w:rsid w:val="00FB3C40"/>
    <w:rsid w:val="00FB3F44"/>
    <w:rsid w:val="00FB4110"/>
    <w:rsid w:val="00FB420B"/>
    <w:rsid w:val="00FB477C"/>
    <w:rsid w:val="00FB49E8"/>
    <w:rsid w:val="00FB4ACD"/>
    <w:rsid w:val="00FB4E26"/>
    <w:rsid w:val="00FB5296"/>
    <w:rsid w:val="00FB5311"/>
    <w:rsid w:val="00FB5B74"/>
    <w:rsid w:val="00FB6A4B"/>
    <w:rsid w:val="00FB7242"/>
    <w:rsid w:val="00FB74A2"/>
    <w:rsid w:val="00FB755D"/>
    <w:rsid w:val="00FB79B1"/>
    <w:rsid w:val="00FB7A75"/>
    <w:rsid w:val="00FB7B70"/>
    <w:rsid w:val="00FB7C13"/>
    <w:rsid w:val="00FB7C7C"/>
    <w:rsid w:val="00FB7DDA"/>
    <w:rsid w:val="00FC037C"/>
    <w:rsid w:val="00FC0B75"/>
    <w:rsid w:val="00FC0FCC"/>
    <w:rsid w:val="00FC11F6"/>
    <w:rsid w:val="00FC1940"/>
    <w:rsid w:val="00FC1AF1"/>
    <w:rsid w:val="00FC1E4B"/>
    <w:rsid w:val="00FC2508"/>
    <w:rsid w:val="00FC27A8"/>
    <w:rsid w:val="00FC27E3"/>
    <w:rsid w:val="00FC2E9A"/>
    <w:rsid w:val="00FC2F8A"/>
    <w:rsid w:val="00FC3532"/>
    <w:rsid w:val="00FC3660"/>
    <w:rsid w:val="00FC4229"/>
    <w:rsid w:val="00FC4502"/>
    <w:rsid w:val="00FC4B06"/>
    <w:rsid w:val="00FC4B6B"/>
    <w:rsid w:val="00FC501D"/>
    <w:rsid w:val="00FC55BA"/>
    <w:rsid w:val="00FC567E"/>
    <w:rsid w:val="00FC57F3"/>
    <w:rsid w:val="00FC5B45"/>
    <w:rsid w:val="00FC5B61"/>
    <w:rsid w:val="00FC5F31"/>
    <w:rsid w:val="00FC66FA"/>
    <w:rsid w:val="00FC6BAA"/>
    <w:rsid w:val="00FC6FC5"/>
    <w:rsid w:val="00FC7190"/>
    <w:rsid w:val="00FC774D"/>
    <w:rsid w:val="00FC7890"/>
    <w:rsid w:val="00FC7CCA"/>
    <w:rsid w:val="00FC7E57"/>
    <w:rsid w:val="00FC7FB9"/>
    <w:rsid w:val="00FD0571"/>
    <w:rsid w:val="00FD0886"/>
    <w:rsid w:val="00FD09C5"/>
    <w:rsid w:val="00FD09CD"/>
    <w:rsid w:val="00FD110D"/>
    <w:rsid w:val="00FD1452"/>
    <w:rsid w:val="00FD194B"/>
    <w:rsid w:val="00FD1C9A"/>
    <w:rsid w:val="00FD1DD1"/>
    <w:rsid w:val="00FD1F1C"/>
    <w:rsid w:val="00FD2027"/>
    <w:rsid w:val="00FD2108"/>
    <w:rsid w:val="00FD22B1"/>
    <w:rsid w:val="00FD25A6"/>
    <w:rsid w:val="00FD2813"/>
    <w:rsid w:val="00FD33F1"/>
    <w:rsid w:val="00FD3566"/>
    <w:rsid w:val="00FD3882"/>
    <w:rsid w:val="00FD3910"/>
    <w:rsid w:val="00FD3922"/>
    <w:rsid w:val="00FD3B37"/>
    <w:rsid w:val="00FD3E1C"/>
    <w:rsid w:val="00FD3EE7"/>
    <w:rsid w:val="00FD3FC9"/>
    <w:rsid w:val="00FD42D8"/>
    <w:rsid w:val="00FD44D8"/>
    <w:rsid w:val="00FD4509"/>
    <w:rsid w:val="00FD462A"/>
    <w:rsid w:val="00FD4B4C"/>
    <w:rsid w:val="00FD4CA5"/>
    <w:rsid w:val="00FD4E20"/>
    <w:rsid w:val="00FD5106"/>
    <w:rsid w:val="00FD5302"/>
    <w:rsid w:val="00FD560C"/>
    <w:rsid w:val="00FD5682"/>
    <w:rsid w:val="00FD57F1"/>
    <w:rsid w:val="00FD5969"/>
    <w:rsid w:val="00FD5A80"/>
    <w:rsid w:val="00FD616D"/>
    <w:rsid w:val="00FD61E5"/>
    <w:rsid w:val="00FD6233"/>
    <w:rsid w:val="00FD641A"/>
    <w:rsid w:val="00FD6745"/>
    <w:rsid w:val="00FD68E7"/>
    <w:rsid w:val="00FD6BDE"/>
    <w:rsid w:val="00FD6ED4"/>
    <w:rsid w:val="00FD6FF6"/>
    <w:rsid w:val="00FD6FF9"/>
    <w:rsid w:val="00FD71E4"/>
    <w:rsid w:val="00FD732D"/>
    <w:rsid w:val="00FD73B9"/>
    <w:rsid w:val="00FD73BD"/>
    <w:rsid w:val="00FD7456"/>
    <w:rsid w:val="00FD765E"/>
    <w:rsid w:val="00FD7C0C"/>
    <w:rsid w:val="00FD7C2F"/>
    <w:rsid w:val="00FD7E0B"/>
    <w:rsid w:val="00FD7EA2"/>
    <w:rsid w:val="00FD7EB3"/>
    <w:rsid w:val="00FE021F"/>
    <w:rsid w:val="00FE02F9"/>
    <w:rsid w:val="00FE0550"/>
    <w:rsid w:val="00FE0556"/>
    <w:rsid w:val="00FE05CA"/>
    <w:rsid w:val="00FE065C"/>
    <w:rsid w:val="00FE074D"/>
    <w:rsid w:val="00FE14D7"/>
    <w:rsid w:val="00FE15C5"/>
    <w:rsid w:val="00FE1C6B"/>
    <w:rsid w:val="00FE1F20"/>
    <w:rsid w:val="00FE25EB"/>
    <w:rsid w:val="00FE25F3"/>
    <w:rsid w:val="00FE26C6"/>
    <w:rsid w:val="00FE2D0F"/>
    <w:rsid w:val="00FE3306"/>
    <w:rsid w:val="00FE3827"/>
    <w:rsid w:val="00FE38DE"/>
    <w:rsid w:val="00FE3C71"/>
    <w:rsid w:val="00FE3D62"/>
    <w:rsid w:val="00FE3DEC"/>
    <w:rsid w:val="00FE43B6"/>
    <w:rsid w:val="00FE4AD3"/>
    <w:rsid w:val="00FE4CCF"/>
    <w:rsid w:val="00FE5397"/>
    <w:rsid w:val="00FE56D0"/>
    <w:rsid w:val="00FE58FF"/>
    <w:rsid w:val="00FE66C3"/>
    <w:rsid w:val="00FE6814"/>
    <w:rsid w:val="00FE6DBA"/>
    <w:rsid w:val="00FE7049"/>
    <w:rsid w:val="00FE749C"/>
    <w:rsid w:val="00FE76FA"/>
    <w:rsid w:val="00FE7CF0"/>
    <w:rsid w:val="00FE7DC4"/>
    <w:rsid w:val="00FF0673"/>
    <w:rsid w:val="00FF06A7"/>
    <w:rsid w:val="00FF0C04"/>
    <w:rsid w:val="00FF0F02"/>
    <w:rsid w:val="00FF15A1"/>
    <w:rsid w:val="00FF16DD"/>
    <w:rsid w:val="00FF18F0"/>
    <w:rsid w:val="00FF1D6F"/>
    <w:rsid w:val="00FF1EF6"/>
    <w:rsid w:val="00FF21D0"/>
    <w:rsid w:val="00FF2278"/>
    <w:rsid w:val="00FF2390"/>
    <w:rsid w:val="00FF25CF"/>
    <w:rsid w:val="00FF27E3"/>
    <w:rsid w:val="00FF2DDF"/>
    <w:rsid w:val="00FF31B8"/>
    <w:rsid w:val="00FF3463"/>
    <w:rsid w:val="00FF390E"/>
    <w:rsid w:val="00FF3A8B"/>
    <w:rsid w:val="00FF3D84"/>
    <w:rsid w:val="00FF3E37"/>
    <w:rsid w:val="00FF3EAC"/>
    <w:rsid w:val="00FF3ED5"/>
    <w:rsid w:val="00FF40AB"/>
    <w:rsid w:val="00FF413B"/>
    <w:rsid w:val="00FF44DC"/>
    <w:rsid w:val="00FF4666"/>
    <w:rsid w:val="00FF4671"/>
    <w:rsid w:val="00FF47B2"/>
    <w:rsid w:val="00FF4994"/>
    <w:rsid w:val="00FF4A82"/>
    <w:rsid w:val="00FF4C34"/>
    <w:rsid w:val="00FF4C9C"/>
    <w:rsid w:val="00FF4CCF"/>
    <w:rsid w:val="00FF4DE0"/>
    <w:rsid w:val="00FF507C"/>
    <w:rsid w:val="00FF50B6"/>
    <w:rsid w:val="00FF5126"/>
    <w:rsid w:val="00FF516E"/>
    <w:rsid w:val="00FF5990"/>
    <w:rsid w:val="00FF5B31"/>
    <w:rsid w:val="00FF5B46"/>
    <w:rsid w:val="00FF5B73"/>
    <w:rsid w:val="00FF5BDE"/>
    <w:rsid w:val="00FF5D63"/>
    <w:rsid w:val="00FF5DA2"/>
    <w:rsid w:val="00FF5F57"/>
    <w:rsid w:val="00FF60E4"/>
    <w:rsid w:val="00FF62B5"/>
    <w:rsid w:val="00FF6594"/>
    <w:rsid w:val="00FF6CB2"/>
    <w:rsid w:val="00FF6F4C"/>
    <w:rsid w:val="00FF70CA"/>
    <w:rsid w:val="00FF71E3"/>
    <w:rsid w:val="00FF7E94"/>
    <w:rsid w:val="00FF7F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123EDE"/>
  <w15:docId w15:val="{E0525AFA-B711-4B3E-A8EE-6BEFADF1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767F"/>
    <w:rPr>
      <w:sz w:val="24"/>
      <w:szCs w:val="24"/>
    </w:rPr>
  </w:style>
  <w:style w:type="paragraph" w:styleId="Heading1">
    <w:name w:val="heading 1"/>
    <w:basedOn w:val="BodyText"/>
    <w:next w:val="BodyText"/>
    <w:link w:val="Heading1Char"/>
    <w:rsid w:val="006C767F"/>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6C767F"/>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6C767F"/>
    <w:pPr>
      <w:spacing w:before="560" w:line="320" w:lineRule="exact"/>
      <w:ind w:left="0" w:firstLine="0"/>
      <w:outlineLvl w:val="2"/>
    </w:pPr>
    <w:rPr>
      <w:sz w:val="26"/>
    </w:rPr>
  </w:style>
  <w:style w:type="paragraph" w:styleId="Heading4">
    <w:name w:val="heading 4"/>
    <w:basedOn w:val="Heading3"/>
    <w:next w:val="BodyText"/>
    <w:link w:val="Heading4Char"/>
    <w:qFormat/>
    <w:rsid w:val="006C767F"/>
    <w:pPr>
      <w:spacing w:before="480"/>
      <w:outlineLvl w:val="3"/>
    </w:pPr>
    <w:rPr>
      <w:b w:val="0"/>
      <w:sz w:val="24"/>
    </w:rPr>
  </w:style>
  <w:style w:type="paragraph" w:styleId="Heading5">
    <w:name w:val="heading 5"/>
    <w:basedOn w:val="Heading4"/>
    <w:next w:val="BodyText"/>
    <w:link w:val="Heading5Char"/>
    <w:qFormat/>
    <w:rsid w:val="006C767F"/>
    <w:pPr>
      <w:outlineLvl w:val="4"/>
    </w:pPr>
    <w:rPr>
      <w:i/>
      <w:sz w:val="22"/>
    </w:rPr>
  </w:style>
  <w:style w:type="paragraph" w:styleId="Heading6">
    <w:name w:val="heading 6"/>
    <w:basedOn w:val="BodyText"/>
    <w:next w:val="BodyText"/>
    <w:semiHidden/>
    <w:rsid w:val="006C767F"/>
    <w:pPr>
      <w:spacing w:after="60"/>
      <w:jc w:val="left"/>
      <w:outlineLvl w:val="5"/>
    </w:pPr>
    <w:rPr>
      <w:i/>
      <w:sz w:val="22"/>
    </w:rPr>
  </w:style>
  <w:style w:type="paragraph" w:styleId="Heading7">
    <w:name w:val="heading 7"/>
    <w:basedOn w:val="BodyText"/>
    <w:next w:val="BodyText"/>
    <w:semiHidden/>
    <w:rsid w:val="006C767F"/>
    <w:pPr>
      <w:spacing w:after="60" w:line="240" w:lineRule="auto"/>
      <w:jc w:val="left"/>
      <w:outlineLvl w:val="6"/>
    </w:pPr>
    <w:rPr>
      <w:rFonts w:ascii="Arial" w:hAnsi="Arial"/>
      <w:sz w:val="20"/>
    </w:rPr>
  </w:style>
  <w:style w:type="paragraph" w:styleId="Heading8">
    <w:name w:val="heading 8"/>
    <w:basedOn w:val="BodyText"/>
    <w:next w:val="BodyText"/>
    <w:semiHidden/>
    <w:rsid w:val="006C767F"/>
    <w:pPr>
      <w:spacing w:after="60" w:line="240" w:lineRule="auto"/>
      <w:jc w:val="left"/>
      <w:outlineLvl w:val="7"/>
    </w:pPr>
    <w:rPr>
      <w:rFonts w:ascii="Arial" w:hAnsi="Arial"/>
      <w:i/>
      <w:sz w:val="20"/>
    </w:rPr>
  </w:style>
  <w:style w:type="paragraph" w:styleId="Heading9">
    <w:name w:val="heading 9"/>
    <w:basedOn w:val="BodyText"/>
    <w:next w:val="BodyText"/>
    <w:semiHidden/>
    <w:rsid w:val="006C767F"/>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C767F"/>
    <w:pPr>
      <w:spacing w:before="240" w:line="300" w:lineRule="atLeast"/>
      <w:jc w:val="both"/>
    </w:pPr>
    <w:rPr>
      <w:sz w:val="24"/>
    </w:rPr>
  </w:style>
  <w:style w:type="paragraph" w:styleId="Footer">
    <w:name w:val="footer"/>
    <w:basedOn w:val="BodyText"/>
    <w:link w:val="FooterChar"/>
    <w:semiHidden/>
    <w:rsid w:val="006C767F"/>
    <w:pPr>
      <w:spacing w:before="80" w:line="200" w:lineRule="exact"/>
      <w:ind w:right="6"/>
      <w:jc w:val="left"/>
    </w:pPr>
    <w:rPr>
      <w:rFonts w:ascii="Arial" w:hAnsi="Arial"/>
      <w:caps/>
      <w:spacing w:val="-4"/>
      <w:sz w:val="16"/>
    </w:rPr>
  </w:style>
  <w:style w:type="paragraph" w:customStyle="1" w:styleId="FooterEnd">
    <w:name w:val="Footer End"/>
    <w:basedOn w:val="Footer"/>
    <w:rsid w:val="006C767F"/>
    <w:pPr>
      <w:spacing w:before="0" w:line="20" w:lineRule="exact"/>
    </w:pPr>
  </w:style>
  <w:style w:type="paragraph" w:styleId="Header">
    <w:name w:val="header"/>
    <w:basedOn w:val="BodyText"/>
    <w:rsid w:val="006C767F"/>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6C767F"/>
    <w:pPr>
      <w:spacing w:line="20" w:lineRule="exact"/>
    </w:pPr>
    <w:rPr>
      <w:sz w:val="16"/>
    </w:rPr>
  </w:style>
  <w:style w:type="paragraph" w:customStyle="1" w:styleId="HeaderEven">
    <w:name w:val="Header Even"/>
    <w:basedOn w:val="Header"/>
    <w:semiHidden/>
    <w:rsid w:val="006C767F"/>
  </w:style>
  <w:style w:type="paragraph" w:customStyle="1" w:styleId="HeaderOdd">
    <w:name w:val="Header Odd"/>
    <w:basedOn w:val="Header"/>
    <w:semiHidden/>
    <w:rsid w:val="006C767F"/>
  </w:style>
  <w:style w:type="character" w:styleId="PageNumber">
    <w:name w:val="page number"/>
    <w:basedOn w:val="DefaultParagraphFont"/>
    <w:rsid w:val="006C767F"/>
    <w:rPr>
      <w:rFonts w:ascii="Arial" w:hAnsi="Arial"/>
      <w:b/>
      <w:sz w:val="16"/>
    </w:rPr>
  </w:style>
  <w:style w:type="paragraph" w:customStyle="1" w:styleId="Abbreviation">
    <w:name w:val="Abbreviation"/>
    <w:basedOn w:val="BodyText"/>
    <w:rsid w:val="006C767F"/>
    <w:pPr>
      <w:spacing w:before="120"/>
      <w:ind w:left="2381" w:hanging="2381"/>
      <w:jc w:val="left"/>
    </w:pPr>
  </w:style>
  <w:style w:type="paragraph" w:customStyle="1" w:styleId="Box">
    <w:name w:val="Box"/>
    <w:basedOn w:val="BodyText"/>
    <w:qFormat/>
    <w:rsid w:val="006C767F"/>
    <w:pPr>
      <w:keepNext/>
      <w:spacing w:before="120" w:line="260" w:lineRule="atLeast"/>
    </w:pPr>
    <w:rPr>
      <w:rFonts w:ascii="Arial" w:hAnsi="Arial"/>
      <w:sz w:val="20"/>
    </w:rPr>
  </w:style>
  <w:style w:type="paragraph" w:customStyle="1" w:styleId="BoxContinued">
    <w:name w:val="Box Continued"/>
    <w:basedOn w:val="BodyText"/>
    <w:next w:val="BodyText"/>
    <w:semiHidden/>
    <w:rsid w:val="006C767F"/>
    <w:pPr>
      <w:spacing w:before="180" w:line="220" w:lineRule="exact"/>
      <w:jc w:val="right"/>
    </w:pPr>
    <w:rPr>
      <w:rFonts w:ascii="Arial" w:hAnsi="Arial"/>
      <w:sz w:val="18"/>
    </w:rPr>
  </w:style>
  <w:style w:type="paragraph" w:customStyle="1" w:styleId="BoxHeading1">
    <w:name w:val="Box Heading 1"/>
    <w:basedOn w:val="BodyText"/>
    <w:next w:val="Box"/>
    <w:rsid w:val="006C767F"/>
    <w:pPr>
      <w:keepNext/>
      <w:spacing w:before="200" w:line="280" w:lineRule="atLeast"/>
    </w:pPr>
    <w:rPr>
      <w:rFonts w:ascii="Arial" w:hAnsi="Arial"/>
      <w:b/>
      <w:sz w:val="22"/>
    </w:rPr>
  </w:style>
  <w:style w:type="paragraph" w:customStyle="1" w:styleId="BoxHeading2">
    <w:name w:val="Box Heading 2"/>
    <w:basedOn w:val="BoxHeading1"/>
    <w:next w:val="Box"/>
    <w:rsid w:val="006C767F"/>
    <w:rPr>
      <w:b w:val="0"/>
      <w:i/>
    </w:rPr>
  </w:style>
  <w:style w:type="paragraph" w:customStyle="1" w:styleId="BoxListBullet">
    <w:name w:val="Box List Bullet"/>
    <w:basedOn w:val="BodyText"/>
    <w:rsid w:val="006C767F"/>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6C767F"/>
    <w:pPr>
      <w:numPr>
        <w:numId w:val="13"/>
      </w:numPr>
      <w:ind w:left="568" w:hanging="284"/>
    </w:pPr>
  </w:style>
  <w:style w:type="paragraph" w:customStyle="1" w:styleId="BoxListNumber">
    <w:name w:val="Box List Number"/>
    <w:basedOn w:val="BodyText"/>
    <w:rsid w:val="006C767F"/>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6C767F"/>
    <w:pPr>
      <w:numPr>
        <w:ilvl w:val="1"/>
      </w:numPr>
      <w:ind w:left="681" w:hanging="397"/>
    </w:pPr>
  </w:style>
  <w:style w:type="paragraph" w:customStyle="1" w:styleId="BoxQuote">
    <w:name w:val="Box Quote"/>
    <w:basedOn w:val="BodyText"/>
    <w:next w:val="Box"/>
    <w:qFormat/>
    <w:rsid w:val="006C767F"/>
    <w:pPr>
      <w:keepNext/>
      <w:spacing w:before="60" w:line="240" w:lineRule="exact"/>
      <w:ind w:left="284"/>
    </w:pPr>
    <w:rPr>
      <w:rFonts w:ascii="Arial" w:hAnsi="Arial"/>
      <w:sz w:val="18"/>
    </w:rPr>
  </w:style>
  <w:style w:type="paragraph" w:customStyle="1" w:styleId="Note">
    <w:name w:val="Note"/>
    <w:basedOn w:val="BodyText"/>
    <w:next w:val="BodyText"/>
    <w:rsid w:val="006C767F"/>
    <w:pPr>
      <w:keepLines/>
      <w:spacing w:before="80" w:line="220" w:lineRule="exact"/>
    </w:pPr>
    <w:rPr>
      <w:rFonts w:ascii="Arial" w:hAnsi="Arial"/>
      <w:sz w:val="18"/>
    </w:rPr>
  </w:style>
  <w:style w:type="paragraph" w:customStyle="1" w:styleId="Source">
    <w:name w:val="Source"/>
    <w:basedOn w:val="Normal"/>
    <w:next w:val="BodyText"/>
    <w:rsid w:val="006C767F"/>
    <w:pPr>
      <w:keepLines/>
      <w:spacing w:before="80" w:line="220" w:lineRule="exact"/>
      <w:jc w:val="both"/>
    </w:pPr>
    <w:rPr>
      <w:rFonts w:ascii="Arial" w:hAnsi="Arial"/>
      <w:sz w:val="18"/>
      <w:szCs w:val="20"/>
    </w:rPr>
  </w:style>
  <w:style w:type="paragraph" w:customStyle="1" w:styleId="BoxSource">
    <w:name w:val="Box Source"/>
    <w:basedOn w:val="Source"/>
    <w:next w:val="BodyText"/>
    <w:rsid w:val="006C767F"/>
    <w:pPr>
      <w:spacing w:before="120"/>
    </w:pPr>
  </w:style>
  <w:style w:type="paragraph" w:customStyle="1" w:styleId="BoxSpaceAbove">
    <w:name w:val="Box Space Above"/>
    <w:basedOn w:val="BodyText"/>
    <w:rsid w:val="006C767F"/>
    <w:pPr>
      <w:keepNext/>
      <w:spacing w:before="360" w:line="80" w:lineRule="exact"/>
      <w:jc w:val="left"/>
    </w:pPr>
  </w:style>
  <w:style w:type="paragraph" w:styleId="Caption">
    <w:name w:val="caption"/>
    <w:basedOn w:val="Normal"/>
    <w:next w:val="BodyText"/>
    <w:rsid w:val="006C767F"/>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6C767F"/>
    <w:pPr>
      <w:spacing w:before="120" w:after="0"/>
    </w:pPr>
  </w:style>
  <w:style w:type="paragraph" w:customStyle="1" w:styleId="BoxSubtitle">
    <w:name w:val="Box Subtitle"/>
    <w:basedOn w:val="BoxTitle"/>
    <w:next w:val="Normal"/>
    <w:rsid w:val="006C767F"/>
    <w:pPr>
      <w:spacing w:after="80" w:line="200" w:lineRule="exact"/>
      <w:ind w:firstLine="0"/>
    </w:pPr>
    <w:rPr>
      <w:b w:val="0"/>
      <w:sz w:val="20"/>
    </w:rPr>
  </w:style>
  <w:style w:type="paragraph" w:customStyle="1" w:styleId="Chapter">
    <w:name w:val="Chapter"/>
    <w:basedOn w:val="Heading1"/>
    <w:next w:val="BodyText"/>
    <w:semiHidden/>
    <w:rsid w:val="006C767F"/>
    <w:pPr>
      <w:ind w:left="0" w:firstLine="0"/>
      <w:outlineLvl w:val="9"/>
    </w:pPr>
  </w:style>
  <w:style w:type="paragraph" w:customStyle="1" w:styleId="ChapterSummary">
    <w:name w:val="Chapter Summary"/>
    <w:basedOn w:val="BodyText"/>
    <w:rsid w:val="006C767F"/>
    <w:pPr>
      <w:spacing w:line="280" w:lineRule="atLeast"/>
      <w:ind w:left="907"/>
    </w:pPr>
    <w:rPr>
      <w:rFonts w:ascii="Arial" w:hAnsi="Arial"/>
      <w:b/>
      <w:sz w:val="20"/>
    </w:rPr>
  </w:style>
  <w:style w:type="character" w:styleId="CommentReference">
    <w:name w:val="annotation reference"/>
    <w:basedOn w:val="DefaultParagraphFont"/>
    <w:semiHidden/>
    <w:rsid w:val="006C767F"/>
    <w:rPr>
      <w:b/>
      <w:vanish/>
      <w:color w:val="FF00FF"/>
      <w:sz w:val="20"/>
    </w:rPr>
  </w:style>
  <w:style w:type="paragraph" w:styleId="CommentText">
    <w:name w:val="annotation text"/>
    <w:basedOn w:val="Normal"/>
    <w:link w:val="CommentTextChar"/>
    <w:rsid w:val="006C767F"/>
    <w:pPr>
      <w:spacing w:before="120" w:line="240" w:lineRule="atLeast"/>
      <w:ind w:left="567" w:hanging="567"/>
    </w:pPr>
    <w:rPr>
      <w:sz w:val="20"/>
    </w:rPr>
  </w:style>
  <w:style w:type="paragraph" w:customStyle="1" w:styleId="Continued">
    <w:name w:val="Continued"/>
    <w:basedOn w:val="BoxContinued"/>
    <w:next w:val="BodyText"/>
    <w:rsid w:val="006C767F"/>
  </w:style>
  <w:style w:type="character" w:customStyle="1" w:styleId="DocumentInfo">
    <w:name w:val="Document Info"/>
    <w:basedOn w:val="DefaultParagraphFont"/>
    <w:semiHidden/>
    <w:rsid w:val="006C767F"/>
    <w:rPr>
      <w:rFonts w:ascii="Arial" w:hAnsi="Arial"/>
      <w:sz w:val="14"/>
    </w:rPr>
  </w:style>
  <w:style w:type="character" w:customStyle="1" w:styleId="DraftingNote">
    <w:name w:val="Drafting Note"/>
    <w:basedOn w:val="DefaultParagraphFont"/>
    <w:rsid w:val="006C767F"/>
    <w:rPr>
      <w:b/>
      <w:color w:val="FF0000"/>
      <w:sz w:val="24"/>
      <w:u w:val="dotted"/>
    </w:rPr>
  </w:style>
  <w:style w:type="paragraph" w:customStyle="1" w:styleId="Figure">
    <w:name w:val="Figure"/>
    <w:basedOn w:val="BodyText"/>
    <w:rsid w:val="006C767F"/>
    <w:pPr>
      <w:keepNext/>
      <w:spacing w:before="120" w:after="120" w:line="240" w:lineRule="atLeast"/>
      <w:jc w:val="center"/>
    </w:pPr>
  </w:style>
  <w:style w:type="paragraph" w:customStyle="1" w:styleId="FigureTitle">
    <w:name w:val="Figure Title"/>
    <w:basedOn w:val="Caption"/>
    <w:next w:val="Subtitle"/>
    <w:rsid w:val="006C767F"/>
    <w:pPr>
      <w:spacing w:before="120"/>
    </w:pPr>
  </w:style>
  <w:style w:type="paragraph" w:styleId="Subtitle">
    <w:name w:val="Subtitle"/>
    <w:basedOn w:val="Caption"/>
    <w:link w:val="SubtitleChar"/>
    <w:qFormat/>
    <w:rsid w:val="006C767F"/>
    <w:pPr>
      <w:spacing w:before="0" w:line="200" w:lineRule="exact"/>
      <w:ind w:firstLine="0"/>
    </w:pPr>
    <w:rPr>
      <w:b w:val="0"/>
      <w:sz w:val="20"/>
    </w:rPr>
  </w:style>
  <w:style w:type="paragraph" w:customStyle="1" w:styleId="Finding">
    <w:name w:val="Finding"/>
    <w:basedOn w:val="BodyText"/>
    <w:rsid w:val="006C767F"/>
    <w:pPr>
      <w:keepLines/>
      <w:spacing w:before="120" w:line="280" w:lineRule="atLeast"/>
    </w:pPr>
    <w:rPr>
      <w:rFonts w:ascii="Arial" w:hAnsi="Arial"/>
      <w:sz w:val="22"/>
    </w:rPr>
  </w:style>
  <w:style w:type="paragraph" w:customStyle="1" w:styleId="FindingBullet">
    <w:name w:val="Finding Bullet"/>
    <w:basedOn w:val="Finding"/>
    <w:rsid w:val="006C767F"/>
    <w:pPr>
      <w:numPr>
        <w:numId w:val="15"/>
      </w:numPr>
      <w:spacing w:before="80"/>
    </w:pPr>
  </w:style>
  <w:style w:type="paragraph" w:customStyle="1" w:styleId="FindingNoTitle">
    <w:name w:val="Finding NoTitle"/>
    <w:basedOn w:val="Finding"/>
    <w:semiHidden/>
    <w:rsid w:val="006C767F"/>
    <w:pPr>
      <w:spacing w:before="240"/>
    </w:pPr>
  </w:style>
  <w:style w:type="paragraph" w:customStyle="1" w:styleId="RecTitle">
    <w:name w:val="Rec Title"/>
    <w:basedOn w:val="BodyText"/>
    <w:next w:val="Rec"/>
    <w:qFormat/>
    <w:rsid w:val="006C767F"/>
    <w:pPr>
      <w:keepNext/>
      <w:keepLines/>
      <w:spacing w:line="280" w:lineRule="atLeast"/>
    </w:pPr>
    <w:rPr>
      <w:rFonts w:ascii="Arial" w:hAnsi="Arial"/>
      <w:caps/>
      <w:sz w:val="18"/>
    </w:rPr>
  </w:style>
  <w:style w:type="paragraph" w:customStyle="1" w:styleId="FindingTitle">
    <w:name w:val="Finding Title"/>
    <w:basedOn w:val="RecTitle"/>
    <w:next w:val="Finding"/>
    <w:rsid w:val="006C767F"/>
  </w:style>
  <w:style w:type="character" w:styleId="FootnoteReference">
    <w:name w:val="footnote reference"/>
    <w:basedOn w:val="DefaultParagraphFont"/>
    <w:semiHidden/>
    <w:rsid w:val="006C767F"/>
    <w:rPr>
      <w:rFonts w:ascii="Times New Roman" w:hAnsi="Times New Roman"/>
      <w:position w:val="6"/>
      <w:sz w:val="20"/>
      <w:vertAlign w:val="baseline"/>
    </w:rPr>
  </w:style>
  <w:style w:type="paragraph" w:styleId="FootnoteText">
    <w:name w:val="footnote text"/>
    <w:basedOn w:val="BodyText"/>
    <w:link w:val="FootnoteTextChar"/>
    <w:rsid w:val="006C767F"/>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6C767F"/>
    <w:rPr>
      <w:i/>
    </w:rPr>
  </w:style>
  <w:style w:type="paragraph" w:customStyle="1" w:styleId="Jurisdictioncommentsbodytext">
    <w:name w:val="Jurisdiction comments body text"/>
    <w:rsid w:val="006C767F"/>
    <w:pPr>
      <w:spacing w:after="140"/>
      <w:jc w:val="both"/>
    </w:pPr>
    <w:rPr>
      <w:rFonts w:ascii="Arial" w:hAnsi="Arial"/>
      <w:sz w:val="24"/>
      <w:lang w:eastAsia="en-US"/>
    </w:rPr>
  </w:style>
  <w:style w:type="paragraph" w:customStyle="1" w:styleId="Jurisdictioncommentsheading">
    <w:name w:val="Jurisdiction comments heading"/>
    <w:rsid w:val="006C767F"/>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6C767F"/>
    <w:pPr>
      <w:numPr>
        <w:numId w:val="2"/>
      </w:numPr>
      <w:spacing w:after="140"/>
      <w:jc w:val="both"/>
    </w:pPr>
    <w:rPr>
      <w:rFonts w:ascii="Arial" w:hAnsi="Arial"/>
      <w:sz w:val="24"/>
      <w:lang w:eastAsia="en-US"/>
    </w:rPr>
  </w:style>
  <w:style w:type="paragraph" w:styleId="ListBullet">
    <w:name w:val="List Bullet"/>
    <w:basedOn w:val="BodyText"/>
    <w:link w:val="ListBulletChar"/>
    <w:rsid w:val="006C767F"/>
    <w:pPr>
      <w:numPr>
        <w:numId w:val="3"/>
      </w:numPr>
      <w:spacing w:before="120"/>
    </w:pPr>
  </w:style>
  <w:style w:type="paragraph" w:styleId="ListBullet2">
    <w:name w:val="List Bullet 2"/>
    <w:basedOn w:val="BodyText"/>
    <w:rsid w:val="006C767F"/>
    <w:pPr>
      <w:numPr>
        <w:numId w:val="4"/>
      </w:numPr>
      <w:spacing w:before="120"/>
    </w:pPr>
  </w:style>
  <w:style w:type="paragraph" w:styleId="ListBullet3">
    <w:name w:val="List Bullet 3"/>
    <w:basedOn w:val="BodyText"/>
    <w:rsid w:val="006C767F"/>
    <w:pPr>
      <w:numPr>
        <w:numId w:val="5"/>
      </w:numPr>
      <w:spacing w:before="120"/>
      <w:ind w:left="1020" w:hanging="340"/>
    </w:pPr>
  </w:style>
  <w:style w:type="paragraph" w:styleId="ListNumber">
    <w:name w:val="List Number"/>
    <w:basedOn w:val="BodyText"/>
    <w:rsid w:val="006C767F"/>
    <w:pPr>
      <w:numPr>
        <w:numId w:val="9"/>
      </w:numPr>
      <w:spacing w:before="120"/>
    </w:pPr>
  </w:style>
  <w:style w:type="paragraph" w:styleId="ListNumber2">
    <w:name w:val="List Number 2"/>
    <w:basedOn w:val="ListNumber"/>
    <w:rsid w:val="006C767F"/>
    <w:pPr>
      <w:numPr>
        <w:ilvl w:val="1"/>
      </w:numPr>
    </w:pPr>
  </w:style>
  <w:style w:type="paragraph" w:styleId="ListNumber3">
    <w:name w:val="List Number 3"/>
    <w:basedOn w:val="ListNumber2"/>
    <w:rsid w:val="006C767F"/>
    <w:pPr>
      <w:numPr>
        <w:ilvl w:val="2"/>
      </w:numPr>
    </w:pPr>
  </w:style>
  <w:style w:type="character" w:customStyle="1" w:styleId="NoteLabel">
    <w:name w:val="Note Label"/>
    <w:basedOn w:val="DefaultParagraphFont"/>
    <w:rsid w:val="006C767F"/>
    <w:rPr>
      <w:rFonts w:ascii="Arial" w:hAnsi="Arial"/>
      <w:b/>
      <w:position w:val="6"/>
      <w:sz w:val="18"/>
    </w:rPr>
  </w:style>
  <w:style w:type="paragraph" w:customStyle="1" w:styleId="PartDivider">
    <w:name w:val="Part Divider"/>
    <w:basedOn w:val="BodyText"/>
    <w:next w:val="BodyText"/>
    <w:rsid w:val="006C767F"/>
    <w:pPr>
      <w:spacing w:before="0" w:line="40" w:lineRule="exact"/>
      <w:jc w:val="right"/>
    </w:pPr>
    <w:rPr>
      <w:smallCaps/>
      <w:sz w:val="16"/>
    </w:rPr>
  </w:style>
  <w:style w:type="paragraph" w:customStyle="1" w:styleId="PartNumber">
    <w:name w:val="Part Number"/>
    <w:basedOn w:val="BodyText"/>
    <w:next w:val="BodyText"/>
    <w:rsid w:val="006C767F"/>
    <w:pPr>
      <w:spacing w:before="4000" w:line="320" w:lineRule="exact"/>
      <w:ind w:left="6634"/>
      <w:jc w:val="right"/>
    </w:pPr>
    <w:rPr>
      <w:smallCaps/>
      <w:spacing w:val="60"/>
      <w:sz w:val="32"/>
    </w:rPr>
  </w:style>
  <w:style w:type="paragraph" w:customStyle="1" w:styleId="PartTitle">
    <w:name w:val="Part Title"/>
    <w:basedOn w:val="BodyText"/>
    <w:rsid w:val="006C767F"/>
    <w:pPr>
      <w:spacing w:before="160" w:after="1360" w:line="520" w:lineRule="exact"/>
      <w:ind w:right="2381"/>
      <w:jc w:val="right"/>
    </w:pPr>
    <w:rPr>
      <w:smallCaps/>
      <w:sz w:val="52"/>
    </w:rPr>
  </w:style>
  <w:style w:type="paragraph" w:styleId="Quote">
    <w:name w:val="Quote"/>
    <w:basedOn w:val="BodyText"/>
    <w:next w:val="BodyText"/>
    <w:qFormat/>
    <w:rsid w:val="006C767F"/>
    <w:pPr>
      <w:spacing w:before="120" w:line="280" w:lineRule="exact"/>
      <w:ind w:left="340"/>
    </w:pPr>
    <w:rPr>
      <w:sz w:val="22"/>
    </w:rPr>
  </w:style>
  <w:style w:type="paragraph" w:customStyle="1" w:styleId="QuoteBullet">
    <w:name w:val="Quote Bullet"/>
    <w:basedOn w:val="Quote"/>
    <w:rsid w:val="006C767F"/>
    <w:pPr>
      <w:numPr>
        <w:numId w:val="6"/>
      </w:numPr>
    </w:pPr>
  </w:style>
  <w:style w:type="paragraph" w:customStyle="1" w:styleId="Rec">
    <w:name w:val="Rec"/>
    <w:basedOn w:val="BodyText"/>
    <w:qFormat/>
    <w:rsid w:val="006C767F"/>
    <w:pPr>
      <w:keepLines/>
      <w:spacing w:before="120" w:line="280" w:lineRule="atLeast"/>
    </w:pPr>
    <w:rPr>
      <w:rFonts w:ascii="Arial" w:hAnsi="Arial"/>
      <w:sz w:val="22"/>
    </w:rPr>
  </w:style>
  <w:style w:type="paragraph" w:customStyle="1" w:styleId="RecBullet">
    <w:name w:val="Rec Bullet"/>
    <w:basedOn w:val="Rec"/>
    <w:rsid w:val="006C767F"/>
    <w:pPr>
      <w:numPr>
        <w:numId w:val="17"/>
      </w:numPr>
      <w:spacing w:before="80"/>
    </w:pPr>
  </w:style>
  <w:style w:type="paragraph" w:customStyle="1" w:styleId="RecB">
    <w:name w:val="RecB"/>
    <w:basedOn w:val="Normal"/>
    <w:semiHidden/>
    <w:rsid w:val="006C767F"/>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6C767F"/>
    <w:pPr>
      <w:numPr>
        <w:numId w:val="11"/>
      </w:numPr>
      <w:spacing w:before="80"/>
    </w:pPr>
  </w:style>
  <w:style w:type="paragraph" w:customStyle="1" w:styleId="RecBNoTitle">
    <w:name w:val="RecB NoTitle"/>
    <w:basedOn w:val="RecB"/>
    <w:semiHidden/>
    <w:rsid w:val="006C767F"/>
    <w:pPr>
      <w:spacing w:before="240"/>
    </w:pPr>
  </w:style>
  <w:style w:type="paragraph" w:customStyle="1" w:styleId="Reference">
    <w:name w:val="Reference"/>
    <w:basedOn w:val="BodyText"/>
    <w:rsid w:val="006C767F"/>
    <w:pPr>
      <w:spacing w:before="120"/>
      <w:ind w:left="340" w:hanging="340"/>
    </w:pPr>
  </w:style>
  <w:style w:type="paragraph" w:customStyle="1" w:styleId="SequenceInfo">
    <w:name w:val="Sequence Info"/>
    <w:basedOn w:val="BodyText"/>
    <w:semiHidden/>
    <w:rsid w:val="006C767F"/>
    <w:rPr>
      <w:vanish/>
      <w:sz w:val="16"/>
    </w:rPr>
  </w:style>
  <w:style w:type="paragraph" w:customStyle="1" w:styleId="SideNote">
    <w:name w:val="Side Note"/>
    <w:basedOn w:val="BodyText"/>
    <w:next w:val="BodyText"/>
    <w:semiHidden/>
    <w:rsid w:val="006C767F"/>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6C767F"/>
    <w:pPr>
      <w:framePr w:wrap="around"/>
      <w:numPr>
        <w:numId w:val="7"/>
      </w:numPr>
      <w:tabs>
        <w:tab w:val="left" w:pos="227"/>
      </w:tabs>
    </w:pPr>
  </w:style>
  <w:style w:type="paragraph" w:customStyle="1" w:styleId="SideNoteGraphic">
    <w:name w:val="Side Note Graphic"/>
    <w:basedOn w:val="SideNote"/>
    <w:next w:val="BodyText"/>
    <w:semiHidden/>
    <w:rsid w:val="006C767F"/>
    <w:pPr>
      <w:framePr w:wrap="around"/>
    </w:pPr>
  </w:style>
  <w:style w:type="paragraph" w:customStyle="1" w:styleId="TableBodyText">
    <w:name w:val="Table Body Text"/>
    <w:basedOn w:val="BodyText"/>
    <w:rsid w:val="006C767F"/>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6C767F"/>
    <w:pPr>
      <w:numPr>
        <w:numId w:val="8"/>
      </w:numPr>
      <w:jc w:val="left"/>
    </w:pPr>
  </w:style>
  <w:style w:type="paragraph" w:customStyle="1" w:styleId="TableColumnHeading">
    <w:name w:val="Table Column Heading"/>
    <w:basedOn w:val="TableBodyText"/>
    <w:rsid w:val="006C767F"/>
    <w:pPr>
      <w:spacing w:before="80" w:after="80"/>
    </w:pPr>
    <w:rPr>
      <w:i/>
    </w:rPr>
  </w:style>
  <w:style w:type="paragraph" w:styleId="TOC2">
    <w:name w:val="toc 2"/>
    <w:basedOn w:val="TOC1"/>
    <w:rsid w:val="006C767F"/>
    <w:pPr>
      <w:ind w:left="1134" w:hanging="624"/>
    </w:pPr>
    <w:rPr>
      <w:b w:val="0"/>
    </w:rPr>
  </w:style>
  <w:style w:type="paragraph" w:styleId="TOC3">
    <w:name w:val="toc 3"/>
    <w:basedOn w:val="TOC2"/>
    <w:rsid w:val="006C767F"/>
    <w:pPr>
      <w:spacing w:before="60"/>
      <w:ind w:left="1190" w:hanging="680"/>
    </w:pPr>
  </w:style>
  <w:style w:type="paragraph" w:styleId="TableofFigures">
    <w:name w:val="table of figures"/>
    <w:basedOn w:val="TOC3"/>
    <w:next w:val="BodyText"/>
    <w:semiHidden/>
    <w:rsid w:val="006C767F"/>
    <w:pPr>
      <w:ind w:left="737" w:hanging="737"/>
    </w:pPr>
  </w:style>
  <w:style w:type="paragraph" w:customStyle="1" w:styleId="TableTitle">
    <w:name w:val="Table Title"/>
    <w:basedOn w:val="Caption"/>
    <w:next w:val="Subtitle"/>
    <w:qFormat/>
    <w:rsid w:val="006C767F"/>
    <w:pPr>
      <w:spacing w:before="120"/>
    </w:pPr>
  </w:style>
  <w:style w:type="paragraph" w:customStyle="1" w:styleId="TableUnitsRow">
    <w:name w:val="Table Units Row"/>
    <w:basedOn w:val="TableBodyText"/>
    <w:rsid w:val="006C767F"/>
    <w:pPr>
      <w:spacing w:before="40"/>
    </w:pPr>
  </w:style>
  <w:style w:type="paragraph" w:styleId="TOC1">
    <w:name w:val="toc 1"/>
    <w:basedOn w:val="Normal"/>
    <w:next w:val="TOC2"/>
    <w:link w:val="TOC1Char"/>
    <w:rsid w:val="006C767F"/>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6C767F"/>
    <w:pPr>
      <w:ind w:left="1191" w:firstLine="0"/>
    </w:pPr>
  </w:style>
  <w:style w:type="paragraph" w:customStyle="1" w:styleId="RecBBullet2">
    <w:name w:val="RecB Bullet 2"/>
    <w:basedOn w:val="ListBullet2"/>
    <w:semiHidden/>
    <w:rsid w:val="006C767F"/>
    <w:pPr>
      <w:pBdr>
        <w:left w:val="single" w:sz="24" w:space="29" w:color="C0C0C0"/>
      </w:pBdr>
    </w:pPr>
    <w:rPr>
      <w:b/>
      <w:i/>
    </w:rPr>
  </w:style>
  <w:style w:type="paragraph" w:styleId="BalloonText">
    <w:name w:val="Balloon Text"/>
    <w:basedOn w:val="Normal"/>
    <w:link w:val="BalloonTextChar"/>
    <w:rsid w:val="006C767F"/>
    <w:rPr>
      <w:rFonts w:ascii="Tahoma" w:hAnsi="Tahoma" w:cs="Tahoma"/>
      <w:sz w:val="16"/>
      <w:szCs w:val="16"/>
    </w:rPr>
  </w:style>
  <w:style w:type="character" w:customStyle="1" w:styleId="BalloonTextChar">
    <w:name w:val="Balloon Text Char"/>
    <w:basedOn w:val="DefaultParagraphFont"/>
    <w:link w:val="BalloonText"/>
    <w:rsid w:val="006C767F"/>
    <w:rPr>
      <w:rFonts w:ascii="Tahoma" w:hAnsi="Tahoma" w:cs="Tahoma"/>
      <w:sz w:val="16"/>
      <w:szCs w:val="16"/>
    </w:rPr>
  </w:style>
  <w:style w:type="character" w:customStyle="1" w:styleId="SubtitleChar">
    <w:name w:val="Subtitle Char"/>
    <w:basedOn w:val="DefaultParagraphFont"/>
    <w:link w:val="Subtitle"/>
    <w:rsid w:val="006C767F"/>
    <w:rPr>
      <w:rFonts w:ascii="Arial" w:hAnsi="Arial"/>
      <w:szCs w:val="24"/>
    </w:rPr>
  </w:style>
  <w:style w:type="paragraph" w:customStyle="1" w:styleId="BoxListBullet3">
    <w:name w:val="Box List Bullet 3"/>
    <w:basedOn w:val="ListBullet3"/>
    <w:rsid w:val="006C767F"/>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6C767F"/>
    <w:rPr>
      <w:i/>
      <w:iCs/>
    </w:rPr>
  </w:style>
  <w:style w:type="paragraph" w:customStyle="1" w:styleId="BoxQuoteBullet">
    <w:name w:val="Box Quote Bullet"/>
    <w:basedOn w:val="BoxQuote"/>
    <w:next w:val="Box"/>
    <w:rsid w:val="006C767F"/>
    <w:pPr>
      <w:numPr>
        <w:numId w:val="12"/>
      </w:numPr>
      <w:ind w:left="568" w:hanging="284"/>
    </w:pPr>
  </w:style>
  <w:style w:type="paragraph" w:customStyle="1" w:styleId="InformationRequestBullet">
    <w:name w:val="Information Request Bullet"/>
    <w:basedOn w:val="ListBullet"/>
    <w:next w:val="BodyText"/>
    <w:rsid w:val="006C767F"/>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6C767F"/>
    <w:pPr>
      <w:keepNext w:val="0"/>
      <w:spacing w:before="60" w:after="60" w:line="80" w:lineRule="exact"/>
    </w:pPr>
    <w:rPr>
      <w:sz w:val="14"/>
    </w:rPr>
  </w:style>
  <w:style w:type="paragraph" w:customStyle="1" w:styleId="KeyPointsListBullet">
    <w:name w:val="Key Points List Bullet"/>
    <w:basedOn w:val="Normal"/>
    <w:qFormat/>
    <w:rsid w:val="006C767F"/>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6C767F"/>
    <w:pPr>
      <w:numPr>
        <w:numId w:val="21"/>
      </w:numPr>
      <w:ind w:left="568" w:hanging="284"/>
    </w:pPr>
  </w:style>
  <w:style w:type="paragraph" w:customStyle="1" w:styleId="InformationRequestTitle">
    <w:name w:val="Information Request Title"/>
    <w:basedOn w:val="FindingTitle"/>
    <w:next w:val="InformationRequest"/>
    <w:rsid w:val="006C767F"/>
    <w:rPr>
      <w:i/>
    </w:rPr>
  </w:style>
  <w:style w:type="paragraph" w:customStyle="1" w:styleId="Space">
    <w:name w:val="Space"/>
    <w:basedOn w:val="Normal"/>
    <w:rsid w:val="006C767F"/>
    <w:pPr>
      <w:keepNext/>
      <w:spacing w:line="120" w:lineRule="exact"/>
      <w:jc w:val="both"/>
    </w:pPr>
    <w:rPr>
      <w:rFonts w:ascii="Arial" w:hAnsi="Arial"/>
      <w:sz w:val="20"/>
      <w:szCs w:val="20"/>
    </w:rPr>
  </w:style>
  <w:style w:type="paragraph" w:customStyle="1" w:styleId="Heading1nochapterno">
    <w:name w:val="Heading 1 (no chapter no.)"/>
    <w:basedOn w:val="Heading1"/>
    <w:rsid w:val="006C767F"/>
    <w:pPr>
      <w:spacing w:before="0"/>
      <w:ind w:left="0" w:firstLine="0"/>
    </w:pPr>
  </w:style>
  <w:style w:type="paragraph" w:customStyle="1" w:styleId="Heading2nosectionno">
    <w:name w:val="Heading 2 (no section no.)"/>
    <w:basedOn w:val="Heading2"/>
    <w:rsid w:val="006C767F"/>
    <w:pPr>
      <w:ind w:left="0" w:firstLine="0"/>
    </w:pPr>
  </w:style>
  <w:style w:type="character" w:customStyle="1" w:styleId="Heading5Char">
    <w:name w:val="Heading 5 Char"/>
    <w:basedOn w:val="DefaultParagraphFont"/>
    <w:link w:val="Heading5"/>
    <w:rsid w:val="006C767F"/>
    <w:rPr>
      <w:rFonts w:ascii="Arial" w:hAnsi="Arial"/>
      <w:i/>
      <w:sz w:val="22"/>
    </w:rPr>
  </w:style>
  <w:style w:type="paragraph" w:customStyle="1" w:styleId="Figurespace">
    <w:name w:val="Figure space"/>
    <w:basedOn w:val="Box"/>
    <w:rsid w:val="006C767F"/>
    <w:pPr>
      <w:spacing w:before="0" w:line="120" w:lineRule="exact"/>
    </w:pPr>
  </w:style>
  <w:style w:type="paragraph" w:customStyle="1" w:styleId="FooterDraftReport">
    <w:name w:val="FooterDraftReport"/>
    <w:basedOn w:val="Footer"/>
    <w:link w:val="FooterDraftReportChar"/>
    <w:rsid w:val="006C767F"/>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6C767F"/>
    <w:rPr>
      <w:sz w:val="24"/>
    </w:rPr>
  </w:style>
  <w:style w:type="character" w:customStyle="1" w:styleId="FooterChar">
    <w:name w:val="Footer Char"/>
    <w:basedOn w:val="BodyTextChar"/>
    <w:link w:val="Footer"/>
    <w:semiHidden/>
    <w:rsid w:val="006C767F"/>
    <w:rPr>
      <w:rFonts w:ascii="Arial" w:hAnsi="Arial"/>
      <w:caps/>
      <w:spacing w:val="-4"/>
      <w:sz w:val="16"/>
    </w:rPr>
  </w:style>
  <w:style w:type="character" w:customStyle="1" w:styleId="FooterDraftReportChar">
    <w:name w:val="FooterDraftReport Char"/>
    <w:basedOn w:val="FooterChar"/>
    <w:link w:val="FooterDraftReport"/>
    <w:rsid w:val="006C767F"/>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C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6C767F"/>
    <w:rPr>
      <w:rFonts w:ascii="Arial" w:hAnsi="Arial"/>
      <w:b/>
      <w:sz w:val="26"/>
      <w:szCs w:val="26"/>
      <w:lang w:eastAsia="en-US"/>
    </w:rPr>
  </w:style>
  <w:style w:type="character" w:customStyle="1" w:styleId="Continuedintitle">
    <w:name w:val="Continued (in title)"/>
    <w:basedOn w:val="DefaultParagraphFont"/>
    <w:rsid w:val="006C767F"/>
    <w:rPr>
      <w:rFonts w:ascii="Arial" w:hAnsi="Arial"/>
      <w:b/>
      <w:sz w:val="18"/>
    </w:rPr>
  </w:style>
  <w:style w:type="paragraph" w:styleId="CommentSubject">
    <w:name w:val="annotation subject"/>
    <w:basedOn w:val="CommentText"/>
    <w:next w:val="CommentText"/>
    <w:link w:val="CommentSubjectChar"/>
    <w:semiHidden/>
    <w:unhideWhenUsed/>
    <w:rsid w:val="004D5A0C"/>
    <w:pPr>
      <w:spacing w:before="0" w:line="240" w:lineRule="auto"/>
      <w:ind w:left="0" w:firstLine="0"/>
    </w:pPr>
    <w:rPr>
      <w:b/>
      <w:bCs/>
      <w:szCs w:val="20"/>
    </w:rPr>
  </w:style>
  <w:style w:type="character" w:customStyle="1" w:styleId="CommentTextChar">
    <w:name w:val="Comment Text Char"/>
    <w:basedOn w:val="DefaultParagraphFont"/>
    <w:link w:val="CommentText"/>
    <w:qFormat/>
    <w:rsid w:val="004D5A0C"/>
    <w:rPr>
      <w:szCs w:val="24"/>
    </w:rPr>
  </w:style>
  <w:style w:type="character" w:customStyle="1" w:styleId="CommentSubjectChar">
    <w:name w:val="Comment Subject Char"/>
    <w:basedOn w:val="CommentTextChar"/>
    <w:link w:val="CommentSubject"/>
    <w:semiHidden/>
    <w:rsid w:val="004D5A0C"/>
    <w:rPr>
      <w:b/>
      <w:bCs/>
      <w:szCs w:val="24"/>
    </w:rPr>
  </w:style>
  <w:style w:type="paragraph" w:styleId="ListParagraph">
    <w:name w:val="List Paragraph"/>
    <w:basedOn w:val="Normal"/>
    <w:uiPriority w:val="34"/>
    <w:qFormat/>
    <w:rsid w:val="00FA0A5F"/>
    <w:pPr>
      <w:ind w:left="720"/>
    </w:pPr>
    <w:rPr>
      <w:rFonts w:ascii="Calibri" w:eastAsiaTheme="minorHAnsi" w:hAnsi="Calibri" w:cs="Calibri"/>
      <w:sz w:val="22"/>
      <w:szCs w:val="22"/>
      <w:lang w:eastAsia="en-US"/>
    </w:rPr>
  </w:style>
  <w:style w:type="character" w:styleId="Hyperlink">
    <w:name w:val="Hyperlink"/>
    <w:basedOn w:val="DefaultParagraphFont"/>
    <w:unhideWhenUsed/>
    <w:rsid w:val="00DD7B87"/>
    <w:rPr>
      <w:color w:val="000000" w:themeColor="hyperlink"/>
      <w:u w:val="single"/>
    </w:rPr>
  </w:style>
  <w:style w:type="paragraph" w:customStyle="1" w:styleId="Default">
    <w:name w:val="Default"/>
    <w:rsid w:val="00C3023F"/>
    <w:pPr>
      <w:autoSpaceDE w:val="0"/>
      <w:autoSpaceDN w:val="0"/>
      <w:adjustRightInd w:val="0"/>
    </w:pPr>
    <w:rPr>
      <w:color w:val="000000"/>
      <w:sz w:val="24"/>
      <w:szCs w:val="24"/>
    </w:rPr>
  </w:style>
  <w:style w:type="character" w:styleId="FollowedHyperlink">
    <w:name w:val="FollowedHyperlink"/>
    <w:basedOn w:val="DefaultParagraphFont"/>
    <w:semiHidden/>
    <w:unhideWhenUsed/>
    <w:rsid w:val="008E3346"/>
    <w:rPr>
      <w:color w:val="BFBFBF" w:themeColor="followedHyperlink"/>
      <w:u w:val="single"/>
    </w:rPr>
  </w:style>
  <w:style w:type="paragraph" w:styleId="NormalWeb">
    <w:name w:val="Normal (Web)"/>
    <w:basedOn w:val="Normal"/>
    <w:uiPriority w:val="99"/>
    <w:unhideWhenUsed/>
    <w:rsid w:val="005175B4"/>
    <w:pPr>
      <w:spacing w:before="100" w:beforeAutospacing="1" w:after="100" w:afterAutospacing="1"/>
    </w:pPr>
  </w:style>
  <w:style w:type="character" w:customStyle="1" w:styleId="2kscl">
    <w:name w:val="_2kscl"/>
    <w:basedOn w:val="DefaultParagraphFont"/>
    <w:rsid w:val="005175B4"/>
  </w:style>
  <w:style w:type="character" w:customStyle="1" w:styleId="7uem">
    <w:name w:val="_7uem_"/>
    <w:basedOn w:val="DefaultParagraphFont"/>
    <w:rsid w:val="005175B4"/>
  </w:style>
  <w:style w:type="character" w:customStyle="1" w:styleId="1wws6">
    <w:name w:val="_1wws6"/>
    <w:basedOn w:val="DefaultParagraphFont"/>
    <w:rsid w:val="005175B4"/>
  </w:style>
  <w:style w:type="character" w:customStyle="1" w:styleId="u73rp">
    <w:name w:val="u73rp"/>
    <w:basedOn w:val="DefaultParagraphFont"/>
    <w:rsid w:val="005175B4"/>
  </w:style>
  <w:style w:type="character" w:customStyle="1" w:styleId="ct-label">
    <w:name w:val="ct-label"/>
    <w:basedOn w:val="DefaultParagraphFont"/>
    <w:rsid w:val="005175B4"/>
  </w:style>
  <w:style w:type="character" w:customStyle="1" w:styleId="FootnoteTextChar">
    <w:name w:val="Footnote Text Char"/>
    <w:basedOn w:val="DefaultParagraphFont"/>
    <w:link w:val="FootnoteText"/>
    <w:rsid w:val="005F1326"/>
  </w:style>
  <w:style w:type="character" w:customStyle="1" w:styleId="Heading4Char">
    <w:name w:val="Heading 4 Char"/>
    <w:basedOn w:val="DefaultParagraphFont"/>
    <w:link w:val="Heading4"/>
    <w:rsid w:val="0088223D"/>
    <w:rPr>
      <w:rFonts w:ascii="Arial" w:hAnsi="Arial"/>
      <w:sz w:val="24"/>
    </w:rPr>
  </w:style>
  <w:style w:type="paragraph" w:styleId="Revision">
    <w:name w:val="Revision"/>
    <w:hidden/>
    <w:uiPriority w:val="99"/>
    <w:semiHidden/>
    <w:rsid w:val="003866E8"/>
    <w:rPr>
      <w:sz w:val="24"/>
      <w:szCs w:val="24"/>
    </w:rPr>
  </w:style>
  <w:style w:type="paragraph" w:styleId="Date">
    <w:name w:val="Date"/>
    <w:next w:val="Normal"/>
    <w:link w:val="DateChar"/>
    <w:uiPriority w:val="99"/>
    <w:unhideWhenUsed/>
    <w:rsid w:val="00255A0B"/>
    <w:pPr>
      <w:spacing w:after="120" w:line="259" w:lineRule="auto"/>
      <w:ind w:left="1843"/>
    </w:pPr>
    <w:rPr>
      <w:rFonts w:ascii="Arial" w:eastAsiaTheme="minorHAnsi" w:hAnsi="Arial" w:cstheme="minorBidi"/>
      <w:color w:val="FFFFFF" w:themeColor="background1"/>
      <w:sz w:val="24"/>
      <w:szCs w:val="24"/>
      <w:lang w:eastAsia="en-US"/>
    </w:rPr>
  </w:style>
  <w:style w:type="character" w:customStyle="1" w:styleId="DateChar">
    <w:name w:val="Date Char"/>
    <w:basedOn w:val="DefaultParagraphFont"/>
    <w:link w:val="Date"/>
    <w:uiPriority w:val="99"/>
    <w:rsid w:val="00255A0B"/>
    <w:rPr>
      <w:rFonts w:ascii="Arial" w:eastAsiaTheme="minorHAnsi" w:hAnsi="Arial" w:cstheme="minorBidi"/>
      <w:color w:val="FFFFFF" w:themeColor="background1"/>
      <w:sz w:val="24"/>
      <w:szCs w:val="24"/>
      <w:lang w:eastAsia="en-US"/>
    </w:rPr>
  </w:style>
  <w:style w:type="paragraph" w:styleId="Bibliography">
    <w:name w:val="Bibliography"/>
    <w:basedOn w:val="Normal"/>
    <w:next w:val="Normal"/>
    <w:uiPriority w:val="37"/>
    <w:unhideWhenUsed/>
    <w:rsid w:val="00931D57"/>
    <w:pPr>
      <w:spacing w:after="240"/>
      <w:ind w:left="720" w:hanging="720"/>
    </w:pPr>
  </w:style>
  <w:style w:type="character" w:customStyle="1" w:styleId="Mention1">
    <w:name w:val="Mention1"/>
    <w:basedOn w:val="DefaultParagraphFont"/>
    <w:uiPriority w:val="99"/>
    <w:unhideWhenUsed/>
    <w:rsid w:val="00931D57"/>
    <w:rPr>
      <w:color w:val="2B579A"/>
      <w:shd w:val="clear" w:color="auto" w:fill="E1DFDD"/>
    </w:rPr>
  </w:style>
  <w:style w:type="character" w:customStyle="1" w:styleId="UnresolvedMention1">
    <w:name w:val="Unresolved Mention1"/>
    <w:basedOn w:val="DefaultParagraphFont"/>
    <w:uiPriority w:val="99"/>
    <w:semiHidden/>
    <w:unhideWhenUsed/>
    <w:rsid w:val="00931D57"/>
    <w:rPr>
      <w:color w:val="605E5C"/>
      <w:shd w:val="clear" w:color="auto" w:fill="E1DFDD"/>
    </w:rPr>
  </w:style>
  <w:style w:type="character" w:styleId="EndnoteReference">
    <w:name w:val="endnote reference"/>
    <w:basedOn w:val="DefaultParagraphFont"/>
    <w:semiHidden/>
    <w:unhideWhenUsed/>
    <w:rsid w:val="00931D57"/>
    <w:rPr>
      <w:vertAlign w:val="superscript"/>
    </w:rPr>
  </w:style>
  <w:style w:type="character" w:customStyle="1" w:styleId="Heading2Char">
    <w:name w:val="Heading 2 Char"/>
    <w:basedOn w:val="DefaultParagraphFont"/>
    <w:link w:val="Heading2"/>
    <w:rsid w:val="00931D57"/>
    <w:rPr>
      <w:rFonts w:ascii="Arial" w:hAnsi="Arial"/>
      <w:b/>
      <w:sz w:val="32"/>
    </w:rPr>
  </w:style>
  <w:style w:type="character" w:customStyle="1" w:styleId="Heading1Char">
    <w:name w:val="Heading 1 Char"/>
    <w:basedOn w:val="DefaultParagraphFont"/>
    <w:link w:val="Heading1"/>
    <w:rsid w:val="00931D57"/>
    <w:rPr>
      <w:sz w:val="52"/>
    </w:rPr>
  </w:style>
  <w:style w:type="character" w:customStyle="1" w:styleId="ListBulletChar">
    <w:name w:val="List Bullet Char"/>
    <w:basedOn w:val="DefaultParagraphFont"/>
    <w:link w:val="ListBullet"/>
    <w:rsid w:val="00931D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0621">
      <w:bodyDiv w:val="1"/>
      <w:marLeft w:val="0"/>
      <w:marRight w:val="0"/>
      <w:marTop w:val="0"/>
      <w:marBottom w:val="0"/>
      <w:divBdr>
        <w:top w:val="none" w:sz="0" w:space="0" w:color="auto"/>
        <w:left w:val="none" w:sz="0" w:space="0" w:color="auto"/>
        <w:bottom w:val="none" w:sz="0" w:space="0" w:color="auto"/>
        <w:right w:val="none" w:sz="0" w:space="0" w:color="auto"/>
      </w:divBdr>
    </w:div>
    <w:div w:id="134103357">
      <w:bodyDiv w:val="1"/>
      <w:marLeft w:val="0"/>
      <w:marRight w:val="0"/>
      <w:marTop w:val="0"/>
      <w:marBottom w:val="0"/>
      <w:divBdr>
        <w:top w:val="none" w:sz="0" w:space="0" w:color="auto"/>
        <w:left w:val="none" w:sz="0" w:space="0" w:color="auto"/>
        <w:bottom w:val="none" w:sz="0" w:space="0" w:color="auto"/>
        <w:right w:val="none" w:sz="0" w:space="0" w:color="auto"/>
      </w:divBdr>
    </w:div>
    <w:div w:id="351685998">
      <w:bodyDiv w:val="1"/>
      <w:marLeft w:val="0"/>
      <w:marRight w:val="0"/>
      <w:marTop w:val="0"/>
      <w:marBottom w:val="0"/>
      <w:divBdr>
        <w:top w:val="none" w:sz="0" w:space="0" w:color="auto"/>
        <w:left w:val="none" w:sz="0" w:space="0" w:color="auto"/>
        <w:bottom w:val="none" w:sz="0" w:space="0" w:color="auto"/>
        <w:right w:val="none" w:sz="0" w:space="0" w:color="auto"/>
      </w:divBdr>
    </w:div>
    <w:div w:id="453064665">
      <w:bodyDiv w:val="1"/>
      <w:marLeft w:val="0"/>
      <w:marRight w:val="0"/>
      <w:marTop w:val="0"/>
      <w:marBottom w:val="0"/>
      <w:divBdr>
        <w:top w:val="none" w:sz="0" w:space="0" w:color="auto"/>
        <w:left w:val="none" w:sz="0" w:space="0" w:color="auto"/>
        <w:bottom w:val="none" w:sz="0" w:space="0" w:color="auto"/>
        <w:right w:val="none" w:sz="0" w:space="0" w:color="auto"/>
      </w:divBdr>
      <w:divsChild>
        <w:div w:id="227111856">
          <w:marLeft w:val="0"/>
          <w:marRight w:val="0"/>
          <w:marTop w:val="0"/>
          <w:marBottom w:val="720"/>
          <w:divBdr>
            <w:top w:val="none" w:sz="0" w:space="0" w:color="auto"/>
            <w:left w:val="none" w:sz="0" w:space="0" w:color="auto"/>
            <w:bottom w:val="none" w:sz="0" w:space="0" w:color="auto"/>
            <w:right w:val="none" w:sz="0" w:space="0" w:color="auto"/>
          </w:divBdr>
          <w:divsChild>
            <w:div w:id="160239225">
              <w:marLeft w:val="0"/>
              <w:marRight w:val="0"/>
              <w:marTop w:val="0"/>
              <w:marBottom w:val="0"/>
              <w:divBdr>
                <w:top w:val="none" w:sz="0" w:space="0" w:color="auto"/>
                <w:left w:val="single" w:sz="6" w:space="18" w:color="D4D4D4"/>
                <w:bottom w:val="single" w:sz="6" w:space="0" w:color="D4D4D4"/>
                <w:right w:val="single" w:sz="6" w:space="0" w:color="D4D4D4"/>
              </w:divBdr>
              <w:divsChild>
                <w:div w:id="780613990">
                  <w:marLeft w:val="0"/>
                  <w:marRight w:val="0"/>
                  <w:marTop w:val="0"/>
                  <w:marBottom w:val="0"/>
                  <w:divBdr>
                    <w:top w:val="none" w:sz="0" w:space="0" w:color="auto"/>
                    <w:left w:val="none" w:sz="0" w:space="0" w:color="auto"/>
                    <w:bottom w:val="none" w:sz="0" w:space="0" w:color="auto"/>
                    <w:right w:val="none" w:sz="0" w:space="0" w:color="auto"/>
                  </w:divBdr>
                  <w:divsChild>
                    <w:div w:id="2129546470">
                      <w:marLeft w:val="0"/>
                      <w:marRight w:val="0"/>
                      <w:marTop w:val="0"/>
                      <w:marBottom w:val="120"/>
                      <w:divBdr>
                        <w:top w:val="none" w:sz="0" w:space="0" w:color="auto"/>
                        <w:left w:val="none" w:sz="0" w:space="0" w:color="auto"/>
                        <w:bottom w:val="none" w:sz="0" w:space="0" w:color="auto"/>
                        <w:right w:val="none" w:sz="0" w:space="0" w:color="auto"/>
                      </w:divBdr>
                      <w:divsChild>
                        <w:div w:id="12121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86669">
              <w:marLeft w:val="0"/>
              <w:marRight w:val="0"/>
              <w:marTop w:val="0"/>
              <w:marBottom w:val="0"/>
              <w:divBdr>
                <w:top w:val="none" w:sz="0" w:space="0" w:color="auto"/>
                <w:left w:val="single" w:sz="6" w:space="18" w:color="D4D4D4"/>
                <w:bottom w:val="single" w:sz="6" w:space="0" w:color="D4D4D4"/>
                <w:right w:val="single" w:sz="6" w:space="0" w:color="D4D4D4"/>
              </w:divBdr>
              <w:divsChild>
                <w:div w:id="1437679581">
                  <w:marLeft w:val="0"/>
                  <w:marRight w:val="0"/>
                  <w:marTop w:val="0"/>
                  <w:marBottom w:val="0"/>
                  <w:divBdr>
                    <w:top w:val="none" w:sz="0" w:space="0" w:color="auto"/>
                    <w:left w:val="none" w:sz="0" w:space="0" w:color="auto"/>
                    <w:bottom w:val="none" w:sz="0" w:space="0" w:color="auto"/>
                    <w:right w:val="none" w:sz="0" w:space="0" w:color="auto"/>
                  </w:divBdr>
                  <w:divsChild>
                    <w:div w:id="661086510">
                      <w:marLeft w:val="0"/>
                      <w:marRight w:val="0"/>
                      <w:marTop w:val="0"/>
                      <w:marBottom w:val="120"/>
                      <w:divBdr>
                        <w:top w:val="none" w:sz="0" w:space="0" w:color="auto"/>
                        <w:left w:val="none" w:sz="0" w:space="0" w:color="auto"/>
                        <w:bottom w:val="none" w:sz="0" w:space="0" w:color="auto"/>
                        <w:right w:val="none" w:sz="0" w:space="0" w:color="auto"/>
                      </w:divBdr>
                      <w:divsChild>
                        <w:div w:id="13728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81062">
              <w:marLeft w:val="0"/>
              <w:marRight w:val="0"/>
              <w:marTop w:val="0"/>
              <w:marBottom w:val="0"/>
              <w:divBdr>
                <w:top w:val="single" w:sz="6" w:space="0" w:color="D4D4D4"/>
                <w:left w:val="single" w:sz="6" w:space="18" w:color="D4D4D4"/>
                <w:bottom w:val="single" w:sz="6" w:space="0" w:color="D4D4D4"/>
                <w:right w:val="single" w:sz="6" w:space="0" w:color="D4D4D4"/>
              </w:divBdr>
              <w:divsChild>
                <w:div w:id="439835946">
                  <w:marLeft w:val="0"/>
                  <w:marRight w:val="0"/>
                  <w:marTop w:val="0"/>
                  <w:marBottom w:val="0"/>
                  <w:divBdr>
                    <w:top w:val="none" w:sz="0" w:space="0" w:color="auto"/>
                    <w:left w:val="none" w:sz="0" w:space="0" w:color="auto"/>
                    <w:bottom w:val="none" w:sz="0" w:space="0" w:color="auto"/>
                    <w:right w:val="none" w:sz="0" w:space="0" w:color="auto"/>
                  </w:divBdr>
                  <w:divsChild>
                    <w:div w:id="1483039258">
                      <w:marLeft w:val="0"/>
                      <w:marRight w:val="0"/>
                      <w:marTop w:val="0"/>
                      <w:marBottom w:val="120"/>
                      <w:divBdr>
                        <w:top w:val="none" w:sz="0" w:space="0" w:color="auto"/>
                        <w:left w:val="none" w:sz="0" w:space="0" w:color="auto"/>
                        <w:bottom w:val="none" w:sz="0" w:space="0" w:color="auto"/>
                        <w:right w:val="none" w:sz="0" w:space="0" w:color="auto"/>
                      </w:divBdr>
                      <w:divsChild>
                        <w:div w:id="44989549">
                          <w:marLeft w:val="0"/>
                          <w:marRight w:val="0"/>
                          <w:marTop w:val="0"/>
                          <w:marBottom w:val="0"/>
                          <w:divBdr>
                            <w:top w:val="none" w:sz="0" w:space="0" w:color="auto"/>
                            <w:left w:val="none" w:sz="0" w:space="0" w:color="auto"/>
                            <w:bottom w:val="none" w:sz="0" w:space="0" w:color="auto"/>
                            <w:right w:val="none" w:sz="0" w:space="0" w:color="auto"/>
                          </w:divBdr>
                        </w:div>
                        <w:div w:id="3112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62460">
              <w:marLeft w:val="0"/>
              <w:marRight w:val="0"/>
              <w:marTop w:val="0"/>
              <w:marBottom w:val="0"/>
              <w:divBdr>
                <w:top w:val="none" w:sz="0" w:space="0" w:color="auto"/>
                <w:left w:val="single" w:sz="6" w:space="18" w:color="D4D4D4"/>
                <w:bottom w:val="single" w:sz="6" w:space="0" w:color="D4D4D4"/>
                <w:right w:val="single" w:sz="6" w:space="0" w:color="D4D4D4"/>
              </w:divBdr>
              <w:divsChild>
                <w:div w:id="511801388">
                  <w:marLeft w:val="0"/>
                  <w:marRight w:val="0"/>
                  <w:marTop w:val="0"/>
                  <w:marBottom w:val="0"/>
                  <w:divBdr>
                    <w:top w:val="none" w:sz="0" w:space="0" w:color="auto"/>
                    <w:left w:val="none" w:sz="0" w:space="0" w:color="auto"/>
                    <w:bottom w:val="none" w:sz="0" w:space="0" w:color="auto"/>
                    <w:right w:val="none" w:sz="0" w:space="0" w:color="auto"/>
                  </w:divBdr>
                  <w:divsChild>
                    <w:div w:id="875309690">
                      <w:marLeft w:val="0"/>
                      <w:marRight w:val="0"/>
                      <w:marTop w:val="0"/>
                      <w:marBottom w:val="120"/>
                      <w:divBdr>
                        <w:top w:val="none" w:sz="0" w:space="0" w:color="auto"/>
                        <w:left w:val="none" w:sz="0" w:space="0" w:color="auto"/>
                        <w:bottom w:val="none" w:sz="0" w:space="0" w:color="auto"/>
                        <w:right w:val="none" w:sz="0" w:space="0" w:color="auto"/>
                      </w:divBdr>
                      <w:divsChild>
                        <w:div w:id="8664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5818">
              <w:marLeft w:val="0"/>
              <w:marRight w:val="0"/>
              <w:marTop w:val="0"/>
              <w:marBottom w:val="0"/>
              <w:divBdr>
                <w:top w:val="none" w:sz="0" w:space="0" w:color="auto"/>
                <w:left w:val="single" w:sz="6" w:space="18" w:color="D4D4D4"/>
                <w:bottom w:val="single" w:sz="6" w:space="0" w:color="D4D4D4"/>
                <w:right w:val="single" w:sz="6" w:space="0" w:color="D4D4D4"/>
              </w:divBdr>
              <w:divsChild>
                <w:div w:id="1277248136">
                  <w:marLeft w:val="0"/>
                  <w:marRight w:val="0"/>
                  <w:marTop w:val="0"/>
                  <w:marBottom w:val="0"/>
                  <w:divBdr>
                    <w:top w:val="none" w:sz="0" w:space="0" w:color="auto"/>
                    <w:left w:val="none" w:sz="0" w:space="0" w:color="auto"/>
                    <w:bottom w:val="none" w:sz="0" w:space="0" w:color="auto"/>
                    <w:right w:val="none" w:sz="0" w:space="0" w:color="auto"/>
                  </w:divBdr>
                  <w:divsChild>
                    <w:div w:id="930159686">
                      <w:marLeft w:val="0"/>
                      <w:marRight w:val="0"/>
                      <w:marTop w:val="0"/>
                      <w:marBottom w:val="120"/>
                      <w:divBdr>
                        <w:top w:val="none" w:sz="0" w:space="0" w:color="auto"/>
                        <w:left w:val="none" w:sz="0" w:space="0" w:color="auto"/>
                        <w:bottom w:val="none" w:sz="0" w:space="0" w:color="auto"/>
                        <w:right w:val="none" w:sz="0" w:space="0" w:color="auto"/>
                      </w:divBdr>
                      <w:divsChild>
                        <w:div w:id="15285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079806">
      <w:bodyDiv w:val="1"/>
      <w:marLeft w:val="0"/>
      <w:marRight w:val="0"/>
      <w:marTop w:val="0"/>
      <w:marBottom w:val="0"/>
      <w:divBdr>
        <w:top w:val="none" w:sz="0" w:space="0" w:color="auto"/>
        <w:left w:val="none" w:sz="0" w:space="0" w:color="auto"/>
        <w:bottom w:val="none" w:sz="0" w:space="0" w:color="auto"/>
        <w:right w:val="none" w:sz="0" w:space="0" w:color="auto"/>
      </w:divBdr>
    </w:div>
    <w:div w:id="573273313">
      <w:bodyDiv w:val="1"/>
      <w:marLeft w:val="0"/>
      <w:marRight w:val="0"/>
      <w:marTop w:val="0"/>
      <w:marBottom w:val="0"/>
      <w:divBdr>
        <w:top w:val="none" w:sz="0" w:space="0" w:color="auto"/>
        <w:left w:val="none" w:sz="0" w:space="0" w:color="auto"/>
        <w:bottom w:val="none" w:sz="0" w:space="0" w:color="auto"/>
        <w:right w:val="none" w:sz="0" w:space="0" w:color="auto"/>
      </w:divBdr>
    </w:div>
    <w:div w:id="577252527">
      <w:bodyDiv w:val="1"/>
      <w:marLeft w:val="0"/>
      <w:marRight w:val="0"/>
      <w:marTop w:val="0"/>
      <w:marBottom w:val="0"/>
      <w:divBdr>
        <w:top w:val="none" w:sz="0" w:space="0" w:color="auto"/>
        <w:left w:val="none" w:sz="0" w:space="0" w:color="auto"/>
        <w:bottom w:val="none" w:sz="0" w:space="0" w:color="auto"/>
        <w:right w:val="none" w:sz="0" w:space="0" w:color="auto"/>
      </w:divBdr>
    </w:div>
    <w:div w:id="676083264">
      <w:bodyDiv w:val="1"/>
      <w:marLeft w:val="0"/>
      <w:marRight w:val="0"/>
      <w:marTop w:val="0"/>
      <w:marBottom w:val="0"/>
      <w:divBdr>
        <w:top w:val="none" w:sz="0" w:space="0" w:color="auto"/>
        <w:left w:val="none" w:sz="0" w:space="0" w:color="auto"/>
        <w:bottom w:val="none" w:sz="0" w:space="0" w:color="auto"/>
        <w:right w:val="none" w:sz="0" w:space="0" w:color="auto"/>
      </w:divBdr>
    </w:div>
    <w:div w:id="825366543">
      <w:bodyDiv w:val="1"/>
      <w:marLeft w:val="0"/>
      <w:marRight w:val="0"/>
      <w:marTop w:val="0"/>
      <w:marBottom w:val="0"/>
      <w:divBdr>
        <w:top w:val="none" w:sz="0" w:space="0" w:color="auto"/>
        <w:left w:val="none" w:sz="0" w:space="0" w:color="auto"/>
        <w:bottom w:val="none" w:sz="0" w:space="0" w:color="auto"/>
        <w:right w:val="none" w:sz="0" w:space="0" w:color="auto"/>
      </w:divBdr>
    </w:div>
    <w:div w:id="838621300">
      <w:bodyDiv w:val="1"/>
      <w:marLeft w:val="0"/>
      <w:marRight w:val="0"/>
      <w:marTop w:val="0"/>
      <w:marBottom w:val="0"/>
      <w:divBdr>
        <w:top w:val="none" w:sz="0" w:space="0" w:color="auto"/>
        <w:left w:val="none" w:sz="0" w:space="0" w:color="auto"/>
        <w:bottom w:val="none" w:sz="0" w:space="0" w:color="auto"/>
        <w:right w:val="none" w:sz="0" w:space="0" w:color="auto"/>
      </w:divBdr>
    </w:div>
    <w:div w:id="970786589">
      <w:bodyDiv w:val="1"/>
      <w:marLeft w:val="0"/>
      <w:marRight w:val="0"/>
      <w:marTop w:val="0"/>
      <w:marBottom w:val="0"/>
      <w:divBdr>
        <w:top w:val="none" w:sz="0" w:space="0" w:color="auto"/>
        <w:left w:val="none" w:sz="0" w:space="0" w:color="auto"/>
        <w:bottom w:val="none" w:sz="0" w:space="0" w:color="auto"/>
        <w:right w:val="none" w:sz="0" w:space="0" w:color="auto"/>
      </w:divBdr>
    </w:div>
    <w:div w:id="1045712836">
      <w:bodyDiv w:val="1"/>
      <w:marLeft w:val="0"/>
      <w:marRight w:val="0"/>
      <w:marTop w:val="0"/>
      <w:marBottom w:val="0"/>
      <w:divBdr>
        <w:top w:val="none" w:sz="0" w:space="0" w:color="auto"/>
        <w:left w:val="none" w:sz="0" w:space="0" w:color="auto"/>
        <w:bottom w:val="none" w:sz="0" w:space="0" w:color="auto"/>
        <w:right w:val="none" w:sz="0" w:space="0" w:color="auto"/>
      </w:divBdr>
    </w:div>
    <w:div w:id="1266379437">
      <w:bodyDiv w:val="1"/>
      <w:marLeft w:val="0"/>
      <w:marRight w:val="0"/>
      <w:marTop w:val="0"/>
      <w:marBottom w:val="0"/>
      <w:divBdr>
        <w:top w:val="none" w:sz="0" w:space="0" w:color="auto"/>
        <w:left w:val="none" w:sz="0" w:space="0" w:color="auto"/>
        <w:bottom w:val="none" w:sz="0" w:space="0" w:color="auto"/>
        <w:right w:val="none" w:sz="0" w:space="0" w:color="auto"/>
      </w:divBdr>
    </w:div>
    <w:div w:id="1309093266">
      <w:bodyDiv w:val="1"/>
      <w:marLeft w:val="0"/>
      <w:marRight w:val="0"/>
      <w:marTop w:val="0"/>
      <w:marBottom w:val="0"/>
      <w:divBdr>
        <w:top w:val="none" w:sz="0" w:space="0" w:color="auto"/>
        <w:left w:val="none" w:sz="0" w:space="0" w:color="auto"/>
        <w:bottom w:val="none" w:sz="0" w:space="0" w:color="auto"/>
        <w:right w:val="none" w:sz="0" w:space="0" w:color="auto"/>
      </w:divBdr>
    </w:div>
    <w:div w:id="1376197954">
      <w:bodyDiv w:val="1"/>
      <w:marLeft w:val="0"/>
      <w:marRight w:val="0"/>
      <w:marTop w:val="0"/>
      <w:marBottom w:val="0"/>
      <w:divBdr>
        <w:top w:val="none" w:sz="0" w:space="0" w:color="auto"/>
        <w:left w:val="none" w:sz="0" w:space="0" w:color="auto"/>
        <w:bottom w:val="none" w:sz="0" w:space="0" w:color="auto"/>
        <w:right w:val="none" w:sz="0" w:space="0" w:color="auto"/>
      </w:divBdr>
    </w:div>
    <w:div w:id="1396930995">
      <w:bodyDiv w:val="1"/>
      <w:marLeft w:val="0"/>
      <w:marRight w:val="0"/>
      <w:marTop w:val="0"/>
      <w:marBottom w:val="0"/>
      <w:divBdr>
        <w:top w:val="none" w:sz="0" w:space="0" w:color="auto"/>
        <w:left w:val="none" w:sz="0" w:space="0" w:color="auto"/>
        <w:bottom w:val="none" w:sz="0" w:space="0" w:color="auto"/>
        <w:right w:val="none" w:sz="0" w:space="0" w:color="auto"/>
      </w:divBdr>
    </w:div>
    <w:div w:id="1397432323">
      <w:bodyDiv w:val="1"/>
      <w:marLeft w:val="0"/>
      <w:marRight w:val="0"/>
      <w:marTop w:val="0"/>
      <w:marBottom w:val="0"/>
      <w:divBdr>
        <w:top w:val="none" w:sz="0" w:space="0" w:color="auto"/>
        <w:left w:val="none" w:sz="0" w:space="0" w:color="auto"/>
        <w:bottom w:val="none" w:sz="0" w:space="0" w:color="auto"/>
        <w:right w:val="none" w:sz="0" w:space="0" w:color="auto"/>
      </w:divBdr>
    </w:div>
    <w:div w:id="1471049664">
      <w:bodyDiv w:val="1"/>
      <w:marLeft w:val="0"/>
      <w:marRight w:val="0"/>
      <w:marTop w:val="0"/>
      <w:marBottom w:val="0"/>
      <w:divBdr>
        <w:top w:val="none" w:sz="0" w:space="0" w:color="auto"/>
        <w:left w:val="none" w:sz="0" w:space="0" w:color="auto"/>
        <w:bottom w:val="none" w:sz="0" w:space="0" w:color="auto"/>
        <w:right w:val="none" w:sz="0" w:space="0" w:color="auto"/>
      </w:divBdr>
    </w:div>
    <w:div w:id="1596476904">
      <w:bodyDiv w:val="1"/>
      <w:marLeft w:val="0"/>
      <w:marRight w:val="0"/>
      <w:marTop w:val="0"/>
      <w:marBottom w:val="0"/>
      <w:divBdr>
        <w:top w:val="none" w:sz="0" w:space="0" w:color="auto"/>
        <w:left w:val="none" w:sz="0" w:space="0" w:color="auto"/>
        <w:bottom w:val="none" w:sz="0" w:space="0" w:color="auto"/>
        <w:right w:val="none" w:sz="0" w:space="0" w:color="auto"/>
      </w:divBdr>
    </w:div>
    <w:div w:id="1619141584">
      <w:bodyDiv w:val="1"/>
      <w:marLeft w:val="0"/>
      <w:marRight w:val="0"/>
      <w:marTop w:val="0"/>
      <w:marBottom w:val="0"/>
      <w:divBdr>
        <w:top w:val="none" w:sz="0" w:space="0" w:color="auto"/>
        <w:left w:val="none" w:sz="0" w:space="0" w:color="auto"/>
        <w:bottom w:val="none" w:sz="0" w:space="0" w:color="auto"/>
        <w:right w:val="none" w:sz="0" w:space="0" w:color="auto"/>
      </w:divBdr>
    </w:div>
    <w:div w:id="1684015991">
      <w:bodyDiv w:val="1"/>
      <w:marLeft w:val="0"/>
      <w:marRight w:val="0"/>
      <w:marTop w:val="0"/>
      <w:marBottom w:val="0"/>
      <w:divBdr>
        <w:top w:val="none" w:sz="0" w:space="0" w:color="auto"/>
        <w:left w:val="none" w:sz="0" w:space="0" w:color="auto"/>
        <w:bottom w:val="none" w:sz="0" w:space="0" w:color="auto"/>
        <w:right w:val="none" w:sz="0" w:space="0" w:color="auto"/>
      </w:divBdr>
    </w:div>
    <w:div w:id="1801192295">
      <w:bodyDiv w:val="1"/>
      <w:marLeft w:val="0"/>
      <w:marRight w:val="0"/>
      <w:marTop w:val="0"/>
      <w:marBottom w:val="0"/>
      <w:divBdr>
        <w:top w:val="none" w:sz="0" w:space="0" w:color="auto"/>
        <w:left w:val="none" w:sz="0" w:space="0" w:color="auto"/>
        <w:bottom w:val="none" w:sz="0" w:space="0" w:color="auto"/>
        <w:right w:val="none" w:sz="0" w:space="0" w:color="auto"/>
      </w:divBdr>
    </w:div>
    <w:div w:id="1829785694">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19049437">
      <w:bodyDiv w:val="1"/>
      <w:marLeft w:val="0"/>
      <w:marRight w:val="0"/>
      <w:marTop w:val="0"/>
      <w:marBottom w:val="0"/>
      <w:divBdr>
        <w:top w:val="none" w:sz="0" w:space="0" w:color="auto"/>
        <w:left w:val="none" w:sz="0" w:space="0" w:color="auto"/>
        <w:bottom w:val="none" w:sz="0" w:space="0" w:color="auto"/>
        <w:right w:val="none" w:sz="0" w:space="0" w:color="auto"/>
      </w:divBdr>
    </w:div>
    <w:div w:id="195489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customXml" Target="../customXml/item3.xml"/><Relationship Id="rId21" Type="http://schemas.openxmlformats.org/officeDocument/2006/relationships/image" Target="media/image10.emf"/><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emf"/><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Productivity%20Commission\OfficeTemplates%20-%20Documents\Templates\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6" ma:contentTypeDescription="" ma:contentTypeScope="" ma:versionID="8e66214a2c38dc4f63c2f5048eefbc1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2018a91da07ae9a9683375033e28e5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20393cdf-440a-4521-8f19-00ba43423d00">MPWT-2140667901-16163</_dlc_DocId>
    <_dlc_DocIdUrl xmlns="20393cdf-440a-4521-8f19-00ba43423d00">
      <Url>https://pcgov.sharepoint.com/sites/mpwteam/_layouts/15/DocIdRedir.aspx?ID=MPWT-2140667901-16163</Url>
      <Description>MPWT-2140667901-16163</Description>
    </_dlc_DocIdUrl>
    <thumbnail xmlns="3d385984-9344-419b-a80b-49c06a2bdab8" xsi:nil="true"/>
    <lcf76f155ced4ddcb4097134ff3c332f xmlns="3d385984-9344-419b-a80b-49c06a2bda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6FE1C3-5C83-4B30-B1B1-F211F30BE744}">
  <ds:schemaRefs>
    <ds:schemaRef ds:uri="http://schemas.microsoft.com/sharepoint/v3/contenttype/forms"/>
  </ds:schemaRefs>
</ds:datastoreItem>
</file>

<file path=customXml/itemProps2.xml><?xml version="1.0" encoding="utf-8"?>
<ds:datastoreItem xmlns:ds="http://schemas.openxmlformats.org/officeDocument/2006/customXml" ds:itemID="{5803FB55-60C0-4BAE-BE50-8F4D2C7E03DB}">
  <ds:schemaRefs>
    <ds:schemaRef ds:uri="http://schemas.openxmlformats.org/officeDocument/2006/bibliography"/>
  </ds:schemaRefs>
</ds:datastoreItem>
</file>

<file path=customXml/itemProps3.xml><?xml version="1.0" encoding="utf-8"?>
<ds:datastoreItem xmlns:ds="http://schemas.openxmlformats.org/officeDocument/2006/customXml" ds:itemID="{7FC46954-944C-41CF-A3AE-60B9B107E68C}">
  <ds:schemaRefs>
    <ds:schemaRef ds:uri="http://schemas.microsoft.com/sharepoint/events"/>
  </ds:schemaRefs>
</ds:datastoreItem>
</file>

<file path=customXml/itemProps4.xml><?xml version="1.0" encoding="utf-8"?>
<ds:datastoreItem xmlns:ds="http://schemas.openxmlformats.org/officeDocument/2006/customXml" ds:itemID="{9115DA1F-866B-4671-BAD9-58BC9AF26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5AA0DE-BB07-4767-AD83-1C6F91601171}">
  <ds:schemaRefs>
    <ds:schemaRef ds:uri="http://purl.org/dc/terms/"/>
    <ds:schemaRef ds:uri="http://www.w3.org/XML/1998/namespace"/>
    <ds:schemaRef ds:uri="http://schemas.microsoft.com/office/2006/metadata/properties"/>
    <ds:schemaRef ds:uri="3d385984-9344-419b-a80b-49c06a2bdab8"/>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20393cdf-440a-4521-8f19-00ba43423d0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chapter.dotm</Template>
  <TotalTime>21</TotalTime>
  <Pages>38</Pages>
  <Words>10628</Words>
  <Characters>64157</Characters>
  <Application>Microsoft Office Word</Application>
  <DocSecurity>0</DocSecurity>
  <Lines>534</Lines>
  <Paragraphs>149</Paragraphs>
  <ScaleCrop>false</ScaleCrop>
  <HeadingPairs>
    <vt:vector size="2" baseType="variant">
      <vt:variant>
        <vt:lpstr>Title</vt:lpstr>
      </vt:variant>
      <vt:variant>
        <vt:i4>1</vt:i4>
      </vt:variant>
    </vt:vector>
  </HeadingPairs>
  <TitlesOfParts>
    <vt:vector size="1" baseType="lpstr">
      <vt:lpstr>Mental health and suicide prevention stocktake</vt:lpstr>
    </vt:vector>
  </TitlesOfParts>
  <Company>Productivity Commission</Company>
  <LinksUpToDate>false</LinksUpToDate>
  <CharactersWithSpaces>74636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and suicide prevention stocktake</dc:title>
  <dc:subject/>
  <dc:creator>Productivity Commission</dc:creator>
  <cp:keywords/>
  <dc:description>1.</dc:description>
  <cp:lastModifiedBy>Chris Alston</cp:lastModifiedBy>
  <cp:revision>19</cp:revision>
  <cp:lastPrinted>2021-04-30T02:31:00Z</cp:lastPrinted>
  <dcterms:created xsi:type="dcterms:W3CDTF">2022-11-10T04:02:00Z</dcterms:created>
  <dcterms:modified xsi:type="dcterms:W3CDTF">2022-11-10T05:13:00Z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_dlc_DocIdItemGuid">
    <vt:lpwstr>4ab5c416-3545-4426-85e3-1a52ecd7f17d</vt:lpwstr>
  </property>
  <property fmtid="{D5CDD505-2E9C-101B-9397-08002B2CF9AE}" pid="4" name="Record Tag">
    <vt:lpwstr>251;#Research|9b71ac1a-8981-4d3d-a2de-4ab1595b057b</vt:lpwstr>
  </property>
  <property fmtid="{D5CDD505-2E9C-101B-9397-08002B2CF9AE}" pid="5" name="TaxKeyword">
    <vt:lpwstr/>
  </property>
  <property fmtid="{D5CDD505-2E9C-101B-9397-08002B2CF9AE}" pid="6" name="Level 2">
    <vt:lpwstr/>
  </property>
  <property fmtid="{D5CDD505-2E9C-101B-9397-08002B2CF9AE}" pid="7" name="Level 1">
    <vt:lpwstr/>
  </property>
  <property fmtid="{D5CDD505-2E9C-101B-9397-08002B2CF9AE}" pid="8" name="RevIMBCS">
    <vt:lpwstr>1;#Unclassified|3955eeb1-2d18-4582-aeb2-00144ec3aaf5</vt:lpwstr>
  </property>
  <property fmtid="{D5CDD505-2E9C-101B-9397-08002B2CF9AE}" pid="9" name="ZOTERO_PREF_2">
    <vt:lpwstr>JournalAbbreviations" value="true"/&gt;&lt;/prefs&gt;&lt;/data&gt;</vt:lpwstr>
  </property>
  <property fmtid="{D5CDD505-2E9C-101B-9397-08002B2CF9AE}" pid="10" name="ZOTERO_PREF_1">
    <vt:lpwstr>&lt;data data-version="3" zotero-version="5.0.96"&gt;&lt;session id="dn42BArx"/&gt;&lt;style id="http://www.zotero.org/styles/Productivity-Commission" hasBibliography="1" bibliographyStyleHasBeenSet="1"/&gt;&lt;prefs&gt;&lt;pref name="fieldType" value="Field"/&gt;&lt;pref name="automatic</vt:lpwstr>
  </property>
  <property fmtid="{D5CDD505-2E9C-101B-9397-08002B2CF9AE}" pid="11" name="MediaServiceImageTags">
    <vt:lpwstr/>
  </property>
</Properties>
</file>