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BA5296" w:rsidRDefault="00BA5296" w:rsidP="00BA5296">
      <w:pPr>
        <w:pStyle w:val="Heading1"/>
        <w:rPr>
          <w:b/>
          <w:sz w:val="16"/>
          <w:szCs w:val="16"/>
        </w:rPr>
      </w:pPr>
      <w:bookmarkStart w:id="0" w:name="_Toc423543010"/>
      <w:bookmarkStart w:id="1" w:name="_GoBack"/>
      <w:bookmarkEnd w:id="1"/>
      <w:r w:rsidRPr="00BA5296">
        <w:rPr>
          <w:noProof/>
          <w:color w:val="FFFFFF" w:themeColor="background1"/>
          <w:sz w:val="16"/>
          <w:szCs w:val="16"/>
          <w:lang w:eastAsia="en-AU"/>
        </w:rPr>
        <w:drawing>
          <wp:anchor distT="0" distB="0" distL="114300" distR="114300" simplePos="0" relativeHeight="251658240" behindDoc="0" locked="0" layoutInCell="1" allowOverlap="1" wp14:anchorId="3F803113" wp14:editId="33E774F4">
            <wp:simplePos x="1152000" y="979200"/>
            <wp:positionH relativeFrom="page">
              <wp:posOffset>-7835</wp:posOffset>
            </wp:positionH>
            <wp:positionV relativeFrom="page">
              <wp:align>center</wp:align>
            </wp:positionV>
            <wp:extent cx="7560000" cy="10738800"/>
            <wp:effectExtent l="0" t="0" r="3175" b="5715"/>
            <wp:wrapNone/>
            <wp:docPr id="3" name="Picture 3" descr="Superannuation Policy for Post-Retirement. Productivity Commission Research Paper. Volume 1: Chapters. July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superannuation-cover-web-volume-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738800"/>
                    </a:xfrm>
                    <a:prstGeom prst="rect">
                      <a:avLst/>
                    </a:prstGeom>
                  </pic:spPr>
                </pic:pic>
              </a:graphicData>
            </a:graphic>
            <wp14:sizeRelH relativeFrom="margin">
              <wp14:pctWidth>0</wp14:pctWidth>
            </wp14:sizeRelH>
            <wp14:sizeRelV relativeFrom="margin">
              <wp14:pctHeight>0</wp14:pctHeight>
            </wp14:sizeRelV>
          </wp:anchor>
        </w:drawing>
      </w:r>
      <w:r w:rsidRPr="00BA5296">
        <w:rPr>
          <w:color w:val="FFFFFF" w:themeColor="background1"/>
          <w:sz w:val="16"/>
          <w:szCs w:val="16"/>
        </w:rPr>
        <w:t xml:space="preserve">Superannuation Policy for Post-Retirement. Productivity Commission Research Paper. </w:t>
      </w:r>
      <w:r w:rsidRPr="00BA5296">
        <w:rPr>
          <w:i/>
          <w:color w:val="FFFFFF" w:themeColor="background1"/>
          <w:sz w:val="16"/>
          <w:szCs w:val="16"/>
        </w:rPr>
        <w:t>Volume 1: Chapters</w:t>
      </w:r>
      <w:r w:rsidRPr="00BA5296">
        <w:rPr>
          <w:color w:val="FFFFFF" w:themeColor="background1"/>
          <w:sz w:val="16"/>
          <w:szCs w:val="16"/>
        </w:rPr>
        <w:t>. July 2015.</w:t>
      </w:r>
      <w:bookmarkEnd w:id="0"/>
      <w:r w:rsidR="00B04D19" w:rsidRPr="00BA5296">
        <w:rPr>
          <w:sz w:val="16"/>
          <w:szCs w:val="16"/>
        </w:rP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rsidR="00A36C7F" w:rsidRPr="007809B8" w:rsidRDefault="006F7CF9">
      <w:pPr>
        <w:pStyle w:val="BodyText"/>
        <w:tabs>
          <w:tab w:val="left" w:pos="851"/>
        </w:tabs>
        <w:spacing w:before="200" w:after="120"/>
        <w:jc w:val="left"/>
        <w:rPr>
          <w:b/>
        </w:rPr>
      </w:pPr>
      <w:bookmarkStart w:id="2" w:name="ISSN"/>
      <w:bookmarkEnd w:id="2"/>
      <w:r>
        <w:rPr>
          <w:b/>
        </w:rPr>
        <w:t>ISBN</w:t>
      </w:r>
      <w:r>
        <w:rPr>
          <w:b/>
        </w:rPr>
        <w:tab/>
      </w:r>
      <w:r w:rsidRPr="006F7CF9">
        <w:rPr>
          <w:b/>
        </w:rPr>
        <w:t xml:space="preserve">978-1-74037-550-4 </w:t>
      </w:r>
      <w:r w:rsidR="00A36C7F">
        <w:rPr>
          <w:b/>
        </w:rPr>
        <w:t>(</w:t>
      </w:r>
      <w:r w:rsidR="008375DA">
        <w:rPr>
          <w:b/>
        </w:rPr>
        <w:t>Volume 1</w:t>
      </w:r>
      <w:r w:rsidR="00A36C7F">
        <w:rPr>
          <w:b/>
        </w:rPr>
        <w:t>)</w:t>
      </w:r>
      <w:r w:rsidR="00A36C7F">
        <w:rPr>
          <w:b/>
        </w:rPr>
        <w:br/>
      </w:r>
      <w:r w:rsidR="008375DA">
        <w:rPr>
          <w:b/>
        </w:rPr>
        <w:t>ISBN</w:t>
      </w:r>
      <w:r w:rsidR="008375DA">
        <w:rPr>
          <w:b/>
        </w:rPr>
        <w:tab/>
      </w:r>
      <w:r w:rsidR="008375DA" w:rsidRPr="008375DA">
        <w:rPr>
          <w:b/>
        </w:rPr>
        <w:t>978-1-74037-552-8</w:t>
      </w:r>
      <w:r w:rsidR="008375DA">
        <w:rPr>
          <w:b/>
        </w:rPr>
        <w:t xml:space="preserve"> (Set)</w:t>
      </w:r>
    </w:p>
    <w:p w:rsidR="008A3857" w:rsidRDefault="008A3857" w:rsidP="008E242D">
      <w:pPr>
        <w:pStyle w:val="BodyText"/>
        <w:spacing w:after="120"/>
      </w:pPr>
      <w:r w:rsidRPr="00862D8F">
        <w:rPr>
          <w:noProof/>
          <w:sz w:val="22"/>
          <w:szCs w:val="22"/>
        </w:rPr>
        <w:drawing>
          <wp:inline distT="0" distB="0" distL="0" distR="0" wp14:anchorId="3304870F" wp14:editId="4FBE0B30">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6049F0" w:rsidRPr="008A3857" w:rsidRDefault="006049F0" w:rsidP="006049F0">
      <w:pPr>
        <w:pStyle w:val="Copyrightsubtitle"/>
      </w:pPr>
      <w:r w:rsidRPr="008A3857">
        <w:t>Attribution</w:t>
      </w:r>
    </w:p>
    <w:p w:rsidR="006049F0" w:rsidRPr="006F7CF9" w:rsidRDefault="006049F0" w:rsidP="006049F0">
      <w:pPr>
        <w:pStyle w:val="Copyrightbodytext"/>
      </w:pPr>
      <w:r w:rsidRPr="006F7CF9">
        <w:t xml:space="preserve">This work should be attributed as follows, </w:t>
      </w:r>
      <w:r w:rsidRPr="006F7CF9">
        <w:rPr>
          <w:i/>
        </w:rPr>
        <w:t>Source: Productivity Commission, Superannuation Policy for Post-Retirement</w:t>
      </w:r>
      <w:r w:rsidRPr="006F7CF9">
        <w:t>.</w:t>
      </w:r>
    </w:p>
    <w:p w:rsidR="006049F0" w:rsidRPr="006F7CF9" w:rsidRDefault="006049F0" w:rsidP="006049F0">
      <w:pPr>
        <w:pStyle w:val="Copyrightbodytext"/>
        <w:spacing w:before="120"/>
      </w:pPr>
      <w:r w:rsidRPr="006F7CF9">
        <w:t xml:space="preserve">If you have adapted, modified or transformed this work in anyway, please use the following, </w:t>
      </w:r>
      <w:r w:rsidRPr="006F7CF9">
        <w:rPr>
          <w:i/>
        </w:rPr>
        <w:t>Source: based on Productivity Commission data, Superannuation Policy for Post-Retirement</w:t>
      </w:r>
      <w:r w:rsidRPr="006F7CF9">
        <w:t>.</w:t>
      </w:r>
    </w:p>
    <w:p w:rsidR="006049F0" w:rsidRPr="006F7CF9" w:rsidRDefault="006049F0" w:rsidP="006049F0">
      <w:pPr>
        <w:pStyle w:val="Copyrightsubtitle"/>
      </w:pPr>
      <w:r w:rsidRPr="006F7CF9">
        <w:t>An appropriate reference for this publication is:</w:t>
      </w:r>
    </w:p>
    <w:p w:rsidR="006049F0" w:rsidRPr="00947763" w:rsidRDefault="006049F0" w:rsidP="006049F0">
      <w:pPr>
        <w:pStyle w:val="Copyrightbodytext"/>
      </w:pPr>
      <w:r w:rsidRPr="006F7CF9">
        <w:t xml:space="preserve">Productivity Commission 2015, </w:t>
      </w:r>
      <w:r w:rsidRPr="006F7CF9">
        <w:rPr>
          <w:i/>
        </w:rPr>
        <w:t xml:space="preserve">Superannuation Policy for Post-Retirement, </w:t>
      </w:r>
      <w:r w:rsidRPr="006F7CF9">
        <w:t>Commission Research Paper, Canberra.</w:t>
      </w:r>
    </w:p>
    <w:p w:rsidR="008A3857" w:rsidRPr="008A3857" w:rsidRDefault="008A3857" w:rsidP="008A3857">
      <w:pPr>
        <w:pStyle w:val="Copyrightsubtitle"/>
      </w:pPr>
      <w:bookmarkStart w:id="3" w:name="JEL"/>
      <w:bookmarkEnd w:id="3"/>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2D5890">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2D5890">
        <w:trPr>
          <w:cantSplit/>
        </w:trPr>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009C78DE">
              <w:fldChar w:fldCharType="begin"/>
            </w:r>
            <w:r w:rsidR="009C78DE">
              <w:instrText xml:space="preserve"> HYPERLINK "http://www.pc.gov.au/" </w:instrText>
            </w:r>
            <w:r w:rsidR="009C78DE">
              <w:fldChar w:fldCharType="separate"/>
            </w:r>
            <w:r w:rsidRPr="00805FD7">
              <w:t>www.pc.gov.au</w:t>
            </w:r>
            <w:proofErr w:type="spellEnd"/>
            <w:r w:rsidR="009C78DE">
              <w:fldChar w:fldCharType="end"/>
            </w:r>
            <w:r w:rsidRPr="00BB5DCF">
              <w:rPr>
                <w:szCs w:val="24"/>
              </w:rPr>
              <w:t>)</w:t>
            </w:r>
            <w:r w:rsidR="00EC38C1">
              <w:rPr>
                <w:szCs w:val="24"/>
              </w:rPr>
              <w:t>.</w:t>
            </w:r>
          </w:p>
        </w:tc>
      </w:tr>
      <w:tr w:rsidR="008A3857"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4" w:name="cov"/>
      <w:bookmarkEnd w:id="4"/>
    </w:p>
    <w:p w:rsidR="00A36C7F" w:rsidRDefault="00A36C7F">
      <w:pPr>
        <w:pStyle w:val="Heading1"/>
      </w:pPr>
      <w:bookmarkStart w:id="5" w:name="_Toc423347071"/>
      <w:bookmarkStart w:id="6" w:name="_Toc423543011"/>
      <w:r>
        <w:lastRenderedPageBreak/>
        <w:t>Foreword</w:t>
      </w:r>
      <w:bookmarkEnd w:id="5"/>
      <w:bookmarkEnd w:id="6"/>
    </w:p>
    <w:p w:rsidR="007A4C04" w:rsidRDefault="007A4C04" w:rsidP="007A4C04">
      <w:pPr>
        <w:pStyle w:val="BodyText"/>
      </w:pPr>
      <w:r>
        <w:t xml:space="preserve">This research paper is consciously designed to complement the Commission’s 2013 flagship research paper </w:t>
      </w:r>
      <w:r w:rsidRPr="00F52D8D">
        <w:rPr>
          <w:i/>
        </w:rPr>
        <w:t>An Ageing Australia: Preparing for the Future</w:t>
      </w:r>
      <w:r>
        <w:t>. That paper dealt with demographic change and the pressures on the Commonwealth and the states and territories, with particular interest in incentives to remain in work for a longer–lived and healthier population.</w:t>
      </w:r>
    </w:p>
    <w:p w:rsidR="007A4C04" w:rsidRDefault="007A4C04" w:rsidP="007A4C04">
      <w:pPr>
        <w:pStyle w:val="BodyText"/>
      </w:pPr>
      <w:r>
        <w:t>As a number of commentators pointed out at the time, access to superannuation has potentially similar disincentives to continuing employment as Age Pension access arrangements. This paper reviews that general area. It offers a unique insight into how individuals are likely to respond to a change in the age at which they can access their superannuation, including the implications for Age Pension outlays and taxation revenues. The participation rate of older Australians — an important consideration in a coming era of lower participation generally — is also examined. The report also considers whether the way people draw down their superannuation (and in particular the use of lump sums) is</w:t>
      </w:r>
      <w:r w:rsidRPr="00C304AC">
        <w:t xml:space="preserve"> </w:t>
      </w:r>
      <w:r>
        <w:t>problematic.</w:t>
      </w:r>
    </w:p>
    <w:p w:rsidR="007A4C04" w:rsidRDefault="007A4C04" w:rsidP="007A4C04">
      <w:pPr>
        <w:pStyle w:val="BodyText"/>
      </w:pPr>
      <w:r>
        <w:t>Read together, and with work now commencing into the housing decisions of older Australians, these reports should assist policy</w:t>
      </w:r>
      <w:r>
        <w:noBreakHyphen/>
        <w:t>makers to actively consider options to address national welfare improvement in an ageing Australia.</w:t>
      </w:r>
    </w:p>
    <w:p w:rsidR="007A4C04" w:rsidRPr="00F93253" w:rsidRDefault="007A4C04" w:rsidP="007A4C04">
      <w:pPr>
        <w:pStyle w:val="BodyText"/>
      </w:pPr>
      <w:r w:rsidRPr="00F93253">
        <w:t>This paper was produced by a team led by Dominque Lowe, and included Anderson</w:t>
      </w:r>
      <w:r>
        <w:t> </w:t>
      </w:r>
      <w:r w:rsidRPr="00F93253">
        <w:t>Cheung, Elina Gilbourd, Pragya Giri, Suzana Hardy, Philip Harslett, Alan Raine, Leo Soames and Vernon Topp.</w:t>
      </w:r>
      <w:r>
        <w:t xml:space="preserve"> This paper was overseen by Commissioners Karen Chester and Angela MacRae.</w:t>
      </w:r>
    </w:p>
    <w:p w:rsidR="00C04A1B" w:rsidRDefault="00C04A1B" w:rsidP="00C04A1B">
      <w:pPr>
        <w:pStyle w:val="BodyText"/>
      </w:pPr>
    </w:p>
    <w:p w:rsidR="00C04A1B" w:rsidRDefault="00C04A1B" w:rsidP="00C04A1B">
      <w:pPr>
        <w:pStyle w:val="BodyText"/>
      </w:pPr>
    </w:p>
    <w:p w:rsidR="00C04A1B" w:rsidRDefault="00C04A1B" w:rsidP="00C04A1B">
      <w:pPr>
        <w:pStyle w:val="BodyText"/>
      </w:pPr>
    </w:p>
    <w:p w:rsidR="00C04A1B" w:rsidRPr="00C04A1B" w:rsidRDefault="00C04A1B" w:rsidP="00C04A1B">
      <w:pPr>
        <w:pStyle w:val="BodyText"/>
      </w:pPr>
      <w:r>
        <w:t xml:space="preserve">Peter </w:t>
      </w:r>
      <w:r w:rsidRPr="00C04A1B">
        <w:t>Harris</w:t>
      </w:r>
    </w:p>
    <w:p w:rsidR="00C04A1B" w:rsidRPr="00C04A1B" w:rsidRDefault="00C04A1B" w:rsidP="00C04A1B">
      <w:pPr>
        <w:pStyle w:val="BodyText"/>
      </w:pPr>
      <w:r w:rsidRPr="00C04A1B">
        <w:t>Chair</w:t>
      </w:r>
    </w:p>
    <w:p w:rsidR="00A36C7F" w:rsidRPr="00634771" w:rsidRDefault="00C04A1B" w:rsidP="00634771">
      <w:pPr>
        <w:pStyle w:val="BodyText"/>
        <w:rPr>
          <w:lang w:eastAsia="en-US"/>
        </w:rPr>
      </w:pPr>
      <w:r w:rsidRPr="00C04A1B">
        <w:t>J</w:t>
      </w:r>
      <w:r w:rsidR="00CD00AB">
        <w:t>uly</w:t>
      </w:r>
      <w:r w:rsidRPr="00C04A1B">
        <w:t xml:space="preserve"> 2015</w:t>
      </w:r>
    </w:p>
    <w:p w:rsidR="00A36C7F" w:rsidRDefault="00A36C7F">
      <w:pPr>
        <w:pStyle w:val="BodyText"/>
        <w:sectPr w:rsidR="00A36C7F" w:rsidSect="00160417">
          <w:headerReference w:type="even" r:id="rId15"/>
          <w:headerReference w:type="default" r:id="rId16"/>
          <w:footerReference w:type="even" r:id="rId17"/>
          <w:footerReference w:type="default" r:id="rId18"/>
          <w:pgSz w:w="11906" w:h="16838" w:code="9"/>
          <w:pgMar w:top="1985" w:right="1304" w:bottom="1247" w:left="1814" w:header="1701" w:footer="397" w:gutter="0"/>
          <w:pgNumType w:fmt="lowerRoman"/>
          <w:cols w:space="708"/>
          <w:docGrid w:linePitch="360"/>
        </w:sectPr>
      </w:pPr>
    </w:p>
    <w:p w:rsidR="00C86487" w:rsidRDefault="00735FEA" w:rsidP="008206EE">
      <w:pPr>
        <w:pStyle w:val="Heading1NotTOC"/>
        <w:rPr>
          <w:noProof/>
        </w:rPr>
      </w:pPr>
      <w:bookmarkStart w:id="7" w:name="Contents"/>
      <w:bookmarkEnd w:id="7"/>
      <w:r w:rsidRPr="00B153C3">
        <w:lastRenderedPageBreak/>
        <w:t>Contents</w:t>
      </w:r>
      <w:bookmarkStart w:id="8" w:name="InsertContents"/>
      <w:bookmarkEnd w:id="8"/>
    </w:p>
    <w:p w:rsidR="00894106" w:rsidRPr="00E91D8B" w:rsidRDefault="00E91D8B" w:rsidP="00E91D8B">
      <w:pPr>
        <w:pStyle w:val="BodyText"/>
        <w:spacing w:after="120"/>
      </w:pPr>
      <w:r>
        <w:t>The</w:t>
      </w:r>
      <w:r w:rsidR="00894106" w:rsidRPr="00E91D8B">
        <w:rPr>
          <w:rStyle w:val="BodyTextChar"/>
        </w:rPr>
        <w:t xml:space="preserve"> Commission’s report is in two volumes. This volume contains the overview and chapters. Volume 2 contains the supplementary papers, detail around the conduct of the project, and references. The modelling papers referred to in the report are available from the Commission’s website (</w:t>
      </w:r>
      <w:proofErr w:type="spellStart"/>
      <w:r w:rsidR="00894106" w:rsidRPr="00E91D8B">
        <w:rPr>
          <w:rStyle w:val="BodyTextChar"/>
        </w:rPr>
        <w:t>www.pc.gov.au</w:t>
      </w:r>
      <w:proofErr w:type="spellEnd"/>
      <w:r w:rsidR="00894106" w:rsidRPr="00E91D8B">
        <w:rPr>
          <w:rStyle w:val="BodyTextChar"/>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2D673"/>
        <w:tblLook w:val="04A0" w:firstRow="1" w:lastRow="0" w:firstColumn="1" w:lastColumn="0" w:noHBand="0" w:noVBand="1"/>
      </w:tblPr>
      <w:tblGrid>
        <w:gridCol w:w="8896"/>
      </w:tblGrid>
      <w:tr w:rsidR="00894106" w:rsidRPr="0009026D" w:rsidTr="008F14DF">
        <w:tc>
          <w:tcPr>
            <w:tcW w:w="8896" w:type="dxa"/>
            <w:shd w:val="clear" w:color="auto" w:fill="C8C8C8" w:themeFill="background2"/>
          </w:tcPr>
          <w:p w:rsidR="00894106" w:rsidRPr="0009026D" w:rsidRDefault="00894106" w:rsidP="007C64FF">
            <w:pPr>
              <w:pStyle w:val="BodyText"/>
              <w:spacing w:before="0"/>
              <w:jc w:val="center"/>
              <w:rPr>
                <w:rFonts w:asciiTheme="minorHAnsi" w:hAnsiTheme="minorHAnsi" w:cstheme="minorHAnsi"/>
                <w:b/>
                <w:noProof/>
              </w:rPr>
            </w:pPr>
            <w:r w:rsidRPr="0009026D">
              <w:rPr>
                <w:rFonts w:asciiTheme="minorHAnsi" w:hAnsiTheme="minorHAnsi" w:cstheme="minorHAnsi"/>
                <w:b/>
                <w:noProof/>
                <w:sz w:val="20"/>
              </w:rPr>
              <w:t>Volume 1</w:t>
            </w:r>
            <w:r>
              <w:rPr>
                <w:rFonts w:asciiTheme="minorHAnsi" w:hAnsiTheme="minorHAnsi" w:cstheme="minorHAnsi"/>
                <w:b/>
                <w:noProof/>
                <w:sz w:val="20"/>
              </w:rPr>
              <w:t>: Overview and chapters</w:t>
            </w:r>
          </w:p>
        </w:tc>
      </w:tr>
    </w:tbl>
    <w:p w:rsidR="003532A6" w:rsidRDefault="003532A6" w:rsidP="003532A6">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3532A6" w:rsidRDefault="003532A6" w:rsidP="003532A6">
      <w:pPr>
        <w:pStyle w:val="TOC1"/>
        <w:rPr>
          <w:rFonts w:asciiTheme="minorHAnsi" w:eastAsiaTheme="minorEastAsia" w:hAnsiTheme="minorHAnsi" w:cstheme="minorBidi"/>
          <w:b w:val="0"/>
          <w:noProof/>
          <w:sz w:val="22"/>
          <w:szCs w:val="22"/>
          <w:lang w:eastAsia="en-AU"/>
        </w:rPr>
      </w:pPr>
      <w:r>
        <w:rPr>
          <w:noProof/>
        </w:rPr>
        <w:t>Acknowledgments</w:t>
      </w:r>
      <w:r>
        <w:rPr>
          <w:noProof/>
        </w:rPr>
        <w:tab/>
        <w:t>xi</w:t>
      </w:r>
    </w:p>
    <w:p w:rsidR="003532A6" w:rsidRDefault="003532A6" w:rsidP="003532A6">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xii</w:t>
      </w:r>
    </w:p>
    <w:p w:rsidR="003532A6" w:rsidRDefault="003532A6" w:rsidP="003532A6">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3532A6" w:rsidRDefault="003532A6" w:rsidP="003532A6">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Setting the scene</w:t>
      </w:r>
      <w:r>
        <w:rPr>
          <w:noProof/>
        </w:rPr>
        <w:tab/>
        <w:t>23</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role of superannuation in Australia’s retirement income system</w:t>
      </w:r>
      <w:r>
        <w:rPr>
          <w:noProof/>
        </w:rPr>
        <w:tab/>
        <w:t>23</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growing importance of a well-functioning superannuation system</w:t>
      </w:r>
      <w:r>
        <w:rPr>
          <w:noProof/>
        </w:rPr>
        <w:tab/>
        <w:t>27</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focus of this report</w:t>
      </w:r>
      <w:r>
        <w:rPr>
          <w:noProof/>
        </w:rPr>
        <w:tab/>
        <w:t>30</w:t>
      </w:r>
    </w:p>
    <w:p w:rsidR="003532A6" w:rsidRDefault="003532A6" w:rsidP="003532A6">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public-private balance of retirement funding</w:t>
      </w:r>
      <w:r>
        <w:rPr>
          <w:noProof/>
        </w:rPr>
        <w:tab/>
        <w:t>33</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How do individuals save for retirement?</w:t>
      </w:r>
      <w:r>
        <w:rPr>
          <w:noProof/>
        </w:rPr>
        <w:tab/>
        <w:t>34</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How does the Age Pension support retirement incomes?</w:t>
      </w:r>
      <w:r>
        <w:rPr>
          <w:noProof/>
        </w:rPr>
        <w:tab/>
        <w:t>43</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balance between private and public funding in a mature system</w:t>
      </w:r>
      <w:r>
        <w:rPr>
          <w:noProof/>
        </w:rPr>
        <w:tab/>
        <w:t>46</w:t>
      </w:r>
    </w:p>
    <w:p w:rsidR="003532A6" w:rsidRDefault="003532A6" w:rsidP="003532A6">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Preservation age and retirement decisions</w:t>
      </w:r>
      <w:r>
        <w:rPr>
          <w:noProof/>
        </w:rPr>
        <w:tab/>
        <w:t>51</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What influences the retirement decisions of mature age workers?</w:t>
      </w:r>
      <w:r>
        <w:rPr>
          <w:noProof/>
        </w:rPr>
        <w:tab/>
        <w:t>52</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How is retirement behaviour changing?</w:t>
      </w:r>
      <w:r>
        <w:rPr>
          <w:noProof/>
        </w:rPr>
        <w:tab/>
        <w:t>55</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Will further increasing the preservation age impact retirement decisions?</w:t>
      </w:r>
      <w:r>
        <w:rPr>
          <w:noProof/>
        </w:rPr>
        <w:tab/>
        <w:t>62</w:t>
      </w:r>
    </w:p>
    <w:p w:rsidR="003532A6" w:rsidRDefault="003532A6" w:rsidP="003532A6">
      <w:pPr>
        <w:pStyle w:val="TOC2"/>
        <w:tabs>
          <w:tab w:val="left" w:pos="1190"/>
        </w:tabs>
        <w:rPr>
          <w:noProof/>
        </w:rPr>
      </w:pPr>
      <w:r>
        <w:rPr>
          <w:noProof/>
        </w:rPr>
        <w:t>3.4</w:t>
      </w:r>
      <w:r>
        <w:rPr>
          <w:rFonts w:asciiTheme="minorHAnsi" w:eastAsiaTheme="minorEastAsia" w:hAnsiTheme="minorHAnsi" w:cstheme="minorBidi"/>
          <w:noProof/>
          <w:sz w:val="22"/>
          <w:szCs w:val="22"/>
          <w:lang w:eastAsia="en-AU"/>
        </w:rPr>
        <w:tab/>
      </w:r>
      <w:r>
        <w:rPr>
          <w:noProof/>
        </w:rPr>
        <w:t>Where to from here?</w:t>
      </w:r>
      <w:r>
        <w:rPr>
          <w:noProof/>
        </w:rPr>
        <w:tab/>
        <w:t>72</w:t>
      </w:r>
    </w:p>
    <w:p w:rsidR="00B66A12" w:rsidRDefault="00B66A12" w:rsidP="003532A6">
      <w:pPr>
        <w:pStyle w:val="TOC2"/>
        <w:tabs>
          <w:tab w:val="left" w:pos="1190"/>
        </w:tabs>
        <w:rPr>
          <w:rFonts w:asciiTheme="minorHAnsi" w:eastAsiaTheme="minorEastAsia" w:hAnsiTheme="minorHAnsi" w:cstheme="minorBidi"/>
          <w:noProof/>
          <w:sz w:val="22"/>
          <w:szCs w:val="22"/>
          <w:lang w:eastAsia="en-AU"/>
        </w:rPr>
      </w:pPr>
    </w:p>
    <w:p w:rsidR="003532A6" w:rsidRDefault="003532A6" w:rsidP="003532A6">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Pr>
          <w:noProof/>
        </w:rPr>
        <w:t>Is drawdown behaviour a concern?</w:t>
      </w:r>
      <w:r>
        <w:rPr>
          <w:noProof/>
        </w:rPr>
        <w:tab/>
        <w:t>75</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What do people say about lump sums?</w:t>
      </w:r>
      <w:r>
        <w:rPr>
          <w:noProof/>
        </w:rPr>
        <w:tab/>
        <w:t>77</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How is superannuation being drawn down?</w:t>
      </w:r>
      <w:r>
        <w:rPr>
          <w:noProof/>
        </w:rPr>
        <w:tab/>
        <w:t>78</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How are lump sums being used?</w:t>
      </w:r>
      <w:r>
        <w:rPr>
          <w:noProof/>
        </w:rPr>
        <w:tab/>
        <w:t>87</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Do lump sums encourage premature access to the Age Pension?</w:t>
      </w:r>
      <w:r>
        <w:rPr>
          <w:noProof/>
        </w:rPr>
        <w:tab/>
        <w:t>91</w:t>
      </w:r>
    </w:p>
    <w:p w:rsidR="003532A6" w:rsidRDefault="003532A6" w:rsidP="003532A6">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How might drawdown behaviour change as the system matures?</w:t>
      </w:r>
      <w:r>
        <w:rPr>
          <w:noProof/>
        </w:rPr>
        <w:tab/>
        <w:t>94</w:t>
      </w:r>
    </w:p>
    <w:p w:rsidR="003532A6" w:rsidRDefault="003532A6" w:rsidP="00C81ABD">
      <w:pPr>
        <w:pStyle w:val="TOC2"/>
        <w:tabs>
          <w:tab w:val="left" w:pos="1190"/>
        </w:tabs>
        <w:spacing w:after="120"/>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Are income streams working well for retirees?</w:t>
      </w:r>
      <w:r>
        <w:rPr>
          <w:noProof/>
        </w:rPr>
        <w:tab/>
        <w:t>95</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8C8C8" w:themeFill="background2"/>
        <w:tblLook w:val="04A0" w:firstRow="1" w:lastRow="0" w:firstColumn="1" w:lastColumn="0" w:noHBand="0" w:noVBand="1"/>
      </w:tblPr>
      <w:tblGrid>
        <w:gridCol w:w="8896"/>
      </w:tblGrid>
      <w:tr w:rsidR="00FD1D42" w:rsidRPr="0009026D" w:rsidTr="008F14DF">
        <w:tc>
          <w:tcPr>
            <w:tcW w:w="8896" w:type="dxa"/>
            <w:shd w:val="clear" w:color="auto" w:fill="C8C8C8" w:themeFill="background2"/>
          </w:tcPr>
          <w:p w:rsidR="00FD1D42" w:rsidRPr="0009026D" w:rsidRDefault="00FD1D42" w:rsidP="009C78DE">
            <w:pPr>
              <w:pStyle w:val="BodyText"/>
              <w:spacing w:before="0"/>
              <w:jc w:val="center"/>
              <w:rPr>
                <w:rFonts w:asciiTheme="minorHAnsi" w:hAnsiTheme="minorHAnsi" w:cstheme="minorHAnsi"/>
                <w:b/>
                <w:noProof/>
              </w:rPr>
            </w:pPr>
            <w:r>
              <w:rPr>
                <w:rFonts w:asciiTheme="minorHAnsi" w:hAnsiTheme="minorHAnsi" w:cstheme="minorHAnsi"/>
                <w:b/>
                <w:noProof/>
                <w:sz w:val="20"/>
              </w:rPr>
              <w:t xml:space="preserve">Volume 2: </w:t>
            </w:r>
            <w:r w:rsidR="009C78DE">
              <w:rPr>
                <w:rFonts w:asciiTheme="minorHAnsi" w:hAnsiTheme="minorHAnsi" w:cstheme="minorHAnsi"/>
                <w:b/>
                <w:noProof/>
                <w:sz w:val="20"/>
              </w:rPr>
              <w:t>S</w:t>
            </w:r>
            <w:r>
              <w:rPr>
                <w:rFonts w:asciiTheme="minorHAnsi" w:hAnsiTheme="minorHAnsi" w:cstheme="minorHAnsi"/>
                <w:b/>
                <w:noProof/>
                <w:sz w:val="20"/>
              </w:rPr>
              <w:t>upplementary papers</w:t>
            </w:r>
          </w:p>
        </w:tc>
      </w:tr>
    </w:tbl>
    <w:p w:rsidR="00C81ABD" w:rsidRDefault="00C81ABD" w:rsidP="00CF4BC6">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The superannuation policy environment</w:t>
      </w:r>
      <w:r>
        <w:rPr>
          <w:noProof/>
        </w:rPr>
        <w:tab/>
        <w:t>101</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Rules governing accumulation</w:t>
      </w:r>
      <w:r>
        <w:rPr>
          <w:noProof/>
        </w:rPr>
        <w:tab/>
        <w:t>103</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Rules governing access and draw down</w:t>
      </w:r>
      <w:r>
        <w:rPr>
          <w:noProof/>
        </w:rPr>
        <w:tab/>
        <w:t>106</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Rules governing early access</w:t>
      </w:r>
      <w:r>
        <w:rPr>
          <w:noProof/>
        </w:rPr>
        <w:tab/>
        <w:t>110</w:t>
      </w:r>
    </w:p>
    <w:p w:rsidR="00C81ABD" w:rsidRDefault="00C81ABD" w:rsidP="00CF4BC6">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Savings and accumulation</w:t>
      </w:r>
      <w:r>
        <w:rPr>
          <w:noProof/>
        </w:rPr>
        <w:tab/>
        <w:t>119</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Savings in general</w:t>
      </w:r>
      <w:r>
        <w:rPr>
          <w:noProof/>
        </w:rPr>
        <w:tab/>
        <w:t>120</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Superannuation savings in detail</w:t>
      </w:r>
      <w:r>
        <w:rPr>
          <w:noProof/>
        </w:rPr>
        <w:tab/>
        <w:t>131</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How have savings changed and how will they change in the future?</w:t>
      </w:r>
      <w:r>
        <w:rPr>
          <w:noProof/>
        </w:rPr>
        <w:tab/>
        <w:t>145</w:t>
      </w:r>
    </w:p>
    <w:p w:rsidR="00C81ABD" w:rsidRDefault="00C81ABD" w:rsidP="00CF4BC6">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The Age Pension</w:t>
      </w:r>
      <w:r>
        <w:rPr>
          <w:noProof/>
        </w:rPr>
        <w:tab/>
        <w:t>161</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Age Pension policy environment</w:t>
      </w:r>
      <w:r>
        <w:rPr>
          <w:noProof/>
        </w:rPr>
        <w:tab/>
        <w:t>161</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Recent trends in Age Pension coverage</w:t>
      </w:r>
      <w:r>
        <w:rPr>
          <w:noProof/>
        </w:rPr>
        <w:tab/>
        <w:t>169</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Projections of Age Pension coverage</w:t>
      </w:r>
      <w:r>
        <w:rPr>
          <w:noProof/>
        </w:rPr>
        <w:tab/>
        <w:t>176</w:t>
      </w:r>
    </w:p>
    <w:p w:rsidR="00C81ABD" w:rsidRDefault="00C81ABD" w:rsidP="00CF4BC6">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Financial literacy</w:t>
      </w:r>
      <w:r>
        <w:rPr>
          <w:noProof/>
        </w:rPr>
        <w:tab/>
        <w:t>183</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What is financial literacy and how can it be measured?</w:t>
      </w:r>
      <w:r>
        <w:rPr>
          <w:noProof/>
        </w:rPr>
        <w:tab/>
        <w:t>184</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Why is there a lack of financial literacy when it comes to superannuation?</w:t>
      </w:r>
      <w:r>
        <w:rPr>
          <w:noProof/>
        </w:rPr>
        <w:tab/>
        <w:t>188</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What measures are there to improve financial literacy?</w:t>
      </w:r>
      <w:r>
        <w:rPr>
          <w:noProof/>
        </w:rPr>
        <w:tab/>
        <w:t>195</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Should more be done to improve financial literacy when it comes to superannuation and retirement?</w:t>
      </w:r>
      <w:r>
        <w:rPr>
          <w:noProof/>
        </w:rPr>
        <w:tab/>
        <w:t>198</w:t>
      </w:r>
    </w:p>
    <w:p w:rsidR="00C81ABD" w:rsidRDefault="00C81ABD" w:rsidP="00CF4BC6">
      <w:pPr>
        <w:pStyle w:val="TOC2"/>
        <w:tabs>
          <w:tab w:val="left" w:pos="1190"/>
        </w:tabs>
        <w:rPr>
          <w:noProof/>
        </w:rPr>
      </w:pPr>
      <w:r>
        <w:rPr>
          <w:noProof/>
        </w:rPr>
        <w:t>4.5</w:t>
      </w:r>
      <w:r>
        <w:rPr>
          <w:rFonts w:asciiTheme="minorHAnsi" w:eastAsiaTheme="minorEastAsia" w:hAnsiTheme="minorHAnsi" w:cstheme="minorBidi"/>
          <w:noProof/>
          <w:sz w:val="22"/>
          <w:szCs w:val="22"/>
          <w:lang w:eastAsia="en-AU"/>
        </w:rPr>
        <w:tab/>
      </w:r>
      <w:r>
        <w:rPr>
          <w:noProof/>
        </w:rPr>
        <w:t>Complements to improving financial literacy</w:t>
      </w:r>
      <w:r>
        <w:rPr>
          <w:noProof/>
        </w:rPr>
        <w:tab/>
        <w:t>201</w:t>
      </w:r>
    </w:p>
    <w:p w:rsidR="00B66A12" w:rsidRDefault="00B66A12" w:rsidP="00CF4BC6">
      <w:pPr>
        <w:pStyle w:val="TOC2"/>
        <w:tabs>
          <w:tab w:val="left" w:pos="1190"/>
        </w:tabs>
        <w:rPr>
          <w:rFonts w:asciiTheme="minorHAnsi" w:eastAsiaTheme="minorEastAsia" w:hAnsiTheme="minorHAnsi" w:cstheme="minorBidi"/>
          <w:noProof/>
          <w:sz w:val="22"/>
          <w:szCs w:val="22"/>
          <w:lang w:eastAsia="en-AU"/>
        </w:rPr>
      </w:pPr>
    </w:p>
    <w:p w:rsidR="00C81ABD" w:rsidRDefault="00C81ABD" w:rsidP="00CF4BC6">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Involuntary retirement among mature age workers</w:t>
      </w:r>
      <w:r>
        <w:rPr>
          <w:noProof/>
        </w:rPr>
        <w:tab/>
        <w:t>209</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What drives the labour force participation decisions of older workers?</w:t>
      </w:r>
      <w:r>
        <w:rPr>
          <w:noProof/>
        </w:rPr>
        <w:tab/>
        <w:t>209</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How common is involuntary retirement?</w:t>
      </w:r>
      <w:r>
        <w:rPr>
          <w:noProof/>
        </w:rPr>
        <w:tab/>
        <w:t>210</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What are the characteristics of the involuntarily retired?</w:t>
      </w:r>
      <w:r>
        <w:rPr>
          <w:noProof/>
        </w:rPr>
        <w:tab/>
        <w:t>213</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What is happening to rates of involuntary retirement over time?</w:t>
      </w:r>
      <w:r>
        <w:rPr>
          <w:noProof/>
        </w:rPr>
        <w:tab/>
        <w:t>215</w:t>
      </w:r>
    </w:p>
    <w:p w:rsidR="00C81ABD" w:rsidRDefault="00C81ABD" w:rsidP="00CF4BC6">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The Commission’s retirement model</w:t>
      </w:r>
      <w:r>
        <w:rPr>
          <w:noProof/>
        </w:rPr>
        <w:tab/>
        <w:t>219</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The Commission’s approach</w:t>
      </w:r>
      <w:r>
        <w:rPr>
          <w:noProof/>
        </w:rPr>
        <w:tab/>
        <w:t>220</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Caveats</w:t>
      </w:r>
      <w:r>
        <w:rPr>
          <w:noProof/>
        </w:rPr>
        <w:tab/>
        <w:t>224</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Assessing the effects of policy changes</w:t>
      </w:r>
      <w:r>
        <w:rPr>
          <w:noProof/>
        </w:rPr>
        <w:tab/>
        <w:t>226</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Model mechanisms, drivers and results</w:t>
      </w:r>
      <w:r>
        <w:rPr>
          <w:noProof/>
        </w:rPr>
        <w:tab/>
        <w:t>228</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Sensitivity analysis</w:t>
      </w:r>
      <w:r>
        <w:rPr>
          <w:noProof/>
        </w:rPr>
        <w:tab/>
        <w:t>235</w:t>
      </w:r>
    </w:p>
    <w:p w:rsidR="00C81ABD" w:rsidRDefault="00C81ABD" w:rsidP="00CF4BC6">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The drawbacks of drawdown data</w:t>
      </w:r>
      <w:r>
        <w:rPr>
          <w:noProof/>
        </w:rPr>
        <w:tab/>
        <w:t>239</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Why are robust data important?</w:t>
      </w:r>
      <w:r>
        <w:rPr>
          <w:noProof/>
        </w:rPr>
        <w:tab/>
        <w:t>239</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What are the drawbacks of drawdown data?</w:t>
      </w:r>
      <w:r>
        <w:rPr>
          <w:noProof/>
        </w:rPr>
        <w:tab/>
        <w:t>240</w:t>
      </w:r>
    </w:p>
    <w:p w:rsidR="00C81ABD" w:rsidRDefault="00C81ABD" w:rsidP="00CF4BC6">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The Commission’s approach to drawdown data</w:t>
      </w:r>
      <w:r>
        <w:rPr>
          <w:noProof/>
        </w:rPr>
        <w:tab/>
        <w:t>242</w:t>
      </w:r>
    </w:p>
    <w:p w:rsidR="00C81ABD" w:rsidRDefault="00C81ABD" w:rsidP="00CF4BC6">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project</w:t>
      </w:r>
      <w:r>
        <w:rPr>
          <w:noProof/>
        </w:rPr>
        <w:tab/>
        <w:t>243</w:t>
      </w:r>
    </w:p>
    <w:p w:rsidR="00C81ABD" w:rsidRDefault="00C81ABD" w:rsidP="00C81ABD">
      <w:pPr>
        <w:pStyle w:val="TOC1"/>
        <w:spacing w:after="120"/>
        <w:rPr>
          <w:rFonts w:asciiTheme="minorHAnsi" w:eastAsiaTheme="minorEastAsia" w:hAnsiTheme="minorHAnsi" w:cstheme="minorBidi"/>
          <w:b w:val="0"/>
          <w:noProof/>
          <w:sz w:val="22"/>
          <w:szCs w:val="22"/>
          <w:lang w:eastAsia="en-AU"/>
        </w:rPr>
      </w:pPr>
      <w:r>
        <w:rPr>
          <w:noProof/>
        </w:rPr>
        <w:t>References</w:t>
      </w:r>
      <w:r>
        <w:rPr>
          <w:noProof/>
        </w:rPr>
        <w:tab/>
        <w:t>245</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8C8C8" w:themeFill="background2"/>
        <w:tblLook w:val="04A0" w:firstRow="1" w:lastRow="0" w:firstColumn="1" w:lastColumn="0" w:noHBand="0" w:noVBand="1"/>
      </w:tblPr>
      <w:tblGrid>
        <w:gridCol w:w="8896"/>
      </w:tblGrid>
      <w:tr w:rsidR="00FD1D42" w:rsidRPr="0009026D" w:rsidTr="008F14DF">
        <w:tc>
          <w:tcPr>
            <w:tcW w:w="8896" w:type="dxa"/>
            <w:shd w:val="clear" w:color="auto" w:fill="C8C8C8" w:themeFill="background2"/>
          </w:tcPr>
          <w:p w:rsidR="00FD1D42" w:rsidRPr="0009026D" w:rsidRDefault="00FD1D42" w:rsidP="00E05B52">
            <w:pPr>
              <w:pStyle w:val="BodyText"/>
              <w:spacing w:before="0"/>
              <w:jc w:val="center"/>
              <w:rPr>
                <w:rFonts w:asciiTheme="minorHAnsi" w:hAnsiTheme="minorHAnsi" w:cstheme="minorHAnsi"/>
                <w:b/>
                <w:noProof/>
              </w:rPr>
            </w:pPr>
            <w:r>
              <w:rPr>
                <w:rFonts w:asciiTheme="minorHAnsi" w:hAnsiTheme="minorHAnsi" w:cstheme="minorHAnsi"/>
                <w:b/>
                <w:noProof/>
                <w:sz w:val="20"/>
              </w:rPr>
              <w:t>These modelling papers are available from the Commission’s website (www.pc.gov.au)</w:t>
            </w:r>
          </w:p>
        </w:tc>
      </w:tr>
    </w:tbl>
    <w:p w:rsidR="00FD1D42" w:rsidRDefault="00FD1D42" w:rsidP="00FD1D42">
      <w:pPr>
        <w:pStyle w:val="TOC1"/>
        <w:rPr>
          <w:noProof/>
        </w:rPr>
      </w:pPr>
      <w:r>
        <w:rPr>
          <w:noProof/>
        </w:rPr>
        <w:t>1</w:t>
      </w:r>
      <w:r>
        <w:rPr>
          <w:rFonts w:asciiTheme="minorHAnsi" w:eastAsiaTheme="minorEastAsia" w:hAnsiTheme="minorHAnsi" w:cstheme="minorBidi"/>
          <w:b w:val="0"/>
          <w:noProof/>
          <w:sz w:val="22"/>
          <w:szCs w:val="22"/>
          <w:lang w:eastAsia="en-AU"/>
        </w:rPr>
        <w:tab/>
      </w:r>
      <w:r w:rsidRPr="004E2957">
        <w:rPr>
          <w:noProof/>
        </w:rPr>
        <w:t>Voluntary retirement module inputs</w:t>
      </w:r>
    </w:p>
    <w:p w:rsidR="00FD1D42" w:rsidRDefault="00FD1D42" w:rsidP="00FD1D42">
      <w:pPr>
        <w:pStyle w:val="TOC1"/>
        <w:rPr>
          <w:noProof/>
        </w:rPr>
      </w:pPr>
      <w:r>
        <w:rPr>
          <w:noProof/>
        </w:rPr>
        <w:t>2</w:t>
      </w:r>
      <w:r>
        <w:rPr>
          <w:rFonts w:asciiTheme="minorHAnsi" w:eastAsiaTheme="minorEastAsia" w:hAnsiTheme="minorHAnsi" w:cstheme="minorBidi"/>
          <w:b w:val="0"/>
          <w:noProof/>
          <w:sz w:val="22"/>
          <w:szCs w:val="22"/>
          <w:lang w:eastAsia="en-AU"/>
        </w:rPr>
        <w:tab/>
      </w:r>
      <w:r w:rsidRPr="004E2957">
        <w:rPr>
          <w:noProof/>
        </w:rPr>
        <w:t xml:space="preserve">Voluntary retirement module </w:t>
      </w:r>
      <w:r>
        <w:rPr>
          <w:noProof/>
        </w:rPr>
        <w:t>specification</w:t>
      </w:r>
    </w:p>
    <w:p w:rsidR="00FD1D42" w:rsidRDefault="00FD1D42" w:rsidP="00FD1D42">
      <w:pPr>
        <w:pStyle w:val="TOC1"/>
        <w:rPr>
          <w:noProof/>
        </w:rPr>
      </w:pPr>
      <w:r>
        <w:rPr>
          <w:noProof/>
        </w:rPr>
        <w:t>3</w:t>
      </w:r>
      <w:r>
        <w:rPr>
          <w:rFonts w:asciiTheme="minorHAnsi" w:eastAsiaTheme="minorEastAsia" w:hAnsiTheme="minorHAnsi" w:cstheme="minorBidi"/>
          <w:b w:val="0"/>
          <w:noProof/>
          <w:sz w:val="22"/>
          <w:szCs w:val="22"/>
          <w:lang w:eastAsia="en-AU"/>
        </w:rPr>
        <w:tab/>
      </w:r>
      <w:r w:rsidR="00260837" w:rsidRPr="00260837">
        <w:rPr>
          <w:noProof/>
        </w:rPr>
        <w:t>Projection module: data sources and methodology</w:t>
      </w:r>
    </w:p>
    <w:p w:rsidR="00FD1D42" w:rsidRDefault="00FD1D42" w:rsidP="00FD1D42">
      <w:pPr>
        <w:pStyle w:val="TOC1"/>
        <w:rPr>
          <w:noProof/>
        </w:rPr>
      </w:pPr>
      <w:r>
        <w:rPr>
          <w:noProof/>
        </w:rPr>
        <w:t>4</w:t>
      </w:r>
      <w:r>
        <w:rPr>
          <w:rFonts w:asciiTheme="minorHAnsi" w:eastAsiaTheme="minorEastAsia" w:hAnsiTheme="minorHAnsi" w:cstheme="minorBidi"/>
          <w:b w:val="0"/>
          <w:noProof/>
          <w:sz w:val="22"/>
          <w:szCs w:val="22"/>
          <w:lang w:eastAsia="en-AU"/>
        </w:rPr>
        <w:tab/>
      </w:r>
      <w:r w:rsidR="00260837" w:rsidRPr="00260837">
        <w:rPr>
          <w:noProof/>
        </w:rPr>
        <w:t>The calibration process</w:t>
      </w:r>
    </w:p>
    <w:p w:rsidR="00FD1D42" w:rsidRDefault="00FD1D42" w:rsidP="00FD1D42">
      <w:pPr>
        <w:pStyle w:val="TOC1"/>
        <w:rPr>
          <w:noProof/>
        </w:rPr>
      </w:pPr>
      <w:r>
        <w:rPr>
          <w:noProof/>
        </w:rPr>
        <w:t>5</w:t>
      </w:r>
      <w:r>
        <w:rPr>
          <w:rFonts w:asciiTheme="minorHAnsi" w:eastAsiaTheme="minorEastAsia" w:hAnsiTheme="minorHAnsi" w:cstheme="minorBidi"/>
          <w:b w:val="0"/>
          <w:noProof/>
          <w:sz w:val="22"/>
          <w:szCs w:val="22"/>
          <w:lang w:eastAsia="en-AU"/>
        </w:rPr>
        <w:tab/>
      </w:r>
      <w:r w:rsidR="00260837" w:rsidRPr="00260837">
        <w:rPr>
          <w:noProof/>
        </w:rPr>
        <w:t>An illustration of model results</w:t>
      </w:r>
    </w:p>
    <w:p w:rsidR="00FD1D42" w:rsidRDefault="00FD1D42" w:rsidP="00FD1D42">
      <w:pPr>
        <w:pStyle w:val="TOC1"/>
        <w:rPr>
          <w:noProof/>
        </w:rPr>
      </w:pPr>
      <w:r>
        <w:rPr>
          <w:noProof/>
        </w:rPr>
        <w:t>6</w:t>
      </w:r>
      <w:r>
        <w:rPr>
          <w:rFonts w:asciiTheme="minorHAnsi" w:eastAsiaTheme="minorEastAsia" w:hAnsiTheme="minorHAnsi" w:cstheme="minorBidi"/>
          <w:b w:val="0"/>
          <w:noProof/>
          <w:sz w:val="22"/>
          <w:szCs w:val="22"/>
          <w:lang w:eastAsia="en-AU"/>
        </w:rPr>
        <w:tab/>
      </w:r>
      <w:r w:rsidR="00260837" w:rsidRPr="00260837">
        <w:rPr>
          <w:noProof/>
        </w:rPr>
        <w:t>Sensitivity analyses</w:t>
      </w:r>
    </w:p>
    <w:p w:rsidR="004D3F58" w:rsidRDefault="00FD1D42" w:rsidP="00FD1D42">
      <w:pPr>
        <w:pStyle w:val="TOC1"/>
        <w:rPr>
          <w:noProof/>
        </w:rPr>
      </w:pPr>
      <w:r>
        <w:rPr>
          <w:noProof/>
        </w:rPr>
        <w:t>7</w:t>
      </w:r>
      <w:r w:rsidRPr="00FD1D42">
        <w:rPr>
          <w:noProof/>
        </w:rPr>
        <w:tab/>
      </w:r>
      <w:r>
        <w:rPr>
          <w:noProof/>
        </w:rPr>
        <w:t>Literature review of other models</w:t>
      </w:r>
    </w:p>
    <w:p w:rsidR="00C86487" w:rsidRDefault="00C86487">
      <w:pPr>
        <w:pStyle w:val="BodyText"/>
      </w:pPr>
    </w:p>
    <w:p w:rsidR="008B3A9C" w:rsidRDefault="008B3A9C">
      <w:pPr>
        <w:pStyle w:val="BodyText"/>
        <w:sectPr w:rsidR="008B3A9C" w:rsidSect="007448F7">
          <w:headerReference w:type="even" r:id="rId19"/>
          <w:headerReference w:type="default" r:id="rId20"/>
          <w:footerReference w:type="even" r:id="rId21"/>
          <w:footerReference w:type="default" r:id="rId22"/>
          <w:type w:val="oddPage"/>
          <w:pgSz w:w="11907" w:h="16840" w:code="9"/>
          <w:pgMar w:top="1985" w:right="1304" w:bottom="1247" w:left="1814" w:header="1701" w:footer="397" w:gutter="0"/>
          <w:pgNumType w:fmt="lowerRoman"/>
          <w:cols w:space="720"/>
        </w:sectPr>
      </w:pPr>
    </w:p>
    <w:p w:rsidR="005050CD" w:rsidRDefault="005050CD" w:rsidP="005050CD">
      <w:pPr>
        <w:pStyle w:val="Heading1"/>
      </w:pPr>
      <w:bookmarkStart w:id="9" w:name="Abbreviations"/>
      <w:bookmarkStart w:id="10" w:name="RDnote"/>
      <w:bookmarkStart w:id="11" w:name="_Toc423347072"/>
      <w:bookmarkStart w:id="12" w:name="_Toc423543012"/>
      <w:bookmarkEnd w:id="9"/>
      <w:bookmarkEnd w:id="10"/>
      <w:r>
        <w:lastRenderedPageBreak/>
        <w:t>Acknowledgments</w:t>
      </w:r>
      <w:bookmarkEnd w:id="11"/>
      <w:bookmarkEnd w:id="12"/>
    </w:p>
    <w:p w:rsidR="005050CD" w:rsidRDefault="005050CD" w:rsidP="005050CD">
      <w:pPr>
        <w:pStyle w:val="BodyText"/>
      </w:pPr>
      <w:r>
        <w:t>The Commission is grateful to everyone who has taken their time to discuss the issues canvassed in this research project. Particular thanks are extended to those who participated in the Commission’s modelling workshop held in Canberra on 8 April 2015.</w:t>
      </w:r>
    </w:p>
    <w:p w:rsidR="005050CD" w:rsidRDefault="005050CD" w:rsidP="005050CD">
      <w:pPr>
        <w:pStyle w:val="BodyText"/>
      </w:pPr>
      <w:r>
        <w:t>The Commission would also like to thank officers of the Australian Taxation Office, the Parliamentary Budget Office, the Department of Social Services, and the Department of the Treasury for their assistance.</w:t>
      </w:r>
    </w:p>
    <w:p w:rsidR="005050CD" w:rsidRDefault="005050CD" w:rsidP="005050CD">
      <w:pPr>
        <w:pStyle w:val="Heading3"/>
      </w:pPr>
      <w:r>
        <w:t>Use of HILDA data</w:t>
      </w:r>
    </w:p>
    <w:p w:rsidR="00336D59" w:rsidRDefault="00336D59" w:rsidP="00336D59">
      <w:pPr>
        <w:pStyle w:val="BodyText"/>
        <w:rPr>
          <w:lang w:eastAsia="en-US"/>
        </w:rPr>
      </w:pPr>
      <w:r w:rsidRPr="002A725E">
        <w:rPr>
          <w:lang w:eastAsia="en-US"/>
        </w:rPr>
        <w:t>This paper uses unit record data from the Household, Income and Labour Dynamics in Australia (HILDA) Survey. The HILDA Project was initiated and is funded by the Australian Government Department of Social Services (</w:t>
      </w:r>
      <w:proofErr w:type="spellStart"/>
      <w:r w:rsidRPr="002A725E">
        <w:rPr>
          <w:lang w:eastAsia="en-US"/>
        </w:rPr>
        <w:t>DSS</w:t>
      </w:r>
      <w:proofErr w:type="spellEnd"/>
      <w:r w:rsidRPr="002A725E">
        <w:rPr>
          <w:lang w:eastAsia="en-US"/>
        </w:rPr>
        <w:t xml:space="preserve">), and is managed by the Melbourne Institute of Applied Economic and Social Research (Melbourne Institute). The findings and views reported in this paper, however, are those of the author and should not be attributed to either </w:t>
      </w:r>
      <w:proofErr w:type="spellStart"/>
      <w:r w:rsidRPr="002A725E">
        <w:rPr>
          <w:lang w:eastAsia="en-US"/>
        </w:rPr>
        <w:t>DSS</w:t>
      </w:r>
      <w:proofErr w:type="spellEnd"/>
      <w:r w:rsidRPr="002A725E">
        <w:rPr>
          <w:lang w:eastAsia="en-US"/>
        </w:rPr>
        <w:t xml:space="preserve"> or the Melbourne Institute.</w:t>
      </w:r>
    </w:p>
    <w:p w:rsidR="00A36C7F" w:rsidRDefault="00A36C7F" w:rsidP="00883E8C">
      <w:pPr>
        <w:pStyle w:val="BodyText"/>
        <w:rPr>
          <w:lang w:eastAsia="en-US"/>
        </w:rPr>
      </w:pPr>
    </w:p>
    <w:p w:rsidR="00A36C7F" w:rsidRPr="00883E8C" w:rsidRDefault="00A36C7F" w:rsidP="00883E8C">
      <w:pPr>
        <w:pStyle w:val="BodyText"/>
        <w:rPr>
          <w:lang w:eastAsia="en-US"/>
        </w:rPr>
      </w:pPr>
    </w:p>
    <w:p w:rsidR="00A36C7F" w:rsidRDefault="00A36C7F">
      <w:pPr>
        <w:pStyle w:val="BodyText"/>
        <w:sectPr w:rsidR="00A36C7F" w:rsidSect="00883E8C">
          <w:headerReference w:type="even" r:id="rId23"/>
          <w:headerReference w:type="default" r:id="rId24"/>
          <w:footerReference w:type="even" r:id="rId25"/>
          <w:footerReference w:type="default" r:id="rId26"/>
          <w:pgSz w:w="11906" w:h="16838" w:code="9"/>
          <w:pgMar w:top="1985" w:right="1304" w:bottom="1247" w:left="1814" w:header="1701" w:footer="397" w:gutter="0"/>
          <w:pgNumType w:fmt="lowerRoman"/>
          <w:cols w:space="708"/>
          <w:docGrid w:linePitch="360"/>
        </w:sectPr>
      </w:pPr>
    </w:p>
    <w:p w:rsidR="00735FEA" w:rsidRDefault="00735FEA" w:rsidP="00F7477E">
      <w:pPr>
        <w:pStyle w:val="Heading1"/>
      </w:pPr>
      <w:bookmarkStart w:id="13" w:name="EndContents"/>
      <w:bookmarkStart w:id="14" w:name="_Toc423347073"/>
      <w:bookmarkStart w:id="15" w:name="_Toc423543013"/>
      <w:bookmarkEnd w:id="13"/>
      <w:r>
        <w:lastRenderedPageBreak/>
        <w:t>Abbreviations and explanations</w:t>
      </w:r>
      <w:bookmarkEnd w:id="14"/>
      <w:bookmarkEnd w:id="15"/>
    </w:p>
    <w:p w:rsidR="004D0094" w:rsidRDefault="004D0094" w:rsidP="004D0094">
      <w:pPr>
        <w:pStyle w:val="Heading2NotTOC"/>
      </w:pPr>
      <w:r>
        <w:t>Abbrevia</w:t>
      </w:r>
      <w:r w:rsidRPr="00F85393">
        <w:t>t</w:t>
      </w:r>
      <w:r>
        <w:t>ions</w:t>
      </w:r>
    </w:p>
    <w:p w:rsidR="004D0094" w:rsidRDefault="004D0094" w:rsidP="004D0094">
      <w:pPr>
        <w:pStyle w:val="Abbreviation"/>
      </w:pPr>
      <w:r>
        <w:t>ABS</w:t>
      </w:r>
      <w:r>
        <w:tab/>
        <w:t>Australian Bureau of Statistics</w:t>
      </w:r>
    </w:p>
    <w:p w:rsidR="004D0094" w:rsidRDefault="004D0094" w:rsidP="004D0094">
      <w:pPr>
        <w:pStyle w:val="Abbreviation"/>
      </w:pPr>
      <w:r>
        <w:t>APRA</w:t>
      </w:r>
      <w:r>
        <w:tab/>
        <w:t>Australian Prudential Regulatory Authority</w:t>
      </w:r>
    </w:p>
    <w:p w:rsidR="004D0094" w:rsidRDefault="004D0094" w:rsidP="004D0094">
      <w:pPr>
        <w:pStyle w:val="Abbreviation"/>
      </w:pPr>
      <w:proofErr w:type="spellStart"/>
      <w:r>
        <w:t>ASFA</w:t>
      </w:r>
      <w:proofErr w:type="spellEnd"/>
      <w:r>
        <w:tab/>
      </w:r>
      <w:r w:rsidRPr="00EB33CD">
        <w:t>Association of Superannuation Funds of Australia</w:t>
      </w:r>
    </w:p>
    <w:p w:rsidR="004D0094" w:rsidRDefault="004D0094" w:rsidP="004D0094">
      <w:pPr>
        <w:pStyle w:val="Abbreviation"/>
      </w:pPr>
      <w:proofErr w:type="spellStart"/>
      <w:r>
        <w:t>ASIC</w:t>
      </w:r>
      <w:proofErr w:type="spellEnd"/>
      <w:r>
        <w:tab/>
        <w:t>Australian Securities &amp; Investment Commission</w:t>
      </w:r>
    </w:p>
    <w:p w:rsidR="004D0094" w:rsidRDefault="004D0094" w:rsidP="004D0094">
      <w:pPr>
        <w:pStyle w:val="Abbreviation"/>
      </w:pPr>
      <w:proofErr w:type="spellStart"/>
      <w:r>
        <w:t>ATO</w:t>
      </w:r>
      <w:proofErr w:type="spellEnd"/>
      <w:r>
        <w:tab/>
        <w:t>Australian Taxation Office</w:t>
      </w:r>
    </w:p>
    <w:p w:rsidR="004D0094" w:rsidRDefault="004D0094" w:rsidP="004D0094">
      <w:pPr>
        <w:pStyle w:val="Abbreviation"/>
      </w:pPr>
      <w:proofErr w:type="spellStart"/>
      <w:r>
        <w:t>CEPAR</w:t>
      </w:r>
      <w:proofErr w:type="spellEnd"/>
      <w:r>
        <w:tab/>
        <w:t>ARC Centre of Excellence in Population Ageing Research</w:t>
      </w:r>
    </w:p>
    <w:p w:rsidR="004D0094" w:rsidRDefault="004D0094" w:rsidP="004D0094">
      <w:pPr>
        <w:pStyle w:val="Abbreviation"/>
      </w:pPr>
      <w:proofErr w:type="spellStart"/>
      <w:r>
        <w:t>CIPR</w:t>
      </w:r>
      <w:proofErr w:type="spellEnd"/>
      <w:r>
        <w:tab/>
        <w:t>Comprehensive Income Product for Retirement</w:t>
      </w:r>
    </w:p>
    <w:p w:rsidR="004D0094" w:rsidRDefault="004D0094" w:rsidP="004D0094">
      <w:pPr>
        <w:pStyle w:val="Abbreviation"/>
      </w:pPr>
      <w:r>
        <w:t>CPI</w:t>
      </w:r>
      <w:r>
        <w:tab/>
        <w:t>Consumer Price Index</w:t>
      </w:r>
    </w:p>
    <w:p w:rsidR="004D0094" w:rsidRDefault="004D0094" w:rsidP="004D0094">
      <w:pPr>
        <w:pStyle w:val="Abbreviation"/>
      </w:pPr>
      <w:proofErr w:type="spellStart"/>
      <w:r>
        <w:t>FSI</w:t>
      </w:r>
      <w:proofErr w:type="spellEnd"/>
      <w:r>
        <w:tab/>
        <w:t>Financial System Inquiry</w:t>
      </w:r>
    </w:p>
    <w:p w:rsidR="004D0094" w:rsidRDefault="004D0094" w:rsidP="004D0094">
      <w:pPr>
        <w:pStyle w:val="Abbreviation"/>
      </w:pPr>
      <w:proofErr w:type="spellStart"/>
      <w:r>
        <w:t>FUM</w:t>
      </w:r>
      <w:proofErr w:type="spellEnd"/>
      <w:r>
        <w:tab/>
        <w:t>Funds under management</w:t>
      </w:r>
    </w:p>
    <w:p w:rsidR="004D0094" w:rsidRDefault="004D0094" w:rsidP="004D0094">
      <w:pPr>
        <w:pStyle w:val="Abbreviation"/>
        <w:rPr>
          <w:lang w:eastAsia="en-US"/>
        </w:rPr>
      </w:pPr>
      <w:r>
        <w:t>HILDA</w:t>
      </w:r>
      <w:r>
        <w:tab/>
      </w:r>
      <w:r w:rsidRPr="005B3498">
        <w:rPr>
          <w:lang w:eastAsia="en-US"/>
        </w:rPr>
        <w:t>Household, Income and Labour Dynamics in Australia Survey</w:t>
      </w:r>
    </w:p>
    <w:p w:rsidR="004D0094" w:rsidRDefault="004D0094" w:rsidP="004D0094">
      <w:pPr>
        <w:pStyle w:val="Abbreviation"/>
      </w:pPr>
      <w:proofErr w:type="spellStart"/>
      <w:r>
        <w:t>IGR</w:t>
      </w:r>
      <w:proofErr w:type="spellEnd"/>
      <w:r>
        <w:tab/>
        <w:t>Intergenerational Report</w:t>
      </w:r>
    </w:p>
    <w:p w:rsidR="004D0094" w:rsidRDefault="004D0094" w:rsidP="004D0094">
      <w:pPr>
        <w:pStyle w:val="Abbreviation"/>
      </w:pPr>
      <w:proofErr w:type="spellStart"/>
      <w:r>
        <w:t>NATSEM</w:t>
      </w:r>
      <w:proofErr w:type="spellEnd"/>
      <w:r>
        <w:tab/>
      </w:r>
      <w:r w:rsidRPr="00D82DC8">
        <w:t>National Centre for Social and Economic Modelling</w:t>
      </w:r>
    </w:p>
    <w:p w:rsidR="004D0094" w:rsidRDefault="004D0094" w:rsidP="004D0094">
      <w:pPr>
        <w:pStyle w:val="Abbreviation"/>
      </w:pPr>
      <w:r>
        <w:t>OECD</w:t>
      </w:r>
      <w:r>
        <w:tab/>
        <w:t>Organisation for Economic Co-operation and Development</w:t>
      </w:r>
    </w:p>
    <w:p w:rsidR="004D0094" w:rsidRDefault="004D0094" w:rsidP="004D0094">
      <w:pPr>
        <w:pStyle w:val="Abbreviation"/>
      </w:pPr>
      <w:proofErr w:type="spellStart"/>
      <w:r>
        <w:t>PBO</w:t>
      </w:r>
      <w:proofErr w:type="spellEnd"/>
      <w:r>
        <w:tab/>
        <w:t>Parliamentary Budget Office</w:t>
      </w:r>
    </w:p>
    <w:p w:rsidR="004D0094" w:rsidRDefault="004D0094" w:rsidP="004D0094">
      <w:pPr>
        <w:pStyle w:val="Abbreviation"/>
      </w:pPr>
      <w:r>
        <w:t>PC</w:t>
      </w:r>
      <w:r>
        <w:tab/>
        <w:t>Productivity Commission</w:t>
      </w:r>
    </w:p>
    <w:p w:rsidR="004D0094" w:rsidRDefault="004D0094" w:rsidP="004D0094">
      <w:pPr>
        <w:pStyle w:val="Abbreviation"/>
      </w:pPr>
      <w:proofErr w:type="spellStart"/>
      <w:r>
        <w:t>PCRM</w:t>
      </w:r>
      <w:proofErr w:type="spellEnd"/>
      <w:r>
        <w:tab/>
        <w:t>Productivity Commission Retirement Model</w:t>
      </w:r>
    </w:p>
    <w:p w:rsidR="004D0094" w:rsidRDefault="004D0094" w:rsidP="004D0094">
      <w:pPr>
        <w:pStyle w:val="Abbreviation"/>
      </w:pPr>
      <w:r>
        <w:t>SG</w:t>
      </w:r>
      <w:r>
        <w:tab/>
        <w:t>Superannuation Guarantee</w:t>
      </w:r>
    </w:p>
    <w:p w:rsidR="004D0094" w:rsidRDefault="004D0094" w:rsidP="004D0094">
      <w:pPr>
        <w:pStyle w:val="Abbreviation"/>
      </w:pPr>
      <w:proofErr w:type="spellStart"/>
      <w:r>
        <w:t>SIH</w:t>
      </w:r>
      <w:proofErr w:type="spellEnd"/>
      <w:r>
        <w:tab/>
        <w:t>ABS Survey of Income and Housing</w:t>
      </w:r>
    </w:p>
    <w:p w:rsidR="004D0094" w:rsidRDefault="004D0094" w:rsidP="004D0094">
      <w:pPr>
        <w:pStyle w:val="Abbreviation"/>
      </w:pPr>
      <w:proofErr w:type="spellStart"/>
      <w:r>
        <w:t>SMSF</w:t>
      </w:r>
      <w:proofErr w:type="spellEnd"/>
      <w:r>
        <w:tab/>
        <w:t>Self-managed Superannuation Fund</w:t>
      </w:r>
    </w:p>
    <w:p w:rsidR="004D0094" w:rsidRDefault="004D0094" w:rsidP="004D0094">
      <w:pPr>
        <w:pStyle w:val="Abbreviation"/>
      </w:pPr>
      <w:proofErr w:type="spellStart"/>
      <w:r>
        <w:t>TTR</w:t>
      </w:r>
      <w:proofErr w:type="spellEnd"/>
      <w:r>
        <w:tab/>
        <w:t>Transition to Retirement</w:t>
      </w:r>
    </w:p>
    <w:p w:rsidR="00735FEA" w:rsidRDefault="00735FEA" w:rsidP="00F7477E">
      <w:pPr>
        <w:pStyle w:val="Heading2NotTOC"/>
      </w:pPr>
      <w:r>
        <w:t>Explanations</w:t>
      </w:r>
    </w:p>
    <w:tbl>
      <w:tblPr>
        <w:tblW w:w="0" w:type="auto"/>
        <w:tblCellMar>
          <w:left w:w="0" w:type="dxa"/>
          <w:right w:w="0" w:type="dxa"/>
        </w:tblCellMar>
        <w:tblLook w:val="0000" w:firstRow="0" w:lastRow="0" w:firstColumn="0" w:lastColumn="0" w:noHBand="0" w:noVBand="0"/>
      </w:tblPr>
      <w:tblGrid>
        <w:gridCol w:w="2410"/>
        <w:gridCol w:w="6379"/>
      </w:tblGrid>
      <w:tr w:rsidR="00735FEA" w:rsidTr="000A5E12">
        <w:tc>
          <w:tcPr>
            <w:tcW w:w="2410" w:type="dxa"/>
          </w:tcPr>
          <w:p w:rsidR="00735FEA" w:rsidRDefault="00735FEA">
            <w:pPr>
              <w:pStyle w:val="BodyText"/>
              <w:spacing w:before="120"/>
              <w:ind w:right="6"/>
            </w:pPr>
            <w:r>
              <w:t>Billion</w:t>
            </w:r>
          </w:p>
        </w:tc>
        <w:tc>
          <w:tcPr>
            <w:tcW w:w="6379" w:type="dxa"/>
          </w:tcPr>
          <w:p w:rsidR="00735FEA" w:rsidRDefault="00735FEA">
            <w:pPr>
              <w:pStyle w:val="BodyText"/>
              <w:spacing w:before="120"/>
              <w:ind w:left="227" w:right="6"/>
            </w:pPr>
            <w:r>
              <w:t>The convention used for a billion is a thousand million (10</w:t>
            </w:r>
            <w:r>
              <w:rPr>
                <w:position w:val="6"/>
                <w:sz w:val="22"/>
              </w:rPr>
              <w:t>9</w:t>
            </w:r>
            <w:r>
              <w:t>).</w:t>
            </w:r>
          </w:p>
        </w:tc>
      </w:tr>
    </w:tbl>
    <w:p w:rsidR="00C86487" w:rsidRPr="008F14DF" w:rsidRDefault="00C86487" w:rsidP="008F14DF">
      <w:pPr>
        <w:pStyle w:val="BodyText"/>
        <w:rPr>
          <w:rStyle w:val="CommentReference"/>
          <w:b w:val="0"/>
          <w:vanish w:val="0"/>
          <w:color w:val="auto"/>
          <w:sz w:val="24"/>
        </w:rPr>
      </w:pPr>
      <w:bookmarkStart w:id="16" w:name="Glossary"/>
      <w:bookmarkEnd w:id="16"/>
    </w:p>
    <w:sectPr w:rsidR="00C86487" w:rsidRPr="008F14DF" w:rsidSect="00585B3F">
      <w:headerReference w:type="even" r:id="rId27"/>
      <w:headerReference w:type="default" r:id="rId28"/>
      <w:footerReference w:type="even" r:id="rId29"/>
      <w:footerReference w:type="default" r:id="rId30"/>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C7F" w:rsidRDefault="00A36C7F">
      <w:r>
        <w:separator/>
      </w:r>
    </w:p>
    <w:p w:rsidR="00A36C7F" w:rsidRDefault="00A36C7F"/>
    <w:p w:rsidR="00A36C7F" w:rsidRDefault="00A36C7F"/>
  </w:endnote>
  <w:endnote w:type="continuationSeparator" w:id="0">
    <w:p w:rsidR="00A36C7F" w:rsidRDefault="00A36C7F">
      <w:r>
        <w:continuationSeparator/>
      </w:r>
    </w:p>
    <w:p w:rsidR="00A36C7F" w:rsidRDefault="00A36C7F"/>
    <w:p w:rsidR="00A36C7F" w:rsidRDefault="00A36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36C7F" w:rsidTr="005F48ED">
      <w:trPr>
        <w:trHeight w:hRule="exact" w:val="567"/>
      </w:trPr>
      <w:tc>
        <w:tcPr>
          <w:tcW w:w="510" w:type="dxa"/>
        </w:tcPr>
        <w:p w:rsidR="00A36C7F" w:rsidRPr="00A24443" w:rsidRDefault="00A36C7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A5296">
            <w:rPr>
              <w:rStyle w:val="PageNumber"/>
              <w:caps w:val="0"/>
              <w:noProof/>
            </w:rPr>
            <w:t>ii</w:t>
          </w:r>
          <w:r w:rsidRPr="00A24443">
            <w:rPr>
              <w:rStyle w:val="PageNumber"/>
              <w:caps w:val="0"/>
            </w:rPr>
            <w:fldChar w:fldCharType="end"/>
          </w:r>
        </w:p>
      </w:tc>
      <w:tc>
        <w:tcPr>
          <w:tcW w:w="7767" w:type="dxa"/>
        </w:tcPr>
        <w:p w:rsidR="00A36C7F" w:rsidRPr="0013739A" w:rsidRDefault="00A36C7F"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8A6356">
            <w:rPr>
              <w:rFonts w:cs="Arial"/>
            </w:rPr>
            <w:t>Superannuation policy for post-retirement</w:t>
          </w:r>
          <w:r w:rsidRPr="00BA5B14">
            <w:rPr>
              <w:rFonts w:cs="Arial"/>
            </w:rPr>
            <w:fldChar w:fldCharType="end"/>
          </w:r>
        </w:p>
      </w:tc>
      <w:tc>
        <w:tcPr>
          <w:tcW w:w="510" w:type="dxa"/>
        </w:tcPr>
        <w:p w:rsidR="00A36C7F" w:rsidRDefault="00A36C7F" w:rsidP="0019293B">
          <w:pPr>
            <w:pStyle w:val="Footer"/>
          </w:pPr>
        </w:p>
      </w:tc>
    </w:tr>
  </w:tbl>
  <w:p w:rsidR="00A36C7F" w:rsidRDefault="00A36C7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36C7F" w:rsidTr="005F48ED">
      <w:trPr>
        <w:trHeight w:hRule="exact" w:val="567"/>
      </w:trPr>
      <w:tc>
        <w:tcPr>
          <w:tcW w:w="510" w:type="dxa"/>
        </w:tcPr>
        <w:p w:rsidR="00A36C7F" w:rsidRDefault="00A36C7F">
          <w:pPr>
            <w:pStyle w:val="Footer"/>
            <w:ind w:right="360" w:firstLine="360"/>
          </w:pPr>
        </w:p>
      </w:tc>
      <w:tc>
        <w:tcPr>
          <w:tcW w:w="7767" w:type="dxa"/>
        </w:tcPr>
        <w:p w:rsidR="00A36C7F" w:rsidRPr="00160417" w:rsidRDefault="00A36C7F" w:rsidP="00160417">
          <w:pPr>
            <w:pStyle w:val="Footer"/>
            <w:jc w:val="right"/>
            <w:rPr>
              <w:rFonts w:cs="Arial"/>
            </w:rPr>
          </w:pPr>
          <w:r w:rsidRPr="00160417">
            <w:rPr>
              <w:noProof/>
            </w:rPr>
            <w:fldChar w:fldCharType="begin"/>
          </w:r>
          <w:r w:rsidRPr="00160417">
            <w:rPr>
              <w:noProof/>
            </w:rPr>
            <w:instrText xml:space="preserve"> STYLEREF "Heading 1" \* MERGEFORMAT </w:instrText>
          </w:r>
          <w:r w:rsidRPr="00160417">
            <w:rPr>
              <w:noProof/>
            </w:rPr>
            <w:fldChar w:fldCharType="separate"/>
          </w:r>
          <w:r w:rsidR="00980F9D" w:rsidRPr="00980F9D">
            <w:rPr>
              <w:bCs/>
              <w:noProof/>
              <w:lang w:val="en-US"/>
            </w:rPr>
            <w:t>Foreword</w:t>
          </w:r>
          <w:r w:rsidRPr="00160417">
            <w:rPr>
              <w:noProof/>
            </w:rPr>
            <w:fldChar w:fldCharType="end"/>
          </w:r>
        </w:p>
      </w:tc>
      <w:tc>
        <w:tcPr>
          <w:tcW w:w="510" w:type="dxa"/>
        </w:tcPr>
        <w:p w:rsidR="00A36C7F" w:rsidRPr="00634771" w:rsidRDefault="00A36C7F">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980F9D">
            <w:rPr>
              <w:rStyle w:val="PageNumber"/>
              <w:caps w:val="0"/>
              <w:noProof/>
            </w:rPr>
            <w:t>iii</w:t>
          </w:r>
          <w:r w:rsidRPr="00634771">
            <w:rPr>
              <w:rStyle w:val="PageNumber"/>
              <w:caps w:val="0"/>
            </w:rPr>
            <w:fldChar w:fldCharType="end"/>
          </w:r>
        </w:p>
      </w:tc>
    </w:tr>
  </w:tbl>
  <w:p w:rsidR="00A36C7F" w:rsidRDefault="00A36C7F">
    <w:pPr>
      <w:pStyle w:val="FooterEnd"/>
    </w:pPr>
  </w:p>
  <w:p w:rsidR="00A36C7F" w:rsidRDefault="00A36C7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80F9D">
            <w:rPr>
              <w:rStyle w:val="PageNumber"/>
              <w:caps w:val="0"/>
              <w:noProof/>
            </w:rPr>
            <w:t>iv</w:t>
          </w:r>
          <w:r w:rsidRPr="00A24443">
            <w:rPr>
              <w:rStyle w:val="PageNumber"/>
              <w:caps w:val="0"/>
            </w:rPr>
            <w:fldChar w:fldCharType="end"/>
          </w:r>
        </w:p>
      </w:tc>
      <w:tc>
        <w:tcPr>
          <w:tcW w:w="7767" w:type="dxa"/>
        </w:tcPr>
        <w:p w:rsidR="004D3F58" w:rsidRPr="0013739A" w:rsidRDefault="00C058AB"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8A6356">
            <w:rPr>
              <w:rFonts w:cs="Arial"/>
            </w:rPr>
            <w:t>Superannuation policy for post-retirement</w:t>
          </w:r>
          <w:r w:rsidRPr="00BA5B14">
            <w:rPr>
              <w:rFonts w:cs="Arial"/>
            </w:rPr>
            <w:fldChar w:fldCharType="end"/>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980F9D">
            <w:rPr>
              <w:noProof/>
            </w:rPr>
            <w:t>Contents</w:t>
          </w:r>
          <w:r w:rsidRPr="008F7DB7">
            <w:rPr>
              <w:noProof/>
            </w:rPr>
            <w:fldChar w:fldCharType="end"/>
          </w:r>
          <w:r>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980F9D">
            <w:rPr>
              <w:rStyle w:val="PageNumber"/>
              <w:caps w:val="0"/>
              <w:noProof/>
            </w:rPr>
            <w:t>vii</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36C7F" w:rsidTr="005F48ED">
      <w:trPr>
        <w:trHeight w:hRule="exact" w:val="567"/>
      </w:trPr>
      <w:tc>
        <w:tcPr>
          <w:tcW w:w="510" w:type="dxa"/>
        </w:tcPr>
        <w:p w:rsidR="00A36C7F" w:rsidRPr="00A24443" w:rsidRDefault="00A36C7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80F9D">
            <w:rPr>
              <w:rStyle w:val="PageNumber"/>
              <w:caps w:val="0"/>
              <w:noProof/>
            </w:rPr>
            <w:t>viii</w:t>
          </w:r>
          <w:r w:rsidRPr="00A24443">
            <w:rPr>
              <w:rStyle w:val="PageNumber"/>
              <w:caps w:val="0"/>
            </w:rPr>
            <w:fldChar w:fldCharType="end"/>
          </w:r>
        </w:p>
      </w:tc>
      <w:tc>
        <w:tcPr>
          <w:tcW w:w="7767" w:type="dxa"/>
        </w:tcPr>
        <w:p w:rsidR="00A36C7F" w:rsidRPr="0013739A" w:rsidRDefault="008A6356" w:rsidP="00D71ABB">
          <w:pPr>
            <w:pStyle w:val="Footer"/>
            <w:rPr>
              <w:rFonts w:cs="Arial"/>
            </w:rPr>
          </w:pPr>
          <w:r>
            <w:rPr>
              <w:rFonts w:cs="Arial"/>
            </w:rPr>
            <w:t>Superannuation policy for post-retirement</w:t>
          </w:r>
        </w:p>
      </w:tc>
      <w:tc>
        <w:tcPr>
          <w:tcW w:w="510" w:type="dxa"/>
        </w:tcPr>
        <w:p w:rsidR="00A36C7F" w:rsidRDefault="00A36C7F" w:rsidP="0019293B">
          <w:pPr>
            <w:pStyle w:val="Footer"/>
          </w:pPr>
        </w:p>
      </w:tc>
    </w:tr>
  </w:tbl>
  <w:p w:rsidR="00A36C7F" w:rsidRDefault="00A36C7F" w:rsidP="0019293B">
    <w:pPr>
      <w:pStyle w:val="FooterEnd"/>
    </w:pPr>
  </w:p>
  <w:p w:rsidR="00A36C7F" w:rsidRDefault="00A36C7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36C7F" w:rsidTr="005F48ED">
      <w:trPr>
        <w:trHeight w:hRule="exact" w:val="567"/>
      </w:trPr>
      <w:tc>
        <w:tcPr>
          <w:tcW w:w="510" w:type="dxa"/>
        </w:tcPr>
        <w:p w:rsidR="00A36C7F" w:rsidRDefault="00A36C7F">
          <w:pPr>
            <w:pStyle w:val="Footer"/>
            <w:ind w:right="360" w:firstLine="360"/>
          </w:pPr>
        </w:p>
      </w:tc>
      <w:tc>
        <w:tcPr>
          <w:tcW w:w="7767" w:type="dxa"/>
        </w:tcPr>
        <w:p w:rsidR="00A36C7F" w:rsidRPr="00A90DAF" w:rsidRDefault="00A36C7F" w:rsidP="00883E8C">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C81ABD" w:rsidRPr="00C81ABD">
            <w:rPr>
              <w:bCs/>
              <w:noProof/>
              <w:lang w:val="en-US"/>
            </w:rPr>
            <w:t>Acknowledgments</w:t>
          </w:r>
          <w:r w:rsidRPr="00A90DAF">
            <w:rPr>
              <w:noProof/>
            </w:rPr>
            <w:fldChar w:fldCharType="end"/>
          </w:r>
        </w:p>
      </w:tc>
      <w:tc>
        <w:tcPr>
          <w:tcW w:w="510" w:type="dxa"/>
        </w:tcPr>
        <w:p w:rsidR="00A36C7F" w:rsidRPr="00A24443" w:rsidRDefault="00A36C7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81ABD">
            <w:rPr>
              <w:rStyle w:val="PageNumber"/>
              <w:caps w:val="0"/>
              <w:noProof/>
            </w:rPr>
            <w:t>ix</w:t>
          </w:r>
          <w:r w:rsidRPr="00A24443">
            <w:rPr>
              <w:rStyle w:val="PageNumber"/>
              <w:caps w:val="0"/>
            </w:rPr>
            <w:fldChar w:fldCharType="end"/>
          </w:r>
        </w:p>
      </w:tc>
    </w:tr>
  </w:tbl>
  <w:p w:rsidR="00A36C7F" w:rsidRDefault="00A36C7F">
    <w:pPr>
      <w:pStyle w:val="FooterEnd"/>
    </w:pPr>
  </w:p>
  <w:p w:rsidR="00A36C7F" w:rsidRDefault="00A36C7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F14DF">
            <w:rPr>
              <w:rStyle w:val="PageNumber"/>
              <w:caps w:val="0"/>
              <w:noProof/>
            </w:rPr>
            <w:t>x</w:t>
          </w:r>
          <w:r w:rsidRPr="007448F7">
            <w:rPr>
              <w:rStyle w:val="PageNumber"/>
              <w:caps w:val="0"/>
            </w:rPr>
            <w:fldChar w:fldCharType="end"/>
          </w:r>
        </w:p>
      </w:tc>
      <w:tc>
        <w:tcPr>
          <w:tcW w:w="7767" w:type="dxa"/>
        </w:tcPr>
        <w:p w:rsidR="007448F7" w:rsidRPr="0013739A" w:rsidRDefault="00D61180"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8A6356">
            <w:rPr>
              <w:rFonts w:cs="Arial"/>
            </w:rPr>
            <w:t>Superannuation policy for post-retirement</w:t>
          </w:r>
          <w:r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980F9D" w:rsidRPr="00980F9D">
            <w:rPr>
              <w:bCs/>
              <w:noProof/>
              <w:lang w:val="en-US"/>
            </w:rPr>
            <w:t>Abbreviations</w:t>
          </w:r>
          <w:r w:rsidR="00980F9D">
            <w:rPr>
              <w:noProof/>
            </w:rPr>
            <w:t xml:space="preserve"> and explanations</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80F9D">
            <w:rPr>
              <w:rStyle w:val="PageNumber"/>
              <w:caps w:val="0"/>
              <w:noProof/>
            </w:rPr>
            <w:t>ix</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C7F" w:rsidRDefault="00A36C7F">
      <w:r>
        <w:separator/>
      </w:r>
    </w:p>
    <w:p w:rsidR="00A36C7F" w:rsidRDefault="00A36C7F"/>
    <w:p w:rsidR="00A36C7F" w:rsidRDefault="00A36C7F"/>
  </w:footnote>
  <w:footnote w:type="continuationSeparator" w:id="0">
    <w:p w:rsidR="00A36C7F" w:rsidRDefault="00A36C7F">
      <w:r>
        <w:continuationSeparator/>
      </w:r>
    </w:p>
    <w:p w:rsidR="00A36C7F" w:rsidRDefault="00A36C7F"/>
    <w:p w:rsidR="00A36C7F" w:rsidRDefault="00A36C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36C7F">
      <w:tc>
        <w:tcPr>
          <w:tcW w:w="2155" w:type="dxa"/>
          <w:tcBorders>
            <w:top w:val="single" w:sz="24" w:space="0" w:color="auto"/>
          </w:tcBorders>
        </w:tcPr>
        <w:p w:rsidR="00A36C7F" w:rsidRDefault="00A36C7F">
          <w:pPr>
            <w:pStyle w:val="HeaderEven"/>
          </w:pPr>
        </w:p>
      </w:tc>
      <w:tc>
        <w:tcPr>
          <w:tcW w:w="6634" w:type="dxa"/>
          <w:tcBorders>
            <w:top w:val="single" w:sz="6" w:space="0" w:color="auto"/>
          </w:tcBorders>
        </w:tcPr>
        <w:p w:rsidR="00A36C7F" w:rsidRDefault="00A36C7F">
          <w:pPr>
            <w:pStyle w:val="HeaderEven"/>
          </w:pPr>
        </w:p>
      </w:tc>
    </w:tr>
  </w:tbl>
  <w:p w:rsidR="00A36C7F" w:rsidRDefault="00A36C7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36C7F">
      <w:tc>
        <w:tcPr>
          <w:tcW w:w="6634" w:type="dxa"/>
          <w:tcBorders>
            <w:top w:val="single" w:sz="6" w:space="0" w:color="auto"/>
          </w:tcBorders>
        </w:tcPr>
        <w:p w:rsidR="00A36C7F" w:rsidRDefault="00A36C7F">
          <w:pPr>
            <w:pStyle w:val="HeaderOdd"/>
          </w:pPr>
        </w:p>
      </w:tc>
      <w:tc>
        <w:tcPr>
          <w:tcW w:w="2155" w:type="dxa"/>
          <w:tcBorders>
            <w:top w:val="single" w:sz="24" w:space="0" w:color="auto"/>
          </w:tcBorders>
        </w:tcPr>
        <w:p w:rsidR="00A36C7F" w:rsidRDefault="00A36C7F">
          <w:pPr>
            <w:pStyle w:val="HeaderOdd"/>
          </w:pPr>
        </w:p>
      </w:tc>
    </w:tr>
  </w:tbl>
  <w:p w:rsidR="00A36C7F" w:rsidRDefault="00A36C7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36C7F">
      <w:tc>
        <w:tcPr>
          <w:tcW w:w="2155" w:type="dxa"/>
          <w:tcBorders>
            <w:top w:val="single" w:sz="24" w:space="0" w:color="auto"/>
          </w:tcBorders>
        </w:tcPr>
        <w:p w:rsidR="00A36C7F" w:rsidRDefault="00A36C7F">
          <w:pPr>
            <w:pStyle w:val="HeaderEven"/>
          </w:pPr>
        </w:p>
      </w:tc>
      <w:tc>
        <w:tcPr>
          <w:tcW w:w="6634" w:type="dxa"/>
          <w:tcBorders>
            <w:top w:val="single" w:sz="6" w:space="0" w:color="auto"/>
          </w:tcBorders>
        </w:tcPr>
        <w:p w:rsidR="00A36C7F" w:rsidRDefault="00A36C7F">
          <w:pPr>
            <w:pStyle w:val="HeaderEven"/>
          </w:pPr>
        </w:p>
      </w:tc>
    </w:tr>
  </w:tbl>
  <w:p w:rsidR="00A36C7F" w:rsidRDefault="00A36C7F">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36C7F">
      <w:tc>
        <w:tcPr>
          <w:tcW w:w="6634" w:type="dxa"/>
          <w:tcBorders>
            <w:top w:val="single" w:sz="6" w:space="0" w:color="auto"/>
          </w:tcBorders>
        </w:tcPr>
        <w:p w:rsidR="00A36C7F" w:rsidRDefault="00A36C7F">
          <w:pPr>
            <w:pStyle w:val="HeaderOdd"/>
          </w:pPr>
        </w:p>
      </w:tc>
      <w:tc>
        <w:tcPr>
          <w:tcW w:w="2155" w:type="dxa"/>
          <w:tcBorders>
            <w:top w:val="single" w:sz="24" w:space="0" w:color="auto"/>
            <w:bottom w:val="nil"/>
          </w:tcBorders>
        </w:tcPr>
        <w:p w:rsidR="00A36C7F" w:rsidRDefault="00A36C7F">
          <w:pPr>
            <w:pStyle w:val="HeaderOdd"/>
          </w:pPr>
        </w:p>
      </w:tc>
    </w:tr>
  </w:tbl>
  <w:p w:rsidR="00A36C7F" w:rsidRDefault="00A36C7F">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C7F"/>
    <w:rsid w:val="00003B69"/>
    <w:rsid w:val="00017AFC"/>
    <w:rsid w:val="00025878"/>
    <w:rsid w:val="00026B38"/>
    <w:rsid w:val="000502D3"/>
    <w:rsid w:val="00052CB2"/>
    <w:rsid w:val="000623BF"/>
    <w:rsid w:val="000779EB"/>
    <w:rsid w:val="00095EEA"/>
    <w:rsid w:val="00097C15"/>
    <w:rsid w:val="000A0A0E"/>
    <w:rsid w:val="000A5E12"/>
    <w:rsid w:val="000A6614"/>
    <w:rsid w:val="000B416E"/>
    <w:rsid w:val="000F185F"/>
    <w:rsid w:val="000F2F5F"/>
    <w:rsid w:val="00106041"/>
    <w:rsid w:val="0010611E"/>
    <w:rsid w:val="00122FE9"/>
    <w:rsid w:val="00131572"/>
    <w:rsid w:val="00131D4F"/>
    <w:rsid w:val="0013399B"/>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0837"/>
    <w:rsid w:val="00261607"/>
    <w:rsid w:val="00263DD1"/>
    <w:rsid w:val="00264D3B"/>
    <w:rsid w:val="00265685"/>
    <w:rsid w:val="00271B0C"/>
    <w:rsid w:val="00281D5F"/>
    <w:rsid w:val="002923AD"/>
    <w:rsid w:val="00296592"/>
    <w:rsid w:val="002A0A4B"/>
    <w:rsid w:val="002A499E"/>
    <w:rsid w:val="002B636E"/>
    <w:rsid w:val="002B64D6"/>
    <w:rsid w:val="002C12F5"/>
    <w:rsid w:val="002C7803"/>
    <w:rsid w:val="002D6FCE"/>
    <w:rsid w:val="00336D59"/>
    <w:rsid w:val="00340511"/>
    <w:rsid w:val="003532A6"/>
    <w:rsid w:val="0038647D"/>
    <w:rsid w:val="00393A49"/>
    <w:rsid w:val="003B41E0"/>
    <w:rsid w:val="003C3D73"/>
    <w:rsid w:val="003D624D"/>
    <w:rsid w:val="003E7802"/>
    <w:rsid w:val="0042007A"/>
    <w:rsid w:val="00433C81"/>
    <w:rsid w:val="00446D6B"/>
    <w:rsid w:val="00457B3F"/>
    <w:rsid w:val="00463022"/>
    <w:rsid w:val="00481CF0"/>
    <w:rsid w:val="004B492A"/>
    <w:rsid w:val="004C0B0C"/>
    <w:rsid w:val="004D0094"/>
    <w:rsid w:val="004D3F58"/>
    <w:rsid w:val="004E52E2"/>
    <w:rsid w:val="004E6BB4"/>
    <w:rsid w:val="004E7D3C"/>
    <w:rsid w:val="005050CD"/>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49F0"/>
    <w:rsid w:val="00607D8A"/>
    <w:rsid w:val="0061590F"/>
    <w:rsid w:val="00636497"/>
    <w:rsid w:val="00641AE2"/>
    <w:rsid w:val="0064456A"/>
    <w:rsid w:val="00650DDA"/>
    <w:rsid w:val="0065126A"/>
    <w:rsid w:val="00653FA6"/>
    <w:rsid w:val="0067557D"/>
    <w:rsid w:val="006802D4"/>
    <w:rsid w:val="00683849"/>
    <w:rsid w:val="00691AB5"/>
    <w:rsid w:val="006E1E6B"/>
    <w:rsid w:val="006F0EAC"/>
    <w:rsid w:val="006F65BD"/>
    <w:rsid w:val="006F6A85"/>
    <w:rsid w:val="006F7CF9"/>
    <w:rsid w:val="0070328D"/>
    <w:rsid w:val="00731F96"/>
    <w:rsid w:val="00734127"/>
    <w:rsid w:val="00735FEA"/>
    <w:rsid w:val="00743460"/>
    <w:rsid w:val="00743A27"/>
    <w:rsid w:val="007448F7"/>
    <w:rsid w:val="00753DC6"/>
    <w:rsid w:val="0075578C"/>
    <w:rsid w:val="00766DFB"/>
    <w:rsid w:val="007734B5"/>
    <w:rsid w:val="007809B8"/>
    <w:rsid w:val="007813A6"/>
    <w:rsid w:val="007A4C04"/>
    <w:rsid w:val="00805FD7"/>
    <w:rsid w:val="00806E54"/>
    <w:rsid w:val="008206EE"/>
    <w:rsid w:val="008214B1"/>
    <w:rsid w:val="008273A9"/>
    <w:rsid w:val="00836ED7"/>
    <w:rsid w:val="008375DA"/>
    <w:rsid w:val="0084355E"/>
    <w:rsid w:val="008453AC"/>
    <w:rsid w:val="00860D09"/>
    <w:rsid w:val="00862044"/>
    <w:rsid w:val="00880BF7"/>
    <w:rsid w:val="0089269F"/>
    <w:rsid w:val="00894106"/>
    <w:rsid w:val="008A2133"/>
    <w:rsid w:val="008A3857"/>
    <w:rsid w:val="008A6356"/>
    <w:rsid w:val="008B2205"/>
    <w:rsid w:val="008B3A9C"/>
    <w:rsid w:val="008C08EF"/>
    <w:rsid w:val="008C305F"/>
    <w:rsid w:val="008C3AD2"/>
    <w:rsid w:val="008C7C3D"/>
    <w:rsid w:val="008D6F66"/>
    <w:rsid w:val="008E1BEA"/>
    <w:rsid w:val="008E242D"/>
    <w:rsid w:val="008E426C"/>
    <w:rsid w:val="008E43D2"/>
    <w:rsid w:val="008E5248"/>
    <w:rsid w:val="008F04C9"/>
    <w:rsid w:val="008F14DF"/>
    <w:rsid w:val="008F7C50"/>
    <w:rsid w:val="008F7DB7"/>
    <w:rsid w:val="009064D3"/>
    <w:rsid w:val="00915300"/>
    <w:rsid w:val="00933B0C"/>
    <w:rsid w:val="00935676"/>
    <w:rsid w:val="009449E5"/>
    <w:rsid w:val="00980F9D"/>
    <w:rsid w:val="0098401D"/>
    <w:rsid w:val="009A789F"/>
    <w:rsid w:val="009B12EF"/>
    <w:rsid w:val="009B48F7"/>
    <w:rsid w:val="009B6185"/>
    <w:rsid w:val="009C6C6D"/>
    <w:rsid w:val="009C78DE"/>
    <w:rsid w:val="009E1E78"/>
    <w:rsid w:val="00A1597D"/>
    <w:rsid w:val="00A36C7F"/>
    <w:rsid w:val="00A46989"/>
    <w:rsid w:val="00A469AA"/>
    <w:rsid w:val="00A60776"/>
    <w:rsid w:val="00A71CE9"/>
    <w:rsid w:val="00A72A19"/>
    <w:rsid w:val="00A75A30"/>
    <w:rsid w:val="00A93C82"/>
    <w:rsid w:val="00AB2A48"/>
    <w:rsid w:val="00AC3236"/>
    <w:rsid w:val="00AD4874"/>
    <w:rsid w:val="00AE1F8A"/>
    <w:rsid w:val="00B036B2"/>
    <w:rsid w:val="00B04D19"/>
    <w:rsid w:val="00B153C3"/>
    <w:rsid w:val="00B22087"/>
    <w:rsid w:val="00B66A12"/>
    <w:rsid w:val="00B722F2"/>
    <w:rsid w:val="00B80355"/>
    <w:rsid w:val="00B861BC"/>
    <w:rsid w:val="00B90958"/>
    <w:rsid w:val="00B95339"/>
    <w:rsid w:val="00BA0B81"/>
    <w:rsid w:val="00BA5296"/>
    <w:rsid w:val="00BB334E"/>
    <w:rsid w:val="00BB5DCF"/>
    <w:rsid w:val="00BC2476"/>
    <w:rsid w:val="00BF59EA"/>
    <w:rsid w:val="00BF79CD"/>
    <w:rsid w:val="00C04A1B"/>
    <w:rsid w:val="00C058AB"/>
    <w:rsid w:val="00C0721B"/>
    <w:rsid w:val="00C34C8C"/>
    <w:rsid w:val="00C50792"/>
    <w:rsid w:val="00C51371"/>
    <w:rsid w:val="00C55A45"/>
    <w:rsid w:val="00C81ABD"/>
    <w:rsid w:val="00C86487"/>
    <w:rsid w:val="00C904D9"/>
    <w:rsid w:val="00C94C06"/>
    <w:rsid w:val="00CA48BF"/>
    <w:rsid w:val="00CB3ACC"/>
    <w:rsid w:val="00CB4745"/>
    <w:rsid w:val="00CC2530"/>
    <w:rsid w:val="00CD00AB"/>
    <w:rsid w:val="00CD0FBC"/>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B7882"/>
    <w:rsid w:val="00DC02E8"/>
    <w:rsid w:val="00DC75C7"/>
    <w:rsid w:val="00DC78D3"/>
    <w:rsid w:val="00DD1077"/>
    <w:rsid w:val="00DF00FE"/>
    <w:rsid w:val="00DF4592"/>
    <w:rsid w:val="00E15FDC"/>
    <w:rsid w:val="00E2651B"/>
    <w:rsid w:val="00E30DDB"/>
    <w:rsid w:val="00E6632E"/>
    <w:rsid w:val="00E82E9E"/>
    <w:rsid w:val="00E90CF2"/>
    <w:rsid w:val="00E91D8B"/>
    <w:rsid w:val="00EC38C1"/>
    <w:rsid w:val="00EC628B"/>
    <w:rsid w:val="00ED0F61"/>
    <w:rsid w:val="00EE3F6D"/>
    <w:rsid w:val="00EE73E1"/>
    <w:rsid w:val="00F12107"/>
    <w:rsid w:val="00F13165"/>
    <w:rsid w:val="00F4234E"/>
    <w:rsid w:val="00F61429"/>
    <w:rsid w:val="00F7477E"/>
    <w:rsid w:val="00F85393"/>
    <w:rsid w:val="00FA4A24"/>
    <w:rsid w:val="00FC41B4"/>
    <w:rsid w:val="00FC5A6B"/>
    <w:rsid w:val="00FD1D42"/>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A36C7F"/>
    <w:rPr>
      <w:kern w:val="28"/>
      <w:sz w:val="52"/>
      <w:lang w:eastAsia="en-US"/>
    </w:rPr>
  </w:style>
  <w:style w:type="table" w:styleId="TableGrid">
    <w:name w:val="Table Grid"/>
    <w:basedOn w:val="TableNormal"/>
    <w:rsid w:val="008941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A36C7F"/>
    <w:rPr>
      <w:kern w:val="28"/>
      <w:sz w:val="52"/>
      <w:lang w:eastAsia="en-US"/>
    </w:rPr>
  </w:style>
  <w:style w:type="table" w:styleId="TableGrid">
    <w:name w:val="Table Grid"/>
    <w:basedOn w:val="TableNormal"/>
    <w:rsid w:val="008941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F20560A-2A7C-4B5A-BCF1-29B27C0B9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9</Pages>
  <Words>1401</Words>
  <Characters>8240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Superannuation policy for post-retirement</vt:lpstr>
    </vt:vector>
  </TitlesOfParts>
  <Company>Productivity Commission</Company>
  <LinksUpToDate>false</LinksUpToDate>
  <CharactersWithSpaces>9622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Superannuation policy for post-retirement</dc:title>
  <dc:creator>Productivity Commission</dc:creator>
  <cp:lastModifiedBy>Productivity Commission</cp:lastModifiedBy>
  <cp:revision>2</cp:revision>
  <cp:lastPrinted>2015-06-29T08:26:00Z</cp:lastPrinted>
  <dcterms:created xsi:type="dcterms:W3CDTF">2015-07-02T02:34:00Z</dcterms:created>
  <dcterms:modified xsi:type="dcterms:W3CDTF">2015-07-02T02:34:00Z</dcterms:modified>
</cp:coreProperties>
</file>